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right"/>
        <w:rPr>
          <w:rFonts w:hint="eastAsia" w:ascii="宋体" w:hAnsi="宋体" w:eastAsia="宋体" w:cs="宋体"/>
        </w:rPr>
      </w:pPr>
      <w:r>
        <w:rPr>
          <w:rFonts w:hint="eastAsia" w:ascii="宋体" w:hAnsi="宋体" w:eastAsia="宋体" w:cs="宋体"/>
        </w:rPr>
        <w:t xml:space="preserve">                                                                                                      </w:t>
      </w:r>
      <w:r/>
    </w:p>
    <w:p>
      <w:pPr>
        <w:pStyle w:val="889"/>
        <w:rPr>
          <w:rFonts w:hint="eastAsia" w:ascii="宋体" w:hAnsi="宋体" w:eastAsia="宋体" w:cs="宋体"/>
        </w:rPr>
      </w:pPr>
      <w:r>
        <w:rPr>
          <w:rFonts w:hint="eastAsia" w:ascii="宋体" w:hAnsi="宋体" w:eastAsia="宋体" w:cs="宋体"/>
        </w:rPr>
      </w:r>
      <w:r/>
    </w:p>
    <w:p>
      <w:pPr>
        <w:pStyle w:val="889"/>
        <w:rPr>
          <w:rFonts w:hint="eastAsia" w:ascii="宋体" w:hAnsi="宋体" w:eastAsia="宋体" w:cs="宋体"/>
        </w:rPr>
      </w:pPr>
      <w:r>
        <w:rPr>
          <w:rFonts w:hint="eastAsia" w:ascii="宋体" w:hAnsi="宋体" w:eastAsia="宋体" w:cs="宋体"/>
        </w:rPr>
        <w:t xml:space="preserve"> </w:t>
      </w:r>
      <w:r/>
    </w:p>
    <w:p>
      <w:pPr>
        <w:pStyle w:val="889"/>
        <w:rPr>
          <w:rFonts w:hint="eastAsia" w:ascii="宋体" w:hAnsi="宋体" w:eastAsia="宋体" w:cs="宋体"/>
        </w:rPr>
      </w:pPr>
      <w:r>
        <w:rPr>
          <w:rFonts w:hint="eastAsia" w:ascii="宋体" w:hAnsi="宋体" w:eastAsia="宋体" w:cs="宋体"/>
        </w:rPr>
      </w:r>
      <w:r/>
    </w:p>
    <w:p>
      <w:pPr>
        <w:pStyle w:val="889"/>
        <w:rPr>
          <w:rFonts w:hint="eastAsia" w:ascii="宋体" w:hAnsi="宋体" w:eastAsia="宋体" w:cs="宋体"/>
        </w:rPr>
      </w:pPr>
      <w:r>
        <w:rPr>
          <w:rFonts w:hint="eastAsia" w:ascii="宋体" w:hAnsi="宋体" w:eastAsia="宋体" w:cs="宋体"/>
        </w:rPr>
      </w:r>
      <w:r/>
    </w:p>
    <w:p>
      <w:pPr>
        <w:pStyle w:val="889"/>
        <w:ind w:firstLine="320"/>
        <w:jc w:val="right"/>
        <w:rPr>
          <w:rFonts w:hint="eastAsia" w:ascii="宋体" w:hAnsi="宋体" w:eastAsia="宋体" w:cs="宋体"/>
        </w:rPr>
      </w:pPr>
      <w:r>
        <w:rPr>
          <w:rFonts w:hint="eastAsia" w:ascii="宋体" w:hAnsi="宋体" w:eastAsia="宋体" w:cs="宋体"/>
          <w:sz w:val="32"/>
        </w:rPr>
        <w:t xml:space="preserve">           </w:t>
      </w:r>
      <w:r/>
    </w:p>
    <w:p>
      <w:pPr>
        <w:pStyle w:val="889"/>
        <w:jc w:val="center"/>
        <w:rPr>
          <w:rFonts w:hint="eastAsia" w:ascii="宋体" w:hAnsi="宋体" w:eastAsia="宋体" w:cs="宋体"/>
          <w:b/>
          <w:spacing w:val="76"/>
          <w:sz w:val="96"/>
          <w:szCs w:val="22"/>
        </w:rPr>
      </w:pPr>
      <w:r>
        <w:rPr>
          <w:rFonts w:hint="eastAsia" w:ascii="宋体" w:hAnsi="宋体" w:eastAsia="宋体" w:cs="宋体"/>
          <w:spacing w:val="76"/>
          <w:sz w:val="144"/>
        </w:rPr>
        <w:t xml:space="preserve">招标文件</w:t>
      </w:r>
      <w:r/>
    </w:p>
    <w:p>
      <w:pPr>
        <w:pStyle w:val="1148"/>
        <w:rPr>
          <w:rFonts w:hint="eastAsia" w:ascii="宋体" w:hAnsi="宋体" w:eastAsia="宋体" w:cs="宋体"/>
          <w:spacing w:val="76"/>
          <w:sz w:val="156"/>
        </w:rPr>
      </w:pPr>
      <w:r>
        <w:rPr>
          <w:rFonts w:hint="eastAsia" w:ascii="宋体" w:hAnsi="宋体" w:eastAsia="宋体" w:cs="宋体"/>
          <w:spacing w:val="76"/>
          <w:sz w:val="156"/>
        </w:rPr>
      </w:r>
      <w:r/>
    </w:p>
    <w:p>
      <w:pPr>
        <w:pStyle w:val="889"/>
        <w:rPr>
          <w:rFonts w:hint="eastAsia" w:ascii="宋体" w:hAnsi="宋体" w:eastAsia="宋体" w:cs="宋体"/>
        </w:rPr>
      </w:pPr>
      <w:r>
        <w:rPr>
          <w:rFonts w:hint="eastAsia" w:ascii="宋体" w:hAnsi="宋体" w:eastAsia="宋体" w:cs="宋体"/>
        </w:rPr>
      </w:r>
      <w:r/>
    </w:p>
    <w:p>
      <w:pPr>
        <w:pStyle w:val="1008"/>
        <w:rPr>
          <w:rFonts w:hint="eastAsia" w:ascii="宋体" w:hAnsi="宋体" w:eastAsia="宋体" w:cs="宋体"/>
        </w:rPr>
      </w:pPr>
      <w:r>
        <w:rPr>
          <w:rFonts w:hint="eastAsia" w:ascii="宋体" w:hAnsi="宋体" w:eastAsia="宋体" w:cs="宋体"/>
        </w:rPr>
      </w:r>
      <w:r/>
    </w:p>
    <w:p>
      <w:pPr>
        <w:pStyle w:val="889"/>
        <w:rPr>
          <w:rFonts w:hint="eastAsia" w:ascii="宋体" w:hAnsi="宋体" w:eastAsia="宋体" w:cs="宋体"/>
        </w:rPr>
      </w:pPr>
      <w:r>
        <w:rPr>
          <w:rFonts w:hint="eastAsia" w:ascii="宋体" w:hAnsi="宋体" w:eastAsia="宋体" w:cs="宋体"/>
        </w:rPr>
      </w:r>
      <w:r/>
    </w:p>
    <w:p>
      <w:pPr>
        <w:pStyle w:val="889"/>
        <w:ind w:firstLine="1285"/>
        <w:spacing w:line="500" w:lineRule="exact"/>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项目名称：</w:t>
      </w:r>
      <w:r>
        <w:rPr>
          <w:rFonts w:hint="eastAsia" w:ascii="宋体" w:hAnsi="宋体" w:cs="宋体"/>
          <w:b/>
          <w:bCs/>
          <w:sz w:val="32"/>
          <w:szCs w:val="32"/>
          <w:lang w:eastAsia="zh-CN"/>
        </w:rPr>
        <w:t xml:space="preserve">铜山区中小学教室空调配备项目（电力箱变设备）</w:t>
      </w:r>
      <w:r/>
    </w:p>
    <w:p>
      <w:pPr>
        <w:pStyle w:val="889"/>
        <w:ind w:firstLine="1285"/>
        <w:spacing w:line="500" w:lineRule="exact"/>
        <w:rPr>
          <w:rFonts w:ascii="宋体" w:hAnsi="宋体" w:eastAsia="宋体" w:cs="宋体"/>
          <w:b/>
          <w:bCs/>
          <w:sz w:val="32"/>
          <w:szCs w:val="32"/>
          <w:lang w:val="en-US" w:eastAsia="zh-CN"/>
        </w:rPr>
      </w:pPr>
      <w:r>
        <w:rPr>
          <w:rFonts w:hint="eastAsia" w:ascii="宋体" w:hAnsi="宋体" w:eastAsia="宋体" w:cs="宋体"/>
          <w:b/>
          <w:bCs/>
          <w:sz w:val="32"/>
          <w:szCs w:val="32"/>
        </w:rPr>
        <w:t xml:space="preserve">项目编</w:t>
      </w:r>
      <w:r>
        <w:rPr>
          <w:rFonts w:hint="eastAsia" w:ascii="宋体" w:hAnsi="宋体" w:cs="宋体"/>
          <w:b/>
          <w:bCs/>
          <w:sz w:val="32"/>
          <w:szCs w:val="32"/>
          <w:lang w:eastAsia="zh-CN"/>
        </w:rPr>
        <w:t xml:space="preserve">号：JSZC-320312-XZZX-G2025-0006</w:t>
      </w:r>
      <w:r/>
    </w:p>
    <w:p>
      <w:pPr>
        <w:pStyle w:val="889"/>
        <w:ind w:firstLine="1285"/>
        <w:spacing w:line="500" w:lineRule="exact"/>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招 标 人：</w:t>
      </w:r>
      <w:r>
        <w:rPr>
          <w:rFonts w:hint="eastAsia" w:ascii="宋体" w:hAnsi="宋体" w:cs="宋体"/>
          <w:b/>
          <w:bCs/>
          <w:sz w:val="32"/>
          <w:szCs w:val="32"/>
          <w:lang w:eastAsia="zh-CN"/>
        </w:rPr>
        <w:t xml:space="preserve">徐州市铜山区教育局（机关）</w:t>
      </w:r>
      <w:r/>
    </w:p>
    <w:p>
      <w:pPr>
        <w:pStyle w:val="1014"/>
        <w:ind w:left="0" w:right="1470"/>
        <w:rPr>
          <w:rFonts w:hint="eastAsia" w:ascii="宋体" w:hAnsi="宋体" w:eastAsia="宋体" w:cs="宋体"/>
          <w:sz w:val="28"/>
          <w:szCs w:val="28"/>
        </w:rPr>
      </w:pPr>
      <w:r>
        <w:rPr>
          <w:rFonts w:hint="eastAsia" w:ascii="宋体" w:hAnsi="宋体" w:eastAsia="宋体" w:cs="宋体"/>
          <w:sz w:val="28"/>
          <w:szCs w:val="28"/>
        </w:rPr>
      </w:r>
      <w:r/>
    </w:p>
    <w:p>
      <w:pPr>
        <w:pStyle w:val="1014"/>
        <w:ind w:left="0" w:right="1470"/>
        <w:rPr>
          <w:rFonts w:hint="eastAsia" w:ascii="宋体" w:hAnsi="宋体" w:eastAsia="宋体" w:cs="宋体"/>
          <w:sz w:val="28"/>
          <w:szCs w:val="28"/>
        </w:rPr>
      </w:pPr>
      <w:r>
        <w:rPr>
          <w:rFonts w:hint="eastAsia" w:ascii="宋体" w:hAnsi="宋体" w:eastAsia="宋体" w:cs="宋体"/>
          <w:sz w:val="28"/>
          <w:szCs w:val="28"/>
        </w:rPr>
      </w:r>
      <w:r/>
    </w:p>
    <w:p>
      <w:pPr>
        <w:pStyle w:val="1014"/>
        <w:ind w:left="0" w:right="1470"/>
        <w:rPr>
          <w:rFonts w:hint="eastAsia" w:ascii="宋体" w:hAnsi="宋体" w:eastAsia="宋体" w:cs="宋体"/>
          <w:sz w:val="28"/>
          <w:szCs w:val="28"/>
        </w:rPr>
      </w:pPr>
      <w:r>
        <w:rPr>
          <w:rFonts w:hint="eastAsia" w:ascii="宋体" w:hAnsi="宋体" w:eastAsia="宋体" w:cs="宋体"/>
          <w:sz w:val="28"/>
          <w:szCs w:val="28"/>
        </w:rPr>
      </w:r>
      <w:r/>
    </w:p>
    <w:p>
      <w:pPr>
        <w:pStyle w:val="1014"/>
        <w:ind w:left="0" w:right="1470" w:firstLine="0"/>
        <w:rPr>
          <w:rFonts w:hint="eastAsia" w:ascii="宋体" w:hAnsi="宋体" w:eastAsia="宋体" w:cs="宋体"/>
          <w:sz w:val="32"/>
          <w:szCs w:val="32"/>
        </w:rPr>
      </w:pPr>
      <w:r>
        <w:rPr>
          <w:rFonts w:hint="eastAsia" w:ascii="宋体" w:hAnsi="宋体" w:eastAsia="宋体" w:cs="宋体"/>
          <w:sz w:val="32"/>
          <w:szCs w:val="32"/>
        </w:rPr>
      </w:r>
      <w:r/>
    </w:p>
    <w:p>
      <w:pPr>
        <w:pStyle w:val="943"/>
        <w:rPr>
          <w:rFonts w:hint="eastAsia" w:ascii="宋体" w:hAnsi="宋体" w:eastAsia="宋体" w:cs="宋体"/>
          <w:sz w:val="24"/>
          <w:szCs w:val="24"/>
        </w:rPr>
      </w:pPr>
      <w:r>
        <w:rPr>
          <w:rFonts w:hint="eastAsia" w:ascii="宋体" w:hAnsi="宋体" w:eastAsia="宋体" w:cs="宋体"/>
          <w:sz w:val="24"/>
          <w:szCs w:val="24"/>
        </w:rPr>
      </w:r>
      <w:r/>
    </w:p>
    <w:p>
      <w:pPr>
        <w:pStyle w:val="889"/>
        <w:ind w:firstLine="1205"/>
        <w:spacing w:line="500" w:lineRule="exact"/>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采购代理机构：</w:t>
      </w:r>
      <w:r>
        <w:rPr>
          <w:rFonts w:hint="eastAsia" w:ascii="宋体" w:hAnsi="宋体" w:cs="宋体"/>
          <w:b/>
          <w:bCs/>
          <w:sz w:val="32"/>
          <w:szCs w:val="32"/>
          <w:lang w:eastAsia="zh-CN"/>
        </w:rPr>
        <w:t xml:space="preserve">徐州众信项目管理咨询有限公司</w:t>
      </w:r>
      <w:r/>
    </w:p>
    <w:p>
      <w:pPr>
        <w:pStyle w:val="1001"/>
        <w:ind w:firstLine="0"/>
        <w:jc w:val="center"/>
        <w:spacing w:line="500" w:lineRule="exact"/>
        <w:rPr>
          <w:rFonts w:hint="eastAsia" w:ascii="宋体" w:hAnsi="宋体" w:eastAsia="宋体" w:cs="宋体"/>
          <w:b/>
          <w:sz w:val="48"/>
          <w:szCs w:val="28"/>
        </w:rPr>
      </w:pPr>
      <w:r>
        <w:rPr>
          <w:rFonts w:hint="eastAsia" w:ascii="宋体" w:hAnsi="宋体" w:eastAsia="宋体" w:cs="宋体"/>
          <w:b/>
          <w:bCs/>
          <w:sz w:val="32"/>
          <w:szCs w:val="32"/>
        </w:rPr>
        <w:t xml:space="preserve">202</w:t>
      </w:r>
      <w:r>
        <w:rPr>
          <w:rFonts w:hint="eastAsia" w:ascii="宋体" w:hAnsi="宋体" w:eastAsia="宋体" w:cs="宋体"/>
          <w:b/>
          <w:bCs/>
          <w:sz w:val="32"/>
          <w:szCs w:val="32"/>
          <w:lang w:val="en-US" w:eastAsia="zh-CN"/>
        </w:rPr>
        <w:t xml:space="preserve">5</w:t>
      </w:r>
      <w:r>
        <w:rPr>
          <w:rFonts w:hint="eastAsia" w:ascii="宋体" w:hAnsi="宋体" w:eastAsia="宋体" w:cs="宋体"/>
          <w:b/>
          <w:bCs/>
          <w:sz w:val="32"/>
          <w:szCs w:val="32"/>
        </w:rPr>
        <w:t xml:space="preserve">年</w:t>
      </w:r>
      <w:r>
        <w:rPr>
          <w:rFonts w:hint="eastAsia" w:ascii="宋体" w:hAnsi="宋体" w:cs="宋体"/>
          <w:b/>
          <w:bCs/>
          <w:sz w:val="32"/>
          <w:szCs w:val="32"/>
          <w:lang w:val="en-US" w:eastAsia="zh-CN"/>
        </w:rPr>
        <w:t xml:space="preserve">3</w:t>
      </w:r>
      <w:r>
        <w:rPr>
          <w:rFonts w:hint="eastAsia" w:ascii="宋体" w:hAnsi="宋体" w:eastAsia="宋体" w:cs="宋体"/>
          <w:b/>
          <w:bCs/>
          <w:sz w:val="32"/>
          <w:szCs w:val="32"/>
        </w:rPr>
        <w:t xml:space="preserve">月</w:t>
      </w:r>
      <w:r/>
    </w:p>
    <w:p>
      <w:pPr>
        <w:rPr>
          <w:rFonts w:hint="eastAsia" w:ascii="宋体" w:hAnsi="宋体" w:eastAsia="宋体" w:cs="宋体"/>
          <w:sz w:val="24"/>
        </w:rPr>
        <w:sectPr>
          <w:headerReference w:type="default" r:id="rId9"/>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rPr>
      </w:r>
      <w:r/>
    </w:p>
    <w:p>
      <w:pPr>
        <w:jc w:val="cente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r>
      <w:r/>
    </w:p>
    <w:p>
      <w:pPr>
        <w:jc w:val="cente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rPr>
        <w:fldChar w:fldCharType="separate"/>
      </w:r>
      <w:r>
        <w:rPr>
          <w:rStyle w:val="981"/>
          <w:rFonts w:hint="eastAsia" w:ascii="宋体" w:hAnsi="宋体" w:eastAsia="宋体" w:cs="宋体"/>
          <w:color w:val="000000"/>
          <w:sz w:val="30"/>
          <w:u w:val="none"/>
        </w:rPr>
        <w:t xml:space="preserve">第一章  投标邀请</w:t>
      </w:r>
      <w:r>
        <w:rPr>
          <w:rFonts w:hint="eastAsia" w:ascii="宋体" w:hAnsi="宋体" w:eastAsia="宋体" w:cs="宋体"/>
          <w:color w:val="000000"/>
          <w:sz w:val="30"/>
        </w:rPr>
        <w:fldChar w:fldCharType="end"/>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rPr>
        <w:fldChar w:fldCharType="separate"/>
      </w:r>
      <w:r>
        <w:rPr>
          <w:rStyle w:val="981"/>
          <w:rFonts w:hint="eastAsia" w:ascii="宋体" w:hAnsi="宋体" w:eastAsia="宋体" w:cs="宋体"/>
          <w:color w:val="000000"/>
          <w:sz w:val="30"/>
          <w:u w:val="none"/>
        </w:rPr>
        <w:t xml:space="preserve">第二章  投标人须知</w:t>
      </w:r>
      <w:r>
        <w:rPr>
          <w:rFonts w:hint="eastAsia" w:ascii="宋体" w:hAnsi="宋体" w:eastAsia="宋体" w:cs="宋体"/>
          <w:color w:val="000000"/>
          <w:sz w:val="30"/>
        </w:rPr>
        <w:fldChar w:fldCharType="end"/>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rPr>
        <w:fldChar w:fldCharType="separate"/>
      </w:r>
      <w:r>
        <w:rPr>
          <w:rStyle w:val="981"/>
          <w:rFonts w:hint="eastAsia" w:ascii="宋体" w:hAnsi="宋体" w:eastAsia="宋体" w:cs="宋体"/>
          <w:color w:val="000000"/>
          <w:sz w:val="30"/>
          <w:u w:val="none"/>
        </w:rPr>
        <w:t xml:space="preserve">第三章  投标资料表</w:t>
      </w:r>
      <w:r>
        <w:rPr>
          <w:rFonts w:hint="eastAsia" w:ascii="宋体" w:hAnsi="宋体" w:eastAsia="宋体" w:cs="宋体"/>
          <w:color w:val="000000"/>
          <w:sz w:val="30"/>
        </w:rPr>
        <w:fldChar w:fldCharType="end"/>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rPr>
        <w:fldChar w:fldCharType="separate"/>
      </w:r>
      <w:r>
        <w:rPr>
          <w:rStyle w:val="981"/>
          <w:rFonts w:hint="eastAsia" w:ascii="宋体" w:hAnsi="宋体" w:eastAsia="宋体" w:cs="宋体"/>
          <w:color w:val="000000"/>
          <w:sz w:val="30"/>
          <w:u w:val="none"/>
        </w:rPr>
        <w:t xml:space="preserve">第四章  评标标准</w:t>
      </w:r>
      <w:r>
        <w:rPr>
          <w:rFonts w:hint="eastAsia" w:ascii="宋体" w:hAnsi="宋体" w:eastAsia="宋体" w:cs="宋体"/>
          <w:color w:val="000000"/>
          <w:sz w:val="30"/>
        </w:rPr>
        <w:fldChar w:fldCharType="end"/>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rPr>
        <w:fldChar w:fldCharType="separate"/>
      </w:r>
      <w:r>
        <w:rPr>
          <w:rStyle w:val="981"/>
          <w:rFonts w:hint="eastAsia" w:ascii="宋体" w:hAnsi="宋体" w:eastAsia="宋体" w:cs="宋体"/>
          <w:color w:val="000000"/>
          <w:sz w:val="30"/>
          <w:u w:val="none"/>
        </w:rPr>
        <w:t xml:space="preserve">第五章  拟签订的合同文本</w:t>
      </w:r>
      <w:r>
        <w:rPr>
          <w:rFonts w:hint="eastAsia" w:ascii="宋体" w:hAnsi="宋体" w:eastAsia="宋体" w:cs="宋体"/>
          <w:color w:val="000000"/>
          <w:sz w:val="30"/>
        </w:rPr>
        <w:fldChar w:fldCharType="end"/>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rPr>
        <w:fldChar w:fldCharType="separate"/>
      </w:r>
      <w:r>
        <w:rPr>
          <w:rStyle w:val="981"/>
          <w:rFonts w:hint="eastAsia" w:ascii="宋体" w:hAnsi="宋体" w:eastAsia="宋体" w:cs="宋体"/>
          <w:color w:val="000000"/>
          <w:sz w:val="30"/>
          <w:u w:val="none"/>
        </w:rPr>
        <w:t xml:space="preserve">第六章  采购需求</w:t>
      </w:r>
      <w:r>
        <w:rPr>
          <w:rFonts w:hint="eastAsia" w:ascii="宋体" w:hAnsi="宋体" w:eastAsia="宋体" w:cs="宋体"/>
          <w:color w:val="000000"/>
          <w:sz w:val="30"/>
        </w:rPr>
        <w:fldChar w:fldCharType="end"/>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firstLine="21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rPr>
        <w:fldChar w:fldCharType="separate"/>
      </w:r>
      <w:r>
        <w:rPr>
          <w:rStyle w:val="981"/>
          <w:rFonts w:hint="eastAsia" w:ascii="宋体" w:hAnsi="宋体" w:eastAsia="宋体" w:cs="宋体"/>
          <w:color w:val="000000"/>
          <w:sz w:val="30"/>
          <w:u w:val="none"/>
        </w:rPr>
        <w:t xml:space="preserve">第七章  投标文件相关格式</w:t>
      </w:r>
      <w:r>
        <w:rPr>
          <w:rFonts w:hint="eastAsia" w:ascii="宋体" w:hAnsi="宋体" w:eastAsia="宋体" w:cs="宋体"/>
          <w:color w:val="000000"/>
          <w:sz w:val="30"/>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spacing w:line="51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lang w:val="en-US" w:eastAsia="zh-CN"/>
        </w:rPr>
        <w:t xml:space="preserve">徐州市铜山区教育局（机关）</w:t>
      </w:r>
      <w:r>
        <w:rPr>
          <w:rFonts w:hint="eastAsia" w:ascii="宋体" w:hAnsi="宋体" w:eastAsia="宋体" w:cs="宋体"/>
          <w:b/>
          <w:color w:val="000000"/>
          <w:sz w:val="28"/>
          <w:szCs w:val="28"/>
        </w:rPr>
        <w:t xml:space="preserve">《</w:t>
      </w:r>
      <w:r>
        <w:rPr>
          <w:rFonts w:hint="eastAsia" w:ascii="宋体" w:hAnsi="宋体" w:cs="宋体"/>
          <w:b/>
          <w:color w:val="000000"/>
          <w:sz w:val="28"/>
          <w:szCs w:val="28"/>
          <w:lang w:eastAsia="zh-CN"/>
        </w:rPr>
        <w:t xml:space="preserve">铜山区中小学教室空调配备项目（电力箱变设备）</w:t>
      </w:r>
      <w:r>
        <w:rPr>
          <w:rFonts w:hint="eastAsia" w:ascii="宋体" w:hAnsi="宋体" w:eastAsia="宋体" w:cs="宋体"/>
          <w:b/>
          <w:color w:val="000000"/>
          <w:sz w:val="28"/>
          <w:szCs w:val="28"/>
        </w:rPr>
        <w:t xml:space="preserve">》招标文件</w:t>
      </w:r>
      <w:r/>
    </w:p>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spacing w:line="3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rPr>
        <w:t xml:space="preserve">第一章</w:t>
      </w:r>
      <w:r>
        <w:rPr>
          <w:rFonts w:hint="eastAsia" w:ascii="宋体" w:hAnsi="宋体" w:cs="宋体"/>
          <w:b/>
          <w:color w:val="000000"/>
          <w:sz w:val="28"/>
          <w:szCs w:val="28"/>
          <w:lang w:val="en-US" w:eastAsia="zh-CN"/>
        </w:rPr>
        <w:t xml:space="preserve">  </w:t>
      </w:r>
      <w:r>
        <w:rPr>
          <w:rFonts w:hint="eastAsia" w:ascii="宋体" w:hAnsi="宋体" w:eastAsia="宋体" w:cs="宋体"/>
          <w:b/>
          <w:color w:val="000000"/>
          <w:sz w:val="28"/>
          <w:szCs w:val="28"/>
        </w:rPr>
        <w:t xml:space="preserve">投标邀请</w:t>
      </w:r>
      <w:r/>
    </w:p>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u w:val="single"/>
          <w:lang w:eastAsia="zh-CN"/>
        </w:rPr>
        <w:t xml:space="preserve">徐州众信项目管理咨询有限公司</w:t>
      </w:r>
      <w:r>
        <w:rPr>
          <w:rFonts w:hint="eastAsia" w:ascii="宋体" w:hAnsi="宋体" w:eastAsia="宋体" w:cs="宋体"/>
          <w:color w:val="000000"/>
          <w:sz w:val="24"/>
          <w:szCs w:val="24"/>
        </w:rPr>
        <w:t xml:space="preserve">对</w:t>
      </w:r>
      <w:r>
        <w:rPr>
          <w:rFonts w:hint="eastAsia" w:ascii="宋体" w:hAnsi="宋体" w:cs="宋体"/>
          <w:color w:val="000000"/>
          <w:sz w:val="24"/>
          <w:szCs w:val="24"/>
          <w:u w:val="single"/>
          <w:lang w:eastAsia="zh-CN"/>
        </w:rPr>
        <w:t xml:space="preserve">铜山区中小学教室空调配备项目（电力箱变设备）</w:t>
      </w:r>
      <w:r>
        <w:rPr>
          <w:rFonts w:hint="eastAsia" w:ascii="宋体" w:hAnsi="宋体" w:eastAsia="宋体" w:cs="宋体"/>
          <w:color w:val="000000"/>
          <w:sz w:val="24"/>
          <w:szCs w:val="24"/>
        </w:rPr>
        <w:t xml:space="preserve">项目进行公开招标采购，现邀请符合相关条件的供应商投标。</w:t>
      </w:r>
      <w:r/>
    </w:p>
    <w:p>
      <w:pPr>
        <w:ind w:firstLine="3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一、项目名称和项目编号</w:t>
      </w:r>
      <w:r/>
    </w:p>
    <w:p>
      <w:pPr>
        <w:ind w:firstLine="300"/>
        <w:spacing w:line="51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一</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铜山区中小学教室空调配备项目（电力箱变设备）</w:t>
      </w:r>
      <w:r/>
    </w:p>
    <w:p>
      <w:pPr>
        <w:ind w:firstLine="300"/>
        <w:spacing w:line="519" w:lineRule="atLeast"/>
        <w:rPr>
          <w:rFonts w:hint="eastAsia" w:ascii="宋体" w:hAnsi="宋体" w:eastAsia="宋体" w:cs="宋体"/>
          <w:color w:val="000000"/>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二</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highlight w:val="none"/>
        </w:rPr>
        <w:t xml:space="preserve">目编号：</w:t>
      </w:r>
      <w:r>
        <w:rPr>
          <w:rFonts w:hint="eastAsia" w:ascii="宋体" w:hAnsi="宋体" w:cs="宋体"/>
          <w:color w:val="000000"/>
          <w:sz w:val="24"/>
          <w:szCs w:val="24"/>
          <w:highlight w:val="none"/>
          <w:lang w:eastAsia="zh-CN"/>
        </w:rPr>
        <w:t xml:space="preserve">JSZC-320312-XZZX-G2025-0006</w:t>
      </w:r>
      <w:r/>
    </w:p>
    <w:p>
      <w:pPr>
        <w:ind w:firstLine="3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二、对投标人的资格要求</w:t>
      </w:r>
      <w:r/>
    </w:p>
    <w:p>
      <w:pPr>
        <w:ind w:firstLine="3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ind w:firstLine="301"/>
        <w:spacing w:line="519" w:lineRule="atLeas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（1）“苏采云”系统用户注册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获取“CA数字证书”——CA绑定与登录——网上报名</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下载采购文件（后缀名为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kedt”）——将后缀名为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CA数字证书”的获取：供应商需办理CA锁，“苏采云”系统目前仅支持“苏采云”系统下的政务CA，省内各地区办理的“苏采云”系统下的政务CA全省通用。“CA数字证书”的办理材料详见“徐州政府采购网——业务工作——快速服务——</w:t>
      </w:r>
      <w:r>
        <w:rPr>
          <w:rFonts w:hint="eastAsia" w:ascii="宋体" w:hAnsi="宋体" w:cs="宋体"/>
          <w:color w:val="000000"/>
          <w:sz w:val="24"/>
          <w:szCs w:val="24"/>
          <w:highlight w:val="none"/>
          <w:lang w:eastAsia="zh-CN"/>
        </w:rPr>
        <w:t xml:space="preserve">下</w:t>
      </w:r>
      <w:r>
        <w:rPr>
          <w:rFonts w:hint="eastAsia" w:ascii="宋体" w:hAnsi="宋体" w:eastAsia="宋体" w:cs="宋体"/>
          <w:color w:val="000000"/>
          <w:sz w:val="24"/>
          <w:szCs w:val="24"/>
          <w:highlight w:val="none"/>
        </w:rPr>
        <w:t xml:space="preserve">载专区”中的《“苏采云”系统政务CA办理材料、操作手册及控件下载》。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）采购文件（后缀名为“.kedt”）、供应商操作手册及政府采购客户端工具可通过“苏采云”系统</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已报名项目——报名详情页面内相应链接进行下载；供应商操作手册及政府采购客户端工具也可通过徐州政府采购网——业务工作——快速服务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b/>
          <w:color w:val="000000"/>
          <w:sz w:val="24"/>
          <w:szCs w:val="24"/>
          <w:highlight w:val="none"/>
          <w:lang w:eastAsia="zh-CN"/>
        </w:rPr>
        <w:t xml:space="preserve">2025年</w:t>
      </w:r>
      <w:r>
        <w:rPr>
          <w:rFonts w:hint="eastAsia" w:ascii="宋体" w:hAnsi="宋体" w:cs="宋体"/>
          <w:b/>
          <w:color w:val="000000"/>
          <w:sz w:val="24"/>
          <w:szCs w:val="24"/>
          <w:highlight w:val="none"/>
          <w:u w:val="single"/>
          <w:lang w:val="en-US" w:eastAsia="zh-CN"/>
        </w:rPr>
        <w:t xml:space="preserve">3</w:t>
      </w:r>
      <w:r>
        <w:rPr>
          <w:rFonts w:hint="eastAsia" w:ascii="宋体" w:hAnsi="宋体" w:eastAsia="宋体" w:cs="宋体"/>
          <w:b/>
          <w:color w:val="000000"/>
          <w:sz w:val="24"/>
          <w:szCs w:val="24"/>
          <w:highlight w:val="none"/>
          <w:lang w:eastAsia="zh-CN"/>
        </w:rPr>
        <w:t xml:space="preserve">月</w:t>
      </w:r>
      <w:r>
        <w:rPr>
          <w:rFonts w:hint="eastAsia" w:ascii="宋体" w:hAnsi="宋体" w:cs="宋体"/>
          <w:b/>
          <w:color w:val="000000"/>
          <w:sz w:val="24"/>
          <w:szCs w:val="24"/>
          <w:highlight w:val="none"/>
          <w:u w:val="single"/>
          <w:lang w:val="en-US" w:eastAsia="zh-CN"/>
        </w:rPr>
        <w:t xml:space="preserve">26</w:t>
      </w:r>
      <w:r>
        <w:rPr>
          <w:rFonts w:hint="eastAsia" w:ascii="宋体" w:hAnsi="宋体" w:eastAsia="宋体" w:cs="宋体"/>
          <w:b/>
          <w:color w:val="000000"/>
          <w:sz w:val="24"/>
          <w:szCs w:val="24"/>
          <w:highlight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cs="宋体"/>
          <w:b/>
          <w:color w:val="000000"/>
          <w:sz w:val="24"/>
          <w:szCs w:val="24"/>
          <w:highlight w:val="none"/>
          <w:lang w:val="en-US" w:eastAsia="zh-CN"/>
        </w:rPr>
        <w:t xml:space="preserve">10:0</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b/>
          <w:color w:val="000000"/>
          <w:sz w:val="24"/>
          <w:szCs w:val="24"/>
          <w:highlight w:val="none"/>
          <w:lang w:eastAsia="zh-CN"/>
        </w:rPr>
        <w:t xml:space="preserve">2025年</w:t>
      </w:r>
      <w:r>
        <w:rPr>
          <w:rFonts w:hint="eastAsia" w:ascii="宋体" w:hAnsi="宋体" w:cs="宋体"/>
          <w:b/>
          <w:color w:val="000000"/>
          <w:sz w:val="24"/>
          <w:szCs w:val="24"/>
          <w:highlight w:val="none"/>
          <w:u w:val="single"/>
          <w:lang w:val="en-US" w:eastAsia="zh-CN"/>
        </w:rPr>
        <w:t xml:space="preserve">3</w:t>
      </w:r>
      <w:r>
        <w:rPr>
          <w:rFonts w:hint="eastAsia" w:ascii="宋体" w:hAnsi="宋体" w:eastAsia="宋体" w:cs="宋体"/>
          <w:b/>
          <w:color w:val="000000"/>
          <w:sz w:val="24"/>
          <w:szCs w:val="24"/>
          <w:highlight w:val="none"/>
          <w:lang w:eastAsia="zh-CN"/>
        </w:rPr>
        <w:t xml:space="preserve">月</w:t>
      </w:r>
      <w:r>
        <w:rPr>
          <w:rFonts w:hint="eastAsia" w:ascii="宋体" w:hAnsi="宋体" w:cs="宋体"/>
          <w:b/>
          <w:color w:val="000000"/>
          <w:sz w:val="24"/>
          <w:szCs w:val="24"/>
          <w:highlight w:val="none"/>
          <w:u w:val="single"/>
          <w:lang w:val="en-US" w:eastAsia="zh-CN"/>
        </w:rPr>
        <w:t xml:space="preserve">26</w:t>
      </w:r>
      <w:r>
        <w:rPr>
          <w:rFonts w:hint="eastAsia" w:ascii="宋体" w:hAnsi="宋体" w:eastAsia="宋体" w:cs="宋体"/>
          <w:b/>
          <w:color w:val="000000"/>
          <w:sz w:val="24"/>
          <w:szCs w:val="24"/>
          <w:highlight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cs="宋体"/>
          <w:b/>
          <w:color w:val="000000"/>
          <w:sz w:val="24"/>
          <w:szCs w:val="24"/>
          <w:highlight w:val="none"/>
          <w:lang w:val="en-US" w:eastAsia="zh-CN"/>
        </w:rPr>
        <w:t xml:space="preserve">10:0</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（三）开标地点：“苏采云”系统“开标大厅”或进入徐州政府采购网——业务工作</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用户登录，点击“苏采云”进入系统“开标大厅”。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徐州市铜山区教育局（机关）</w:t>
      </w:r>
      <w:r/>
    </w:p>
    <w:p>
      <w:pPr>
        <w:ind w:firstLine="300"/>
        <w:spacing w:line="519" w:lineRule="atLeast"/>
        <w:rPr>
          <w:rFonts w:hint="default"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（二）地址：徐州市</w:t>
      </w:r>
      <w:r>
        <w:rPr>
          <w:rFonts w:hint="eastAsia" w:ascii="宋体" w:hAnsi="宋体" w:cs="宋体"/>
          <w:color w:val="000000"/>
          <w:sz w:val="24"/>
          <w:szCs w:val="24"/>
          <w:highlight w:val="none"/>
          <w:lang w:eastAsia="zh-CN"/>
        </w:rPr>
        <w:t xml:space="preserve">铜山区</w:t>
      </w:r>
      <w:r>
        <w:rPr>
          <w:rFonts w:hint="eastAsia" w:ascii="宋体" w:hAnsi="宋体" w:cs="宋体"/>
          <w:color w:val="000000"/>
          <w:sz w:val="24"/>
          <w:szCs w:val="24"/>
          <w:highlight w:val="none"/>
          <w:lang w:val="en-US" w:eastAsia="zh-CN"/>
        </w:rPr>
        <w:t xml:space="preserve">科技创业大厦</w:t>
      </w:r>
      <w:r/>
    </w:p>
    <w:p>
      <w:pPr>
        <w:ind w:firstLine="300"/>
        <w:spacing w:line="519"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）采购项目联系人：</w:t>
      </w:r>
      <w:r>
        <w:rPr>
          <w:rFonts w:hint="eastAsia" w:ascii="宋体" w:hAnsi="宋体" w:cs="宋体"/>
          <w:color w:val="000000"/>
          <w:sz w:val="24"/>
          <w:szCs w:val="24"/>
          <w:lang w:val="en-US" w:eastAsia="zh-CN"/>
        </w:rPr>
        <w:t xml:space="preserve">经超</w:t>
      </w:r>
      <w:r/>
    </w:p>
    <w:p>
      <w:pPr>
        <w:ind w:firstLine="300"/>
        <w:spacing w:line="519" w:lineRule="atLeast"/>
        <w:rPr>
          <w:rFonts w:hint="default" w:ascii="宋体" w:hAnsi="宋体" w:eastAsia="宋体" w:cs="宋体"/>
          <w:color w:val="000000"/>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联系</w:t>
      </w:r>
      <w:r>
        <w:rPr>
          <w:rFonts w:hint="eastAsia" w:ascii="宋体" w:hAnsi="宋体" w:eastAsia="宋体" w:cs="宋体"/>
          <w:color w:val="000000"/>
          <w:sz w:val="24"/>
          <w:szCs w:val="24"/>
          <w:lang w:val="en-US" w:eastAsia="zh-CN"/>
        </w:rPr>
        <w:t xml:space="preserve">方式</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1361510289</w:t>
      </w:r>
      <w:r>
        <w:rPr>
          <w:rFonts w:hint="eastAsia" w:ascii="宋体" w:hAnsi="宋体" w:cs="宋体"/>
          <w:color w:val="000000"/>
          <w:sz w:val="24"/>
          <w:szCs w:val="24"/>
          <w:highlight w:val="none"/>
          <w:lang w:val="en-US" w:eastAsia="zh-CN"/>
        </w:rPr>
        <w:t xml:space="preserve">9          </w:t>
      </w:r>
      <w:r/>
    </w:p>
    <w:p>
      <w:pPr>
        <w:ind w:firstLine="3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六、采购代理机构</w:t>
      </w:r>
      <w:r/>
    </w:p>
    <w:p>
      <w:pPr>
        <w:ind w:firstLine="300"/>
        <w:spacing w:line="51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w:t>
      </w:r>
      <w:r>
        <w:rPr>
          <w:rFonts w:hint="eastAsia" w:ascii="宋体" w:hAnsi="宋体" w:cs="宋体"/>
          <w:color w:val="000000"/>
          <w:sz w:val="24"/>
          <w:szCs w:val="24"/>
          <w:lang w:eastAsia="zh-CN"/>
        </w:rPr>
        <w:t xml:space="preserve">徐州众信项目管理咨询有限公司</w:t>
      </w:r>
      <w:r/>
    </w:p>
    <w:p>
      <w:pPr>
        <w:ind w:firstLine="300"/>
        <w:spacing w:line="519"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丰县东城路1号（原森宝门窗办公楼）三楼</w:t>
      </w:r>
      <w:r>
        <w:rPr>
          <w:rFonts w:hint="eastAsia" w:ascii="宋体" w:hAnsi="宋体" w:cs="宋体"/>
          <w:color w:val="000000"/>
          <w:sz w:val="24"/>
          <w:szCs w:val="24"/>
          <w:highlight w:val="none"/>
          <w:lang w:val="en-US" w:eastAsia="zh-CN"/>
        </w:rPr>
        <w:t xml:space="preserve">              </w:t>
      </w:r>
      <w:r/>
    </w:p>
    <w:p>
      <w:pPr>
        <w:ind w:firstLine="300"/>
        <w:spacing w:line="519"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）采购项目联系人：郭志云</w:t>
      </w:r>
      <w:r>
        <w:rPr>
          <w:rFonts w:hint="eastAsia" w:ascii="宋体" w:hAnsi="宋体" w:cs="宋体"/>
          <w:color w:val="000000"/>
          <w:sz w:val="24"/>
          <w:szCs w:val="24"/>
          <w:highlight w:val="none"/>
          <w:lang w:val="en-US" w:eastAsia="zh-CN"/>
        </w:rPr>
        <w:t xml:space="preserve">           </w:t>
      </w:r>
      <w:r/>
    </w:p>
    <w:p>
      <w:pPr>
        <w:ind w:firstLine="300"/>
        <w:spacing w:line="519" w:lineRule="atLeas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val="en-US" w:eastAsia="zh-CN"/>
        </w:rPr>
        <w:t xml:space="preserve"> 18951355296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rPr>
        <w:t xml:space="preserve">第二章 投标人须知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一、总则</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（六）投标人的资格条件：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2.投标人授权代表系指法定代表人或受法人委托的受托人。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二、招标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（八）招标文件应包括以下内容：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第一章：投标邀请；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第二章：投标人须知；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第三章：投标资料表；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第四章：评标标准；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第五章：拟签订的合同文本；</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第六章：采购需求；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第七章：投标文件相关格式。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（九）招标文件澄清或者修改：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2.现场考察以本文件第三章《投标资料表》中的要求为准。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3.开标前答疑会以本文件第三章《投标资料表》中的要求为准。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三、投标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（十二）投标文件的构成：</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1.投标文件的构成以本文件第三章《投标资料表》中的要求为准。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（十三）投标函和价格表、商务条件、交货和提供服务的时间：</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2.商务条件以本文件第三章《投标资料表》中的要求为准。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（十四）投标报价要求：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1.投标人应按照招标文件的要求报出分项价格和总价。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3.采购人不支付报价以外的任何费用。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（十五）投标货币。以本文件第三章《投标资料表》中所提要求为准。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（十六）投标有效期：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（十七）投标文件的编制要求和签署要求：</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（1）投标人应由其法定代表人或法定代表人授权代表在规定的网上投标时间，凭 CA 证书</w:t>
      </w:r>
      <w:r>
        <w:rPr>
          <w:rFonts w:hint="eastAsia" w:ascii="宋体" w:hAnsi="宋体" w:cs="宋体"/>
          <w:sz w:val="24"/>
          <w:szCs w:val="24"/>
          <w:lang w:eastAsia="zh-CN"/>
        </w:rPr>
        <w:t xml:space="preserve">登录</w:t>
      </w:r>
      <w:r>
        <w:rPr>
          <w:rFonts w:hint="eastAsia" w:ascii="宋体" w:hAnsi="宋体" w:eastAsia="宋体" w:cs="宋体"/>
          <w:sz w:val="24"/>
          <w:szCs w:val="24"/>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（十八）投标文件的盖章要求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（二十二）本项目不允许分包。</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在评标过程中发现投标人有上述情形的，</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7.电子投标文件未按规定期限投标的；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.不具备招标文件中规定的资格要求的；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.报价超过招标文件中规定的预算金额或者最高限价的；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.投标文件含有采购人不能接受的附加条件的；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cs="宋体"/>
          <w:sz w:val="24"/>
          <w:szCs w:val="24"/>
          <w:lang w:eastAsia="zh-CN"/>
        </w:rPr>
        <w:t xml:space="preserve">法律法规</w:t>
      </w:r>
      <w:r>
        <w:rPr>
          <w:rFonts w:hint="eastAsia" w:ascii="宋体" w:hAnsi="宋体" w:eastAsia="宋体" w:cs="宋体"/>
          <w:sz w:val="24"/>
          <w:szCs w:val="24"/>
        </w:rPr>
        <w:t xml:space="preserve">和招标文件规定的其他无效情形。</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1.所有投标单位凭 CA 证书在到达开标时间时，解密各自投标文件。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2.投标人不足3家的，不得开标。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3.开标过程由采购代理机构负责记录。</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5.投标人未参加开标的，视同认可开标结果。</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1.评标工作由采购代理机构负责组织，并履行下列职责：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（2）宣布评标纪律；</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（3）公布投标人名单，告知评审专家应当回避的情形；</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（4）组织</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委员会推选评标组长（采购人代表不得担任组长）；</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（5）在评标期间采取必要的</w:t>
      </w:r>
      <w:r>
        <w:rPr>
          <w:rFonts w:hint="eastAsia" w:ascii="宋体" w:hAnsi="宋体" w:cs="宋体"/>
          <w:sz w:val="24"/>
          <w:szCs w:val="24"/>
          <w:lang w:eastAsia="zh-CN"/>
        </w:rPr>
        <w:t xml:space="preserve">通信管理</w:t>
      </w:r>
      <w:r>
        <w:rPr>
          <w:rFonts w:hint="eastAsia" w:ascii="宋体" w:hAnsi="宋体" w:eastAsia="宋体" w:cs="宋体"/>
          <w:sz w:val="24"/>
          <w:szCs w:val="24"/>
        </w:rPr>
        <w:t xml:space="preserve">措施，保证评标活动不受外界干扰；</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（6）根据</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委员会的要求介绍政府采购相关政策法规、招标文件；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（7）维护评标秩序，监督</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委员会依照招标文件规定的</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（8）核对</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\o "http://www.caigou2003.com/" </w:instrText>
      </w:r>
      <w:r>
        <w:rPr>
          <w:rFonts w:hint="eastAsia" w:ascii="宋体" w:hAnsi="宋体" w:eastAsia="宋体" w:cs="宋体"/>
          <w:sz w:val="24"/>
          <w:szCs w:val="24"/>
        </w:rPr>
        <w:fldChar w:fldCharType="separate"/>
      </w:r>
      <w:r>
        <w:rPr>
          <w:rStyle w:val="981"/>
          <w:rFonts w:hint="eastAsia" w:ascii="宋体" w:hAnsi="宋体" w:eastAsia="宋体" w:cs="宋体"/>
          <w:color w:val="000000"/>
          <w:sz w:val="24"/>
          <w:szCs w:val="24"/>
          <w:u w:val="none"/>
        </w:rPr>
        <w:t xml:space="preserve">政府采购</w:t>
      </w:r>
      <w:r>
        <w:rPr>
          <w:rFonts w:hint="eastAsia" w:ascii="宋体" w:hAnsi="宋体" w:eastAsia="宋体" w:cs="宋体"/>
          <w:sz w:val="24"/>
          <w:szCs w:val="24"/>
        </w:rPr>
        <w:fldChar w:fldCharType="end"/>
      </w:r>
      <w:r>
        <w:rPr>
          <w:rFonts w:hint="eastAsia" w:ascii="宋体" w:hAnsi="宋体" w:eastAsia="宋体" w:cs="宋体"/>
          <w:sz w:val="24"/>
          <w:szCs w:val="24"/>
        </w:rPr>
        <w:t xml:space="preserve">货物和服务招标投标管理办法》第六十四条规定情形的，应要求</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委员会复核或者书面说明理由，</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委员会拒绝的，应予记录并向本级财政部门报告；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（10）处理与评标有关的其他事项。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委员会负责具体评标事务，并独立履行下列职责：</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（2）要求投标人对投标文件有关事项作出澄清或者说明；</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（3）对投标文件进行比较和评价；</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（4）确定中标候选人名单，以及根据采购人委托直接确定中标人；</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（二十七）评标方法分为最低评标价法和综合评分法。</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（二十八）评标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1.评标工作程序：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（1）投标文件初审。</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①资格审查。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②符合性审查。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（2）澄清有关问题。</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（3）比较与评价。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（4）推荐中标候选供应商名单。</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（5）编写评审报告（评标报告）。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2.在评标中，不得改变招标文件中规定的评标标准、方法和中标条件。</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\o "http://lilun.caigou2003.com/recijiedu/2365668.html" </w:instrText>
      </w:r>
      <w:r>
        <w:rPr>
          <w:rFonts w:hint="eastAsia" w:ascii="宋体" w:hAnsi="宋体" w:eastAsia="宋体" w:cs="宋体"/>
          <w:sz w:val="24"/>
          <w:szCs w:val="24"/>
        </w:rPr>
        <w:fldChar w:fldCharType="separate"/>
      </w:r>
      <w:r>
        <w:rPr>
          <w:rStyle w:val="981"/>
          <w:rFonts w:hint="eastAsia" w:ascii="宋体" w:hAnsi="宋体" w:eastAsia="宋体" w:cs="宋体"/>
          <w:color w:val="000000"/>
          <w:sz w:val="24"/>
          <w:szCs w:val="24"/>
          <w:u w:val="none"/>
        </w:rPr>
        <w:t xml:space="preserve">最低评标价法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\o "http://lilun.caigou2003.com/recijiedu/2365667.html" </w:instrText>
      </w:r>
      <w:r>
        <w:rPr>
          <w:rFonts w:hint="eastAsia" w:ascii="宋体" w:hAnsi="宋体" w:eastAsia="宋体" w:cs="宋体"/>
          <w:sz w:val="24"/>
          <w:szCs w:val="24"/>
        </w:rPr>
        <w:fldChar w:fldCharType="separate"/>
      </w:r>
      <w:r>
        <w:rPr>
          <w:rStyle w:val="981"/>
          <w:rFonts w:hint="eastAsia" w:ascii="宋体" w:hAnsi="宋体" w:eastAsia="宋体" w:cs="宋体"/>
          <w:color w:val="000000"/>
          <w:sz w:val="24"/>
          <w:szCs w:val="24"/>
          <w:u w:val="none"/>
        </w:rPr>
        <w:t xml:space="preserve">综合评分法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（二十九）投标文件报价出现前后不一致的，按照下列规定修正：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2.大写金额和小写金额不一致的，以大写金额为准；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委员会认为投标人的报价明显低于其他通过符合性审</w:t>
      </w:r>
      <w:r>
        <w:rPr>
          <w:rFonts w:hint="eastAsia" w:ascii="宋体" w:hAnsi="宋体" w:cs="宋体"/>
          <w:sz w:val="24"/>
          <w:szCs w:val="24"/>
          <w:lang w:eastAsia="zh-CN"/>
        </w:rPr>
        <w:t xml:space="preserve">查的</w:t>
      </w:r>
      <w:r>
        <w:rPr>
          <w:rFonts w:hint="eastAsia" w:ascii="宋体" w:hAnsi="宋体" w:eastAsia="宋体" w:cs="宋体"/>
          <w:sz w:val="24"/>
          <w:szCs w:val="24"/>
        </w:rPr>
        <w:t xml:space="preserve">投标人的报价，有可能影响产品质量或者不能诚信履约的，应当要求其在评标现场合理的时间内提供书面说明，必要时提交相关证明材料；投标人不能证明其报价合理性的，</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委员会应当将其作为无效投标处理。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（三十一）</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委员会成员对需要共同认定的事项存在争议的，应当按照少数服从多数的原则作出结论，持不同意见的</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（三十二）废标条款：</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出现下列情形之一的，应予废标。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2.出现影响采购公正的违法、违规行为的；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3.投标人的报价均超过了采购预算，采购人不能支付的；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4.因重大变故，采购任务取消的。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六、定标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七、政府采购合同</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（三十六）签订政府采购合同（合同签订方式）：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2.中标或者</w:t>
      </w:r>
      <w:r>
        <w:rPr>
          <w:rFonts w:hint="eastAsia" w:ascii="宋体" w:hAnsi="宋体" w:cs="宋体"/>
          <w:sz w:val="24"/>
          <w:szCs w:val="24"/>
          <w:lang w:val="en-US" w:eastAsia="zh-CN"/>
        </w:rPr>
        <w:t xml:space="preserve">成交供应商</w:t>
      </w:r>
      <w:r>
        <w:rPr>
          <w:rFonts w:hint="eastAsia" w:ascii="宋体" w:hAnsi="宋体" w:eastAsia="宋体" w:cs="宋体"/>
          <w:sz w:val="24"/>
          <w:szCs w:val="24"/>
        </w:rPr>
        <w:t xml:space="preserve">拒绝与采购人签订合同的，采购人可以按照评审报告推荐的中标或者成交候选人名单排序，确定下一个候选人为中标或者</w:t>
      </w:r>
      <w:r>
        <w:rPr>
          <w:rFonts w:hint="eastAsia" w:ascii="宋体" w:hAnsi="宋体" w:cs="宋体"/>
          <w:sz w:val="24"/>
          <w:szCs w:val="24"/>
          <w:lang w:val="en-US" w:eastAsia="zh-CN"/>
        </w:rPr>
        <w:t xml:space="preserve">成交供应商</w:t>
      </w:r>
      <w:r>
        <w:rPr>
          <w:rFonts w:hint="eastAsia" w:ascii="宋体" w:hAnsi="宋体" w:eastAsia="宋体" w:cs="宋体"/>
          <w:sz w:val="24"/>
          <w:szCs w:val="24"/>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（三十九）腐败和欺诈行为：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（1）腐败和欺诈行为的含义：</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②“欺诈行为”系指为了影响招标、采购和合同执行等过程，隐瞒事实</w:t>
      </w:r>
      <w:r>
        <w:rPr>
          <w:rFonts w:hint="eastAsia" w:ascii="宋体" w:hAnsi="宋体" w:eastAsia="宋体" w:cs="宋体"/>
          <w:sz w:val="24"/>
          <w:szCs w:val="24"/>
          <w:lang w:val="en-US" w:eastAsia="zh-CN"/>
        </w:rPr>
        <w:t xml:space="preserve">真相</w:t>
      </w:r>
      <w:r>
        <w:rPr>
          <w:rFonts w:hint="eastAsia" w:ascii="宋体" w:hAnsi="宋体" w:eastAsia="宋体" w:cs="宋体"/>
          <w:sz w:val="24"/>
          <w:szCs w:val="24"/>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lang w:val="en-US" w:eastAsia="zh-CN"/>
        </w:rPr>
        <w:t xml:space="preserve">撤销</w:t>
      </w:r>
      <w:r>
        <w:rPr>
          <w:rFonts w:hint="eastAsia" w:ascii="宋体" w:hAnsi="宋体" w:eastAsia="宋体" w:cs="宋体"/>
          <w:sz w:val="24"/>
          <w:szCs w:val="24"/>
        </w:rPr>
        <w:t xml:space="preserve">其已签署的合同。</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八、询问和质疑</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（四十）询问和质疑</w:t>
      </w:r>
      <w:r/>
    </w:p>
    <w:p>
      <w:pPr>
        <w:ind w:firstLine="600"/>
        <w:spacing w:line="51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w:t>
      </w:r>
      <w:r>
        <w:rPr>
          <w:rFonts w:hint="eastAsia" w:ascii="宋体" w:hAnsi="宋体" w:cs="宋体"/>
          <w:sz w:val="24"/>
          <w:szCs w:val="24"/>
          <w:lang w:val="en-US" w:eastAsia="zh-CN"/>
        </w:rPr>
        <w:t xml:space="preserve">可以</w:t>
      </w:r>
      <w:r>
        <w:rPr>
          <w:rFonts w:hint="eastAsia" w:ascii="宋体" w:hAnsi="宋体" w:eastAsia="宋体" w:cs="宋体"/>
          <w:sz w:val="24"/>
          <w:szCs w:val="24"/>
        </w:rPr>
        <w:t xml:space="preserve">向</w:t>
      </w:r>
      <w:r>
        <w:rPr>
          <w:rFonts w:hint="eastAsia" w:ascii="宋体" w:hAnsi="宋体" w:cs="宋体"/>
          <w:sz w:val="24"/>
          <w:szCs w:val="24"/>
          <w:lang w:val="en-US" w:eastAsia="zh-CN"/>
        </w:rPr>
        <w:t xml:space="preserve">采购人或</w:t>
      </w:r>
      <w:r>
        <w:rPr>
          <w:rFonts w:hint="eastAsia" w:ascii="宋体" w:hAnsi="宋体" w:eastAsia="宋体" w:cs="宋体"/>
          <w:sz w:val="24"/>
          <w:szCs w:val="24"/>
        </w:rPr>
        <w:t xml:space="preserve">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sz w:val="24"/>
          <w:szCs w:val="24"/>
        </w:rPr>
        <w:t xml:space="preserve"> </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72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rPr>
        <w:br w:type="page" w:clear="all"/>
      </w:r>
      <w:r>
        <w:rPr>
          <w:rFonts w:hint="eastAsia" w:ascii="宋体" w:hAnsi="宋体" w:eastAsia="宋体" w:cs="宋体"/>
          <w:b/>
          <w:sz w:val="28"/>
          <w:szCs w:val="28"/>
        </w:rPr>
        <w:t xml:space="preserve">第三章 投标资料表</w:t>
      </w:r>
      <w:r/>
    </w:p>
    <w:p>
      <w:pPr>
        <w:ind w:firstLine="600"/>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firstLine="60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27"/>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本项目采购人：</w:t>
            </w:r>
            <w:r>
              <w:rPr>
                <w:rFonts w:hint="eastAsia" w:ascii="宋体" w:hAnsi="宋体" w:cs="宋体"/>
                <w:sz w:val="24"/>
                <w:szCs w:val="24"/>
                <w:lang w:eastAsia="zh-CN"/>
              </w:rPr>
              <w:t xml:space="preserve">徐州市铜山区教育局（机关）</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四</w:t>
            </w:r>
            <w:r>
              <w:rPr>
                <w:rFonts w:hint="eastAsia" w:ascii="宋体" w:hAnsi="宋体" w:cs="宋体"/>
                <w:b/>
                <w:bCs/>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五</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本项目采购代理机构：</w:t>
            </w:r>
            <w:r>
              <w:rPr>
                <w:rFonts w:hint="eastAsia" w:ascii="宋体" w:hAnsi="宋体" w:cs="宋体"/>
                <w:sz w:val="24"/>
                <w:szCs w:val="24"/>
                <w:lang w:eastAsia="zh-CN"/>
              </w:rPr>
              <w:t xml:space="preserve">徐州众信项目管理咨询有限公司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六</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投标人的资格条件：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一、符合《中华人民共和国政府采购法》第二十二条的规定；</w:t>
            </w:r>
            <w:r/>
          </w:p>
          <w:p>
            <w:pPr>
              <w:rPr>
                <w:rFonts w:hint="default" w:ascii="宋体" w:hAnsi="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特定资格要求：无。</w:t>
            </w:r>
            <w:r/>
          </w:p>
          <w:p>
            <w:pPr>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三、</w:t>
            </w:r>
            <w:r>
              <w:rPr>
                <w:rFonts w:hint="eastAsia" w:ascii="宋体" w:hAnsi="宋体" w:eastAsia="宋体" w:cs="宋体"/>
                <w:b w:val="0"/>
                <w:bCs/>
                <w:color w:val="000000"/>
                <w:sz w:val="24"/>
                <w:szCs w:val="24"/>
              </w:rPr>
              <w:t xml:space="preserve">本项目</w:t>
            </w:r>
            <w:r>
              <w:rPr>
                <w:rFonts w:hint="eastAsia" w:ascii="宋体" w:hAnsi="宋体" w:eastAsia="宋体" w:cs="宋体"/>
                <w:b w:val="0"/>
                <w:bCs/>
                <w:color w:val="000000"/>
                <w:sz w:val="24"/>
                <w:szCs w:val="24"/>
                <w:lang w:val="en-US" w:eastAsia="zh-CN"/>
              </w:rPr>
              <w:t xml:space="preserve">不</w:t>
            </w:r>
            <w:r>
              <w:rPr>
                <w:rFonts w:hint="eastAsia" w:ascii="宋体" w:hAnsi="宋体" w:eastAsia="宋体" w:cs="宋体"/>
                <w:b w:val="0"/>
                <w:bCs/>
                <w:color w:val="000000"/>
                <w:sz w:val="24"/>
                <w:szCs w:val="24"/>
              </w:rPr>
              <w:t xml:space="preserve">属于专门面向中小微企业采购的项目</w:t>
            </w:r>
            <w:r>
              <w:rPr>
                <w:rFonts w:hint="eastAsia" w:ascii="宋体" w:hAnsi="宋体" w:eastAsia="宋体" w:cs="宋体"/>
                <w:b w:val="0"/>
                <w:bCs/>
                <w:color w:val="000000"/>
                <w:sz w:val="24"/>
                <w:szCs w:val="24"/>
                <w:lang w:eastAsia="zh-CN"/>
              </w:rPr>
              <w:t xml:space="preserve">。</w:t>
            </w:r>
            <w:r/>
          </w:p>
          <w:p>
            <w:pPr>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四、本项目是否接受进口产品：否。</w:t>
            </w:r>
            <w:r/>
          </w:p>
          <w:p>
            <w:pPr>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同时明确相关事项如下：</w:t>
            </w:r>
            <w:r/>
          </w:p>
          <w:p>
            <w:pPr>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1.本项目不接受联合体参与采购活动。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2.单位负责人为同一</w:t>
            </w:r>
            <w:r>
              <w:rPr>
                <w:rFonts w:hint="eastAsia" w:ascii="宋体" w:hAnsi="宋体" w:eastAsia="宋体" w:cs="宋体"/>
                <w:sz w:val="24"/>
                <w:szCs w:val="24"/>
              </w:rPr>
              <w:t xml:space="preserve">人或者存在直接控股、管理关系的不同供应商，不得参加同一合同项下的政府采购活动。</w:t>
            </w:r>
            <w:r/>
          </w:p>
          <w:p>
            <w:pPr>
              <w:ind w:firstLine="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、查询及使用供应商信用记录：</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cs="宋体"/>
                <w:sz w:val="24"/>
                <w:szCs w:val="24"/>
                <w:lang w:eastAsia="zh-CN"/>
              </w:rPr>
              <w:t xml:space="preserve">）</w:t>
            </w:r>
            <w:r>
              <w:rPr>
                <w:rFonts w:hint="eastAsia" w:ascii="宋体" w:hAnsi="宋体" w:eastAsia="宋体" w:cs="宋体"/>
                <w:sz w:val="24"/>
                <w:szCs w:val="24"/>
              </w:rPr>
              <w:t xml:space="preserve">由采购人查询信用信息。</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二</w:t>
            </w:r>
            <w:r>
              <w:rPr>
                <w:rFonts w:hint="eastAsia" w:ascii="宋体" w:hAnsi="宋体" w:cs="宋体"/>
                <w:sz w:val="24"/>
                <w:szCs w:val="24"/>
                <w:lang w:eastAsia="zh-CN"/>
              </w:rPr>
              <w:t xml:space="preserve">）</w:t>
            </w:r>
            <w:r>
              <w:rPr>
                <w:rFonts w:hint="eastAsia" w:ascii="宋体" w:hAnsi="宋体" w:eastAsia="宋体" w:cs="宋体"/>
                <w:sz w:val="24"/>
                <w:szCs w:val="24"/>
              </w:rPr>
              <w:t xml:space="preserve">查询渠道包括：</w:t>
            </w:r>
            <w:r/>
          </w:p>
          <w:p>
            <w:pPr>
              <w:jc w:val="lef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三</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截止时点（查询环节）：开标后资格审查结束前。</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四</w:t>
            </w:r>
            <w:r>
              <w:rPr>
                <w:rFonts w:hint="eastAsia" w:ascii="宋体" w:hAnsi="宋体" w:cs="宋体"/>
                <w:sz w:val="24"/>
                <w:szCs w:val="24"/>
                <w:lang w:eastAsia="zh-CN"/>
              </w:rPr>
              <w:t xml:space="preserve">）</w:t>
            </w:r>
            <w:r>
              <w:rPr>
                <w:rFonts w:hint="eastAsia" w:ascii="宋体" w:hAnsi="宋体" w:eastAsia="宋体" w:cs="宋体"/>
                <w:sz w:val="24"/>
                <w:szCs w:val="24"/>
              </w:rPr>
              <w:t xml:space="preserve">信用信息查询记录和证据留存的具体方式：网页截屏打印，与其他采购文件一并保存。</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五</w:t>
            </w:r>
            <w:r>
              <w:rPr>
                <w:rFonts w:hint="eastAsia" w:ascii="宋体" w:hAnsi="宋体" w:cs="宋体"/>
                <w:sz w:val="24"/>
                <w:szCs w:val="24"/>
                <w:lang w:eastAsia="zh-CN"/>
              </w:rPr>
              <w:t xml:space="preserve">）</w:t>
            </w:r>
            <w:r>
              <w:rPr>
                <w:rFonts w:hint="eastAsia" w:ascii="宋体" w:hAnsi="宋体" w:eastAsia="宋体" w:cs="宋体"/>
                <w:sz w:val="24"/>
                <w:szCs w:val="24"/>
              </w:rPr>
              <w:t xml:space="preserve">信用信息的使用规则：</w:t>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七</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八</w:t>
            </w:r>
            <w:r>
              <w:rPr>
                <w:rFonts w:hint="eastAsia" w:ascii="宋体" w:hAnsi="宋体" w:cs="宋体"/>
                <w:sz w:val="24"/>
                <w:szCs w:val="24"/>
                <w:lang w:eastAsia="zh-CN"/>
              </w:rPr>
              <w:t xml:space="preserve">）</w:t>
            </w:r>
            <w:r>
              <w:rPr>
                <w:rFonts w:hint="eastAsia" w:ascii="宋体" w:hAnsi="宋体" w:eastAsia="宋体" w:cs="宋体"/>
                <w:sz w:val="24"/>
                <w:szCs w:val="24"/>
              </w:rPr>
              <w:t xml:space="preserve">1</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九</w:t>
            </w:r>
            <w:r>
              <w:rPr>
                <w:rFonts w:hint="eastAsia" w:ascii="宋体" w:hAnsi="宋体" w:cs="宋体"/>
                <w:sz w:val="24"/>
                <w:szCs w:val="24"/>
                <w:lang w:eastAsia="zh-CN"/>
              </w:rPr>
              <w:t xml:space="preserve">）</w:t>
            </w:r>
            <w:r>
              <w:rPr>
                <w:rFonts w:hint="eastAsia" w:ascii="宋体" w:hAnsi="宋体" w:eastAsia="宋体" w:cs="宋体"/>
                <w:sz w:val="24"/>
                <w:szCs w:val="24"/>
              </w:rPr>
              <w:t xml:space="preserve">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宋体" w:hAnsi="宋体" w:eastAsia="宋体" w:cs="宋体"/>
                <w:sz w:val="24"/>
                <w:szCs w:val="24"/>
              </w:rPr>
            </w:pPr>
            <w:r>
              <w:rPr>
                <w:rFonts w:hint="eastAsia" w:ascii="宋体" w:hAnsi="宋体" w:eastAsia="宋体" w:cs="宋体"/>
                <w:b/>
                <w:bCs/>
                <w:sz w:val="24"/>
                <w:szCs w:val="24"/>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九</w:t>
            </w:r>
            <w:r>
              <w:rPr>
                <w:rFonts w:hint="eastAsia" w:ascii="宋体" w:hAnsi="宋体" w:cs="宋体"/>
                <w:sz w:val="24"/>
                <w:szCs w:val="24"/>
                <w:lang w:eastAsia="zh-CN"/>
              </w:rPr>
              <w:t xml:space="preserve">）</w:t>
            </w:r>
            <w:r>
              <w:rPr>
                <w:rFonts w:hint="eastAsia" w:ascii="宋体" w:hAnsi="宋体" w:eastAsia="宋体" w:cs="宋体"/>
                <w:sz w:val="24"/>
                <w:szCs w:val="24"/>
              </w:rPr>
              <w:t xml:space="preserve">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十一</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十二</w:t>
            </w:r>
            <w:r>
              <w:rPr>
                <w:rFonts w:hint="eastAsia" w:ascii="宋体" w:hAnsi="宋体" w:cs="宋体"/>
                <w:sz w:val="24"/>
                <w:szCs w:val="24"/>
                <w:lang w:eastAsia="zh-CN"/>
              </w:rPr>
              <w:t xml:space="preserve">）</w:t>
            </w:r>
            <w:r>
              <w:rPr>
                <w:rFonts w:hint="eastAsia" w:ascii="宋体" w:hAnsi="宋体" w:eastAsia="宋体" w:cs="宋体"/>
                <w:sz w:val="24"/>
                <w:szCs w:val="24"/>
              </w:rPr>
              <w:t xml:space="preserve">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十二</w:t>
            </w:r>
            <w:r>
              <w:rPr>
                <w:rFonts w:hint="eastAsia" w:ascii="宋体" w:hAnsi="宋体" w:cs="宋体"/>
                <w:sz w:val="24"/>
                <w:szCs w:val="24"/>
                <w:lang w:eastAsia="zh-CN"/>
              </w:rPr>
              <w:t xml:space="preserve">）</w:t>
            </w:r>
            <w:r>
              <w:rPr>
                <w:rFonts w:hint="eastAsia" w:ascii="宋体" w:hAnsi="宋体" w:eastAsia="宋体" w:cs="宋体"/>
                <w:sz w:val="24"/>
                <w:szCs w:val="24"/>
              </w:rPr>
              <w:t xml:space="preserve">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线上投标文件编制要求：</w:t>
            </w:r>
            <w:r/>
          </w:p>
          <w:p>
            <w:pPr>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请按照以下要求（包括但不限于以下要求）制作：</w:t>
            </w:r>
            <w:r/>
          </w:p>
          <w:p>
            <w:pPr>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一、基本目录</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1.《投标函》。要求加盖电子签章，格式见本文件第七章《投标文件相关格式》（必须提供，否则在符合性审查时按照投标无效处理）。</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《授权委托书及法定代表人身份证明书》。要求加盖电子签章，格式见本文件第七章《投标文件相关格式》（必须提供，否则在符合性审查时按照投标无效处理）。</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3.所投产品的环境标志产品认证证书原件的扫描件（如有）。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4.所投产品的节能产品认证证书原件的扫描件（如有）。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（2）节能产品认证证书是否符合要求，采购人评标时查询中国政府采购网（www.ccgp.gov.cn）相关内容后确定。</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rPr>
                <w:sz w:val="24"/>
                <w:szCs w:val="32"/>
                <w:highlight w:val="none"/>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sz w:val="24"/>
                <w:szCs w:val="32"/>
                <w:highlight w:val="none"/>
                <w:lang w:val="en-US" w:eastAsia="zh-CN"/>
              </w:rPr>
              <w:t xml:space="preserve">即</w:t>
            </w:r>
            <w:r>
              <w:rPr>
                <w:rFonts w:hint="eastAsia"/>
                <w:sz w:val="24"/>
                <w:szCs w:val="32"/>
                <w:highlight w:val="none"/>
              </w:rPr>
              <w:t xml:space="preserve">提供合法有效的法人营业执照；</w:t>
            </w:r>
            <w:r/>
          </w:p>
          <w:p>
            <w:pPr>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前6个月内任何时间的资产负债表和利润表扫描件各一份；或提供合法有效的经第三方机构审计的2023年度财务审计报告扫描件（应包括审计报告正文、资产负债表、现金流量表、利润表）；</w:t>
            </w:r>
            <w:r/>
          </w:p>
          <w:p>
            <w:pPr>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p>
          <w:p>
            <w:pPr>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ascii="宋体" w:hAnsi="宋体" w:eastAsia="宋体" w:cs="宋体"/>
                <w:sz w:val="24"/>
                <w:szCs w:val="24"/>
                <w:highlight w:val="none"/>
                <w:lang w:eastAsia="zh-CN"/>
              </w:rPr>
              <w:t xml:space="preserve">；</w:t>
            </w:r>
            <w:r/>
          </w:p>
          <w:p>
            <w:pPr>
              <w:rPr>
                <w:rFonts w:hint="eastAsia" w:ascii="宋体" w:hAnsi="宋体" w:eastAsia="宋体" w:cs="宋体"/>
                <w:b w:val="0"/>
                <w:bCs/>
                <w:color w:val="000000"/>
                <w:sz w:val="24"/>
                <w:szCs w:val="24"/>
                <w:highlight w:val="cya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6.特</w:t>
            </w:r>
            <w:r>
              <w:rPr>
                <w:rFonts w:hint="eastAsia" w:ascii="宋体" w:hAnsi="宋体" w:cs="宋体"/>
                <w:b/>
                <w:bCs/>
                <w:sz w:val="24"/>
                <w:szCs w:val="24"/>
                <w:highlight w:val="none"/>
                <w:lang w:val="en-US" w:eastAsia="zh-CN"/>
              </w:rPr>
              <w:t xml:space="preserve">定资格要求：无           </w:t>
            </w:r>
            <w:r>
              <w:rPr>
                <w:rFonts w:hint="eastAsia" w:ascii="宋体" w:hAnsi="宋体" w:eastAsia="宋体" w:cs="宋体"/>
                <w:b w:val="0"/>
                <w:bCs/>
                <w:color w:val="000000"/>
                <w:sz w:val="24"/>
                <w:szCs w:val="24"/>
                <w:highlight w:val="none"/>
                <w:lang w:val="en-US" w:eastAsia="zh-CN"/>
              </w:rPr>
              <w:t xml:space="preserve">。</w:t>
            </w:r>
            <w:r/>
          </w:p>
          <w:p>
            <w:pPr>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rPr>
              <w:t xml:space="preserve">必须提供，否则在符合性审查时按照投标无效处理</w:t>
            </w:r>
            <w:r>
              <w:rPr>
                <w:rFonts w:hint="eastAsia" w:ascii="宋体" w:hAnsi="宋体" w:cs="宋体"/>
                <w:b/>
                <w:bCs w:val="0"/>
                <w:sz w:val="24"/>
                <w:highlight w:val="none"/>
              </w:rPr>
              <w:t xml:space="preserve">）</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一</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报价</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1.《开标一览表》。加盖电子签章。</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2.《分项价格表》。加盖电子签章，格式见本文件第七章《投标文件相关格式》。</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（二）商务资信</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1.《投标函》（加盖电子签章，格式见招标文件第七章《投标文件相关格式》。）</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《授权委托书及法定代表人身份证明书》。加盖电子签章，格式见本文件第七章《投标文件相关格式》。</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（三）技术响应</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1.《偏离表》（加盖电子签章，格式见招标文件第七章《投标文件相关格式》。）</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四、综合评审评分项</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（一）技术部分</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1.偏离表、所投产品的技术参数说明</w:t>
            </w:r>
            <w:r>
              <w:rPr>
                <w:rFonts w:hint="eastAsia" w:ascii="宋体" w:hAnsi="宋体" w:eastAsia="宋体" w:cs="宋体"/>
                <w:sz w:val="24"/>
                <w:szCs w:val="24"/>
                <w:highlight w:val="none"/>
              </w:rPr>
              <w:t xml:space="preserve">（要求见招标文件第六章《采购需求》）；</w:t>
            </w:r>
            <w:r/>
          </w:p>
          <w:p>
            <w:pPr>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cs="宋体"/>
                <w:b/>
                <w:bCs/>
                <w:sz w:val="24"/>
                <w:szCs w:val="24"/>
                <w:highlight w:val="none"/>
                <w:lang w:val="en-US" w:eastAsia="zh-CN"/>
              </w:rPr>
              <w:t xml:space="preserve">项目实施方案</w:t>
            </w:r>
            <w:r>
              <w:rPr>
                <w:rFonts w:hint="eastAsia" w:ascii="宋体" w:hAnsi="宋体" w:eastAsia="宋体" w:cs="宋体"/>
                <w:sz w:val="24"/>
                <w:szCs w:val="24"/>
                <w:highlight w:val="none"/>
              </w:rPr>
              <w:t xml:space="preserve">（要求见招标文件第六章《采购需求》及第四章《评标标准》中《评分细则》）；</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hint="eastAsia" w:ascii="宋体" w:hAnsi="宋体" w:cs="宋体"/>
                <w:b/>
                <w:bCs/>
                <w:sz w:val="24"/>
                <w:szCs w:val="24"/>
                <w:highlight w:val="none"/>
                <w:lang w:val="en-US" w:eastAsia="zh-CN"/>
              </w:rPr>
              <w:t xml:space="preserve">售后服务方案</w:t>
            </w:r>
            <w:r>
              <w:rPr>
                <w:rFonts w:hint="eastAsia" w:ascii="宋体" w:hAnsi="宋体" w:eastAsia="宋体" w:cs="宋体"/>
                <w:sz w:val="24"/>
                <w:szCs w:val="24"/>
                <w:highlight w:val="none"/>
              </w:rPr>
              <w:t xml:space="preserve">（要求见招标文件第六章《采购需求》及第四章《评标标准》中《评分细则》）；</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w:t>
            </w:r>
            <w:r>
              <w:rPr>
                <w:rFonts w:hint="eastAsia" w:ascii="宋体" w:hAnsi="宋体" w:cs="宋体"/>
                <w:b/>
                <w:bCs/>
                <w:sz w:val="24"/>
                <w:szCs w:val="24"/>
                <w:highlight w:val="none"/>
                <w:lang w:val="en-US" w:eastAsia="zh-CN"/>
              </w:rPr>
              <w:t xml:space="preserve">质保期</w:t>
            </w:r>
            <w:r>
              <w:rPr>
                <w:rFonts w:hint="eastAsia" w:ascii="宋体" w:hAnsi="宋体" w:eastAsia="宋体" w:cs="宋体"/>
                <w:sz w:val="24"/>
                <w:szCs w:val="24"/>
                <w:highlight w:val="none"/>
              </w:rPr>
              <w:t xml:space="preserve">（要求见招标文件第六章《采购需求》及第四章《评标标准》中《评分细则》）；</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5.评分细则中评分得分需提供的相关证明文件扫描件。</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商务部分</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1.投标人</w:t>
            </w:r>
            <w:r>
              <w:rPr>
                <w:rFonts w:hint="eastAsia" w:ascii="宋体" w:hAnsi="宋体" w:cs="宋体"/>
                <w:b/>
                <w:bCs/>
                <w:sz w:val="24"/>
                <w:szCs w:val="24"/>
                <w:lang w:eastAsia="zh-CN"/>
              </w:rPr>
              <w:t xml:space="preserve">其他</w:t>
            </w:r>
            <w:r>
              <w:rPr>
                <w:rFonts w:hint="eastAsia" w:ascii="宋体" w:hAnsi="宋体" w:eastAsia="宋体" w:cs="宋体"/>
                <w:b/>
                <w:bCs/>
                <w:sz w:val="24"/>
                <w:szCs w:val="24"/>
              </w:rPr>
              <w:t xml:space="preserve">证明文件及材料扫描件。</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五、其他部分</w:t>
            </w:r>
            <w:r/>
          </w:p>
          <w:p>
            <w:pPr>
              <w:jc w:val="left"/>
              <w:rPr>
                <w:rFonts w:hint="eastAsia"/>
                <w:color w:val="000000"/>
                <w:sz w:val="24"/>
                <w:szCs w:val="32"/>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color w:val="000000"/>
                <w:sz w:val="24"/>
                <w:szCs w:val="32"/>
                <w:highlight w:val="none"/>
              </w:rPr>
              <w:t xml:space="preserve">投标人为中小企业（含中型、小型、微型企业，下同），</w:t>
            </w:r>
            <w:r>
              <w:rPr>
                <w:color w:val="000000"/>
                <w:sz w:val="24"/>
                <w:szCs w:val="32"/>
                <w:highlight w:val="none"/>
              </w:rPr>
              <w:t xml:space="preserve">提供《中小企业声明函》（加盖公章，格式见招标文件第七章《投标文件相关格式》）。《中小企业声明函》查询渠道用微信搜索“中小企业规模类型自测小程序”</w:t>
            </w:r>
            <w:r>
              <w:rPr>
                <w:rFonts w:hint="eastAsia"/>
                <w:color w:val="000000"/>
                <w:sz w:val="24"/>
                <w:szCs w:val="32"/>
                <w:highlight w:val="none"/>
              </w:rPr>
              <w:t xml:space="preserve">。</w:t>
            </w:r>
            <w:r/>
          </w:p>
          <w:p>
            <w:pPr>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注：中小企业（含中型、小型、微型企业，下同），应当同时符合以下条件：</w:t>
            </w:r>
            <w:r/>
          </w:p>
          <w:p>
            <w:pPr>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　 ① 符合中小企业划分标准；</w:t>
            </w:r>
            <w:r/>
          </w:p>
          <w:p>
            <w:pPr>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小型、微型企业提供中型企业制造的货物的，视同为中型企业。</w:t>
            </w:r>
            <w:r/>
          </w:p>
          <w:p>
            <w:pPr>
              <w:ind w:firstLine="480"/>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具体以《政府采购促进中小企业发展管理办法》（财库</w:t>
            </w:r>
            <w:r>
              <w:rPr>
                <w:rFonts w:hint="eastAsia" w:ascii="宋体" w:hAnsi="宋体" w:cs="宋体"/>
                <w:bCs/>
                <w:color w:val="000000"/>
                <w:sz w:val="24"/>
                <w:highlight w:val="none"/>
                <w:lang w:eastAsia="zh-CN"/>
              </w:rPr>
              <w:t xml:space="preserve">〔2020〕46号</w:t>
            </w:r>
            <w:r>
              <w:rPr>
                <w:rFonts w:hint="eastAsia" w:ascii="宋体" w:hAnsi="宋体" w:cs="宋体"/>
                <w:bCs/>
                <w:color w:val="000000"/>
                <w:sz w:val="24"/>
                <w:highlight w:val="none"/>
              </w:rPr>
              <w:t xml:space="preserve">）和《工业和信息化部、国家统计局、国家发展和改革委员会、财政部关于印发中小企业划型标准规定的通知》（工信部联企业</w:t>
            </w:r>
            <w:r>
              <w:rPr>
                <w:rFonts w:hint="eastAsia" w:ascii="宋体" w:hAnsi="宋体" w:cs="宋体"/>
                <w:bCs/>
                <w:color w:val="000000"/>
                <w:sz w:val="24"/>
                <w:highlight w:val="none"/>
                <w:lang w:eastAsia="zh-CN"/>
              </w:rPr>
              <w:t xml:space="preserve">〔2011〕300号</w:t>
            </w:r>
            <w:r>
              <w:rPr>
                <w:rFonts w:hint="eastAsia" w:ascii="宋体" w:hAnsi="宋体" w:cs="宋体"/>
                <w:bCs/>
                <w:color w:val="000000"/>
                <w:sz w:val="24"/>
                <w:highlight w:val="none"/>
              </w:rPr>
              <w:t xml:space="preserve">）的规定为准。</w:t>
            </w:r>
            <w:r/>
          </w:p>
          <w:p>
            <w:pPr>
              <w:ind w:firstLine="480"/>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000000"/>
                <w:sz w:val="24"/>
                <w:highlight w:val="none"/>
              </w:rPr>
              <w:t xml:space="preserve">2014</w:t>
            </w:r>
            <w:r>
              <w:rPr>
                <w:rFonts w:hint="eastAsia" w:ascii="宋体" w:hAnsi="宋体" w:cs="宋体"/>
                <w:bCs/>
                <w:color w:val="000000"/>
                <w:sz w:val="24"/>
                <w:highlight w:val="none"/>
              </w:rPr>
              <w:t xml:space="preserve">〕</w:t>
            </w:r>
            <w:r>
              <w:rPr>
                <w:rFonts w:hint="eastAsia" w:cs="宋体"/>
                <w:bCs/>
                <w:color w:val="000000"/>
                <w:sz w:val="24"/>
                <w:highlight w:val="none"/>
              </w:rPr>
              <w:t xml:space="preserve">68</w:t>
            </w:r>
            <w:r>
              <w:rPr>
                <w:rFonts w:hint="eastAsia" w:ascii="宋体" w:hAnsi="宋体" w:cs="宋体"/>
                <w:bCs/>
                <w:color w:val="000000"/>
                <w:sz w:val="24"/>
                <w:highlight w:val="none"/>
              </w:rPr>
              <w:t xml:space="preserve">号）的规定为准。</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投标人为享受政府采购支持政策的残疾人福利性单位的，提供《残疾人福利性单位声明函》（加盖电子签章，格式见招标文件第七章《投标文件相关格式》）。</w:t>
            </w:r>
            <w:r/>
          </w:p>
          <w:p>
            <w:pPr>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享受政府采购支持政策的残疾人福利性单位应当同时满足以下条件：</w:t>
            </w:r>
            <w:r/>
          </w:p>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　　（一）安置的残疾人占本单位在职职工人数的比例不低于</w:t>
            </w:r>
            <w:r>
              <w:rPr>
                <w:rFonts w:hint="eastAsia" w:cs="宋体"/>
                <w:bCs/>
                <w:color w:val="000000"/>
                <w:sz w:val="24"/>
                <w:highlight w:val="none"/>
              </w:rPr>
              <w:t xml:space="preserve">25</w:t>
            </w:r>
            <w:r>
              <w:rPr>
                <w:rFonts w:hint="eastAsia" w:ascii="宋体" w:hAnsi="宋体" w:cs="宋体"/>
                <w:bCs/>
                <w:color w:val="000000"/>
                <w:sz w:val="24"/>
                <w:highlight w:val="none"/>
              </w:rPr>
              <w:t xml:space="preserve">%（含</w:t>
            </w:r>
            <w:r>
              <w:rPr>
                <w:rFonts w:hint="eastAsia" w:cs="宋体"/>
                <w:bCs/>
                <w:color w:val="000000"/>
                <w:sz w:val="24"/>
                <w:highlight w:val="none"/>
              </w:rPr>
              <w:t xml:space="preserve">25</w:t>
            </w:r>
            <w:r>
              <w:rPr>
                <w:rFonts w:hint="eastAsia" w:ascii="宋体" w:hAnsi="宋体" w:cs="宋体"/>
                <w:bCs/>
                <w:color w:val="000000"/>
                <w:sz w:val="24"/>
                <w:highlight w:val="none"/>
              </w:rPr>
              <w:t xml:space="preserve">%），并且安置的残疾人人数不少于</w:t>
            </w:r>
            <w:r>
              <w:rPr>
                <w:rFonts w:hint="eastAsia" w:cs="宋体"/>
                <w:bCs/>
                <w:color w:val="000000"/>
                <w:sz w:val="24"/>
                <w:highlight w:val="none"/>
              </w:rPr>
              <w:t xml:space="preserve">10</w:t>
            </w:r>
            <w:r>
              <w:rPr>
                <w:rFonts w:hint="eastAsia" w:ascii="宋体" w:hAnsi="宋体" w:cs="宋体"/>
                <w:bCs/>
                <w:color w:val="000000"/>
                <w:sz w:val="24"/>
                <w:highlight w:val="none"/>
              </w:rPr>
              <w:t xml:space="preserve">人（含</w:t>
            </w:r>
            <w:r>
              <w:rPr>
                <w:rFonts w:hint="eastAsia" w:cs="宋体"/>
                <w:bCs/>
                <w:color w:val="000000"/>
                <w:sz w:val="24"/>
                <w:highlight w:val="none"/>
              </w:rPr>
              <w:t xml:space="preserve">10</w:t>
            </w:r>
            <w:r>
              <w:rPr>
                <w:rFonts w:hint="eastAsia" w:ascii="宋体" w:hAnsi="宋体" w:cs="宋体"/>
                <w:bCs/>
                <w:color w:val="000000"/>
                <w:sz w:val="24"/>
                <w:highlight w:val="none"/>
              </w:rPr>
              <w:t xml:space="preserve">人）；</w:t>
            </w:r>
            <w:r/>
          </w:p>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　　（二）依法与安置的每位残疾人签订了一年以上（含一年）的劳动合同或服务协议；</w:t>
            </w:r>
            <w:r/>
          </w:p>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　　（三）为安置的每位残疾人按月足额缴纳了基本养老保险、基本医疗保险、失业保险、工伤保险和生育保险等社会保险费；</w:t>
            </w:r>
            <w:r/>
          </w:p>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　　（四）通过银行等金融机构向安置的每位残疾人，按月支付了不低于单位所在区县适用的经省级人民政府批准的月最低工资标准的工资；</w:t>
            </w:r>
            <w:r/>
          </w:p>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　　（五）提供本单位制造的货物、承担的工程或者服务（以下简称产品），或者提供其他残疾人福利性单位制造的货物（不包括使用非残疾人福利性单位注册商标的货物）。</w:t>
            </w:r>
            <w:r/>
          </w:p>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   具体以《三部门联合发布关于促进残疾人就业政府采购政策的通知》（财库〔2017〕141号）规定为准。</w:t>
            </w:r>
            <w:r/>
          </w:p>
          <w:p>
            <w:pPr>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rPr>
                <w:rFonts w:hint="eastAsia" w:ascii="宋体" w:hAnsi="宋体" w:eastAsia="宋体" w:cs="宋体"/>
                <w:bCs/>
                <w:sz w:val="24"/>
                <w:szCs w:val="24"/>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rPr>
              <w:t xml:space="preserve">以上文件的合法性、真实性负责。</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十三</w:t>
            </w:r>
            <w:r>
              <w:rPr>
                <w:rFonts w:hint="eastAsia" w:ascii="宋体" w:hAnsi="宋体" w:cs="宋体"/>
                <w:sz w:val="24"/>
                <w:szCs w:val="24"/>
                <w:lang w:eastAsia="zh-CN"/>
              </w:rPr>
              <w:t xml:space="preserve">）</w:t>
            </w:r>
            <w:r>
              <w:rPr>
                <w:rFonts w:hint="eastAsia" w:ascii="宋体" w:hAnsi="宋体" w:eastAsia="宋体" w:cs="宋体"/>
                <w:sz w:val="24"/>
                <w:szCs w:val="24"/>
              </w:rPr>
              <w:t xml:space="preserve">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商务条件见：</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w:t>
            </w:r>
            <w:r>
              <w:rPr>
                <w:rFonts w:hint="eastAsia" w:ascii="宋体" w:hAnsi="宋体" w:cs="宋体"/>
                <w:sz w:val="24"/>
                <w:szCs w:val="24"/>
                <w:lang w:eastAsia="zh-CN"/>
              </w:rPr>
              <w:t xml:space="preserve">（</w:t>
            </w:r>
            <w:r>
              <w:rPr>
                <w:rFonts w:hint="eastAsia" w:ascii="宋体" w:hAnsi="宋体" w:eastAsia="宋体" w:cs="宋体"/>
                <w:sz w:val="24"/>
                <w:szCs w:val="24"/>
              </w:rPr>
              <w:t xml:space="preserve">十二</w:t>
            </w:r>
            <w:r>
              <w:rPr>
                <w:rFonts w:hint="eastAsia" w:ascii="宋体" w:hAnsi="宋体" w:cs="宋体"/>
                <w:sz w:val="24"/>
                <w:szCs w:val="24"/>
                <w:lang w:eastAsia="zh-CN"/>
              </w:rPr>
              <w:t xml:space="preserve">）</w:t>
            </w:r>
            <w:r>
              <w:rPr>
                <w:rFonts w:hint="eastAsia" w:ascii="宋体" w:hAnsi="宋体" w:eastAsia="宋体" w:cs="宋体"/>
                <w:sz w:val="24"/>
                <w:szCs w:val="24"/>
              </w:rPr>
              <w:t xml:space="preserve">1和</w:t>
            </w:r>
            <w:r>
              <w:rPr>
                <w:rFonts w:hint="eastAsia" w:ascii="宋体" w:hAnsi="宋体" w:cs="宋体"/>
                <w:sz w:val="24"/>
                <w:szCs w:val="24"/>
                <w:lang w:eastAsia="zh-CN"/>
              </w:rPr>
              <w:t xml:space="preserve">（</w:t>
            </w:r>
            <w:r>
              <w:rPr>
                <w:rFonts w:hint="eastAsia" w:ascii="宋体" w:hAnsi="宋体" w:eastAsia="宋体" w:cs="宋体"/>
                <w:sz w:val="24"/>
                <w:szCs w:val="24"/>
              </w:rPr>
              <w:t xml:space="preserve">十二</w:t>
            </w:r>
            <w:r>
              <w:rPr>
                <w:rFonts w:hint="eastAsia" w:ascii="宋体" w:hAnsi="宋体" w:cs="宋体"/>
                <w:sz w:val="24"/>
                <w:szCs w:val="24"/>
                <w:lang w:eastAsia="zh-CN"/>
              </w:rPr>
              <w:t xml:space="preserve">）</w:t>
            </w:r>
            <w:r>
              <w:rPr>
                <w:rFonts w:hint="eastAsia" w:ascii="宋体" w:hAnsi="宋体" w:eastAsia="宋体" w:cs="宋体"/>
                <w:sz w:val="24"/>
                <w:szCs w:val="24"/>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十三</w:t>
            </w:r>
            <w:r>
              <w:rPr>
                <w:rFonts w:hint="eastAsia" w:ascii="宋体" w:hAnsi="宋体" w:cs="宋体"/>
                <w:sz w:val="24"/>
                <w:szCs w:val="24"/>
                <w:lang w:eastAsia="zh-CN"/>
              </w:rPr>
              <w:t xml:space="preserve">）</w:t>
            </w:r>
            <w:r>
              <w:rPr>
                <w:rFonts w:hint="eastAsia" w:ascii="宋体" w:hAnsi="宋体" w:eastAsia="宋体" w:cs="宋体"/>
                <w:sz w:val="24"/>
                <w:szCs w:val="24"/>
              </w:rPr>
              <w:t xml:space="preserve">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w:t>
            </w:r>
            <w:r>
              <w:rPr>
                <w:rFonts w:hint="eastAsia" w:ascii="宋体" w:hAnsi="宋体" w:cs="宋体"/>
                <w:sz w:val="24"/>
                <w:szCs w:val="24"/>
                <w:lang w:eastAsia="zh-CN"/>
              </w:rPr>
              <w:t xml:space="preserve">及</w:t>
            </w:r>
            <w:r>
              <w:rPr>
                <w:rFonts w:hint="eastAsia" w:ascii="宋体" w:hAnsi="宋体" w:eastAsia="宋体" w:cs="宋体"/>
                <w:sz w:val="24"/>
                <w:szCs w:val="24"/>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十四</w:t>
            </w:r>
            <w:r>
              <w:rPr>
                <w:rFonts w:hint="eastAsia" w:ascii="宋体" w:hAnsi="宋体" w:cs="宋体"/>
                <w:color w:val="000000"/>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本项目预算</w:t>
            </w:r>
            <w:r>
              <w:rPr>
                <w:rFonts w:hint="eastAsia" w:ascii="宋体" w:hAnsi="宋体" w:eastAsia="宋体" w:cs="宋体"/>
                <w:b/>
                <w:bCs/>
                <w:color w:val="000000"/>
                <w:sz w:val="24"/>
                <w:szCs w:val="24"/>
                <w:highlight w:val="none"/>
              </w:rPr>
              <w:t xml:space="preserve">金额人民币</w:t>
            </w:r>
            <w:r>
              <w:rPr>
                <w:rFonts w:hint="eastAsia" w:ascii="宋体" w:hAnsi="宋体" w:cs="宋体"/>
                <w:b/>
                <w:bCs/>
                <w:color w:val="000000"/>
                <w:sz w:val="24"/>
                <w:szCs w:val="24"/>
                <w:highlight w:val="none"/>
                <w:u w:val="single"/>
                <w:lang w:val="en-US" w:eastAsia="zh-CN"/>
              </w:rPr>
              <w:t xml:space="preserve">433.84</w:t>
            </w:r>
            <w:r>
              <w:rPr>
                <w:rFonts w:hint="eastAsia" w:ascii="宋体" w:hAnsi="宋体" w:eastAsia="宋体" w:cs="宋体"/>
                <w:b/>
                <w:bCs/>
                <w:color w:val="000000"/>
                <w:sz w:val="24"/>
                <w:szCs w:val="24"/>
                <w:highlight w:val="none"/>
                <w:u w:val="single"/>
              </w:rPr>
              <w:t xml:space="preserve">万元</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rPr>
              <w:t xml:space="preserve">不接受超过</w:t>
            </w:r>
            <w:r>
              <w:rPr>
                <w:rFonts w:hint="eastAsia" w:ascii="宋体" w:hAnsi="宋体" w:eastAsia="宋体" w:cs="宋体"/>
                <w:b/>
                <w:bCs/>
                <w:color w:val="000000"/>
                <w:sz w:val="24"/>
                <w:szCs w:val="24"/>
                <w:lang w:val="en-US" w:eastAsia="zh-CN"/>
              </w:rPr>
              <w:t xml:space="preserve">项目预算</w:t>
            </w:r>
            <w:r>
              <w:rPr>
                <w:rFonts w:hint="eastAsia" w:ascii="宋体" w:hAnsi="宋体" w:eastAsia="宋体" w:cs="宋体"/>
                <w:b/>
                <w:bCs/>
                <w:color w:val="000000"/>
                <w:sz w:val="24"/>
                <w:szCs w:val="24"/>
              </w:rPr>
              <w:t xml:space="preserve">的投标报价。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包括全部货物和服务的报价，应包括所投设备及其备品、备件和专用工具费用、税费及包装、运至最终目的地的运输、保险、技术支持与培训、售后服务与维保及相关劳务支出等工作所发生的全部费用以及投标人企业利润、税金和政策性文件规定及合同包含的所有风险、责任等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十五</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37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投标人须用政府采购客户端工具导入“苏采云”系统下载的采购文件（后缀）、供应商操作手册及政府采购客户端工具可通过“苏采云”系统（网址：http://jszfcg.jsczt.cn</w:t>
            </w:r>
            <w:r>
              <w:rPr>
                <w:rFonts w:hint="eastAsia" w:ascii="宋体" w:hAnsi="宋体" w:cs="宋体"/>
                <w:sz w:val="24"/>
                <w:szCs w:val="24"/>
                <w:lang w:eastAsia="zh-CN"/>
              </w:rPr>
              <w:t xml:space="preserve">）</w:t>
            </w:r>
            <w:r>
              <w:rPr>
                <w:rFonts w:hint="eastAsia" w:ascii="宋体" w:hAnsi="宋体" w:eastAsia="宋体" w:cs="宋体"/>
                <w:sz w:val="24"/>
                <w:szCs w:val="24"/>
              </w:rPr>
              <w:t xml:space="preserve">--已报名项目-</w:t>
            </w:r>
            <w:r>
              <w:rPr>
                <w:rFonts w:hint="eastAsia" w:ascii="宋体" w:hAnsi="宋体" w:cs="宋体"/>
                <w:sz w:val="24"/>
                <w:szCs w:val="24"/>
                <w:lang w:eastAsia="zh-CN"/>
              </w:rPr>
              <w:t xml:space="preserve">－</w:t>
            </w:r>
            <w:r>
              <w:rPr>
                <w:rFonts w:hint="eastAsia" w:ascii="宋体" w:hAnsi="宋体" w:eastAsia="宋体" w:cs="宋体"/>
                <w:sz w:val="24"/>
                <w:szCs w:val="24"/>
              </w:rPr>
              <w:t xml:space="preserve">报名详情页面内相应链接进行下载；供应商操作手册及政府采购客户端工具也可通过徐州政府采购网-</w:t>
            </w:r>
            <w:r>
              <w:rPr>
                <w:rFonts w:hint="eastAsia" w:ascii="宋体" w:hAnsi="宋体" w:cs="宋体"/>
                <w:sz w:val="24"/>
                <w:szCs w:val="24"/>
                <w:lang w:eastAsia="zh-CN"/>
              </w:rPr>
              <w:t xml:space="preserve">－</w:t>
            </w:r>
            <w:r>
              <w:rPr>
                <w:rFonts w:hint="eastAsia" w:ascii="宋体" w:hAnsi="宋体" w:eastAsia="宋体" w:cs="宋体"/>
                <w:sz w:val="24"/>
                <w:szCs w:val="24"/>
              </w:rPr>
              <w:t xml:space="preserve">业务工作</w:t>
            </w:r>
            <w:r>
              <w:rPr>
                <w:rFonts w:hint="eastAsia" w:ascii="宋体" w:hAnsi="宋体" w:cs="宋体"/>
                <w:sz w:val="24"/>
                <w:szCs w:val="24"/>
                <w:lang w:eastAsia="zh-CN"/>
              </w:rPr>
              <w:t xml:space="preserve">－－</w:t>
            </w:r>
            <w:r>
              <w:rPr>
                <w:rFonts w:hint="eastAsia" w:ascii="宋体" w:hAnsi="宋体" w:eastAsia="宋体" w:cs="宋体"/>
                <w:sz w:val="24"/>
                <w:szCs w:val="24"/>
              </w:rPr>
              <w:t xml:space="preserve">快速服务</w:t>
            </w:r>
            <w:r>
              <w:rPr>
                <w:rFonts w:hint="eastAsia" w:ascii="宋体" w:hAnsi="宋体" w:cs="宋体"/>
                <w:sz w:val="24"/>
                <w:szCs w:val="24"/>
                <w:lang w:eastAsia="zh-CN"/>
              </w:rPr>
              <w:t xml:space="preserve">－－</w:t>
            </w:r>
            <w:r>
              <w:rPr>
                <w:rFonts w:hint="eastAsia" w:ascii="宋体" w:hAnsi="宋体" w:eastAsia="宋体" w:cs="宋体"/>
                <w:sz w:val="24"/>
                <w:szCs w:val="24"/>
              </w:rPr>
              <w:t xml:space="preserve">下载专区，点击进入《江苏省政府采购管理交易系统（苏采云）供应商操作手册及政府采购客户端》，进行下载。</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十八</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w:t>
            </w:r>
            <w:r>
              <w:rPr>
                <w:rFonts w:hint="eastAsia" w:ascii="宋体" w:hAnsi="宋体" w:cs="宋体"/>
                <w:sz w:val="24"/>
                <w:szCs w:val="24"/>
                <w:lang w:eastAsia="zh-CN"/>
              </w:rPr>
              <w:t xml:space="preserve">（</w:t>
            </w:r>
            <w:r>
              <w:rPr>
                <w:rFonts w:hint="eastAsia" w:ascii="宋体" w:hAnsi="宋体" w:eastAsia="宋体" w:cs="宋体"/>
                <w:sz w:val="24"/>
                <w:szCs w:val="24"/>
              </w:rPr>
              <w:t xml:space="preserve">十二</w:t>
            </w:r>
            <w:r>
              <w:rPr>
                <w:rFonts w:hint="eastAsia" w:ascii="宋体" w:hAnsi="宋体" w:cs="宋体"/>
                <w:sz w:val="24"/>
                <w:szCs w:val="24"/>
                <w:lang w:eastAsia="zh-CN"/>
              </w:rPr>
              <w:t xml:space="preserve">）</w:t>
            </w:r>
            <w:r>
              <w:rPr>
                <w:rFonts w:hint="eastAsia" w:ascii="宋体" w:hAnsi="宋体" w:eastAsia="宋体" w:cs="宋体"/>
                <w:sz w:val="24"/>
                <w:szCs w:val="24"/>
              </w:rPr>
              <w:t xml:space="preserve">1和</w:t>
            </w:r>
            <w:r>
              <w:rPr>
                <w:rFonts w:hint="eastAsia" w:ascii="宋体" w:hAnsi="宋体" w:cs="宋体"/>
                <w:sz w:val="24"/>
                <w:szCs w:val="24"/>
                <w:lang w:eastAsia="zh-CN"/>
              </w:rPr>
              <w:t xml:space="preserve">（</w:t>
            </w:r>
            <w:r>
              <w:rPr>
                <w:rFonts w:hint="eastAsia" w:ascii="宋体" w:hAnsi="宋体" w:eastAsia="宋体" w:cs="宋体"/>
                <w:sz w:val="24"/>
                <w:szCs w:val="24"/>
              </w:rPr>
              <w:t xml:space="preserve">十二</w:t>
            </w:r>
            <w:r>
              <w:rPr>
                <w:rFonts w:hint="eastAsia" w:ascii="宋体" w:hAnsi="宋体" w:cs="宋体"/>
                <w:sz w:val="24"/>
                <w:szCs w:val="24"/>
                <w:lang w:eastAsia="zh-CN"/>
              </w:rPr>
              <w:t xml:space="preserve">）</w:t>
            </w:r>
            <w:r>
              <w:rPr>
                <w:rFonts w:hint="eastAsia" w:ascii="宋体" w:hAnsi="宋体" w:eastAsia="宋体" w:cs="宋体"/>
                <w:sz w:val="24"/>
                <w:szCs w:val="24"/>
              </w:rPr>
              <w:t xml:space="preserve">2</w:t>
            </w:r>
            <w:r/>
          </w:p>
        </w:tc>
      </w:tr>
      <w:tr>
        <w:trPr>
          <w:jc w:val="center"/>
          <w:trHeight w:val="177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十九</w:t>
            </w:r>
            <w:r>
              <w:rPr>
                <w:rFonts w:hint="eastAsia" w:ascii="宋体" w:hAnsi="宋体" w:cs="宋体"/>
                <w:color w:val="000000"/>
                <w:sz w:val="24"/>
                <w:szCs w:val="24"/>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投标文件的提交与接收： </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w:t>
            </w:r>
            <w:r>
              <w:rPr>
                <w:rFonts w:hint="eastAsia" w:ascii="宋体" w:hAnsi="宋体" w:eastAsia="宋体" w:cs="宋体"/>
                <w:b/>
                <w:bCs/>
                <w:color w:val="000000"/>
                <w:sz w:val="24"/>
                <w:szCs w:val="24"/>
                <w:highlight w:val="none"/>
              </w:rPr>
              <w:t xml:space="preserve">交与接收时间：</w:t>
            </w:r>
            <w:r>
              <w:rPr>
                <w:rFonts w:hint="eastAsia" w:ascii="宋体" w:hAnsi="宋体" w:eastAsia="宋体" w:cs="宋体"/>
                <w:b/>
                <w:bCs/>
                <w:color w:val="000000"/>
                <w:sz w:val="24"/>
                <w:szCs w:val="24"/>
                <w:highlight w:val="none"/>
                <w:lang w:eastAsia="zh-CN"/>
              </w:rPr>
              <w:t xml:space="preserve">2025</w:t>
            </w:r>
            <w:r>
              <w:rPr>
                <w:rFonts w:hint="eastAsia" w:ascii="宋体" w:hAnsi="宋体" w:eastAsia="宋体" w:cs="宋体"/>
                <w:b/>
                <w:bCs/>
                <w:color w:val="000000"/>
                <w:sz w:val="24"/>
                <w:szCs w:val="24"/>
                <w:highlight w:val="none"/>
              </w:rPr>
              <w:t xml:space="preserve">年</w:t>
            </w:r>
            <w:r>
              <w:rPr>
                <w:rFonts w:hint="eastAsia" w:ascii="宋体" w:hAnsi="宋体" w:cs="宋体"/>
                <w:b/>
                <w:bCs/>
                <w:color w:val="000000"/>
                <w:sz w:val="24"/>
                <w:szCs w:val="24"/>
                <w:highlight w:val="none"/>
                <w:u w:val="single"/>
                <w:lang w:val="en-US" w:eastAsia="zh-CN"/>
              </w:rPr>
              <w:t xml:space="preserve">3</w:t>
            </w:r>
            <w:r>
              <w:rPr>
                <w:rFonts w:hint="eastAsia" w:ascii="宋体" w:hAnsi="宋体" w:eastAsia="宋体" w:cs="宋体"/>
                <w:b/>
                <w:bCs/>
                <w:color w:val="000000"/>
                <w:sz w:val="24"/>
                <w:szCs w:val="24"/>
                <w:highlight w:val="none"/>
              </w:rPr>
              <w:t xml:space="preserve">月</w:t>
            </w:r>
            <w:r>
              <w:rPr>
                <w:rFonts w:hint="eastAsia" w:ascii="宋体" w:hAnsi="宋体" w:cs="宋体"/>
                <w:b/>
                <w:bCs/>
                <w:color w:val="000000"/>
                <w:sz w:val="24"/>
                <w:szCs w:val="24"/>
                <w:highlight w:val="none"/>
                <w:u w:val="single"/>
                <w:lang w:val="en-US" w:eastAsia="zh-CN"/>
              </w:rPr>
              <w:t xml:space="preserve">26</w:t>
            </w:r>
            <w:r>
              <w:rPr>
                <w:rFonts w:hint="eastAsia" w:ascii="宋体" w:hAnsi="宋体" w:eastAsia="宋体" w:cs="宋体"/>
                <w:b/>
                <w:bCs/>
                <w:color w:val="000000"/>
                <w:sz w:val="24"/>
                <w:szCs w:val="24"/>
                <w:highlight w:val="none"/>
              </w:rPr>
              <w:t xml:space="preserve">日北京时间</w:t>
            </w:r>
            <w:r>
              <w:rPr>
                <w:rFonts w:hint="eastAsia" w:ascii="宋体" w:hAnsi="宋体" w:cs="宋体"/>
                <w:b/>
                <w:bCs/>
                <w:color w:val="000000"/>
                <w:sz w:val="24"/>
                <w:szCs w:val="24"/>
                <w:highlight w:val="none"/>
                <w:lang w:val="en-US" w:eastAsia="zh-CN"/>
              </w:rPr>
              <w:t xml:space="preserve">10</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0前。</w:t>
            </w:r>
            <w:r/>
          </w:p>
          <w:p>
            <w:pPr>
              <w:ind w:left="560" w:hanging="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2.投标文件提交与接收地点： </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二十五</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1.开标时间：</w:t>
            </w:r>
            <w:r>
              <w:rPr>
                <w:rFonts w:hint="eastAsia" w:ascii="宋体" w:hAnsi="宋体" w:eastAsia="宋体" w:cs="宋体"/>
                <w:b/>
                <w:color w:val="000000"/>
                <w:sz w:val="24"/>
                <w:szCs w:val="24"/>
                <w:highlight w:val="none"/>
                <w:lang w:eastAsia="zh-CN"/>
              </w:rPr>
              <w:t xml:space="preserve">2025</w:t>
            </w:r>
            <w:r>
              <w:rPr>
                <w:rFonts w:hint="eastAsia" w:ascii="宋体" w:hAnsi="宋体" w:eastAsia="宋体" w:cs="宋体"/>
                <w:b/>
                <w:color w:val="000000"/>
                <w:sz w:val="24"/>
                <w:szCs w:val="24"/>
                <w:highlight w:val="none"/>
              </w:rPr>
              <w:t xml:space="preserve">年</w:t>
            </w:r>
            <w:r>
              <w:rPr>
                <w:rFonts w:hint="eastAsia" w:ascii="宋体" w:hAnsi="宋体" w:cs="宋体"/>
                <w:b/>
                <w:color w:val="000000"/>
                <w:sz w:val="24"/>
                <w:szCs w:val="24"/>
                <w:highlight w:val="none"/>
                <w:u w:val="single"/>
                <w:lang w:val="en-US" w:eastAsia="zh-CN"/>
              </w:rPr>
              <w:t xml:space="preserve">3</w:t>
            </w:r>
            <w:r>
              <w:rPr>
                <w:rFonts w:hint="eastAsia" w:ascii="宋体" w:hAnsi="宋体" w:eastAsia="宋体" w:cs="宋体"/>
                <w:b/>
                <w:color w:val="000000"/>
                <w:sz w:val="24"/>
                <w:szCs w:val="24"/>
                <w:highlight w:val="none"/>
              </w:rPr>
              <w:t xml:space="preserve">月</w:t>
            </w:r>
            <w:r>
              <w:rPr>
                <w:rFonts w:hint="eastAsia" w:ascii="宋体" w:hAnsi="宋体" w:cs="宋体"/>
                <w:b/>
                <w:color w:val="000000"/>
                <w:sz w:val="24"/>
                <w:szCs w:val="24"/>
                <w:highlight w:val="none"/>
                <w:u w:val="single"/>
                <w:lang w:val="en-US" w:eastAsia="zh-CN"/>
              </w:rPr>
              <w:t xml:space="preserve">26</w:t>
            </w:r>
            <w:r>
              <w:rPr>
                <w:rFonts w:hint="eastAsia" w:ascii="宋体" w:hAnsi="宋体" w:eastAsia="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10</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0（北京时间）</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“苏采云”系统（网址： http://jszfcg.jsczt.cn/）“开标大厅”或进入徐州政府采购网（网址：http://czj.xz.gov.cn/Home/HomeIndex）--业务工作--用户登录，点击“苏采云”进入系统“开标大厅”。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二十五</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二十七</w:t>
            </w:r>
            <w:r>
              <w:rPr>
                <w:rFonts w:hint="eastAsia" w:ascii="宋体" w:hAnsi="宋体" w:cs="宋体"/>
                <w:color w:val="000000"/>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62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二十八</w:t>
            </w:r>
            <w:r>
              <w:rPr>
                <w:rFonts w:hint="eastAsia" w:ascii="宋体" w:hAnsi="宋体" w:cs="宋体"/>
                <w:color w:val="000000"/>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highlight w:val="none"/>
              </w:rPr>
              <w:t xml:space="preserve">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得分均相同的，按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highlight w:val="none"/>
                <w:lang w:eastAsia="zh-CN"/>
              </w:rPr>
              <w:t xml:space="preserve">》</w:t>
            </w:r>
            <w:r>
              <w:rPr>
                <w:rFonts w:hint="eastAsia" w:ascii="宋体" w:hAnsi="宋体" w:eastAsia="宋体" w:cs="宋体"/>
                <w:color w:val="000000"/>
                <w:sz w:val="24"/>
                <w:szCs w:val="24"/>
                <w:highlight w:val="none"/>
              </w:rPr>
              <w:t xml:space="preserve">得分由高到低顺序排列。</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三、采购人应当自收到评标报告之日起５个工作日内，在评标报告确定的中标候选人名单中按得分最高顺序确定一名中标人。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三十六</w:t>
            </w:r>
            <w:r>
              <w:rPr>
                <w:rFonts w:hint="eastAsia" w:ascii="宋体" w:hAnsi="宋体" w:cs="宋体"/>
                <w:color w:val="000000"/>
                <w:sz w:val="24"/>
                <w:szCs w:val="24"/>
                <w:lang w:eastAsia="zh-CN"/>
              </w:rPr>
              <w:t xml:space="preserve">）</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采购人与中标</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成交供应商</w:t>
            </w:r>
            <w:r>
              <w:rPr>
                <w:rFonts w:hint="eastAsia" w:ascii="宋体" w:hAnsi="宋体" w:eastAsia="宋体" w:cs="宋体"/>
                <w:b w:val="0"/>
                <w:bCs w:val="0"/>
                <w:color w:val="000000"/>
                <w:sz w:val="24"/>
                <w:szCs w:val="24"/>
              </w:rPr>
              <w:t xml:space="preserve">应当在中标</w:t>
            </w:r>
            <w:r>
              <w:rPr>
                <w:rFonts w:hint="eastAsia" w:ascii="宋体" w:hAnsi="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履</w:t>
            </w:r>
            <w:r>
              <w:rPr>
                <w:rFonts w:hint="eastAsia" w:ascii="宋体" w:hAnsi="宋体" w:eastAsia="宋体" w:cs="宋体"/>
                <w:b w:val="0"/>
                <w:bCs w:val="0"/>
                <w:color w:val="000000"/>
                <w:sz w:val="24"/>
                <w:szCs w:val="24"/>
                <w:highlight w:val="none"/>
              </w:rPr>
              <w:t xml:space="preserve">约保证金：</w:t>
            </w:r>
            <w:r>
              <w:rPr>
                <w:rFonts w:hint="eastAsia"/>
                <w:sz w:val="24"/>
                <w:highlight w:val="none"/>
                <w:lang w:val="en-US" w:eastAsia="zh-CN"/>
              </w:rPr>
              <w:t xml:space="preserve">无</w:t>
            </w:r>
            <w:r/>
          </w:p>
        </w:tc>
      </w:tr>
      <w:tr>
        <w:trPr>
          <w:jc w:val="center"/>
          <w:trHeight w:val="2053"/>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eastAsia="宋体" w:cs="宋体"/>
                <w:sz w:val="24"/>
                <w:szCs w:val="24"/>
              </w:rPr>
              <w:t xml:space="preserve">四十</w:t>
            </w:r>
            <w:r>
              <w:rPr>
                <w:rFonts w:hint="eastAsia" w:ascii="宋体" w:hAnsi="宋体" w:cs="宋体"/>
                <w:sz w:val="24"/>
                <w:szCs w:val="24"/>
                <w:lang w:eastAsia="zh-CN"/>
              </w:rPr>
              <w:t xml:space="preserve">）</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供应商对政府采购活动事项有疑问的，</w:t>
            </w:r>
            <w:r>
              <w:rPr>
                <w:rFonts w:hint="eastAsia" w:ascii="宋体" w:hAnsi="宋体" w:cs="宋体"/>
                <w:b w:val="0"/>
                <w:bCs w:val="0"/>
                <w:sz w:val="24"/>
                <w:szCs w:val="24"/>
                <w:lang w:val="en-US" w:eastAsia="zh-CN"/>
              </w:rPr>
              <w:t xml:space="preserve">可以</w:t>
            </w:r>
            <w:r>
              <w:rPr>
                <w:rFonts w:hint="eastAsia" w:ascii="宋体" w:hAnsi="宋体" w:eastAsia="宋体" w:cs="宋体"/>
                <w:b w:val="0"/>
                <w:bCs w:val="0"/>
                <w:sz w:val="24"/>
                <w:szCs w:val="24"/>
              </w:rPr>
              <w:t xml:space="preserve">向</w:t>
            </w:r>
            <w:r>
              <w:rPr>
                <w:rFonts w:hint="eastAsia" w:ascii="宋体" w:hAnsi="宋体" w:cs="宋体"/>
                <w:b w:val="0"/>
                <w:bCs w:val="0"/>
                <w:sz w:val="24"/>
                <w:szCs w:val="24"/>
                <w:lang w:val="en-US" w:eastAsia="zh-CN"/>
              </w:rPr>
              <w:t xml:space="preserve">采购人或</w:t>
            </w:r>
            <w:r>
              <w:rPr>
                <w:rFonts w:hint="eastAsia" w:ascii="宋体" w:hAnsi="宋体" w:eastAsia="宋体" w:cs="宋体"/>
                <w:b w:val="0"/>
                <w:bCs w:val="0"/>
                <w:sz w:val="24"/>
                <w:szCs w:val="24"/>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lang w:val="en-US" w:eastAsia="zh-CN"/>
              </w:rPr>
              <w:t xml:space="preserve">采购人或</w:t>
            </w:r>
            <w:r>
              <w:rPr>
                <w:rFonts w:hint="eastAsia" w:ascii="宋体" w:hAnsi="宋体" w:eastAsia="宋体" w:cs="宋体"/>
                <w:b w:val="0"/>
                <w:bCs w:val="0"/>
                <w:sz w:val="24"/>
                <w:szCs w:val="24"/>
              </w:rPr>
              <w:t xml:space="preserve">采购代理机构提出质疑。询问和质疑由</w:t>
            </w:r>
            <w:r>
              <w:rPr>
                <w:rFonts w:hint="eastAsia" w:ascii="宋体" w:hAnsi="宋体" w:cs="宋体"/>
                <w:b w:val="0"/>
                <w:bCs w:val="0"/>
                <w:sz w:val="24"/>
                <w:szCs w:val="24"/>
                <w:lang w:val="en-US" w:eastAsia="zh-CN"/>
              </w:rPr>
              <w:t xml:space="preserve">采购人或</w:t>
            </w:r>
            <w:r>
              <w:rPr>
                <w:rFonts w:hint="eastAsia" w:ascii="宋体" w:hAnsi="宋体" w:eastAsia="宋体" w:cs="宋体"/>
                <w:b w:val="0"/>
                <w:bCs w:val="0"/>
                <w:sz w:val="24"/>
                <w:szCs w:val="24"/>
              </w:rPr>
              <w:t xml:space="preserve">采购代理机构依法处理。供应商对同一采购程序环节的质疑应在质疑期内一次性提出。</w:t>
            </w:r>
            <w:r/>
          </w:p>
          <w:p>
            <w:pPr>
              <w:rPr>
                <w:rFonts w:hint="default" w:ascii="宋体" w:hAnsi="宋体" w:eastAsia="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eastAsia="zh-CN"/>
              </w:rPr>
              <w:t xml:space="preserve">郭志云</w:t>
            </w:r>
            <w:r>
              <w:rPr>
                <w:rFonts w:hint="eastAsia" w:ascii="宋体" w:hAnsi="宋体" w:eastAsia="宋体" w:cs="宋体"/>
                <w:b w:val="0"/>
                <w:bCs w:val="0"/>
                <w:sz w:val="24"/>
                <w:szCs w:val="24"/>
                <w:highlight w:val="none"/>
              </w:rPr>
              <w:t xml:space="preserve">      联系电话：</w:t>
            </w:r>
            <w:r>
              <w:rPr>
                <w:rFonts w:hint="eastAsia" w:ascii="宋体" w:hAnsi="宋体" w:cs="宋体"/>
                <w:color w:val="000000"/>
                <w:sz w:val="24"/>
                <w:szCs w:val="24"/>
                <w:highlight w:val="none"/>
                <w:lang w:val="en-US" w:eastAsia="zh-CN"/>
              </w:rPr>
              <w:t xml:space="preserve">18951355296</w:t>
            </w:r>
            <w:r/>
          </w:p>
          <w:p>
            <w:pPr>
              <w:rPr>
                <w:rFonts w:hint="eastAsia"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cs="宋体"/>
                <w:b w:val="0"/>
                <w:bCs w:val="0"/>
                <w:sz w:val="24"/>
                <w:szCs w:val="24"/>
                <w:highlight w:val="none"/>
                <w:lang w:eastAsia="zh-CN"/>
              </w:rPr>
              <w:t xml:space="preserve">丰县东城路1号（原森宝门窗办公楼）三楼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中标人在收到中标通知书时，须向采购人和采购代理机构提交《开标一览表》和《分项价格表》的数据文件（WORD格式）。邮箱</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1434377838      </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1.评标中需要投标人对投标文件澄清或者说明的，应当通过“苏采云”系统交换数据电文。在评标期间，请投标人保持在线。</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2.对于投标文件中含义不明确、同类问题表述不一致或者有明显文字和计算错误的内容，</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委员会通过“苏采云”系统要求投标人作出必要的澄清、说明或者补正，并规定回复时间。</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3.投标人的澄清、说明或者补正应当采用通过“苏采云”系统（使用“CA数字证书”</w:t>
            </w:r>
            <w:r>
              <w:rPr>
                <w:rFonts w:hint="eastAsia" w:ascii="宋体" w:hAnsi="宋体" w:cs="宋体"/>
                <w:sz w:val="24"/>
                <w:szCs w:val="24"/>
                <w:lang w:eastAsia="zh-CN"/>
              </w:rPr>
              <w:t xml:space="preserve">，</w:t>
            </w:r>
            <w:r>
              <w:rPr>
                <w:rFonts w:hint="eastAsia" w:ascii="宋体" w:hAnsi="宋体" w:eastAsia="宋体" w:cs="宋体"/>
                <w:sz w:val="24"/>
                <w:szCs w:val="24"/>
              </w:rPr>
              <w:t xml:space="preserve">加盖电子签章）形式。投标人没有在规定的回复时间内作出必要的澄清、说明或者补正，</w:t>
            </w:r>
            <w:r>
              <w:rPr>
                <w:rFonts w:hint="eastAsia" w:ascii="宋体" w:hAnsi="宋体" w:cs="宋体"/>
                <w:sz w:val="24"/>
                <w:szCs w:val="24"/>
                <w:lang w:val="en-US" w:eastAsia="zh-CN"/>
              </w:rPr>
              <w:t xml:space="preserve">评审</w:t>
            </w:r>
            <w:r>
              <w:rPr>
                <w:rFonts w:hint="eastAsia" w:ascii="宋体" w:hAnsi="宋体" w:eastAsia="宋体" w:cs="宋体"/>
                <w:sz w:val="24"/>
                <w:szCs w:val="24"/>
              </w:rPr>
              <w:t xml:space="preserve">委员会将认为投标人拒绝作出必要的澄清、说明或者补正，并承担相应的后果和法律责任。</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600"/>
        <w:spacing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eastAsia="宋体" w:cs="宋体"/>
          <w:sz w:val="24"/>
          <w:szCs w:val="24"/>
        </w:rPr>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本章附件：</w:t>
      </w:r>
      <w:r>
        <w:rPr>
          <w:rFonts w:hint="eastAsia" w:ascii="宋体" w:hAnsi="宋体" w:eastAsia="宋体" w:cs="宋体"/>
          <w:b/>
          <w:sz w:val="24"/>
          <w:szCs w:val="24"/>
        </w:rPr>
        <w:t xml:space="preserve">招标代理服务收费标准</w:t>
      </w:r>
      <w:r/>
    </w:p>
    <w:tbl>
      <w:tblPr>
        <w:tblStyle w:val="827"/>
        <w:tblW w:w="811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 xml:space="preserve">中标</w:t>
            </w:r>
            <w:r>
              <w:rPr>
                <w:rFonts w:hint="eastAsia" w:ascii="宋体" w:hAnsi="宋体" w:cs="宋体"/>
                <w:b/>
                <w:bCs/>
                <w:caps w:val="0"/>
                <w:color w:val="000000"/>
                <w:spacing w:val="0"/>
                <w:sz w:val="28"/>
                <w:szCs w:val="28"/>
                <w:highlight w:val="none"/>
                <w:lang w:eastAsia="zh-CN"/>
              </w:rPr>
              <w:t xml:space="preserve">或者成交</w:t>
            </w:r>
            <w:r>
              <w:rPr>
                <w:rFonts w:hint="eastAsia" w:ascii="宋体" w:hAnsi="宋体" w:eastAsia="宋体" w:cs="宋体"/>
                <w:b/>
                <w:bCs/>
                <w:caps w:val="0"/>
                <w:color w:val="000000"/>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50万-400万</w:t>
            </w:r>
            <w:r>
              <w:rPr>
                <w:rFonts w:hint="eastAsia" w:ascii="宋体" w:hAnsi="宋体" w:eastAsia="宋体" w:cs="宋体"/>
                <w:caps w:val="0"/>
                <w:color w:val="000000"/>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400万-1000万</w:t>
            </w:r>
            <w:r>
              <w:rPr>
                <w:rFonts w:hint="eastAsia" w:ascii="宋体" w:hAnsi="宋体" w:eastAsia="宋体" w:cs="宋体"/>
                <w:caps w:val="0"/>
                <w:color w:val="000000"/>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1000万-5000万</w:t>
            </w:r>
            <w:r>
              <w:rPr>
                <w:rFonts w:hint="eastAsia" w:ascii="宋体" w:hAnsi="宋体" w:eastAsia="宋体" w:cs="宋体"/>
                <w:caps w:val="0"/>
                <w:color w:val="000000"/>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5000万-1亿</w:t>
            </w:r>
            <w:r>
              <w:rPr>
                <w:rFonts w:hint="eastAsia" w:ascii="宋体" w:hAnsi="宋体" w:eastAsia="宋体" w:cs="宋体"/>
                <w:caps w:val="0"/>
                <w:color w:val="000000"/>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1亿-10亿</w:t>
            </w:r>
            <w:r>
              <w:rPr>
                <w:rFonts w:hint="eastAsia" w:ascii="宋体" w:hAnsi="宋体" w:eastAsia="宋体" w:cs="宋体"/>
                <w:caps w:val="0"/>
                <w:color w:val="000000"/>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10亿-50亿</w:t>
            </w:r>
            <w:r>
              <w:rPr>
                <w:rFonts w:hint="eastAsia" w:ascii="宋体" w:hAnsi="宋体" w:eastAsia="宋体" w:cs="宋体"/>
                <w:caps w:val="0"/>
                <w:color w:val="000000"/>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rPr>
        <w:t xml:space="preserve">说明：</w:t>
      </w:r>
      <w:r/>
    </w:p>
    <w:p>
      <w:pPr>
        <w:ind w:firstLine="482"/>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4.代理服务费应收取金额=代理服务费基准金额（按差额定率累进法计算的）的合计数。</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6.有分包</w:t>
      </w:r>
      <w:r>
        <w:rPr>
          <w:rFonts w:hint="eastAsia" w:ascii="宋体" w:hAnsi="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分标段</w:t>
      </w:r>
      <w:r>
        <w:rPr>
          <w:rFonts w:hint="eastAsia" w:ascii="宋体" w:hAnsi="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eastAsia" w:ascii="宋体" w:hAnsi="宋体" w:cs="宋体"/>
          <w:caps w:val="0"/>
          <w:color w:val="000000"/>
          <w:spacing w:val="0"/>
          <w:sz w:val="24"/>
          <w:szCs w:val="24"/>
          <w:highlight w:val="none"/>
          <w:lang w:val="en-US" w:eastAsia="zh-CN"/>
        </w:rPr>
      </w:pPr>
      <w:r>
        <w:rPr>
          <w:rFonts w:hint="eastAsia" w:ascii="宋体" w:hAnsi="宋体" w:cs="宋体"/>
          <w:caps w:val="0"/>
          <w:color w:val="000000"/>
          <w:spacing w:val="0"/>
          <w:sz w:val="24"/>
          <w:szCs w:val="24"/>
          <w:highlight w:val="none"/>
          <w:lang w:val="en-US" w:eastAsia="zh-CN"/>
        </w:rPr>
        <w:t xml:space="preserve">7.以上价格为协会指导价，双方可根据项目难易程度和优质优价原则协商确定。</w:t>
      </w:r>
      <w:r/>
    </w:p>
    <w:p>
      <w:pPr>
        <w:rPr>
          <w:rFonts w:hint="eastAsia" w:ascii="宋体" w:hAnsi="宋体" w:eastAsia="宋体" w:cs="宋体"/>
          <w:b/>
          <w:sz w:val="30"/>
        </w:rPr>
      </w:pPr>
      <w:r>
        <w:rPr>
          <w:rFonts w:hint="eastAsia" w:ascii="宋体" w:hAnsi="宋体" w:eastAsia="宋体" w:cs="宋体"/>
          <w:b/>
          <w:sz w:val="30"/>
        </w:rPr>
      </w:r>
      <w:r/>
    </w:p>
    <w:p>
      <w:pPr>
        <w:jc w:val="center"/>
        <w:spacing w:line="360" w:lineRule="auto"/>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r>
      <w:r/>
    </w:p>
    <w:p>
      <w:pPr>
        <w:jc w:val="center"/>
        <w:spacing w:line="360" w:lineRule="auto"/>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r>
      <w:r/>
    </w:p>
    <w:p>
      <w:pPr>
        <w:jc w:val="center"/>
        <w:spacing w:line="360" w:lineRule="auto"/>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第四章 评标标准</w:t>
      </w:r>
      <w:r/>
    </w:p>
    <w:tbl>
      <w:tblPr>
        <w:tblStyle w:val="827"/>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cs="宋体"/>
                <w:b/>
                <w:bCs/>
                <w:sz w:val="24"/>
                <w:szCs w:val="24"/>
                <w:highlight w:val="none"/>
                <w:lang w:val="en-US" w:eastAsia="zh-CN"/>
              </w:rPr>
              <w:t xml:space="preserve">细则</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各投标人价格得分=最低报价（投标人的最低评审价格）÷各投标人评审价格×30</w:t>
            </w:r>
            <w:r>
              <w:rPr>
                <w:rFonts w:hint="eastAsia" w:ascii="宋体" w:hAnsi="宋体" w:eastAsia="宋体" w:cs="宋体"/>
                <w:color w:val="000000"/>
                <w:sz w:val="24"/>
                <w:szCs w:val="24"/>
                <w:highlight w:val="none"/>
                <w:lang w:eastAsia="zh-CN"/>
              </w:rPr>
              <w:t xml:space="preserve">；</w:t>
            </w:r>
            <w:r/>
          </w:p>
          <w:p>
            <w:pPr>
              <w:rPr>
                <w:rFonts w:hint="eastAsia"/>
                <w:highlight w:val="none"/>
                <w:lang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全部由符合政策要求的小微企业、监狱企业、享受政府采购支持政策的残疾人福利性单位承接的（以供应商提供的《中小企业声明函》、监狱企业证明文件和《残疾人福利性单位声明函》等相关材料为准），给予10%的价格扣除，用扣除后的价格参加评审。该投标人评审价格=《开标一览表》中的“总价”*（100%-10%）</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（分值计算结果保留两位小数）</w:t>
            </w:r>
            <w:r/>
          </w:p>
        </w:tc>
      </w:tr>
      <w:tr>
        <w:trPr>
          <w:jc w:val="center"/>
          <w:trHeight w:val="158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cs="宋体"/>
                <w:color w:val="000000"/>
                <w:sz w:val="24"/>
                <w:szCs w:val="24"/>
                <w:highlight w:val="none"/>
                <w:lang w:val="en-US" w:eastAsia="zh-CN"/>
              </w:rPr>
              <w:t xml:space="preserve">说明</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采购需求》“技术参数</w:t>
            </w:r>
            <w:r>
              <w:rPr>
                <w:rFonts w:hint="eastAsia" w:ascii="宋体" w:hAnsi="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”满足程度进行评价。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全部满足要求得</w:t>
            </w: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每偏离一项扣</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分，扣完为止</w:t>
            </w:r>
            <w:r>
              <w:rPr>
                <w:rFonts w:hint="eastAsia" w:ascii="宋体" w:hAnsi="宋体" w:eastAsia="宋体" w:cs="宋体"/>
                <w:color w:val="000000"/>
                <w:sz w:val="24"/>
                <w:szCs w:val="24"/>
                <w:highlight w:val="none"/>
              </w:rPr>
              <w:t xml:space="preserve">；本项最高得</w:t>
            </w: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分，最低得0分。</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内容包含但不限于质量保障措施、实施人员配备、</w:t>
            </w:r>
            <w:r>
              <w:rPr>
                <w:rFonts w:hint="eastAsia" w:ascii="宋体" w:hAnsi="宋体" w:eastAsia="宋体" w:cs="宋体"/>
                <w:color w:val="000000"/>
                <w:sz w:val="24"/>
                <w:szCs w:val="24"/>
                <w:highlight w:val="none"/>
              </w:rPr>
              <w:t xml:space="preserve">配送</w:t>
            </w:r>
            <w:r>
              <w:rPr>
                <w:rFonts w:hint="eastAsia" w:ascii="宋体" w:hAnsi="宋体" w:eastAsia="宋体" w:cs="宋体"/>
                <w:color w:val="000000"/>
                <w:sz w:val="24"/>
                <w:szCs w:val="24"/>
                <w:highlight w:val="none"/>
                <w:lang w:val="en-US" w:eastAsia="zh-CN"/>
              </w:rPr>
              <w:t xml:space="preserve">计划</w:t>
            </w:r>
            <w:r>
              <w:rPr>
                <w:rFonts w:hint="eastAsia" w:ascii="宋体" w:hAnsi="宋体" w:eastAsia="宋体" w:cs="宋体"/>
                <w:color w:val="000000"/>
                <w:sz w:val="24"/>
                <w:szCs w:val="24"/>
                <w:highlight w:val="none"/>
              </w:rPr>
              <w:t xml:space="preserve">、实施组织计划、进度计划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安装调试</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对内容的全面性、针对性、可行性进行评价。</w:t>
            </w:r>
            <w:r/>
          </w:p>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分；较全面得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分；基本具备的得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分；不太全面得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分；针对性不强得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可行性欠缺得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未提供的</w:t>
            </w:r>
            <w:r>
              <w:rPr>
                <w:rFonts w:hint="eastAsia" w:ascii="宋体" w:hAnsi="宋体" w:eastAsia="宋体" w:cs="宋体"/>
                <w:color w:val="000000"/>
                <w:sz w:val="24"/>
                <w:szCs w:val="24"/>
                <w:highlight w:val="none"/>
              </w:rPr>
              <w:t xml:space="preserve">得0分。</w:t>
            </w:r>
            <w:r/>
          </w:p>
        </w:tc>
      </w:tr>
      <w:tr>
        <w:trPr>
          <w:jc w:val="center"/>
          <w:trHeight w:val="719"/>
        </w:trPr>
        <w:tc>
          <w:tcPr>
            <w:tcW w:w="1720" w:type="dxa"/>
            <w:vAlign w:val="center"/>
            <w:vMerge w:val="restart"/>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售后服务方案（1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1、质保期内售后服务方案（包含但不限于服务方式、响应时间、故障处理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售后服务人员配备</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对内容的全面性、针对性进行评价。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分；不太全面得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分；针对性较强得2分；针对性不强得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未提供的</w:t>
            </w:r>
            <w:r>
              <w:rPr>
                <w:rFonts w:hint="eastAsia" w:ascii="宋体" w:hAnsi="宋体" w:eastAsia="宋体" w:cs="宋体"/>
                <w:color w:val="000000"/>
                <w:sz w:val="24"/>
                <w:szCs w:val="24"/>
                <w:highlight w:val="none"/>
              </w:rPr>
              <w:t xml:space="preserve">得0分。</w:t>
            </w:r>
            <w:r/>
          </w:p>
        </w:tc>
      </w:tr>
      <w:tr>
        <w:trPr>
          <w:jc w:val="center"/>
          <w:trHeight w:val="2145"/>
        </w:trPr>
        <w:tc>
          <w:tcPr>
            <w:tcW w:w="1720" w:type="dxa"/>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2、质保期</w:t>
            </w:r>
            <w:r>
              <w:rPr>
                <w:rFonts w:hint="eastAsia" w:ascii="宋体" w:hAnsi="宋体" w:eastAsia="宋体" w:cs="宋体"/>
                <w:color w:val="000000"/>
                <w:sz w:val="24"/>
                <w:szCs w:val="24"/>
                <w:highlight w:val="none"/>
                <w:lang w:val="en-US" w:eastAsia="zh-CN"/>
              </w:rPr>
              <w:t xml:space="preserve">满</w:t>
            </w:r>
            <w:r>
              <w:rPr>
                <w:rFonts w:hint="eastAsia" w:ascii="宋体" w:hAnsi="宋体" w:eastAsia="宋体" w:cs="宋体"/>
                <w:color w:val="000000"/>
                <w:sz w:val="24"/>
                <w:szCs w:val="24"/>
                <w:highlight w:val="none"/>
              </w:rPr>
              <w:t xml:space="preserve">后售后服务方案（包含但不限于服务方式、响应时间、故障处理、质保期满后配件供应等）（</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对内容的全面性、针对性进行评价。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分；较全面得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分；不太全面得0分。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分；针对性不强得0分。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分，最低得0分。</w:t>
            </w:r>
            <w:r/>
          </w:p>
        </w:tc>
      </w:tr>
      <w:tr>
        <w:trPr>
          <w:jc w:val="center"/>
          <w:trHeight w:val="2145"/>
        </w:trPr>
        <w:tc>
          <w:tcPr>
            <w:tcW w:w="1720" w:type="dxa"/>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响应时间（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承诺接到采购人报修通知后，在2小时内派技术人员到达现场，不需更换部件的故障在12小时内修复，需更换部件的故障24小时内修复的，得1分；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承诺接到采购人报修通知后，在2小时内派技术人员到达现场，不需更换部件的故障在8小时内修复，需更换部件的故障12小时内修复的，得3分；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承诺接到采购人报修通知后，在2小时内派技术人员到达现场，不需更换部件的故障在4小时内修复，需更换部件的故障8小时内修复的，得5分。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未响应或响应时限不满足上述要求的得0分，本项最高得5分，最低得0分。</w:t>
            </w:r>
            <w:r/>
          </w:p>
        </w:tc>
      </w:tr>
      <w:tr>
        <w:trPr>
          <w:jc w:val="center"/>
          <w:trHeight w:val="1444"/>
        </w:trPr>
        <w:tc>
          <w:tcPr>
            <w:tcW w:w="1720" w:type="dxa"/>
            <w:vAlign w:val="center"/>
            <w:textDirection w:val="lrTb"/>
            <w:noWrap w:val="false"/>
          </w:tcPr>
          <w:p>
            <w:pPr>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eastAsia="zh-CN"/>
              </w:rPr>
              <w:t xml:space="preserve">质保期</w:t>
            </w:r>
            <w:r>
              <w:rPr>
                <w:rFonts w:hint="eastAsia" w:ascii="宋体" w:hAnsi="宋体" w:eastAsia="宋体" w:cs="宋体"/>
                <w:color w:val="000000"/>
                <w:sz w:val="24"/>
                <w:szCs w:val="24"/>
                <w:highlight w:val="none"/>
                <w:lang w:val="en-US" w:eastAsia="zh-CN"/>
              </w:rPr>
              <w:t xml:space="preserve">(3分)</w:t>
            </w:r>
            <w:r/>
          </w:p>
        </w:tc>
        <w:tc>
          <w:tcPr>
            <w:tcW w:w="7590" w:type="dxa"/>
            <w:vAlign w:val="center"/>
            <w:textDirection w:val="lrTb"/>
            <w:noWrap w:val="false"/>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整机（含所有保障正常运行的主件、配件及材料等）免费质保期</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年及以下的得0分；</w:t>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每多一年，加1分（不足一年不得分）。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分，最低得0分。</w:t>
            </w:r>
            <w:r/>
          </w:p>
        </w:tc>
      </w:tr>
      <w:tr>
        <w:trPr>
          <w:jc w:val="center"/>
          <w:trHeight w:val="359"/>
        </w:trPr>
        <w:tc>
          <w:tcPr>
            <w:tcW w:w="1720" w:type="dxa"/>
            <w:vAlign w:val="center"/>
            <w:textDirection w:val="lrTb"/>
            <w:noWrap w:val="false"/>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企业业绩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eastAsia="zh-CN"/>
              </w:rPr>
              <w:t xml:space="preserve">）</w:t>
            </w:r>
            <w:r/>
          </w:p>
        </w:tc>
        <w:tc>
          <w:tcPr>
            <w:tcW w:w="7590" w:type="dxa"/>
            <w:vAlign w:val="center"/>
            <w:textDirection w:val="lrTb"/>
            <w:noWrap w:val="false"/>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投标人提供</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月1日以来，合同内容为与本项目相同或类似</w:t>
            </w:r>
            <w:r>
              <w:rPr>
                <w:rFonts w:hint="eastAsia" w:ascii="宋体" w:hAnsi="宋体" w:eastAsia="宋体" w:cs="宋体"/>
                <w:color w:val="000000"/>
                <w:sz w:val="24"/>
                <w:szCs w:val="24"/>
                <w:highlight w:val="none"/>
                <w:lang w:val="en-US" w:eastAsia="zh-CN"/>
              </w:rPr>
              <w:t xml:space="preserve">业绩项目</w:t>
            </w:r>
            <w:r>
              <w:rPr>
                <w:rFonts w:hint="eastAsia" w:ascii="宋体" w:hAnsi="宋体" w:eastAsia="宋体" w:cs="宋体"/>
                <w:color w:val="000000"/>
                <w:sz w:val="24"/>
                <w:szCs w:val="24"/>
                <w:highlight w:val="none"/>
              </w:rPr>
              <w:t xml:space="preserve">，每提供一个得2分，满分4分。（需提供</w:t>
            </w:r>
            <w:r>
              <w:rPr>
                <w:rFonts w:hint="eastAsia" w:ascii="宋体" w:hAnsi="宋体" w:eastAsia="宋体" w:cs="宋体"/>
                <w:color w:val="000000"/>
                <w:sz w:val="24"/>
                <w:szCs w:val="24"/>
                <w:highlight w:val="none"/>
                <w:lang w:val="en-US" w:eastAsia="zh-CN"/>
              </w:rPr>
              <w:t xml:space="preserve">中标通知书原件彩色扫描件、</w:t>
            </w:r>
            <w:r>
              <w:rPr>
                <w:rFonts w:hint="eastAsia" w:ascii="宋体" w:hAnsi="宋体" w:eastAsia="宋体" w:cs="宋体"/>
                <w:color w:val="000000"/>
                <w:sz w:val="24"/>
                <w:szCs w:val="24"/>
                <w:highlight w:val="none"/>
              </w:rPr>
              <w:t xml:space="preserve">合同原件彩色扫描件，合同内容、标的等清晰可见，同一用户单位不重复记分）</w:t>
            </w:r>
            <w:r>
              <w:rPr>
                <w:rFonts w:hint="eastAsia" w:ascii="宋体" w:hAnsi="宋体" w:eastAsia="宋体" w:cs="宋体"/>
                <w:color w:val="000000"/>
                <w:sz w:val="24"/>
                <w:szCs w:val="24"/>
                <w:highlight w:val="none"/>
                <w:lang w:eastAsia="zh-CN"/>
              </w:rPr>
              <w:t xml:space="preserve">。</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时间以合同签订时间为准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电子投标文件中需提供项目合同（业绩合同证明材料）原件彩色扫描件，</w:t>
            </w:r>
            <w:r>
              <w:rPr>
                <w:rFonts w:hint="eastAsia" w:ascii="宋体" w:hAnsi="宋体" w:eastAsia="宋体" w:cs="宋体"/>
                <w:color w:val="000000"/>
                <w:sz w:val="24"/>
                <w:szCs w:val="24"/>
                <w:highlight w:val="none"/>
                <w:lang w:val="en-US" w:eastAsia="zh-CN"/>
              </w:rPr>
              <w:t xml:space="preserve">中标通知书原件彩色扫描件，</w:t>
            </w:r>
            <w:r>
              <w:rPr>
                <w:rFonts w:hint="eastAsia" w:ascii="宋体" w:hAnsi="宋体" w:eastAsia="宋体" w:cs="宋体"/>
                <w:color w:val="000000"/>
                <w:sz w:val="24"/>
                <w:szCs w:val="24"/>
                <w:highlight w:val="none"/>
              </w:rPr>
              <w:t xml:space="preserve">未提供不得分。</w:t>
            </w:r>
            <w:r/>
          </w:p>
        </w:tc>
      </w:tr>
      <w:tr>
        <w:trPr>
          <w:jc w:val="center"/>
          <w:trHeight w:val="359"/>
        </w:trPr>
        <w:tc>
          <w:tcPr>
            <w:tcW w:w="1720" w:type="dxa"/>
            <w:vAlign w:val="center"/>
            <w:textDirection w:val="lrTb"/>
            <w:noWrap w:val="false"/>
          </w:tcPr>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投标人评价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w:t>
            </w:r>
            <w:r/>
          </w:p>
        </w:tc>
        <w:tc>
          <w:tcPr>
            <w:tcW w:w="7590"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1.投标文件中提供投标人有效的绿色企业认证证书、绿色供应链认证证书、绿色环保企业评价认证证书</w:t>
            </w:r>
            <w:r>
              <w:rPr>
                <w:rFonts w:hint="eastAsia" w:ascii="宋体" w:hAnsi="宋体" w:cs="宋体"/>
                <w:color w:val="000000"/>
                <w:sz w:val="24"/>
                <w:szCs w:val="24"/>
                <w:highlight w:val="none"/>
                <w:lang w:val="en-US" w:eastAsia="zh-CN"/>
              </w:rPr>
              <w:t xml:space="preserve">、售后服务认证证书</w:t>
            </w:r>
            <w:r>
              <w:rPr>
                <w:rFonts w:hint="eastAsia" w:ascii="宋体" w:hAnsi="宋体" w:eastAsia="宋体" w:cs="宋体"/>
                <w:color w:val="000000"/>
                <w:sz w:val="24"/>
                <w:szCs w:val="24"/>
                <w:highlight w:val="none"/>
                <w:lang w:val="en-US" w:eastAsia="zh-CN"/>
              </w:rPr>
              <w:t xml:space="preserve">原件扫描件及国家认证认可监督管理委员会官方平台(网址: www.cnca.gov.cn)查询证书状态为有效的截图证明材料的，每提供一个得</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val="en-US" w:eastAsia="zh-CN"/>
              </w:rPr>
              <w:t xml:space="preserve">分，不提供或提供不全的不得分</w:t>
            </w:r>
            <w:r>
              <w:rPr>
                <w:rFonts w:hint="eastAsia" w:ascii="宋体" w:hAnsi="宋体" w:cs="宋体"/>
                <w:color w:val="000000"/>
                <w:sz w:val="24"/>
                <w:szCs w:val="24"/>
                <w:highlight w:val="none"/>
                <w:lang w:val="en-US" w:eastAsia="zh-CN"/>
              </w:rPr>
              <w:t xml:space="preserve">。</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本项最高得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分，最低得0分。</w:t>
            </w:r>
            <w:r/>
          </w:p>
          <w:p>
            <w:pP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2、投标人或制造商应提供投标产品全部有效的型式试验报告，包括但不仅限于500KVA箱式变电站、400KVA箱式变电站、315KVA箱式变电站、250KVA箱式变电站、400KVA柱上变压器（JP柜）</w:t>
            </w:r>
            <w:r>
              <w:rPr>
                <w:rFonts w:hint="eastAsia" w:ascii="宋体" w:hAnsi="宋体" w:eastAsia="宋体" w:cs="宋体"/>
                <w:color w:val="000000"/>
                <w:sz w:val="24"/>
                <w:szCs w:val="24"/>
                <w:highlight w:val="none"/>
                <w:lang w:val="en-US" w:eastAsia="zh-CN"/>
              </w:rPr>
              <w:t xml:space="preserve">原件扫描件</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每提供一个得</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val="en-US" w:eastAsia="zh-CN"/>
              </w:rPr>
              <w:t xml:space="preserve">分，不提供或提供不全的不得分。</w:t>
            </w:r>
            <w:r/>
          </w:p>
          <w:p>
            <w:pP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本项最高得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分，最低得0分</w:t>
            </w:r>
            <w:r>
              <w:rPr>
                <w:rFonts w:hint="eastAsia" w:ascii="宋体" w:hAnsi="宋体" w:cs="宋体"/>
                <w:color w:val="000000"/>
                <w:sz w:val="24"/>
                <w:szCs w:val="24"/>
                <w:highlight w:val="none"/>
                <w:lang w:val="en-US" w:eastAsia="zh-CN"/>
              </w:rPr>
              <w:t xml:space="preserve">。</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p>
    <w:p>
      <w:pPr>
        <w:jc w:val="center"/>
        <w:rPr>
          <w:rFonts w:hint="eastAsia" w:ascii="宋体" w:hAnsi="宋体" w:eastAsia="宋体" w:cs="宋体"/>
          <w:b/>
          <w:bCs/>
          <w:sz w:val="30"/>
          <w:szCs w:val="30"/>
        </w:rP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bCs/>
          <w:sz w:val="30"/>
          <w:szCs w:val="30"/>
        </w:rPr>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val="0"/>
          <w:bCs/>
          <w:sz w:val="72"/>
          <w:szCs w:val="72"/>
        </w:rPr>
      </w:pPr>
      <w:r>
        <w:rPr>
          <w:rFonts w:hint="eastAsia" w:ascii="宋体" w:hAnsi="宋体" w:eastAsia="宋体" w:cs="宋体"/>
          <w:b w:val="0"/>
          <w:bCs/>
          <w:sz w:val="72"/>
          <w:szCs w:val="72"/>
        </w:rPr>
        <w:t xml:space="preserve">政 府 采 购 合 同</w:t>
      </w:r>
      <w:r/>
    </w:p>
    <w:p>
      <w:pPr>
        <w:jc w:val="left"/>
        <w:rPr>
          <w:rFonts w:hint="eastAsia" w:ascii="宋体" w:hAnsi="宋体" w:eastAsia="宋体" w:cs="宋体"/>
          <w:b w:val="0"/>
          <w:bCs/>
          <w:sz w:val="36"/>
          <w:szCs w:val="36"/>
        </w:rPr>
      </w:pPr>
      <w:r>
        <w:rPr>
          <w:rFonts w:hint="eastAsia" w:ascii="宋体" w:hAnsi="宋体" w:eastAsia="宋体" w:cs="宋体"/>
          <w:b w:val="0"/>
          <w:bCs/>
          <w:sz w:val="36"/>
          <w:szCs w:val="36"/>
        </w:rPr>
      </w:r>
      <w:r/>
    </w:p>
    <w:p>
      <w:pPr>
        <w:jc w:val="left"/>
        <w:rPr>
          <w:rFonts w:hint="eastAsia" w:ascii="宋体" w:hAnsi="宋体" w:eastAsia="宋体" w:cs="宋体"/>
          <w:b w:val="0"/>
          <w:bCs/>
          <w:sz w:val="36"/>
          <w:szCs w:val="36"/>
        </w:rPr>
      </w:pPr>
      <w:r>
        <w:rPr>
          <w:rFonts w:hint="eastAsia" w:ascii="宋体" w:hAnsi="宋体" w:eastAsia="宋体" w:cs="宋体"/>
          <w:b w:val="0"/>
          <w:bCs/>
          <w:sz w:val="36"/>
          <w:szCs w:val="36"/>
        </w:rPr>
      </w:r>
      <w:r/>
    </w:p>
    <w:p>
      <w:pPr>
        <w:jc w:val="left"/>
        <w:rPr>
          <w:rFonts w:hint="eastAsia" w:ascii="宋体" w:hAnsi="宋体" w:eastAsia="宋体" w:cs="宋体"/>
          <w:b w:val="0"/>
          <w:bCs/>
          <w:sz w:val="32"/>
          <w:szCs w:val="32"/>
        </w:rPr>
      </w:pPr>
      <w:r>
        <w:rPr>
          <w:rFonts w:hint="eastAsia" w:ascii="宋体" w:hAnsi="宋体" w:eastAsia="宋体" w:cs="宋体"/>
          <w:b w:val="0"/>
          <w:bCs/>
          <w:sz w:val="32"/>
          <w:szCs w:val="32"/>
        </w:rPr>
      </w:r>
      <w:r/>
    </w:p>
    <w:p>
      <w:pPr>
        <w:jc w:val="left"/>
        <w:rPr>
          <w:rFonts w:hint="eastAsia" w:ascii="宋体" w:hAnsi="宋体" w:eastAsia="宋体" w:cs="宋体"/>
          <w:b w:val="0"/>
          <w:bCs/>
          <w:sz w:val="32"/>
          <w:szCs w:val="32"/>
        </w:rPr>
      </w:pPr>
      <w:r>
        <w:rPr>
          <w:rFonts w:hint="eastAsia" w:ascii="宋体" w:hAnsi="宋体" w:eastAsia="宋体" w:cs="宋体"/>
          <w:b w:val="0"/>
          <w:bCs/>
          <w:sz w:val="32"/>
          <w:szCs w:val="32"/>
        </w:rPr>
      </w:r>
      <w:r/>
    </w:p>
    <w:p>
      <w:pPr>
        <w:jc w:val="left"/>
        <w:rPr>
          <w:rFonts w:hint="eastAsia" w:ascii="宋体" w:hAnsi="宋体" w:eastAsia="宋体" w:cs="宋体"/>
          <w:b w:val="0"/>
          <w:bCs/>
          <w:sz w:val="28"/>
          <w:szCs w:val="28"/>
          <w:lang w:eastAsia="zh-CN"/>
        </w:rPr>
      </w:pPr>
      <w:r>
        <w:rPr>
          <w:rFonts w:hint="eastAsia" w:ascii="宋体" w:hAnsi="宋体" w:eastAsia="宋体" w:cs="宋体"/>
          <w:b w:val="0"/>
          <w:bCs/>
          <w:sz w:val="28"/>
          <w:szCs w:val="28"/>
        </w:rPr>
        <w:t xml:space="preserve">项目编号：</w:t>
      </w:r>
      <w:r>
        <w:rPr>
          <w:rFonts w:hint="eastAsia" w:ascii="宋体" w:hAnsi="宋体" w:cs="宋体"/>
          <w:b w:val="0"/>
          <w:bCs/>
          <w:sz w:val="28"/>
          <w:szCs w:val="28"/>
          <w:lang w:eastAsia="zh-CN"/>
        </w:rPr>
        <w:t xml:space="preserve">JSZC-320312-XZZX-G2025-0006</w:t>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lang w:eastAsia="zh-CN"/>
        </w:rPr>
      </w:pPr>
      <w:r>
        <w:rPr>
          <w:rFonts w:hint="eastAsia" w:ascii="宋体" w:hAnsi="宋体" w:eastAsia="宋体" w:cs="宋体"/>
          <w:b w:val="0"/>
          <w:bCs/>
          <w:sz w:val="28"/>
          <w:szCs w:val="28"/>
        </w:rPr>
        <w:t xml:space="preserve">项目名称：</w:t>
      </w:r>
      <w:r>
        <w:rPr>
          <w:rFonts w:hint="eastAsia" w:ascii="宋体" w:hAnsi="宋体" w:cs="宋体"/>
          <w:b w:val="0"/>
          <w:bCs/>
          <w:sz w:val="28"/>
          <w:szCs w:val="28"/>
          <w:lang w:eastAsia="zh-CN"/>
        </w:rPr>
        <w:t xml:space="preserve">铜山区中小学教室空调配备项目（电力箱变设备）</w:t>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lang w:eastAsia="zh-CN"/>
        </w:rPr>
      </w:pPr>
      <w:r>
        <w:rPr>
          <w:rFonts w:hint="eastAsia" w:ascii="宋体" w:hAnsi="宋体" w:eastAsia="宋体" w:cs="宋体"/>
          <w:b w:val="0"/>
          <w:bCs/>
          <w:sz w:val="28"/>
          <w:szCs w:val="28"/>
        </w:rPr>
        <w:t xml:space="preserve">采购单位（甲方）：</w:t>
      </w:r>
      <w:r>
        <w:rPr>
          <w:rFonts w:hint="eastAsia" w:ascii="宋体" w:hAnsi="宋体" w:cs="宋体"/>
          <w:b w:val="0"/>
          <w:bCs/>
          <w:sz w:val="28"/>
          <w:szCs w:val="28"/>
          <w:lang w:eastAsia="zh-CN"/>
        </w:rPr>
        <w:t xml:space="preserve">徐州市铜山区教育局（机关）</w:t>
      </w:r>
      <w:r/>
    </w:p>
    <w:p>
      <w:pPr>
        <w:ind w:firstLine="630"/>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t xml:space="preserve">中标供应商（乙方）：</w:t>
      </w:r>
      <w:r/>
    </w:p>
    <w:p>
      <w:pPr>
        <w:ind w:firstLine="630"/>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r>
      <w:r/>
    </w:p>
    <w:p>
      <w:pPr>
        <w:jc w:val="left"/>
        <w:rPr>
          <w:rFonts w:hint="eastAsia" w:ascii="宋体" w:hAnsi="宋体" w:eastAsia="宋体" w:cs="宋体"/>
          <w:b w:val="0"/>
          <w:bCs/>
          <w:sz w:val="28"/>
          <w:szCs w:val="28"/>
        </w:rPr>
      </w:pPr>
      <w:r>
        <w:rPr>
          <w:rFonts w:hint="eastAsia" w:ascii="宋体" w:hAnsi="宋体" w:eastAsia="宋体" w:cs="宋体"/>
          <w:b w:val="0"/>
          <w:bCs/>
          <w:sz w:val="28"/>
          <w:szCs w:val="28"/>
        </w:rPr>
        <w:t xml:space="preserve">签订日期：    年  月  日</w:t>
      </w:r>
      <w:r/>
    </w:p>
    <w:p>
      <w:pPr>
        <w:rPr>
          <w:rFonts w:hint="eastAsia" w:ascii="宋体" w:hAnsi="宋体" w:eastAsia="宋体" w:cs="宋体"/>
          <w:b w:val="0"/>
          <w:bCs/>
          <w:sz w:val="24"/>
        </w:rPr>
      </w:pPr>
      <w:r>
        <w:rPr>
          <w:rFonts w:hint="eastAsia" w:ascii="宋体" w:hAnsi="宋体" w:eastAsia="宋体" w:cs="宋体"/>
          <w:b w:val="0"/>
          <w:bCs/>
          <w:sz w:val="24"/>
        </w:rPr>
      </w:r>
      <w:r/>
    </w:p>
    <w:p>
      <w:pPr>
        <w:pStyle w:val="1014"/>
        <w:ind w:left="0"/>
        <w:rPr>
          <w:rFonts w:hint="eastAsia" w:ascii="宋体" w:hAnsi="宋体" w:eastAsia="宋体" w:cs="宋体"/>
          <w:b w:val="0"/>
          <w:bCs/>
          <w:sz w:val="24"/>
        </w:rPr>
      </w:pPr>
      <w:r>
        <w:rPr>
          <w:rFonts w:hint="eastAsia" w:ascii="宋体" w:hAnsi="宋体" w:eastAsia="宋体" w:cs="宋体"/>
          <w:b w:val="0"/>
          <w:bCs/>
          <w:sz w:val="24"/>
        </w:rPr>
      </w:r>
      <w:r/>
    </w:p>
    <w:p>
      <w:pPr>
        <w:pStyle w:val="1014"/>
        <w:ind w:left="0" w:right="0"/>
        <w:spacing w:after="0"/>
        <w:rPr>
          <w:rFonts w:hint="eastAsia" w:ascii="宋体" w:hAnsi="宋体" w:eastAsia="宋体" w:cs="宋体"/>
          <w:b w:val="0"/>
          <w:bCs/>
          <w:sz w:val="24"/>
        </w:rPr>
      </w:pPr>
      <w:r>
        <w:rPr>
          <w:rFonts w:hint="eastAsia" w:ascii="宋体" w:hAnsi="宋体" w:eastAsia="宋体" w:cs="宋体"/>
          <w:b w:val="0"/>
          <w:bCs/>
          <w:sz w:val="24"/>
        </w:rPr>
      </w:r>
      <w:r/>
    </w:p>
    <w:p>
      <w:pPr>
        <w:pStyle w:val="1014"/>
        <w:ind w:left="0" w:right="0"/>
        <w:spacing w:after="0"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友情提醒：采购人与中标</w:t>
      </w:r>
      <w:r>
        <w:rPr>
          <w:rFonts w:hint="eastAsia" w:ascii="宋体" w:hAnsi="宋体" w:cs="宋体"/>
          <w:b w:val="0"/>
          <w:bCs/>
          <w:sz w:val="28"/>
          <w:szCs w:val="28"/>
          <w:lang w:eastAsia="zh-CN"/>
        </w:rPr>
        <w:t xml:space="preserve">，</w:t>
      </w:r>
      <w:r>
        <w:rPr>
          <w:rFonts w:hint="eastAsia" w:ascii="宋体" w:hAnsi="宋体" w:eastAsia="宋体" w:cs="宋体"/>
          <w:b w:val="0"/>
          <w:bCs/>
          <w:sz w:val="28"/>
          <w:szCs w:val="28"/>
        </w:rPr>
        <w:t xml:space="preserve">成交供应商应当在中标通知书发出之日起</w:t>
      </w:r>
      <w:r>
        <w:rPr>
          <w:rFonts w:hint="eastAsia" w:ascii="宋体" w:hAnsi="宋体" w:eastAsia="宋体" w:cs="宋体"/>
          <w:b/>
          <w:bCs w:val="0"/>
          <w:sz w:val="32"/>
          <w:szCs w:val="32"/>
        </w:rPr>
        <w:t xml:space="preserve">三十</w:t>
      </w:r>
      <w:r>
        <w:rPr>
          <w:rFonts w:hint="eastAsia" w:ascii="宋体" w:hAnsi="宋体" w:eastAsia="宋体" w:cs="宋体"/>
          <w:b w:val="0"/>
          <w:bCs/>
          <w:sz w:val="28"/>
          <w:szCs w:val="28"/>
        </w:rPr>
        <w:t xml:space="preserve">日内，按照采购文件确定的事项签订政府采购合同。</w:t>
      </w:r>
      <w:r/>
    </w:p>
    <w:p>
      <w:pPr>
        <w:pStyle w:val="1014"/>
        <w:ind w:left="0" w:right="0"/>
        <w:spacing w:after="0" w:line="360" w:lineRule="auto"/>
        <w:rPr>
          <w:rFonts w:hint="eastAsia" w:ascii="宋体" w:hAnsi="宋体" w:eastAsia="宋体" w:cs="宋体"/>
          <w:b w:val="0"/>
          <w:bCs/>
          <w:sz w:val="28"/>
          <w:szCs w:val="28"/>
        </w:rP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sz w:val="28"/>
          <w:szCs w:val="28"/>
        </w:rPr>
        <w:t xml:space="preserve">采购人应当自政府采购合同签订之日起</w:t>
      </w:r>
      <w:r>
        <w:rPr>
          <w:rFonts w:hint="eastAsia" w:ascii="宋体" w:hAnsi="宋体" w:eastAsia="宋体" w:cs="宋体"/>
          <w:b/>
          <w:bCs w:val="0"/>
          <w:sz w:val="32"/>
          <w:szCs w:val="32"/>
        </w:rPr>
        <w:t xml:space="preserve">2</w:t>
      </w:r>
      <w:r>
        <w:rPr>
          <w:rFonts w:hint="eastAsia" w:ascii="宋体" w:hAnsi="宋体" w:eastAsia="宋体" w:cs="宋体"/>
          <w:b w:val="0"/>
          <w:bCs/>
          <w:sz w:val="28"/>
          <w:szCs w:val="28"/>
        </w:rPr>
        <w:t xml:space="preserve">个工作日内，将政府采购合同在省级</w:t>
      </w:r>
      <w:r>
        <w:rPr>
          <w:rFonts w:hint="eastAsia" w:ascii="宋体" w:hAnsi="宋体" w:cs="宋体"/>
          <w:b w:val="0"/>
          <w:bCs/>
          <w:sz w:val="28"/>
          <w:szCs w:val="28"/>
          <w:lang w:val="en-US" w:eastAsia="zh-CN"/>
        </w:rPr>
        <w:t xml:space="preserve">及</w:t>
      </w:r>
      <w:r>
        <w:rPr>
          <w:rFonts w:hint="eastAsia" w:ascii="宋体" w:hAnsi="宋体" w:eastAsia="宋体" w:cs="宋体"/>
          <w:b w:val="0"/>
          <w:bCs/>
          <w:sz w:val="28"/>
          <w:szCs w:val="28"/>
        </w:rPr>
        <w:t xml:space="preserve">以上人民政府财政部门指定的媒体上公告，但政府采购合同中涉及国家秘密、商业秘密的内容除外。</w:t>
      </w:r>
      <w:r/>
    </w:p>
    <w:p>
      <w:pPr>
        <w:jc w:val="center"/>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第一条    定义</w:t>
      </w:r>
      <w:r/>
    </w:p>
    <w:p>
      <w:pPr>
        <w:rPr>
          <w:rFonts w:hint="eastAsia" w:ascii="宋体" w:hAnsi="宋体" w:eastAsia="宋体" w:cs="宋体"/>
          <w:sz w:val="24"/>
        </w:rPr>
      </w:pPr>
      <w:r>
        <w:rPr>
          <w:rFonts w:hint="eastAsia" w:ascii="宋体" w:hAnsi="宋体" w:eastAsia="宋体" w:cs="宋体"/>
          <w:sz w:val="24"/>
        </w:rPr>
        <w:t xml:space="preserve">第二条    合同范围</w:t>
      </w:r>
      <w:r/>
    </w:p>
    <w:p>
      <w:pPr>
        <w:rPr>
          <w:rFonts w:hint="eastAsia" w:ascii="宋体" w:hAnsi="宋体" w:eastAsia="宋体" w:cs="宋体"/>
          <w:sz w:val="24"/>
        </w:rPr>
      </w:pPr>
      <w:r>
        <w:rPr>
          <w:rFonts w:hint="eastAsia" w:ascii="宋体" w:hAnsi="宋体" w:eastAsia="宋体" w:cs="宋体"/>
          <w:sz w:val="24"/>
        </w:rPr>
        <w:t xml:space="preserve">第三条    价格</w:t>
      </w:r>
      <w:r/>
    </w:p>
    <w:p>
      <w:pPr>
        <w:rPr>
          <w:rFonts w:hint="eastAsia" w:ascii="宋体" w:hAnsi="宋体" w:eastAsia="宋体" w:cs="宋体"/>
          <w:sz w:val="24"/>
        </w:rPr>
      </w:pPr>
      <w:r>
        <w:rPr>
          <w:rFonts w:hint="eastAsia" w:ascii="宋体" w:hAnsi="宋体" w:eastAsia="宋体" w:cs="宋体"/>
          <w:sz w:val="24"/>
        </w:rPr>
        <w:t xml:space="preserve">第四条    支付</w:t>
      </w:r>
      <w:r/>
    </w:p>
    <w:p>
      <w:pPr>
        <w:rPr>
          <w:rFonts w:hint="eastAsia" w:ascii="宋体" w:hAnsi="宋体" w:eastAsia="宋体" w:cs="宋体"/>
          <w:sz w:val="24"/>
        </w:rPr>
      </w:pPr>
      <w:r>
        <w:rPr>
          <w:rFonts w:hint="eastAsia" w:ascii="宋体" w:hAnsi="宋体" w:eastAsia="宋体" w:cs="宋体"/>
          <w:sz w:val="24"/>
        </w:rPr>
        <w:t xml:space="preserve">第五条    交货</w:t>
      </w:r>
      <w:r/>
    </w:p>
    <w:p>
      <w:pPr>
        <w:rPr>
          <w:rFonts w:hint="eastAsia" w:ascii="宋体" w:hAnsi="宋体" w:eastAsia="宋体" w:cs="宋体"/>
          <w:sz w:val="24"/>
        </w:rPr>
      </w:pPr>
      <w:r>
        <w:rPr>
          <w:rFonts w:hint="eastAsia" w:ascii="宋体" w:hAnsi="宋体" w:eastAsia="宋体" w:cs="宋体"/>
          <w:sz w:val="24"/>
        </w:rPr>
        <w:t xml:space="preserve">第六条    包装和标记</w:t>
      </w:r>
      <w:r/>
    </w:p>
    <w:p>
      <w:pPr>
        <w:rPr>
          <w:rFonts w:hint="eastAsia" w:ascii="宋体" w:hAnsi="宋体" w:eastAsia="宋体" w:cs="宋体"/>
          <w:sz w:val="24"/>
        </w:rPr>
      </w:pPr>
      <w:r>
        <w:rPr>
          <w:rFonts w:hint="eastAsia" w:ascii="宋体" w:hAnsi="宋体" w:eastAsia="宋体" w:cs="宋体"/>
          <w:sz w:val="24"/>
        </w:rPr>
        <w:t xml:space="preserve">第七条    技术资料</w:t>
      </w:r>
      <w:r/>
    </w:p>
    <w:p>
      <w:pPr>
        <w:rPr>
          <w:rFonts w:hint="eastAsia" w:ascii="宋体" w:hAnsi="宋体" w:eastAsia="宋体" w:cs="宋体"/>
          <w:sz w:val="24"/>
        </w:rPr>
      </w:pPr>
      <w:r>
        <w:rPr>
          <w:rFonts w:hint="eastAsia" w:ascii="宋体" w:hAnsi="宋体" w:eastAsia="宋体" w:cs="宋体"/>
          <w:sz w:val="24"/>
        </w:rPr>
        <w:t xml:space="preserve">第八条    安装</w:t>
      </w:r>
      <w:r/>
    </w:p>
    <w:p>
      <w:pPr>
        <w:rPr>
          <w:rFonts w:hint="eastAsia" w:ascii="宋体" w:hAnsi="宋体" w:eastAsia="宋体" w:cs="宋体"/>
          <w:sz w:val="24"/>
        </w:rPr>
      </w:pPr>
      <w:r>
        <w:rPr>
          <w:rFonts w:hint="eastAsia" w:ascii="宋体" w:hAnsi="宋体" w:eastAsia="宋体" w:cs="宋体"/>
          <w:sz w:val="24"/>
        </w:rPr>
        <w:t xml:space="preserve">第九条    验收</w:t>
      </w:r>
      <w:r/>
    </w:p>
    <w:p>
      <w:pPr>
        <w:rPr>
          <w:rFonts w:hint="eastAsia" w:ascii="宋体" w:hAnsi="宋体" w:eastAsia="宋体" w:cs="宋体"/>
          <w:sz w:val="24"/>
        </w:rPr>
      </w:pPr>
      <w:r>
        <w:rPr>
          <w:rFonts w:hint="eastAsia" w:ascii="宋体" w:hAnsi="宋体" w:eastAsia="宋体" w:cs="宋体"/>
          <w:sz w:val="24"/>
        </w:rPr>
        <w:t xml:space="preserve">第十条    售后服务和技术培训</w:t>
      </w:r>
      <w:r/>
    </w:p>
    <w:p>
      <w:pPr>
        <w:rPr>
          <w:rFonts w:hint="eastAsia" w:ascii="宋体" w:hAnsi="宋体" w:eastAsia="宋体" w:cs="宋体"/>
          <w:sz w:val="24"/>
        </w:rPr>
      </w:pPr>
      <w:r>
        <w:rPr>
          <w:rFonts w:hint="eastAsia" w:ascii="宋体" w:hAnsi="宋体" w:eastAsia="宋体" w:cs="宋体"/>
          <w:sz w:val="24"/>
        </w:rPr>
        <w:t xml:space="preserve">第十一条  索赔</w:t>
      </w:r>
      <w:r/>
    </w:p>
    <w:p>
      <w:pPr>
        <w:rPr>
          <w:rFonts w:hint="eastAsia" w:ascii="宋体" w:hAnsi="宋体" w:eastAsia="宋体" w:cs="宋体"/>
          <w:sz w:val="24"/>
        </w:rPr>
      </w:pPr>
      <w:r>
        <w:rPr>
          <w:rFonts w:hint="eastAsia" w:ascii="宋体" w:hAnsi="宋体" w:eastAsia="宋体" w:cs="宋体"/>
          <w:sz w:val="24"/>
        </w:rPr>
        <w:t xml:space="preserve">第十二条  不可抗力</w:t>
      </w:r>
      <w:r/>
    </w:p>
    <w:p>
      <w:pPr>
        <w:rPr>
          <w:rFonts w:hint="eastAsia" w:ascii="宋体" w:hAnsi="宋体" w:eastAsia="宋体" w:cs="宋体"/>
          <w:sz w:val="24"/>
        </w:rPr>
      </w:pPr>
      <w:r>
        <w:rPr>
          <w:rFonts w:hint="eastAsia" w:ascii="宋体" w:hAnsi="宋体" w:eastAsia="宋体" w:cs="宋体"/>
          <w:sz w:val="24"/>
        </w:rPr>
        <w:t xml:space="preserve">第十三条  合同的终止</w:t>
      </w:r>
      <w:r/>
    </w:p>
    <w:p>
      <w:pPr>
        <w:rPr>
          <w:rFonts w:hint="eastAsia" w:ascii="宋体" w:hAnsi="宋体" w:eastAsia="宋体" w:cs="宋体"/>
          <w:sz w:val="24"/>
        </w:rPr>
      </w:pPr>
      <w:r>
        <w:rPr>
          <w:rFonts w:hint="eastAsia" w:ascii="宋体" w:hAnsi="宋体" w:eastAsia="宋体" w:cs="宋体"/>
          <w:sz w:val="24"/>
        </w:rPr>
        <w:t xml:space="preserve">第十四条  争议的解决</w:t>
      </w:r>
      <w:r/>
    </w:p>
    <w:p>
      <w:pPr>
        <w:rPr>
          <w:rFonts w:hint="eastAsia" w:ascii="宋体" w:hAnsi="宋体" w:eastAsia="宋体" w:cs="宋体"/>
          <w:sz w:val="24"/>
        </w:rPr>
      </w:pPr>
      <w:r>
        <w:rPr>
          <w:rFonts w:hint="eastAsia" w:ascii="宋体" w:hAnsi="宋体" w:eastAsia="宋体" w:cs="宋体"/>
          <w:sz w:val="24"/>
        </w:rPr>
        <w:t xml:space="preserve">第十五条  适用法律</w:t>
      </w:r>
      <w:r/>
    </w:p>
    <w:p>
      <w:pPr>
        <w:rPr>
          <w:rFonts w:hint="eastAsia" w:ascii="宋体" w:hAnsi="宋体" w:eastAsia="宋体" w:cs="宋体"/>
          <w:sz w:val="24"/>
        </w:rPr>
      </w:pPr>
      <w:r>
        <w:rPr>
          <w:rFonts w:hint="eastAsia" w:ascii="宋体" w:hAnsi="宋体" w:eastAsia="宋体" w:cs="宋体"/>
          <w:sz w:val="24"/>
        </w:rPr>
        <w:t xml:space="preserve">第十六条  权利保证</w:t>
      </w:r>
      <w:r/>
    </w:p>
    <w:p>
      <w:pPr>
        <w:rPr>
          <w:rFonts w:hint="eastAsia" w:ascii="宋体" w:hAnsi="宋体" w:eastAsia="宋体" w:cs="宋体"/>
          <w:sz w:val="24"/>
        </w:rPr>
      </w:pPr>
      <w:r>
        <w:rPr>
          <w:rFonts w:hint="eastAsia" w:ascii="宋体" w:hAnsi="宋体" w:eastAsia="宋体" w:cs="宋体"/>
          <w:sz w:val="24"/>
        </w:rPr>
        <w:t xml:space="preserve">第十七条  保密</w:t>
      </w:r>
      <w:r/>
    </w:p>
    <w:p>
      <w:pPr>
        <w:rPr>
          <w:rFonts w:hint="eastAsia" w:ascii="宋体" w:hAnsi="宋体" w:eastAsia="宋体" w:cs="宋体"/>
          <w:sz w:val="24"/>
        </w:rPr>
      </w:pPr>
      <w:r>
        <w:rPr>
          <w:rFonts w:hint="eastAsia" w:ascii="宋体" w:hAnsi="宋体" w:eastAsia="宋体" w:cs="宋体"/>
          <w:sz w:val="24"/>
        </w:rPr>
        <w:t xml:space="preserve">第十八条  合同生效及其他</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第一条  定义</w:t>
      </w:r>
      <w:r/>
    </w:p>
    <w:p>
      <w:pPr>
        <w:ind w:firstLine="480"/>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rPr>
      </w:pPr>
      <w:r>
        <w:rPr>
          <w:rFonts w:hint="eastAsia" w:ascii="宋体" w:hAnsi="宋体" w:eastAsia="宋体" w:cs="宋体"/>
          <w:sz w:val="24"/>
        </w:rPr>
        <w:t xml:space="preserve">2.2数量：见招标文件第六章《采购需求》。</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第三条 价格</w:t>
      </w:r>
      <w:r/>
    </w:p>
    <w:p>
      <w:pPr>
        <w:ind w:firstLine="480"/>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第八条 安装</w:t>
      </w:r>
      <w:r/>
    </w:p>
    <w:p>
      <w:pPr>
        <w:ind w:firstLine="480"/>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第九条 验收</w:t>
      </w:r>
      <w:r/>
    </w:p>
    <w:p>
      <w:pPr>
        <w:ind w:firstLine="480"/>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第十一条 索赔</w:t>
      </w:r>
      <w:r/>
    </w:p>
    <w:p>
      <w:pPr>
        <w:ind w:firstLine="480"/>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rPr>
          <w:rFonts w:hint="eastAsia" w:ascii="宋体" w:hAnsi="宋体" w:eastAsia="宋体" w:cs="宋体"/>
          <w:sz w:val="24"/>
        </w:rPr>
      </w:pPr>
      <w:r>
        <w:rPr>
          <w:rFonts w:hint="eastAsia" w:ascii="宋体" w:hAnsi="宋体" w:eastAsia="宋体" w:cs="宋体"/>
          <w:sz w:val="24"/>
        </w:rPr>
        <w:t xml:space="preserve">C. 拒收合同标的。</w:t>
      </w:r>
      <w:r/>
    </w:p>
    <w:p>
      <w:pPr>
        <w:ind w:firstLine="480"/>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rPr>
          <w:rFonts w:hint="eastAsia" w:ascii="宋体" w:hAnsi="宋体" w:eastAsia="宋体" w:cs="宋体"/>
          <w:sz w:val="24"/>
        </w:rPr>
      </w:pPr>
      <w:r>
        <w:rPr>
          <w:rFonts w:hint="eastAsia" w:ascii="宋体" w:hAnsi="宋体" w:eastAsia="宋体" w:cs="宋体"/>
          <w:sz w:val="24"/>
        </w:rPr>
        <w:t xml:space="preserve">12.1如果合同任何一方</w:t>
      </w:r>
      <w:r>
        <w:rPr>
          <w:rFonts w:hint="eastAsia" w:ascii="宋体" w:hAnsi="宋体" w:cs="宋体"/>
          <w:sz w:val="24"/>
          <w:lang w:eastAsia="zh-CN"/>
        </w:rPr>
        <w:t xml:space="preserve">受到</w:t>
      </w:r>
      <w:r>
        <w:rPr>
          <w:rFonts w:hint="eastAsia" w:ascii="宋体" w:hAnsi="宋体" w:eastAsia="宋体" w:cs="宋体"/>
          <w:sz w:val="24"/>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w:t>
      </w:r>
      <w:r>
        <w:rPr>
          <w:rFonts w:hint="eastAsia" w:ascii="宋体" w:hAnsi="宋体" w:cs="宋体"/>
          <w:sz w:val="24"/>
          <w:lang w:eastAsia="zh-CN"/>
        </w:rPr>
        <w:t xml:space="preserve">其他</w:t>
      </w:r>
      <w:r>
        <w:rPr>
          <w:rFonts w:hint="eastAsia" w:ascii="宋体" w:hAnsi="宋体" w:eastAsia="宋体" w:cs="宋体"/>
          <w:sz w:val="24"/>
        </w:rPr>
        <w:t xml:space="preserve">救济手段的情况下，买方可以向卖方发出书面违约通知，全部或部分地终止合同。</w:t>
      </w:r>
      <w:r/>
    </w:p>
    <w:p>
      <w:pPr>
        <w:ind w:firstLine="480"/>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rPr>
          <w:rFonts w:hint="eastAsia" w:ascii="宋体" w:hAnsi="宋体" w:eastAsia="宋体" w:cs="宋体"/>
          <w:sz w:val="24"/>
        </w:rPr>
      </w:pPr>
      <w:r>
        <w:rPr>
          <w:rFonts w:hint="eastAsia" w:ascii="宋体" w:hAnsi="宋体" w:eastAsia="宋体" w:cs="宋体"/>
          <w:sz w:val="24"/>
        </w:rPr>
        <w:t xml:space="preserve">C. 卖方未能履行合同项下任何</w:t>
      </w:r>
      <w:r>
        <w:rPr>
          <w:rFonts w:hint="eastAsia" w:ascii="宋体" w:hAnsi="宋体" w:cs="宋体"/>
          <w:sz w:val="24"/>
          <w:lang w:eastAsia="zh-CN"/>
        </w:rPr>
        <w:t xml:space="preserve">其他</w:t>
      </w:r>
      <w:r>
        <w:rPr>
          <w:rFonts w:hint="eastAsia" w:ascii="宋体" w:hAnsi="宋体" w:eastAsia="宋体" w:cs="宋体"/>
          <w:sz w:val="24"/>
        </w:rPr>
        <w:t xml:space="preserve">义务，并且在收到买方违约通知后未能按《合同专用条款》中规定的期限对其违约行为作出补救。</w:t>
      </w:r>
      <w:r/>
    </w:p>
    <w:p>
      <w:pPr>
        <w:ind w:firstLine="480"/>
        <w:rPr>
          <w:rFonts w:hint="eastAsia" w:ascii="宋体" w:hAnsi="宋体" w:eastAsia="宋体" w:cs="宋体"/>
          <w:sz w:val="24"/>
        </w:rPr>
      </w:pPr>
      <w:r>
        <w:rPr>
          <w:rFonts w:hint="eastAsia" w:ascii="宋体" w:hAnsi="宋体" w:eastAsia="宋体" w:cs="宋体"/>
          <w:sz w:val="24"/>
        </w:rPr>
        <w:t xml:space="preserve">13.2如果一方破产或发生资不抵债的情况</w:t>
      </w:r>
      <w:r>
        <w:rPr>
          <w:rFonts w:hint="eastAsia" w:ascii="宋体" w:hAnsi="宋体" w:cs="宋体"/>
          <w:sz w:val="24"/>
          <w:lang w:eastAsia="zh-CN"/>
        </w:rPr>
        <w:t xml:space="preserve">，</w:t>
      </w:r>
      <w:r>
        <w:rPr>
          <w:rFonts w:hint="eastAsia" w:ascii="宋体" w:hAnsi="宋体" w:eastAsia="宋体" w:cs="宋体"/>
          <w:sz w:val="24"/>
        </w:rPr>
        <w:t xml:space="preserve">合同另一方有权在任何时候发出书面通知终止合同。此种情况下合同的终止不妨碍或影响行使任何可能的</w:t>
      </w:r>
      <w:r>
        <w:rPr>
          <w:rFonts w:hint="eastAsia" w:ascii="宋体" w:hAnsi="宋体" w:cs="宋体"/>
          <w:sz w:val="24"/>
          <w:lang w:eastAsia="zh-CN"/>
        </w:rPr>
        <w:t xml:space="preserve">其他</w:t>
      </w:r>
      <w:r>
        <w:rPr>
          <w:rFonts w:hint="eastAsia" w:ascii="宋体" w:hAnsi="宋体" w:eastAsia="宋体" w:cs="宋体"/>
          <w:sz w:val="24"/>
        </w:rPr>
        <w:t xml:space="preserve">救济手段。</w:t>
      </w:r>
      <w:r/>
    </w:p>
    <w:p>
      <w:pPr>
        <w:ind w:firstLine="480"/>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w:t>
      </w:r>
      <w:r>
        <w:rPr>
          <w:rFonts w:hint="eastAsia" w:ascii="宋体" w:hAnsi="宋体" w:cs="宋体"/>
          <w:sz w:val="24"/>
          <w:lang w:eastAsia="zh-CN"/>
        </w:rPr>
        <w:t xml:space="preserve">，</w:t>
      </w:r>
      <w:r>
        <w:rPr>
          <w:rFonts w:hint="eastAsia" w:ascii="宋体" w:hAnsi="宋体" w:eastAsia="宋体" w:cs="宋体"/>
          <w:sz w:val="24"/>
        </w:rPr>
        <w:t xml:space="preserve">买方有权在任何时候发出书面通知终止合同。</w:t>
      </w:r>
      <w:r/>
    </w:p>
    <w:p>
      <w:pPr>
        <w:ind w:left="1" w:firstLine="537"/>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w:t>
      </w:r>
      <w:r>
        <w:rPr>
          <w:rFonts w:hint="eastAsia" w:ascii="宋体" w:hAnsi="宋体" w:cs="宋体"/>
          <w:sz w:val="24"/>
          <w:lang w:eastAsia="zh-CN"/>
        </w:rPr>
        <w:t xml:space="preserve">按照</w:t>
      </w:r>
      <w:r>
        <w:rPr>
          <w:rFonts w:hint="eastAsia" w:ascii="宋体" w:hAnsi="宋体" w:eastAsia="宋体" w:cs="宋体"/>
          <w:sz w:val="24"/>
        </w:rPr>
        <w:t xml:space="preserve">中华人民共和国的法律进行解释。</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第十七条  保密 </w:t>
      </w:r>
      <w:r/>
    </w:p>
    <w:p>
      <w:pPr>
        <w:ind w:firstLine="480"/>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lang w:eastAsia="zh-CN"/>
        </w:rPr>
        <w:t xml:space="preserve">其他</w:t>
      </w:r>
      <w:r>
        <w:rPr>
          <w:rFonts w:hint="eastAsia" w:ascii="宋体" w:hAnsi="宋体" w:eastAsia="宋体" w:cs="宋体"/>
          <w:sz w:val="24"/>
        </w:rPr>
        <w:t xml:space="preserve">违约义务。</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w:t>
      </w:r>
      <w:r>
        <w:rPr>
          <w:rFonts w:hint="eastAsia" w:ascii="宋体" w:hAnsi="宋体" w:cs="宋体"/>
          <w:sz w:val="24"/>
          <w:lang w:eastAsia="zh-CN"/>
        </w:rPr>
        <w:t xml:space="preserve">书写</w:t>
      </w:r>
      <w:r>
        <w:rPr>
          <w:rFonts w:hint="eastAsia" w:ascii="宋体" w:hAnsi="宋体" w:eastAsia="宋体" w:cs="宋体"/>
          <w:sz w:val="24"/>
        </w:rPr>
        <w:t xml:space="preserve">并按中文解释。</w:t>
      </w:r>
      <w:r/>
    </w:p>
    <w:p>
      <w:pPr>
        <w:ind w:firstLine="480"/>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w:t>
      </w:r>
      <w:r>
        <w:rPr>
          <w:rFonts w:hint="eastAsia" w:ascii="宋体" w:hAnsi="宋体" w:cs="宋体"/>
          <w:sz w:val="24"/>
          <w:lang w:eastAsia="zh-CN"/>
        </w:rPr>
        <w:t xml:space="preserve">（</w:t>
      </w:r>
      <w:r>
        <w:rPr>
          <w:rFonts w:hint="eastAsia" w:ascii="宋体" w:hAnsi="宋体" w:eastAsia="宋体" w:cs="宋体"/>
          <w:sz w:val="24"/>
        </w:rPr>
        <w:t xml:space="preserve">不论是书面的，还是口头的</w:t>
      </w:r>
      <w:r>
        <w:rPr>
          <w:rFonts w:hint="eastAsia" w:ascii="宋体" w:hAnsi="宋体" w:cs="宋体"/>
          <w:sz w:val="24"/>
          <w:lang w:eastAsia="zh-CN"/>
        </w:rPr>
        <w:t xml:space="preserve">）</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szCs w:val="24"/>
          <w:u w:val="single"/>
        </w:rPr>
      </w:pPr>
      <w:r>
        <w:rPr>
          <w:rFonts w:ascii="宋体" w:hAnsi="宋体" w:cs="宋体"/>
          <w:bCs/>
          <w:szCs w:val="24"/>
          <w:u w:val="single"/>
        </w:rPr>
      </w:r>
      <w:r/>
    </w:p>
    <w:p>
      <w:pPr>
        <w:ind w:firstLine="600"/>
        <w:jc w:val="center"/>
        <w:rPr>
          <w:rFonts w:ascii="宋体" w:hAnsi="宋体" w:cs="宋体"/>
          <w:bCs/>
          <w:szCs w:val="24"/>
          <w:u w:val="single"/>
        </w:rPr>
      </w:pPr>
      <w:r>
        <w:rPr>
          <w:rFonts w:ascii="宋体" w:hAnsi="宋体" w:cs="宋体"/>
          <w:bCs/>
          <w:szCs w:val="24"/>
          <w:u w:val="single"/>
        </w:rPr>
      </w:r>
      <w:r/>
    </w:p>
    <w:p>
      <w:pPr>
        <w:ind w:firstLine="600"/>
        <w:jc w:val="center"/>
        <w:rPr>
          <w:rFonts w:hint="eastAsia" w:ascii="宋体" w:hAnsi="宋体" w:eastAsia="宋体" w:cs="宋体"/>
          <w:sz w:val="24"/>
          <w:szCs w:val="24"/>
        </w:rPr>
      </w:pPr>
      <w:r>
        <w:rPr>
          <w:rFonts w:hint="eastAsia" w:ascii="宋体" w:hAnsi="宋体" w:eastAsia="宋体" w:cs="宋体"/>
          <w:sz w:val="24"/>
          <w:szCs w:val="24"/>
        </w:rPr>
        <w:t xml:space="preserve">合同专用条款</w:t>
      </w:r>
      <w:r/>
    </w:p>
    <w:p>
      <w:pPr>
        <w:jc w:val="center"/>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甲方（买方）：</w:t>
      </w:r>
      <w:r>
        <w:rPr>
          <w:rFonts w:hint="eastAsia" w:ascii="宋体" w:hAnsi="宋体" w:cs="宋体"/>
          <w:sz w:val="24"/>
          <w:szCs w:val="24"/>
          <w:u w:val="single"/>
          <w:lang w:eastAsia="zh-CN"/>
        </w:rPr>
        <w:t xml:space="preserve">徐州市铜山区教育局（机关）</w:t>
      </w:r>
      <w:r>
        <w:rPr>
          <w:rFonts w:hint="eastAsia" w:ascii="宋体" w:hAnsi="宋体" w:eastAsia="宋体" w:cs="宋体"/>
          <w:sz w:val="24"/>
          <w:szCs w:val="24"/>
          <w:u w:val="single"/>
        </w:rPr>
        <w:t xml:space="preserve"> </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rPr>
        <w:t xml:space="preserve">的权利、义务，确保合同双方共同执行。</w:t>
      </w:r>
      <w:r/>
    </w:p>
    <w:p>
      <w:pPr>
        <w:spacing w:line="360" w:lineRule="exact"/>
        <w:rPr>
          <w:rStyle w:val="988"/>
          <w:rFonts w:cs="黑体"/>
          <w:b/>
          <w:color w:val="000000"/>
          <w:sz w:val="24"/>
          <w:szCs w:val="24"/>
        </w:rPr>
      </w:pPr>
      <w:r>
        <w:rPr>
          <w:rFonts w:hint="eastAsia" w:ascii="宋体" w:hAnsi="宋体" w:cs="宋体"/>
          <w:b/>
          <w:sz w:val="24"/>
          <w:szCs w:val="24"/>
        </w:rPr>
        <w:t xml:space="preserve">第一条</w:t>
      </w:r>
      <w:r>
        <w:rPr>
          <w:rFonts w:ascii="宋体" w:hAnsi="宋体" w:cs="宋体"/>
          <w:b/>
          <w:sz w:val="24"/>
          <w:szCs w:val="24"/>
        </w:rPr>
        <w:t xml:space="preserve"> </w:t>
      </w:r>
      <w:r>
        <w:rPr>
          <w:rStyle w:val="988"/>
          <w:rFonts w:hint="eastAsia" w:cs="黑体"/>
          <w:b/>
          <w:color w:val="000000"/>
          <w:sz w:val="24"/>
          <w:szCs w:val="24"/>
        </w:rPr>
        <w:t xml:space="preserve">产品名称、种类、规格、数量及价款</w:t>
      </w:r>
      <w:r/>
    </w:p>
    <w:tbl>
      <w:tblPr>
        <w:tblStyle w:val="827"/>
        <w:tblW w:w="9776"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29"/>
        <w:gridCol w:w="1163"/>
        <w:gridCol w:w="1688"/>
        <w:gridCol w:w="810"/>
        <w:gridCol w:w="810"/>
        <w:gridCol w:w="800"/>
        <w:gridCol w:w="1428"/>
        <w:gridCol w:w="1548"/>
      </w:tblGrid>
      <w:tr>
        <w:trPr>
          <w:cantSplit/>
          <w:jc w:val="center"/>
          <w:tblCellSpacing w:w="0" w:type="dxa"/>
          <w:trHeight w:val="344"/>
        </w:trPr>
        <w:tc>
          <w:tcPr>
            <w:tcW w:w="1529" w:type="dxa"/>
            <w:vAlign w:val="center"/>
            <w:textDirection w:val="lrTb"/>
            <w:noWrap w:val="false"/>
          </w:tcPr>
          <w:p>
            <w:pPr>
              <w:jc w:val="center"/>
              <w:spacing w:line="360" w:lineRule="exact"/>
              <w:rPr>
                <w:rFonts w:ascii="宋体" w:hAnsi="宋体"/>
                <w:b/>
                <w:sz w:val="24"/>
                <w:szCs w:val="24"/>
              </w:rPr>
            </w:pPr>
            <w:r>
              <w:rPr>
                <w:rStyle w:val="988"/>
                <w:rFonts w:hint="eastAsia" w:ascii="宋体" w:hAnsi="宋体" w:cs="黑体"/>
                <w:b/>
                <w:color w:val="000000"/>
                <w:sz w:val="24"/>
                <w:szCs w:val="24"/>
              </w:rPr>
              <w:t xml:space="preserve">产品</w:t>
            </w:r>
            <w:r>
              <w:rPr>
                <w:rFonts w:hint="eastAsia" w:ascii="宋体" w:hAnsi="宋体"/>
                <w:b/>
                <w:sz w:val="24"/>
                <w:szCs w:val="24"/>
              </w:rPr>
              <w:t xml:space="preserve">名称</w:t>
            </w:r>
            <w:r/>
          </w:p>
        </w:tc>
        <w:tc>
          <w:tcPr>
            <w:tcW w:w="1163" w:type="dxa"/>
            <w:vAlign w:val="center"/>
            <w:textDirection w:val="lrTb"/>
            <w:noWrap w:val="false"/>
          </w:tcPr>
          <w:p>
            <w:pPr>
              <w:jc w:val="center"/>
              <w:spacing w:line="360" w:lineRule="exact"/>
              <w:rPr>
                <w:rFonts w:ascii="宋体" w:hAnsi="宋体"/>
                <w:b/>
                <w:sz w:val="24"/>
                <w:szCs w:val="24"/>
              </w:rPr>
            </w:pPr>
            <w:r>
              <w:rPr>
                <w:rFonts w:hint="eastAsia" w:ascii="宋体" w:hAnsi="宋体"/>
                <w:b/>
                <w:sz w:val="24"/>
                <w:szCs w:val="24"/>
              </w:rPr>
              <w:t xml:space="preserve">规格</w:t>
            </w:r>
            <w:r>
              <w:rPr>
                <w:rFonts w:ascii="宋体" w:hAnsi="宋体"/>
                <w:b/>
                <w:sz w:val="24"/>
                <w:szCs w:val="24"/>
              </w:rPr>
              <w:t xml:space="preserve">/</w:t>
            </w:r>
            <w:r>
              <w:rPr>
                <w:rFonts w:hint="eastAsia" w:ascii="宋体" w:hAnsi="宋体"/>
                <w:b/>
                <w:sz w:val="24"/>
                <w:szCs w:val="24"/>
              </w:rPr>
              <w:t xml:space="preserve">型号</w:t>
            </w:r>
            <w:r/>
          </w:p>
        </w:tc>
        <w:tc>
          <w:tcPr>
            <w:tcW w:w="1688" w:type="dxa"/>
            <w:vAlign w:val="center"/>
            <w:textDirection w:val="lrTb"/>
            <w:noWrap w:val="false"/>
          </w:tcPr>
          <w:p>
            <w:pPr>
              <w:jc w:val="center"/>
              <w:spacing w:line="360" w:lineRule="exact"/>
              <w:rPr>
                <w:rFonts w:ascii="宋体" w:hAnsi="宋体"/>
                <w:b/>
                <w:sz w:val="24"/>
                <w:szCs w:val="24"/>
              </w:rPr>
            </w:pPr>
            <w:r>
              <w:rPr>
                <w:rFonts w:hint="eastAsia" w:ascii="宋体" w:hAnsi="宋体"/>
                <w:b/>
                <w:sz w:val="24"/>
                <w:szCs w:val="24"/>
              </w:rPr>
              <w:t xml:space="preserve">生产厂家</w:t>
            </w:r>
            <w:r/>
          </w:p>
        </w:tc>
        <w:tc>
          <w:tcPr>
            <w:tcW w:w="810" w:type="dxa"/>
            <w:vAlign w:val="center"/>
            <w:textDirection w:val="lrTb"/>
            <w:noWrap w:val="false"/>
          </w:tcPr>
          <w:p>
            <w:pPr>
              <w:jc w:val="center"/>
              <w:spacing w:line="360" w:lineRule="exact"/>
              <w:rPr>
                <w:rFonts w:ascii="宋体" w:hAnsi="宋体"/>
                <w:b/>
                <w:sz w:val="24"/>
                <w:szCs w:val="24"/>
              </w:rPr>
            </w:pPr>
            <w:r>
              <w:rPr>
                <w:rFonts w:hint="eastAsia" w:ascii="宋体" w:hAnsi="宋体"/>
                <w:b/>
                <w:sz w:val="24"/>
                <w:szCs w:val="24"/>
              </w:rPr>
              <w:t xml:space="preserve">产地</w:t>
            </w:r>
            <w:r/>
          </w:p>
        </w:tc>
        <w:tc>
          <w:tcPr>
            <w:tcW w:w="810" w:type="dxa"/>
            <w:vAlign w:val="center"/>
            <w:textDirection w:val="lrTb"/>
            <w:noWrap w:val="false"/>
          </w:tcPr>
          <w:p>
            <w:pPr>
              <w:jc w:val="center"/>
              <w:spacing w:line="360" w:lineRule="exact"/>
              <w:rPr>
                <w:rFonts w:ascii="宋体" w:hAnsi="宋体"/>
                <w:b/>
                <w:sz w:val="24"/>
                <w:szCs w:val="24"/>
              </w:rPr>
            </w:pPr>
            <w:r>
              <w:rPr>
                <w:rFonts w:hint="eastAsia" w:ascii="宋体" w:hAnsi="宋体"/>
                <w:b/>
                <w:sz w:val="24"/>
                <w:szCs w:val="24"/>
              </w:rPr>
              <w:t xml:space="preserve">单位</w:t>
            </w:r>
            <w:r/>
          </w:p>
        </w:tc>
        <w:tc>
          <w:tcPr>
            <w:tcW w:w="800" w:type="dxa"/>
            <w:vAlign w:val="center"/>
            <w:textDirection w:val="lrTb"/>
            <w:noWrap w:val="false"/>
          </w:tcPr>
          <w:p>
            <w:pPr>
              <w:jc w:val="center"/>
              <w:spacing w:line="360" w:lineRule="exact"/>
              <w:rPr>
                <w:rFonts w:ascii="宋体" w:hAnsi="宋体"/>
                <w:b/>
                <w:sz w:val="24"/>
                <w:szCs w:val="24"/>
              </w:rPr>
            </w:pPr>
            <w:r>
              <w:rPr>
                <w:rFonts w:hint="eastAsia" w:ascii="宋体" w:hAnsi="宋体"/>
                <w:b/>
                <w:sz w:val="24"/>
                <w:szCs w:val="24"/>
              </w:rPr>
              <w:t xml:space="preserve">数量</w:t>
            </w:r>
            <w:r/>
          </w:p>
        </w:tc>
        <w:tc>
          <w:tcPr>
            <w:tcW w:w="1428" w:type="dxa"/>
            <w:vAlign w:val="center"/>
            <w:textDirection w:val="lrTb"/>
            <w:noWrap w:val="false"/>
          </w:tcPr>
          <w:p>
            <w:pPr>
              <w:jc w:val="center"/>
              <w:spacing w:line="360" w:lineRule="exact"/>
              <w:rPr>
                <w:rFonts w:ascii="宋体" w:hAnsi="宋体"/>
                <w:b/>
                <w:sz w:val="24"/>
                <w:szCs w:val="24"/>
              </w:rPr>
            </w:pPr>
            <w:r>
              <w:rPr>
                <w:rFonts w:hint="eastAsia" w:ascii="宋体" w:hAnsi="宋体"/>
                <w:b/>
                <w:sz w:val="24"/>
                <w:szCs w:val="24"/>
              </w:rPr>
              <w:t xml:space="preserve">单价</w:t>
            </w:r>
            <w:r>
              <w:rPr>
                <w:rFonts w:hint="eastAsia" w:ascii="宋体" w:hAnsi="宋体"/>
                <w:b/>
                <w:sz w:val="24"/>
                <w:szCs w:val="24"/>
                <w:lang w:eastAsia="zh-CN"/>
              </w:rPr>
              <w:t xml:space="preserve">（</w:t>
            </w:r>
            <w:r>
              <w:rPr>
                <w:rFonts w:hint="eastAsia" w:ascii="宋体" w:hAnsi="宋体"/>
                <w:sz w:val="24"/>
                <w:szCs w:val="24"/>
              </w:rPr>
              <w:t xml:space="preserve">¥</w:t>
            </w:r>
            <w:r>
              <w:rPr>
                <w:rFonts w:hint="eastAsia" w:ascii="宋体" w:hAnsi="宋体"/>
                <w:b/>
                <w:sz w:val="24"/>
                <w:szCs w:val="24"/>
              </w:rPr>
              <w:t xml:space="preserve">元</w:t>
            </w:r>
            <w:r>
              <w:rPr>
                <w:rFonts w:hint="eastAsia" w:ascii="宋体" w:hAnsi="宋体"/>
                <w:b/>
                <w:sz w:val="24"/>
                <w:szCs w:val="24"/>
                <w:lang w:eastAsia="zh-CN"/>
              </w:rPr>
              <w:t xml:space="preserve">）</w:t>
            </w:r>
            <w:r/>
          </w:p>
        </w:tc>
        <w:tc>
          <w:tcPr>
            <w:tcW w:w="1548" w:type="dxa"/>
            <w:vAlign w:val="center"/>
            <w:textDirection w:val="lrTb"/>
            <w:noWrap w:val="false"/>
          </w:tcPr>
          <w:p>
            <w:pPr>
              <w:jc w:val="center"/>
              <w:spacing w:line="360" w:lineRule="exact"/>
              <w:rPr>
                <w:rFonts w:ascii="宋体" w:hAnsi="宋体"/>
                <w:b/>
                <w:sz w:val="24"/>
                <w:szCs w:val="24"/>
              </w:rPr>
            </w:pPr>
            <w:r>
              <w:rPr>
                <w:rFonts w:hint="eastAsia" w:ascii="宋体" w:hAnsi="宋体"/>
                <w:b/>
                <w:sz w:val="24"/>
                <w:szCs w:val="24"/>
              </w:rPr>
              <w:t xml:space="preserve">小计</w:t>
            </w:r>
            <w:r>
              <w:rPr>
                <w:rFonts w:hint="eastAsia" w:ascii="宋体" w:hAnsi="宋体"/>
                <w:b/>
                <w:sz w:val="24"/>
                <w:szCs w:val="24"/>
                <w:lang w:eastAsia="zh-CN"/>
              </w:rPr>
              <w:t xml:space="preserve">（</w:t>
            </w:r>
            <w:r>
              <w:rPr>
                <w:rFonts w:hint="eastAsia" w:ascii="宋体" w:hAnsi="宋体"/>
                <w:sz w:val="24"/>
                <w:szCs w:val="24"/>
              </w:rPr>
              <w:t xml:space="preserve">¥</w:t>
            </w:r>
            <w:r>
              <w:rPr>
                <w:rFonts w:hint="eastAsia" w:ascii="宋体" w:hAnsi="宋体"/>
                <w:b/>
                <w:sz w:val="24"/>
                <w:szCs w:val="24"/>
              </w:rPr>
              <w:t xml:space="preserve">元</w:t>
            </w:r>
            <w:r>
              <w:rPr>
                <w:rFonts w:hint="eastAsia" w:ascii="宋体" w:hAnsi="宋体"/>
                <w:b/>
                <w:sz w:val="24"/>
                <w:szCs w:val="24"/>
                <w:lang w:eastAsia="zh-CN"/>
              </w:rPr>
              <w:t xml:space="preserve">）</w:t>
            </w:r>
            <w:r/>
          </w:p>
        </w:tc>
      </w:tr>
      <w:tr>
        <w:trPr>
          <w:jc w:val="center"/>
          <w:tblCellSpacing w:w="0" w:type="dxa"/>
          <w:trHeight w:val="373"/>
        </w:trPr>
        <w:tc>
          <w:tcPr>
            <w:tcW w:w="1529" w:type="dxa"/>
            <w:vAlign w:val="center"/>
            <w:textDirection w:val="lrTb"/>
            <w:noWrap w:val="false"/>
          </w:tcPr>
          <w:p>
            <w:pPr>
              <w:jc w:val="center"/>
              <w:spacing w:line="360" w:lineRule="exact"/>
              <w:rPr>
                <w:rFonts w:ascii="宋体" w:hAnsi="宋体"/>
                <w:sz w:val="24"/>
                <w:szCs w:val="24"/>
              </w:rPr>
            </w:pPr>
            <w:r>
              <w:rPr>
                <w:rFonts w:ascii="宋体" w:hAnsi="宋体"/>
                <w:sz w:val="24"/>
                <w:szCs w:val="24"/>
              </w:rPr>
            </w:r>
            <w:r/>
          </w:p>
        </w:tc>
        <w:tc>
          <w:tcPr>
            <w:tcW w:w="1163"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1688" w:type="dxa"/>
            <w:vAlign w:val="center"/>
            <w:textDirection w:val="lrTb"/>
            <w:noWrap w:val="false"/>
          </w:tcPr>
          <w:p>
            <w:pPr>
              <w:jc w:val="both"/>
              <w:spacing w:line="360" w:lineRule="exact"/>
              <w:rPr>
                <w:rFonts w:ascii="宋体" w:hAnsi="宋体"/>
                <w:sz w:val="24"/>
                <w:szCs w:val="24"/>
              </w:rPr>
            </w:pPr>
            <w:r>
              <w:rPr>
                <w:rFonts w:ascii="宋体" w:hAnsi="宋体"/>
                <w:sz w:val="24"/>
                <w:szCs w:val="24"/>
              </w:rPr>
            </w:r>
            <w:r/>
          </w:p>
        </w:tc>
        <w:tc>
          <w:tcPr>
            <w:tcW w:w="810"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810"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800"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1428"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1548"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r>
      <w:tr>
        <w:trPr>
          <w:jc w:val="center"/>
          <w:tblCellSpacing w:w="0" w:type="dxa"/>
          <w:trHeight w:val="381"/>
        </w:trPr>
        <w:tc>
          <w:tcPr>
            <w:tcW w:w="1529" w:type="dxa"/>
            <w:vAlign w:val="center"/>
            <w:textDirection w:val="lrTb"/>
            <w:noWrap w:val="false"/>
          </w:tcPr>
          <w:p>
            <w:pPr>
              <w:jc w:val="center"/>
              <w:spacing w:line="360" w:lineRule="exact"/>
              <w:rPr>
                <w:rFonts w:ascii="宋体" w:hAnsi="宋体"/>
                <w:sz w:val="24"/>
                <w:szCs w:val="24"/>
              </w:rPr>
            </w:pPr>
            <w:r>
              <w:rPr>
                <w:rFonts w:ascii="宋体" w:hAnsi="宋体"/>
                <w:sz w:val="24"/>
                <w:szCs w:val="24"/>
              </w:rPr>
            </w:r>
            <w:r/>
          </w:p>
        </w:tc>
        <w:tc>
          <w:tcPr>
            <w:tcW w:w="1163"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1688" w:type="dxa"/>
            <w:vAlign w:val="center"/>
            <w:textDirection w:val="lrTb"/>
            <w:noWrap w:val="false"/>
          </w:tcPr>
          <w:p>
            <w:pPr>
              <w:jc w:val="both"/>
              <w:spacing w:line="360" w:lineRule="exact"/>
              <w:rPr>
                <w:rFonts w:ascii="宋体" w:hAnsi="宋体"/>
                <w:sz w:val="24"/>
                <w:szCs w:val="24"/>
              </w:rPr>
            </w:pPr>
            <w:r>
              <w:rPr>
                <w:rFonts w:ascii="宋体" w:hAnsi="宋体"/>
                <w:sz w:val="24"/>
                <w:szCs w:val="24"/>
              </w:rPr>
            </w:r>
            <w:r/>
          </w:p>
        </w:tc>
        <w:tc>
          <w:tcPr>
            <w:tcW w:w="810"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810"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800"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1428"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c>
          <w:tcPr>
            <w:tcW w:w="1548"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r>
      <w:tr>
        <w:trPr>
          <w:jc w:val="center"/>
          <w:tblCellSpacing w:w="0" w:type="dxa"/>
          <w:trHeight w:val="381"/>
        </w:trPr>
        <w:tc>
          <w:tcPr>
            <w:gridSpan w:val="7"/>
            <w:tcW w:w="8228" w:type="dxa"/>
            <w:vAlign w:val="center"/>
            <w:textDirection w:val="lrTb"/>
            <w:noWrap w:val="false"/>
          </w:tcPr>
          <w:p>
            <w:pPr>
              <w:ind w:left="480" w:hanging="480"/>
              <w:jc w:val="right"/>
              <w:spacing w:line="36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合计（小写）</w:t>
            </w:r>
            <w:r/>
          </w:p>
        </w:tc>
        <w:tc>
          <w:tcPr>
            <w:tcW w:w="1548" w:type="dxa"/>
            <w:vAlign w:val="center"/>
            <w:textDirection w:val="lrTb"/>
            <w:noWrap w:val="false"/>
          </w:tcPr>
          <w:p>
            <w:pPr>
              <w:ind w:left="480" w:hanging="480"/>
              <w:jc w:val="center"/>
              <w:spacing w:line="360" w:lineRule="exact"/>
              <w:rPr>
                <w:rFonts w:ascii="宋体" w:hAnsi="宋体"/>
                <w:sz w:val="24"/>
                <w:szCs w:val="24"/>
              </w:rPr>
            </w:pPr>
            <w:r>
              <w:rPr>
                <w:rFonts w:ascii="宋体" w:hAnsi="宋体"/>
                <w:sz w:val="24"/>
                <w:szCs w:val="24"/>
              </w:rPr>
            </w:r>
            <w:r/>
          </w:p>
        </w:tc>
      </w:tr>
      <w:tr>
        <w:trPr>
          <w:jc w:val="center"/>
          <w:tblCellSpacing w:w="0" w:type="dxa"/>
          <w:trHeight w:val="381"/>
        </w:trPr>
        <w:tc>
          <w:tcPr>
            <w:gridSpan w:val="8"/>
            <w:tcW w:w="9776" w:type="dxa"/>
            <w:vAlign w:val="center"/>
            <w:textDirection w:val="lrTb"/>
            <w:noWrap w:val="false"/>
          </w:tcPr>
          <w:p>
            <w:pPr>
              <w:ind w:left="480" w:hanging="480"/>
              <w:jc w:val="left"/>
              <w:spacing w:line="360" w:lineRule="exact"/>
              <w:rPr>
                <w:rFonts w:ascii="宋体" w:hAnsi="宋体" w:eastAsia="宋体"/>
                <w:sz w:val="24"/>
                <w:szCs w:val="24"/>
                <w:lang w:val="en-US" w:eastAsia="zh-CN"/>
              </w:rPr>
            </w:pPr>
            <w:r>
              <w:rPr>
                <w:rFonts w:hint="eastAsia" w:ascii="宋体" w:hAnsi="宋体"/>
                <w:sz w:val="24"/>
                <w:szCs w:val="24"/>
                <w:lang w:val="en-US" w:eastAsia="zh-CN"/>
              </w:rPr>
              <w:t xml:space="preserve">总计人民币金额（大写）：</w:t>
            </w:r>
            <w:r/>
          </w:p>
        </w:tc>
      </w:tr>
    </w:tbl>
    <w:p>
      <w:pPr>
        <w:ind w:firstLine="482"/>
        <w:spacing w:line="360" w:lineRule="auto"/>
        <w:rPr>
          <w:rFonts w:ascii="宋体" w:hAnsi="宋体" w:cs="宋体"/>
          <w:sz w:val="24"/>
          <w:szCs w:val="24"/>
        </w:rPr>
      </w:pPr>
      <w:r>
        <w:rPr>
          <w:rFonts w:hint="eastAsia" w:ascii="宋体" w:hAnsi="宋体" w:cs="宋体"/>
          <w:b/>
          <w:bCs/>
          <w:sz w:val="24"/>
          <w:szCs w:val="24"/>
        </w:rPr>
        <w:t xml:space="preserve">备注：本合同采用固定总价合同，价款为含税价款。</w:t>
      </w:r>
      <w:r>
        <w:rPr>
          <w:rFonts w:hint="eastAsia" w:ascii="宋体" w:hAnsi="宋体" w:cs="宋体"/>
          <w:sz w:val="24"/>
          <w:szCs w:val="24"/>
        </w:rPr>
        <w:t xml:space="preserve">产品详细配置清单等见附件，附件与本合同有同等法律效力。</w:t>
      </w:r>
      <w:r/>
    </w:p>
    <w:p>
      <w:pPr>
        <w:spacing w:line="360" w:lineRule="auto"/>
        <w:rPr>
          <w:rFonts w:ascii="宋体" w:cs="宋体"/>
          <w:b/>
          <w:sz w:val="24"/>
          <w:szCs w:val="24"/>
        </w:rPr>
      </w:pPr>
      <w:r>
        <w:rPr>
          <w:rFonts w:hint="eastAsia" w:ascii="宋体" w:hAnsi="宋体" w:cs="宋体"/>
          <w:b/>
          <w:sz w:val="24"/>
          <w:szCs w:val="24"/>
        </w:rPr>
        <w:t xml:space="preserve">第二条</w:t>
      </w:r>
      <w:r>
        <w:rPr>
          <w:rFonts w:ascii="宋体" w:hAnsi="宋体" w:cs="宋体"/>
          <w:b/>
          <w:sz w:val="24"/>
          <w:szCs w:val="24"/>
        </w:rPr>
        <w:t xml:space="preserve"> </w:t>
      </w:r>
      <w:r>
        <w:rPr>
          <w:rFonts w:hint="eastAsia" w:ascii="宋体" w:hAnsi="宋体" w:cs="宋体"/>
          <w:b/>
          <w:sz w:val="24"/>
          <w:szCs w:val="24"/>
        </w:rPr>
        <w:t xml:space="preserve">交货方法、交货期限、到货地点及风险转移</w:t>
      </w:r>
      <w:r/>
    </w:p>
    <w:p>
      <w:pPr>
        <w:ind w:firstLine="482"/>
        <w:spacing w:line="360" w:lineRule="auto"/>
        <w:rPr>
          <w:rFonts w:ascii="宋体" w:hAnsi="宋体"/>
          <w:b/>
          <w:sz w:val="24"/>
          <w:szCs w:val="24"/>
        </w:rPr>
      </w:pPr>
      <w:r>
        <w:rPr>
          <w:rFonts w:ascii="宋体" w:hAnsi="宋体" w:cs="宋体"/>
          <w:b/>
          <w:sz w:val="24"/>
          <w:szCs w:val="24"/>
        </w:rPr>
        <w:t xml:space="preserve">1.</w:t>
      </w:r>
      <w:r>
        <w:rPr>
          <w:rFonts w:hint="eastAsia" w:ascii="宋体" w:hAnsi="宋体"/>
          <w:bCs/>
          <w:sz w:val="24"/>
          <w:szCs w:val="24"/>
        </w:rPr>
        <w:t xml:space="preserve">交货期：</w:t>
      </w:r>
      <w:r>
        <w:rPr>
          <w:rFonts w:hint="eastAsia" w:ascii="宋体" w:hAnsi="宋体"/>
          <w:b/>
          <w:sz w:val="24"/>
          <w:szCs w:val="24"/>
        </w:rPr>
        <w:t xml:space="preserve">合同签订后</w:t>
      </w:r>
      <w:r>
        <w:rPr>
          <w:rFonts w:hint="eastAsia" w:ascii="宋体" w:hAnsi="宋体"/>
          <w:b/>
          <w:sz w:val="24"/>
          <w:szCs w:val="24"/>
          <w:u w:val="single"/>
          <w:lang w:val="en-US" w:eastAsia="zh-CN"/>
        </w:rPr>
        <w:t xml:space="preserve">    </w:t>
      </w:r>
      <w:r>
        <w:rPr>
          <w:rFonts w:hint="eastAsia" w:ascii="宋体" w:hAnsi="宋体"/>
          <w:b/>
          <w:sz w:val="24"/>
          <w:szCs w:val="24"/>
        </w:rPr>
        <w:t xml:space="preserve">日内。</w:t>
      </w:r>
      <w:r/>
    </w:p>
    <w:p>
      <w:pPr>
        <w:pStyle w:val="880"/>
        <w:rPr>
          <w:rFonts w:eastAsia="宋体"/>
          <w:sz w:val="24"/>
          <w:szCs w:val="24"/>
        </w:rPr>
      </w:pPr>
      <w:r>
        <w:rPr>
          <w:rFonts w:hint="eastAsia" w:ascii="宋体" w:hAnsi="宋体"/>
          <w:b/>
          <w:sz w:val="24"/>
          <w:szCs w:val="24"/>
        </w:rPr>
        <w:t xml:space="preserve">   </w:t>
      </w:r>
      <w:r>
        <w:rPr>
          <w:rFonts w:hint="eastAsia" w:ascii="宋体" w:hAnsi="宋体"/>
          <w:bCs/>
          <w:sz w:val="24"/>
          <w:szCs w:val="24"/>
        </w:rPr>
        <w:t xml:space="preserve"> </w:t>
      </w:r>
      <w:r>
        <w:rPr>
          <w:rFonts w:hint="eastAsia" w:ascii="宋体" w:hAnsi="宋体" w:eastAsia="宋体" w:cs="宋体"/>
          <w:b/>
          <w:sz w:val="24"/>
          <w:szCs w:val="24"/>
        </w:rPr>
        <w:t xml:space="preserve">2.</w:t>
      </w:r>
      <w:r>
        <w:rPr>
          <w:rFonts w:hint="eastAsia" w:ascii="宋体" w:hAnsi="宋体" w:eastAsia="宋体" w:cs="宋体"/>
          <w:bCs/>
          <w:sz w:val="24"/>
          <w:szCs w:val="24"/>
        </w:rPr>
        <w:t xml:space="preserve">质保期：</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年，自乙方交付完毕，甲方验收合格次日起算。</w:t>
      </w:r>
      <w:r/>
    </w:p>
    <w:p>
      <w:pPr>
        <w:ind w:firstLine="420"/>
        <w:spacing w:line="360" w:lineRule="auto"/>
        <w:rPr>
          <w:rFonts w:ascii="宋体" w:cs="宋体"/>
          <w:sz w:val="24"/>
          <w:szCs w:val="24"/>
        </w:rPr>
      </w:pPr>
      <w:r>
        <w:rPr>
          <w:rFonts w:hint="eastAsia" w:ascii="宋体" w:hAnsi="宋体" w:cs="宋体"/>
          <w:b/>
          <w:sz w:val="24"/>
          <w:szCs w:val="24"/>
        </w:rPr>
        <w:t xml:space="preserve">3</w:t>
      </w:r>
      <w:r>
        <w:rPr>
          <w:rFonts w:ascii="宋体" w:hAnsi="宋体" w:cs="宋体"/>
          <w:b/>
          <w:sz w:val="24"/>
          <w:szCs w:val="24"/>
        </w:rPr>
        <w:t xml:space="preserve">.</w:t>
      </w:r>
      <w:r>
        <w:rPr>
          <w:rFonts w:hint="eastAsia" w:ascii="宋体" w:hAnsi="宋体" w:cs="宋体"/>
          <w:sz w:val="24"/>
          <w:szCs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ascii="宋体" w:cs="宋体"/>
          <w:sz w:val="24"/>
          <w:szCs w:val="24"/>
        </w:rPr>
      </w:pPr>
      <w:r>
        <w:rPr>
          <w:rFonts w:hint="eastAsia" w:ascii="宋体" w:hAnsi="宋体" w:cs="宋体"/>
          <w:sz w:val="24"/>
          <w:szCs w:val="24"/>
        </w:rPr>
        <w:t xml:space="preserve">运输费、保险费及其他谈判文件中要求的费用均包含在合同总价款中。</w:t>
      </w:r>
      <w:r/>
    </w:p>
    <w:p>
      <w:pPr>
        <w:ind w:firstLine="420"/>
        <w:spacing w:line="360" w:lineRule="auto"/>
        <w:rPr>
          <w:rFonts w:ascii="宋体" w:cs="宋体"/>
          <w:sz w:val="24"/>
          <w:szCs w:val="24"/>
        </w:rPr>
      </w:pPr>
      <w:r>
        <w:rPr>
          <w:rFonts w:hint="eastAsia" w:ascii="宋体" w:hAnsi="宋体" w:cs="宋体"/>
          <w:b/>
          <w:sz w:val="24"/>
          <w:szCs w:val="24"/>
        </w:rPr>
        <w:t xml:space="preserve">4．</w:t>
      </w:r>
      <w:r>
        <w:rPr>
          <w:rFonts w:hint="eastAsia" w:ascii="宋体" w:hAnsi="宋体" w:cs="宋体"/>
          <w:sz w:val="24"/>
          <w:szCs w:val="24"/>
        </w:rPr>
        <w:t xml:space="preserve">甲方指定的到货地点：</w:t>
      </w:r>
      <w:r>
        <w:rPr>
          <w:rFonts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ascii="宋体" w:hAnsi="宋体" w:cs="宋体"/>
          <w:sz w:val="24"/>
          <w:szCs w:val="24"/>
          <w:u w:val="single"/>
        </w:rPr>
        <w:t xml:space="preserve"> </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b/>
          <w:sz w:val="24"/>
          <w:szCs w:val="24"/>
        </w:rPr>
        <w:t xml:space="preserve">5．</w:t>
      </w:r>
      <w:r>
        <w:rPr>
          <w:rFonts w:hint="eastAsia" w:ascii="宋体" w:hAnsi="宋体" w:cs="宋体"/>
          <w:sz w:val="24"/>
          <w:szCs w:val="24"/>
        </w:rPr>
        <w:t xml:space="preserve">在质量技术监督部门检验合格，乙方将货物交付甲方指定的人员前，货物的毁损、灭失风险完全由乙方承担。</w:t>
      </w:r>
      <w:r/>
    </w:p>
    <w:p>
      <w:pPr>
        <w:spacing w:line="360" w:lineRule="auto"/>
        <w:rPr>
          <w:rFonts w:ascii="宋体" w:cs="宋体"/>
          <w:sz w:val="24"/>
          <w:szCs w:val="24"/>
        </w:rPr>
      </w:pPr>
      <w:r>
        <w:rPr>
          <w:rFonts w:hint="eastAsia" w:ascii="宋体" w:hAnsi="宋体" w:cs="宋体"/>
          <w:b/>
          <w:sz w:val="24"/>
          <w:szCs w:val="24"/>
        </w:rPr>
        <w:t xml:space="preserve">第三条</w:t>
      </w:r>
      <w:r>
        <w:rPr>
          <w:rFonts w:ascii="宋体" w:hAnsi="宋体" w:cs="宋体"/>
          <w:b/>
          <w:sz w:val="24"/>
          <w:szCs w:val="24"/>
        </w:rPr>
        <w:t xml:space="preserve"> </w:t>
      </w:r>
      <w:r>
        <w:rPr>
          <w:rFonts w:hint="eastAsia" w:ascii="宋体" w:hAnsi="宋体" w:cs="宋体"/>
          <w:b/>
          <w:sz w:val="24"/>
          <w:szCs w:val="24"/>
        </w:rPr>
        <w:t xml:space="preserve">货物包装及质量</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乙方向甲方提供的全部货物，均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cs="宋体"/>
          <w:sz w:val="24"/>
          <w:szCs w:val="24"/>
          <w:lang w:eastAsia="zh-CN"/>
        </w:rPr>
        <w:t xml:space="preserve">及其他</w:t>
      </w:r>
      <w:r>
        <w:rPr>
          <w:rFonts w:hint="eastAsia" w:ascii="宋体" w:hAnsi="宋体" w:cs="宋体"/>
          <w:sz w:val="24"/>
          <w:szCs w:val="24"/>
        </w:rPr>
        <w:t xml:space="preserve">与本合同项下货物有关的任何单证和资料。</w:t>
      </w:r>
      <w:r/>
    </w:p>
    <w:p>
      <w:pPr>
        <w:spacing w:line="360" w:lineRule="auto"/>
        <w:rPr>
          <w:rFonts w:ascii="宋体" w:cs="宋体"/>
          <w:b/>
          <w:sz w:val="24"/>
          <w:szCs w:val="24"/>
        </w:rPr>
      </w:pPr>
      <w:r>
        <w:rPr>
          <w:rFonts w:hint="eastAsia" w:ascii="宋体" w:hAnsi="宋体" w:cs="宋体"/>
          <w:b/>
          <w:sz w:val="24"/>
          <w:szCs w:val="24"/>
        </w:rPr>
        <w:t xml:space="preserve">第四条</w:t>
      </w:r>
      <w:r>
        <w:rPr>
          <w:rFonts w:ascii="宋体" w:hAnsi="宋体" w:cs="宋体"/>
          <w:b/>
          <w:sz w:val="24"/>
          <w:szCs w:val="24"/>
        </w:rPr>
        <w:t xml:space="preserve"> </w:t>
      </w:r>
      <w:r>
        <w:rPr>
          <w:rFonts w:hint="eastAsia" w:ascii="宋体" w:hAnsi="宋体" w:cs="宋体"/>
          <w:b/>
          <w:sz w:val="24"/>
          <w:szCs w:val="24"/>
        </w:rPr>
        <w:t xml:space="preserve">货物验收</w:t>
      </w:r>
      <w:r/>
    </w:p>
    <w:p>
      <w:pPr>
        <w:ind w:firstLine="48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货物到达甲方指定到货地点后</w:t>
      </w:r>
      <w:r>
        <w:rPr>
          <w:rFonts w:ascii="宋体" w:hAnsi="宋体" w:cs="宋体"/>
          <w:sz w:val="24"/>
          <w:szCs w:val="24"/>
        </w:rPr>
        <w:t xml:space="preserve">5</w:t>
      </w:r>
      <w:r>
        <w:rPr>
          <w:rFonts w:hint="eastAsia" w:ascii="宋体" w:hAnsi="宋体" w:cs="宋体"/>
          <w:sz w:val="24"/>
          <w:szCs w:val="24"/>
        </w:rPr>
        <w:t xml:space="preserve">日内，甲、乙双方共同进行验收、测试。</w:t>
      </w:r>
      <w:r/>
    </w:p>
    <w:p>
      <w:pPr>
        <w:ind w:firstLine="480"/>
        <w:spacing w:line="360"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验收标准</w:t>
      </w:r>
      <w:r>
        <w:rPr>
          <w:rFonts w:hint="eastAsia" w:ascii="宋体" w:hAnsi="宋体" w:cs="宋体"/>
          <w:bCs/>
          <w:sz w:val="24"/>
          <w:szCs w:val="24"/>
          <w:lang w:eastAsia="zh-CN"/>
        </w:rPr>
        <w:t xml:space="preserve">：</w:t>
      </w:r>
      <w:r>
        <w:rPr>
          <w:rFonts w:hint="eastAsia" w:ascii="宋体" w:hAnsi="宋体" w:cs="宋体"/>
          <w:bCs/>
          <w:sz w:val="24"/>
          <w:szCs w:val="24"/>
        </w:rPr>
        <w:t xml:space="preserve">（</w:t>
      </w:r>
      <w:r>
        <w:rPr>
          <w:rFonts w:ascii="宋体" w:hAnsi="宋体" w:cs="宋体"/>
          <w:bCs/>
          <w:sz w:val="24"/>
          <w:szCs w:val="24"/>
        </w:rPr>
        <w:t xml:space="preserve">1</w:t>
      </w:r>
      <w:r>
        <w:rPr>
          <w:rFonts w:hint="eastAsia" w:ascii="宋体" w:hAnsi="宋体" w:cs="宋体"/>
          <w:bCs/>
          <w:sz w:val="24"/>
          <w:szCs w:val="24"/>
        </w:rPr>
        <w:t xml:space="preserve">）货物外形、包装完好；（</w:t>
      </w:r>
      <w:r>
        <w:rPr>
          <w:rFonts w:ascii="宋体" w:hAnsi="宋体" w:cs="宋体"/>
          <w:bCs/>
          <w:sz w:val="24"/>
          <w:szCs w:val="24"/>
        </w:rPr>
        <w:t xml:space="preserve">2</w:t>
      </w:r>
      <w:r>
        <w:rPr>
          <w:rFonts w:hint="eastAsia" w:ascii="宋体" w:hAnsi="宋体" w:cs="宋体"/>
          <w:bCs/>
          <w:sz w:val="24"/>
          <w:szCs w:val="24"/>
        </w:rPr>
        <w:t xml:space="preserve">）数量无误；（</w:t>
      </w:r>
      <w:r>
        <w:rPr>
          <w:rFonts w:ascii="宋体" w:hAnsi="宋体" w:cs="宋体"/>
          <w:bCs/>
          <w:sz w:val="24"/>
          <w:szCs w:val="24"/>
        </w:rPr>
        <w:t xml:space="preserve">3</w:t>
      </w:r>
      <w:r>
        <w:rPr>
          <w:rFonts w:hint="eastAsia" w:ascii="宋体" w:hAnsi="宋体" w:cs="宋体"/>
          <w:bCs/>
          <w:sz w:val="24"/>
          <w:szCs w:val="24"/>
        </w:rPr>
        <w:t xml:space="preserve">）货物符合合同要求及标准，乙方对该货物有质量说明的，也应符合该质量说明；（</w:t>
      </w:r>
      <w:r>
        <w:rPr>
          <w:rFonts w:ascii="宋体" w:hAnsi="宋体" w:cs="宋体"/>
          <w:bCs/>
          <w:sz w:val="24"/>
          <w:szCs w:val="24"/>
        </w:rPr>
        <w:t xml:space="preserve">4</w:t>
      </w:r>
      <w:r>
        <w:rPr>
          <w:rFonts w:hint="eastAsia" w:ascii="宋体" w:hAnsi="宋体" w:cs="宋体"/>
          <w:bCs/>
          <w:sz w:val="24"/>
          <w:szCs w:val="24"/>
        </w:rPr>
        <w:t xml:space="preserve">）乙方要求提供必要的技术资料。</w:t>
      </w:r>
      <w:r/>
    </w:p>
    <w:p>
      <w:pPr>
        <w:spacing w:line="360" w:lineRule="auto"/>
        <w:rPr>
          <w:rFonts w:ascii="宋体" w:cs="宋体"/>
          <w:sz w:val="24"/>
          <w:szCs w:val="24"/>
        </w:rPr>
      </w:pPr>
      <w:r>
        <w:rPr>
          <w:rFonts w:hint="eastAsia" w:ascii="宋体" w:hAnsi="宋体" w:cs="宋体"/>
          <w:b/>
          <w:sz w:val="24"/>
          <w:szCs w:val="24"/>
        </w:rPr>
        <w:t xml:space="preserve">第五条</w:t>
      </w:r>
      <w:r>
        <w:rPr>
          <w:rFonts w:ascii="宋体" w:hAnsi="宋体" w:cs="宋体"/>
          <w:b/>
          <w:sz w:val="24"/>
          <w:szCs w:val="24"/>
        </w:rPr>
        <w:t xml:space="preserve"> </w:t>
      </w:r>
      <w:r>
        <w:rPr>
          <w:rFonts w:hint="eastAsia" w:ascii="宋体" w:hAnsi="宋体" w:cs="宋体"/>
          <w:b/>
          <w:sz w:val="24"/>
          <w:szCs w:val="24"/>
        </w:rPr>
        <w:t xml:space="preserve">对货物提出异议的时间和方法</w:t>
      </w:r>
      <w:r/>
    </w:p>
    <w:p>
      <w:pPr>
        <w:ind w:firstLine="48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双方在验收中，如果发现货物的品种、型号、规格、数量、质量与本合同附件规定不符，双方应签署书面文件，甲方有权拒付不符合合同规定部分的货款，并在货物验收七日内向乙方提出书面异议和处理意见；如货物与合同货物不一致，甲方有权拒付全部货款，并解除合同，乙方无条件退还预付款并承担合同价款</w:t>
      </w:r>
      <w:r>
        <w:rPr>
          <w:rFonts w:ascii="宋体" w:hAnsi="宋体" w:cs="宋体"/>
          <w:sz w:val="24"/>
          <w:szCs w:val="24"/>
        </w:rPr>
        <w:t xml:space="preserve">20%</w:t>
      </w:r>
      <w:r>
        <w:rPr>
          <w:rFonts w:hint="eastAsia" w:ascii="宋体" w:hAnsi="宋体" w:cs="宋体"/>
          <w:sz w:val="24"/>
          <w:szCs w:val="24"/>
        </w:rPr>
        <w:t xml:space="preserve">的违约金责任。</w:t>
      </w:r>
      <w:r/>
    </w:p>
    <w:p>
      <w:pPr>
        <w:ind w:firstLine="48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如甲方未按规定期限提出书面异议的，视为所交货物符合合同规定，但货物存在隐蔽瑕疵或者对质量保证期另有规定的除外。</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乙方在接到甲方书面异议后，应在三日内提出处理意见，否则，即视为默认甲方提出的异议和处理意见，乙方应照此执行。</w:t>
      </w:r>
      <w:r/>
    </w:p>
    <w:p>
      <w:pPr>
        <w:spacing w:line="360" w:lineRule="auto"/>
        <w:rPr>
          <w:rFonts w:ascii="宋体" w:cs="宋体"/>
          <w:b/>
          <w:bCs w:val="0"/>
          <w:sz w:val="24"/>
          <w:szCs w:val="24"/>
          <w:highlight w:val="none"/>
        </w:rPr>
      </w:pPr>
      <w:r>
        <w:rPr>
          <w:rFonts w:hint="eastAsia" w:ascii="宋体" w:hAnsi="宋体" w:cs="宋体"/>
          <w:b/>
          <w:bCs w:val="0"/>
          <w:sz w:val="24"/>
          <w:szCs w:val="24"/>
          <w:highlight w:val="none"/>
        </w:rPr>
        <w:t xml:space="preserve">第六条</w:t>
      </w:r>
      <w:r>
        <w:rPr>
          <w:rFonts w:ascii="宋体" w:hAnsi="宋体" w:cs="宋体"/>
          <w:b/>
          <w:bCs w:val="0"/>
          <w:sz w:val="24"/>
          <w:szCs w:val="24"/>
          <w:highlight w:val="none"/>
        </w:rPr>
        <w:t xml:space="preserve"> </w:t>
      </w:r>
      <w:r>
        <w:rPr>
          <w:rFonts w:hint="eastAsia" w:ascii="宋体" w:hAnsi="宋体" w:cs="宋体"/>
          <w:b/>
          <w:bCs w:val="0"/>
          <w:sz w:val="24"/>
          <w:szCs w:val="24"/>
          <w:highlight w:val="none"/>
        </w:rPr>
        <w:t xml:space="preserve">付款方式</w:t>
      </w:r>
      <w:r/>
    </w:p>
    <w:p>
      <w:pPr>
        <w:spacing w:line="360" w:lineRule="auto"/>
        <w:rPr>
          <w:rFonts w:hint="eastAsia" w:ascii="宋体" w:hAnsi="宋体" w:cs="宋体"/>
          <w:b/>
          <w:bCs w:val="0"/>
          <w:sz w:val="24"/>
          <w:szCs w:val="24"/>
        </w:rPr>
      </w:pPr>
      <w:r>
        <w:rPr>
          <w:rFonts w:hint="eastAsia" w:ascii="宋体" w:hAnsi="宋体" w:cs="宋体"/>
          <w:b/>
          <w:bCs w:val="0"/>
          <w:sz w:val="24"/>
          <w:szCs w:val="24"/>
        </w:rPr>
        <w:t xml:space="preserve">本合同总金额为人民币大写金额</w:t>
      </w:r>
      <w:r>
        <w:rPr>
          <w:rFonts w:hint="eastAsia" w:ascii="宋体" w:hAnsi="宋体" w:cs="宋体"/>
          <w:b/>
          <w:bCs w:val="0"/>
          <w:sz w:val="24"/>
          <w:szCs w:val="24"/>
          <w:u w:val="single"/>
        </w:rPr>
        <w:t xml:space="preserve">     </w:t>
      </w:r>
      <w:r>
        <w:rPr>
          <w:rFonts w:hint="eastAsia" w:ascii="宋体" w:hAnsi="宋体" w:cs="宋体"/>
          <w:b/>
          <w:bCs w:val="0"/>
          <w:sz w:val="24"/>
          <w:szCs w:val="24"/>
        </w:rPr>
        <w:t xml:space="preserve">元（小写金额：</w:t>
      </w:r>
      <w:r>
        <w:rPr>
          <w:rFonts w:hint="eastAsia" w:ascii="宋体" w:hAnsi="宋体" w:cs="宋体"/>
          <w:b/>
          <w:bCs w:val="0"/>
          <w:sz w:val="24"/>
          <w:szCs w:val="24"/>
          <w:u w:val="single"/>
        </w:rPr>
        <w:t xml:space="preserve">     </w:t>
      </w:r>
      <w:r>
        <w:rPr>
          <w:rFonts w:hint="eastAsia" w:ascii="宋体" w:hAnsi="宋体" w:cs="宋体"/>
          <w:b/>
          <w:bCs w:val="0"/>
          <w:sz w:val="24"/>
          <w:szCs w:val="24"/>
        </w:rPr>
        <w:t xml:space="preserve">元）。</w:t>
      </w:r>
      <w:r/>
    </w:p>
    <w:p>
      <w:pPr>
        <w:spacing w:line="360" w:lineRule="auto"/>
        <w:rPr>
          <w:rFonts w:hint="eastAsia" w:ascii="宋体" w:hAnsi="宋体" w:cs="宋体"/>
          <w:b/>
          <w:bCs w:val="0"/>
          <w:sz w:val="24"/>
          <w:szCs w:val="24"/>
        </w:rPr>
      </w:pPr>
      <w:r>
        <w:rPr>
          <w:rFonts w:hint="eastAsia" w:ascii="宋体" w:hAnsi="宋体" w:cs="宋体"/>
          <w:b/>
          <w:bCs w:val="0"/>
          <w:sz w:val="24"/>
          <w:szCs w:val="24"/>
        </w:rPr>
        <w:t xml:space="preserve">经双方协商一致，选择以下第</w:t>
      </w:r>
      <w:r>
        <w:rPr>
          <w:rFonts w:hint="eastAsia" w:ascii="宋体" w:hAnsi="宋体" w:cs="宋体"/>
          <w:b/>
          <w:bCs w:val="0"/>
          <w:sz w:val="24"/>
          <w:szCs w:val="24"/>
          <w:u w:val="single"/>
        </w:rPr>
        <w:t xml:space="preserve"> </w:t>
      </w:r>
      <w:r>
        <w:rPr>
          <w:rFonts w:hint="eastAsia" w:ascii="宋体" w:hAnsi="宋体" w:cs="宋体"/>
          <w:b/>
          <w:bCs w:val="0"/>
          <w:sz w:val="24"/>
          <w:szCs w:val="24"/>
          <w:u w:val="single"/>
          <w:lang w:val="en-US" w:eastAsia="zh-CN"/>
        </w:rPr>
        <w:t xml:space="preserve">  </w:t>
      </w:r>
      <w:r>
        <w:rPr>
          <w:rFonts w:hint="eastAsia" w:ascii="宋体" w:hAnsi="宋体" w:cs="宋体"/>
          <w:b/>
          <w:bCs w:val="0"/>
          <w:sz w:val="24"/>
          <w:szCs w:val="24"/>
          <w:u w:val="single"/>
        </w:rPr>
        <w:t xml:space="preserve">  </w:t>
      </w:r>
      <w:r>
        <w:rPr>
          <w:rFonts w:hint="eastAsia" w:ascii="宋体" w:hAnsi="宋体" w:cs="宋体"/>
          <w:b/>
          <w:bCs w:val="0"/>
          <w:sz w:val="24"/>
          <w:szCs w:val="24"/>
        </w:rPr>
        <w:t xml:space="preserve">种付款方式：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付款方式一：提交预付款保函的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6.1合同价款的百分之四十(40%)，即¥（    ），大写：人民币（   ）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6.2 合同总价的百分之六十(60%)，即¥（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bCs w:val="0"/>
          <w:sz w:val="24"/>
          <w:szCs w:val="24"/>
          <w:highlight w:val="none"/>
        </w:rPr>
        <w:t xml:space="preserve">付款方式二：不提交预付款保函的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6.1合同价款的百分之四十(40%)，即¥（    ），大写：人民币（   ）元整，在双方签订合同后15日内，由甲方根据审批流程办理政府采购资金结算手续，经审核后符合支付条件的，乙方向甲方开具相应金额的正式发票，甲方收到发票后15日内，将款项支付给乙方。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6.2 合同总价的百分之六十(60%)，即¥（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6.3 乙方需提交的申请支付文件包括：</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（1）乙方出具的全额正式发票；</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（2）                     。</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6.4  合同约定的乙方收款账户：</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开户银行：</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银行账号：</w:t>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spacing w:line="360" w:lineRule="auto"/>
        <w:rPr>
          <w:rFonts w:ascii="宋体" w:cs="宋体"/>
          <w:b/>
          <w:sz w:val="24"/>
          <w:szCs w:val="24"/>
        </w:rPr>
      </w:pPr>
      <w:r>
        <w:rPr>
          <w:rFonts w:hint="eastAsia" w:ascii="宋体" w:hAnsi="宋体" w:cs="宋体"/>
          <w:b/>
          <w:sz w:val="24"/>
          <w:szCs w:val="24"/>
        </w:rPr>
        <w:t xml:space="preserve">第七条</w:t>
      </w:r>
      <w:r>
        <w:rPr>
          <w:rFonts w:ascii="宋体" w:hAnsi="宋体" w:cs="宋体"/>
          <w:b/>
          <w:sz w:val="24"/>
          <w:szCs w:val="24"/>
        </w:rPr>
        <w:t xml:space="preserve"> </w:t>
      </w:r>
      <w:r>
        <w:rPr>
          <w:rFonts w:hint="eastAsia" w:ascii="宋体" w:hAnsi="宋体" w:cs="宋体"/>
          <w:b/>
          <w:sz w:val="24"/>
          <w:szCs w:val="24"/>
        </w:rPr>
        <w:t xml:space="preserve">乙方的违约责任</w:t>
      </w:r>
      <w:r/>
    </w:p>
    <w:p>
      <w:pPr>
        <w:ind w:firstLine="48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乙方所交货物品种、型号、规格、质量不符合合同规定的，如果甲方同意使用，应当按质论价；如果甲方不同意使用，应根据货物的具体情况，由乙方在</w:t>
      </w:r>
      <w:r>
        <w:rPr>
          <w:rFonts w:ascii="宋体" w:hAnsi="宋体" w:cs="宋体"/>
          <w:sz w:val="24"/>
          <w:szCs w:val="24"/>
        </w:rPr>
        <w:t xml:space="preserve">15</w:t>
      </w:r>
      <w:r>
        <w:rPr>
          <w:rFonts w:hint="eastAsia" w:ascii="宋体" w:hAnsi="宋体" w:cs="宋体"/>
          <w:sz w:val="24"/>
          <w:szCs w:val="24"/>
        </w:rPr>
        <w:t xml:space="preserve">个工作日内负责更换为符合合同要求的货物，并承担因调换、运输而产生的全部费用。乙方不能在前述时间内完成调换，或者调换后的货物仍不符合合同规定的，甲方有权退货，并要求乙方返还已支付的全部合同价款，同时按合同总货款的</w:t>
      </w:r>
      <w:r>
        <w:rPr>
          <w:rFonts w:ascii="宋体" w:hAnsi="宋体" w:cs="宋体"/>
          <w:sz w:val="24"/>
          <w:szCs w:val="24"/>
        </w:rPr>
        <w:t xml:space="preserve">20%</w:t>
      </w:r>
      <w:r>
        <w:rPr>
          <w:rFonts w:hint="eastAsia" w:ascii="宋体" w:hAnsi="宋体" w:cs="宋体"/>
          <w:sz w:val="24"/>
          <w:szCs w:val="24"/>
        </w:rPr>
        <w:t xml:space="preserve">向甲方承担违约金。</w:t>
      </w:r>
      <w:r/>
    </w:p>
    <w:p>
      <w:pPr>
        <w:ind w:firstLine="42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．乙方提前交货的，甲方接货后，仍可按合同规定的交货时间付款。乙方逾期交货的，应在发货前书面通知甲方，与甲方协商，甲方仍需要的，乙方应继续交货，并按每逾期一日支付合同价款的</w:t>
      </w:r>
      <w:r>
        <w:rPr>
          <w:rFonts w:ascii="宋体" w:cs="宋体"/>
          <w:sz w:val="24"/>
          <w:szCs w:val="24"/>
        </w:rPr>
        <w:t xml:space="preserve">0</w:t>
      </w:r>
      <w:r>
        <w:rPr>
          <w:rFonts w:ascii="宋体" w:hAnsi="宋体" w:cs="宋体"/>
          <w:sz w:val="24"/>
          <w:szCs w:val="24"/>
        </w:rPr>
        <w:t xml:space="preserve">.1% </w:t>
      </w:r>
      <w:r>
        <w:rPr>
          <w:rFonts w:hint="eastAsia" w:ascii="宋体" w:hAnsi="宋体" w:cs="宋体"/>
          <w:sz w:val="24"/>
          <w:szCs w:val="24"/>
        </w:rPr>
        <w:t xml:space="preserve">承担逾期交货违约责任；甲方不再需要的，应当在接到乙方通知后</w:t>
      </w:r>
      <w:r>
        <w:rPr>
          <w:rFonts w:ascii="宋体" w:hAnsi="宋体" w:cs="宋体"/>
          <w:sz w:val="24"/>
          <w:szCs w:val="24"/>
        </w:rPr>
        <w:t xml:space="preserve">5</w:t>
      </w:r>
      <w:r>
        <w:rPr>
          <w:rFonts w:hint="eastAsia" w:ascii="宋体" w:hAnsi="宋体" w:cs="宋体"/>
          <w:sz w:val="24"/>
          <w:szCs w:val="24"/>
        </w:rPr>
        <w:t xml:space="preserve">日内通知乙方，有权单方解除合同，并有权要求乙方赔偿因逾期交货给甲方造成的损失。甲方逾期不答复的，视为同意发货。不论乙方是否书面通知甲方，如乙方逾期交货超过</w:t>
      </w:r>
      <w:r>
        <w:rPr>
          <w:rFonts w:ascii="宋体" w:hAnsi="宋体" w:cs="宋体"/>
          <w:sz w:val="24"/>
          <w:szCs w:val="24"/>
        </w:rPr>
        <w:t xml:space="preserve">30</w:t>
      </w:r>
      <w:r>
        <w:rPr>
          <w:rFonts w:hint="eastAsia" w:ascii="宋体" w:hAnsi="宋体" w:cs="宋体"/>
          <w:sz w:val="24"/>
          <w:szCs w:val="24"/>
        </w:rPr>
        <w:t xml:space="preserve">天，甲方即有权单方解除合同，并要求乙方赔偿因逾期交货给甲方造成的损失。验收不合格的，视为未交货。</w:t>
      </w:r>
      <w:r/>
    </w:p>
    <w:p>
      <w:pPr>
        <w:ind w:firstLine="420"/>
        <w:spacing w:line="360"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．乙方不能按本合同要求提供货物的保修（质保）服务的，应向甲方偿付合同总价款的</w:t>
      </w:r>
      <w:r>
        <w:rPr>
          <w:rFonts w:ascii="宋体" w:hAnsi="宋体" w:cs="宋体"/>
          <w:sz w:val="24"/>
          <w:szCs w:val="24"/>
        </w:rPr>
        <w:t xml:space="preserve">5%</w:t>
      </w:r>
      <w:r>
        <w:rPr>
          <w:rFonts w:hint="eastAsia" w:ascii="宋体" w:hAnsi="宋体" w:cs="宋体"/>
          <w:sz w:val="24"/>
          <w:szCs w:val="24"/>
        </w:rPr>
        <w:t xml:space="preserve">的违约金并赔偿甲方的损失。此种情形下，甲方有权视情形单方解除合同，要求乙方返还已支付的全部合同价款，并承担合同总价款20%的违约金，违约金不足赔偿甲方损失的，乙方还应继续承担损失赔偿责任。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．乙方不能按本合同要求提供培训服务的，应向甲方偿付合同总价款的</w:t>
      </w:r>
      <w:r>
        <w:rPr>
          <w:rFonts w:ascii="宋体" w:hAnsi="宋体" w:cs="宋体"/>
          <w:sz w:val="24"/>
          <w:szCs w:val="24"/>
        </w:rPr>
        <w:t xml:space="preserve">5%</w:t>
      </w:r>
      <w:r>
        <w:rPr>
          <w:rFonts w:hint="eastAsia" w:ascii="宋体" w:hAnsi="宋体" w:cs="宋体"/>
          <w:sz w:val="24"/>
          <w:szCs w:val="24"/>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．乙方不能按本合同要求提供所承诺的服务人员的，应向甲方偿付合同总价款的</w:t>
      </w:r>
      <w:r>
        <w:rPr>
          <w:rFonts w:ascii="宋体" w:hAnsi="宋体" w:cs="宋体"/>
          <w:sz w:val="24"/>
          <w:szCs w:val="24"/>
        </w:rPr>
        <w:t xml:space="preserve">5%</w:t>
      </w:r>
      <w:r>
        <w:rPr>
          <w:rFonts w:hint="eastAsia" w:ascii="宋体" w:hAnsi="宋体" w:cs="宋体"/>
          <w:sz w:val="24"/>
          <w:szCs w:val="24"/>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．如果发生本合同项下货物侵犯他人专利、版权、商标权或商业秘密等权利而针对甲方提起索赔或诉讼仲裁的情况，乙方应支付由此而产生的全部费用及赔偿金、律师费用。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宋体" w:cs="宋体"/>
          <w:sz w:val="24"/>
          <w:szCs w:val="24"/>
        </w:rPr>
      </w:pPr>
      <w:r>
        <w:rPr>
          <w:rFonts w:hint="eastAsia" w:ascii="宋体" w:hAnsi="宋体" w:cs="宋体"/>
          <w:sz w:val="24"/>
          <w:szCs w:val="24"/>
        </w:rPr>
        <w:t xml:space="preserve"> 7.乙方有其他违反合同约定行为的，每次应向甲方支付合同总价款5%的违约金，同时应继续履行合同相应义务，同时甲方有权视情形单方解除合同，合同解除的，甲方有权要求乙方返还已支付的全部合同价款，并承担合同总价款20%的违约金，违约金不足赔偿甲方损失的，乙方还应继续承担损失赔偿责任。</w:t>
      </w:r>
      <w:r/>
    </w:p>
    <w:p>
      <w:pPr>
        <w:spacing w:line="360" w:lineRule="auto"/>
        <w:rPr>
          <w:rFonts w:ascii="宋体" w:cs="宋体"/>
          <w:b/>
          <w:sz w:val="24"/>
          <w:szCs w:val="24"/>
        </w:rPr>
      </w:pPr>
      <w:r>
        <w:rPr>
          <w:rFonts w:hint="eastAsia" w:ascii="宋体" w:hAnsi="宋体" w:cs="宋体"/>
          <w:b/>
          <w:sz w:val="24"/>
          <w:szCs w:val="24"/>
        </w:rPr>
        <w:t xml:space="preserve">第八条</w:t>
      </w:r>
      <w:r>
        <w:rPr>
          <w:rFonts w:ascii="宋体" w:hAnsi="宋体" w:cs="宋体"/>
          <w:b/>
          <w:sz w:val="24"/>
          <w:szCs w:val="24"/>
        </w:rPr>
        <w:t xml:space="preserve"> </w:t>
      </w:r>
      <w:r>
        <w:rPr>
          <w:rFonts w:hint="eastAsia" w:ascii="宋体" w:hAnsi="宋体" w:cs="宋体"/>
          <w:b/>
          <w:sz w:val="24"/>
          <w:szCs w:val="24"/>
        </w:rPr>
        <w:t xml:space="preserve">甲方的违约责任</w:t>
      </w:r>
      <w:r>
        <w:rPr>
          <w:rFonts w:ascii="宋体" w:hAnsi="宋体" w:cs="宋体"/>
          <w:b/>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甲方无故中途退货，应向乙方支付退货部分货款</w:t>
      </w:r>
      <w:r>
        <w:rPr>
          <w:rFonts w:ascii="宋体" w:hAnsi="宋体" w:cs="宋体"/>
          <w:sz w:val="24"/>
          <w:szCs w:val="24"/>
        </w:rPr>
        <w:t xml:space="preserve">10%</w:t>
      </w:r>
      <w:r>
        <w:rPr>
          <w:rFonts w:hint="eastAsia" w:ascii="宋体" w:hAnsi="宋体" w:cs="宋体"/>
          <w:sz w:val="24"/>
          <w:szCs w:val="24"/>
        </w:rPr>
        <w:t xml:space="preserve">的违约金，因乙方违约，政府行为、政策法规变化、突发事件、意外事件、自然事件等不可抗力及本合同另有规定的除外。</w:t>
      </w:r>
      <w:r/>
    </w:p>
    <w:p>
      <w:pPr>
        <w:spacing w:line="360" w:lineRule="auto"/>
        <w:rPr>
          <w:rFonts w:ascii="宋体" w:cs="宋体"/>
          <w:b/>
          <w:sz w:val="24"/>
          <w:szCs w:val="24"/>
        </w:rPr>
      </w:pPr>
      <w:r>
        <w:rPr>
          <w:rFonts w:hint="eastAsia" w:ascii="宋体" w:hAnsi="宋体" w:cs="宋体"/>
          <w:b/>
          <w:sz w:val="24"/>
          <w:szCs w:val="24"/>
        </w:rPr>
        <w:t xml:space="preserve">第九条</w:t>
      </w:r>
      <w:r>
        <w:rPr>
          <w:rFonts w:ascii="宋体" w:hAnsi="宋体" w:cs="宋体"/>
          <w:b/>
          <w:sz w:val="24"/>
          <w:szCs w:val="24"/>
        </w:rPr>
        <w:t xml:space="preserve"> </w:t>
      </w:r>
      <w:r>
        <w:rPr>
          <w:rFonts w:hint="eastAsia" w:ascii="宋体" w:hAnsi="宋体" w:cs="宋体"/>
          <w:b/>
          <w:sz w:val="24"/>
          <w:szCs w:val="24"/>
        </w:rPr>
        <w:t xml:space="preserve">不可抗力</w:t>
      </w:r>
      <w:r>
        <w:rPr>
          <w:rFonts w:ascii="宋体" w:hAnsi="宋体" w:cs="宋体"/>
          <w:b/>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spacing w:line="360" w:lineRule="auto"/>
        <w:rPr>
          <w:rFonts w:ascii="宋体" w:cs="宋体"/>
          <w:b/>
          <w:sz w:val="24"/>
          <w:szCs w:val="24"/>
        </w:rPr>
      </w:pPr>
      <w:r>
        <w:rPr>
          <w:rFonts w:hint="eastAsia" w:ascii="宋体" w:hAnsi="宋体" w:cs="宋体"/>
          <w:b/>
          <w:sz w:val="24"/>
          <w:szCs w:val="24"/>
        </w:rPr>
        <w:t xml:space="preserve">第十条</w:t>
      </w:r>
      <w:r>
        <w:rPr>
          <w:rFonts w:ascii="宋体" w:hAnsi="宋体" w:cs="宋体"/>
          <w:b/>
          <w:sz w:val="24"/>
          <w:szCs w:val="24"/>
        </w:rPr>
        <w:t xml:space="preserve"> </w:t>
      </w:r>
      <w:r>
        <w:rPr>
          <w:rFonts w:hint="eastAsia" w:ascii="宋体" w:hAnsi="宋体" w:cs="宋体"/>
          <w:b/>
          <w:sz w:val="24"/>
          <w:szCs w:val="24"/>
          <w:lang w:eastAsia="zh-CN"/>
        </w:rPr>
        <w:t xml:space="preserve">其他</w:t>
      </w:r>
      <w:r/>
    </w:p>
    <w:p>
      <w:pPr>
        <w:ind w:firstLine="420"/>
        <w:spacing w:line="360" w:lineRule="auto"/>
        <w:rPr>
          <w:rFonts w:ascii="宋体" w:cs="宋体"/>
          <w:sz w:val="24"/>
          <w:szCs w:val="24"/>
        </w:rPr>
      </w:pPr>
      <w:r>
        <w:rPr>
          <w:rFonts w:ascii="宋体" w:hAnsi="宋体" w:cs="宋体"/>
          <w:sz w:val="24"/>
          <w:szCs w:val="24"/>
        </w:rPr>
        <w:t xml:space="preserve">1. </w:t>
      </w:r>
      <w:r>
        <w:rPr>
          <w:rFonts w:hint="eastAsia" w:ascii="宋体" w:hAnsi="宋体" w:cs="宋体"/>
          <w:sz w:val="24"/>
          <w:szCs w:val="24"/>
        </w:rPr>
        <w:t xml:space="preserve">按合同规定应该偿付的违约金、赔偿金和各种经济损失，应当在明确责任后</w:t>
      </w:r>
      <w:r>
        <w:rPr>
          <w:rFonts w:ascii="宋体" w:hAnsi="宋体" w:cs="宋体"/>
          <w:sz w:val="24"/>
          <w:szCs w:val="24"/>
        </w:rPr>
        <w:t xml:space="preserve">30</w:t>
      </w:r>
      <w:r>
        <w:rPr>
          <w:rFonts w:hint="eastAsia" w:ascii="宋体" w:hAnsi="宋体" w:cs="宋体"/>
          <w:sz w:val="24"/>
          <w:szCs w:val="24"/>
        </w:rPr>
        <w:t xml:space="preserve">日内付清，逾期按应支付金额的日万分之五计收利息。依据本合同乙方应向甲方支付前述款项的，甲方有权自行从应付合同总价款中扣除</w:t>
      </w:r>
      <w:r>
        <w:rPr>
          <w:rFonts w:hint="eastAsia" w:ascii="宋体" w:hAnsi="宋体" w:cs="宋体"/>
          <w:sz w:val="24"/>
          <w:szCs w:val="24"/>
          <w:lang w:eastAsia="zh-CN"/>
        </w:rPr>
        <w:t xml:space="preserve">冲抵</w:t>
      </w:r>
      <w:r>
        <w:rPr>
          <w:rFonts w:hint="eastAsia" w:ascii="宋体" w:hAnsi="宋体" w:cs="宋体"/>
          <w:sz w:val="24"/>
          <w:szCs w:val="24"/>
        </w:rPr>
        <w:t xml:space="preserve">。</w:t>
      </w:r>
      <w:r/>
    </w:p>
    <w:p>
      <w:pPr>
        <w:ind w:firstLine="420"/>
        <w:spacing w:line="360"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．甲乙双方因履行本合同发生争议时，应友好协商；协商不成时，可向合同签署地的仲裁机构申请仲裁，也可以向甲方所在地人民法院提出诉讼。</w:t>
      </w:r>
      <w:r/>
    </w:p>
    <w:p>
      <w:pPr>
        <w:ind w:firstLine="420"/>
        <w:spacing w:line="360"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如因</w:t>
      </w:r>
      <w:r>
        <w:rPr>
          <w:rFonts w:hint="eastAsia" w:ascii="宋体" w:hAnsi="宋体" w:cs="宋体"/>
          <w:sz w:val="24"/>
          <w:szCs w:val="24"/>
          <w:lang w:val="zh-CN"/>
        </w:rPr>
        <w:t xml:space="preserve">乙</w:t>
      </w:r>
      <w:r>
        <w:rPr>
          <w:rFonts w:hint="eastAsia" w:ascii="宋体" w:hAnsi="宋体" w:cs="宋体"/>
          <w:sz w:val="24"/>
          <w:szCs w:val="24"/>
        </w:rPr>
        <w:t xml:space="preserve">方提供的货物质量问题造成他人人身伤害或财产损害，由</w:t>
      </w:r>
      <w:r>
        <w:rPr>
          <w:rFonts w:hint="eastAsia" w:ascii="宋体" w:hAnsi="宋体" w:cs="宋体"/>
          <w:sz w:val="24"/>
          <w:szCs w:val="24"/>
          <w:lang w:val="zh-CN"/>
        </w:rPr>
        <w:t xml:space="preserve">乙</w:t>
      </w:r>
      <w:r>
        <w:rPr>
          <w:rFonts w:hint="eastAsia" w:ascii="宋体" w:hAnsi="宋体" w:cs="宋体"/>
          <w:sz w:val="24"/>
          <w:szCs w:val="24"/>
        </w:rPr>
        <w:t xml:space="preserve">方承担一切赔偿责任，甲方先行承担的，有权向乙方追偿。</w:t>
      </w:r>
      <w:r/>
    </w:p>
    <w:p>
      <w:pPr>
        <w:ind w:firstLine="420"/>
        <w:spacing w:line="360" w:lineRule="auto"/>
        <w:rPr>
          <w:rFonts w:ascii="宋体" w:cs="宋体"/>
          <w:sz w:val="24"/>
          <w:szCs w:val="24"/>
        </w:rPr>
      </w:pPr>
      <w:r>
        <w:rPr>
          <w:rFonts w:ascii="宋体" w:hAnsi="宋体" w:cs="宋体"/>
          <w:sz w:val="24"/>
          <w:szCs w:val="24"/>
        </w:rPr>
        <w:t xml:space="preserve">4.</w:t>
      </w:r>
      <w:r>
        <w:rPr>
          <w:rFonts w:hint="eastAsia" w:ascii="宋体" w:hAnsi="宋体" w:cs="宋体"/>
          <w:sz w:val="24"/>
          <w:szCs w:val="24"/>
          <w:lang w:val="zh-CN"/>
        </w:rPr>
        <w:t xml:space="preserve">乙</w:t>
      </w:r>
      <w:r>
        <w:rPr>
          <w:rFonts w:hint="eastAsia" w:ascii="宋体" w:hAnsi="宋体" w:cs="宋体"/>
          <w:sz w:val="24"/>
          <w:szCs w:val="24"/>
        </w:rPr>
        <w:t xml:space="preserve">方在供货、保修期间应严格执行现行安全生产</w:t>
      </w:r>
      <w:r>
        <w:rPr>
          <w:rFonts w:hint="eastAsia" w:ascii="宋体" w:hAnsi="宋体" w:cs="宋体"/>
          <w:sz w:val="24"/>
          <w:szCs w:val="24"/>
          <w:lang w:eastAsia="zh-CN"/>
        </w:rPr>
        <w:t xml:space="preserve">法律法规</w:t>
      </w:r>
      <w:r>
        <w:rPr>
          <w:rFonts w:hint="eastAsia" w:ascii="宋体" w:hAnsi="宋体" w:cs="宋体"/>
          <w:sz w:val="24"/>
          <w:szCs w:val="24"/>
        </w:rPr>
        <w:t xml:space="preserve">，确保安全生产无事故（同时不得伤害他人）。因</w:t>
      </w:r>
      <w:r>
        <w:rPr>
          <w:rFonts w:hint="eastAsia" w:ascii="宋体" w:hAnsi="宋体" w:cs="宋体"/>
          <w:sz w:val="24"/>
          <w:szCs w:val="24"/>
          <w:lang w:val="zh-CN"/>
        </w:rPr>
        <w:t xml:space="preserve">乙</w:t>
      </w:r>
      <w:r>
        <w:rPr>
          <w:rFonts w:hint="eastAsia" w:ascii="宋体" w:hAnsi="宋体" w:cs="宋体"/>
          <w:sz w:val="24"/>
          <w:szCs w:val="24"/>
        </w:rPr>
        <w:t xml:space="preserve">方原因造成的所有安全事故以及因质量引发的安全事故和安装等造成的安全事故均由</w:t>
      </w:r>
      <w:r>
        <w:rPr>
          <w:rFonts w:hint="eastAsia" w:ascii="宋体" w:hAnsi="宋体" w:cs="宋体"/>
          <w:sz w:val="24"/>
          <w:szCs w:val="24"/>
          <w:lang w:val="zh-CN"/>
        </w:rPr>
        <w:t xml:space="preserve">乙</w:t>
      </w:r>
      <w:r>
        <w:rPr>
          <w:rFonts w:hint="eastAsia" w:ascii="宋体" w:hAnsi="宋体" w:cs="宋体"/>
          <w:sz w:val="24"/>
          <w:szCs w:val="24"/>
        </w:rPr>
        <w:t xml:space="preserve">方负责，与甲方无关。</w:t>
      </w:r>
      <w:r/>
    </w:p>
    <w:p>
      <w:pPr>
        <w:ind w:firstLine="420"/>
        <w:spacing w:line="360" w:lineRule="auto"/>
        <w:rPr>
          <w:rFonts w:ascii="宋体" w:cs="宋体"/>
          <w:sz w:val="24"/>
          <w:szCs w:val="24"/>
        </w:rPr>
      </w:pPr>
      <w:r>
        <w:rPr>
          <w:rFonts w:ascii="宋体" w:hAnsi="宋体" w:cs="宋体"/>
          <w:sz w:val="24"/>
          <w:szCs w:val="24"/>
        </w:rPr>
        <w:t xml:space="preserve">5.</w:t>
      </w:r>
      <w:r>
        <w:rPr>
          <w:rFonts w:ascii="宋体" w:hAnsi="宋体" w:cs="宋体"/>
          <w:sz w:val="24"/>
          <w:szCs w:val="24"/>
          <w:lang w:val="zh-CN"/>
        </w:rPr>
        <w:t xml:space="preserve"> </w:t>
      </w:r>
      <w:r>
        <w:rPr>
          <w:rFonts w:hint="eastAsia" w:ascii="宋体" w:hAnsi="宋体" w:cs="宋体"/>
          <w:sz w:val="24"/>
          <w:szCs w:val="24"/>
        </w:rPr>
        <w:t xml:space="preserve">质保期后如甲方需要</w:t>
      </w:r>
      <w:r>
        <w:rPr>
          <w:rFonts w:hint="eastAsia" w:ascii="宋体" w:hAnsi="宋体" w:cs="宋体"/>
          <w:sz w:val="24"/>
          <w:szCs w:val="24"/>
          <w:lang w:val="zh-CN"/>
        </w:rPr>
        <w:t xml:space="preserve">乙</w:t>
      </w:r>
      <w:r>
        <w:rPr>
          <w:rFonts w:hint="eastAsia" w:ascii="宋体" w:hAnsi="宋体" w:cs="宋体"/>
          <w:sz w:val="24"/>
          <w:szCs w:val="24"/>
        </w:rPr>
        <w:t xml:space="preserve">方继续维保时，维保合同由甲乙双方根据国家质量技术质量监督总局有关文件规定以及投标承诺另行签订。</w:t>
      </w:r>
      <w:r/>
    </w:p>
    <w:p>
      <w:pPr>
        <w:ind w:firstLine="420"/>
        <w:spacing w:line="360" w:lineRule="auto"/>
        <w:rPr>
          <w:rFonts w:ascii="宋体" w:cs="宋体"/>
          <w:sz w:val="24"/>
          <w:szCs w:val="24"/>
        </w:rPr>
      </w:pPr>
      <w:r>
        <w:rPr>
          <w:rFonts w:ascii="宋体" w:hAnsi="宋体" w:cs="宋体"/>
          <w:sz w:val="24"/>
          <w:szCs w:val="24"/>
        </w:rPr>
        <w:t xml:space="preserve">6.</w:t>
      </w:r>
      <w:r>
        <w:rPr>
          <w:rFonts w:hint="eastAsia" w:ascii="宋体" w:hAnsi="宋体" w:cs="宋体"/>
          <w:sz w:val="24"/>
          <w:szCs w:val="24"/>
          <w:lang w:val="zh-CN"/>
        </w:rPr>
        <w:t xml:space="preserve">本合同中的所有附件均为不可分割的组成部分，且对双方具有同等效力。</w:t>
      </w:r>
      <w:r/>
    </w:p>
    <w:p>
      <w:pPr>
        <w:ind w:firstLine="420"/>
        <w:spacing w:line="360" w:lineRule="auto"/>
        <w:rPr>
          <w:rFonts w:ascii="宋体" w:cs="宋体"/>
          <w:sz w:val="24"/>
          <w:szCs w:val="24"/>
        </w:rPr>
      </w:pPr>
      <w:r>
        <w:rPr>
          <w:rFonts w:ascii="宋体" w:hAnsi="宋体" w:cs="宋体"/>
          <w:sz w:val="24"/>
          <w:szCs w:val="24"/>
        </w:rPr>
        <w:t xml:space="preserve">7</w:t>
      </w:r>
      <w:r>
        <w:rPr>
          <w:rFonts w:ascii="宋体" w:cs="宋体"/>
          <w:sz w:val="24"/>
          <w:szCs w:val="24"/>
        </w:rPr>
        <w:t xml:space="preserve">.</w:t>
      </w:r>
      <w:r>
        <w:rPr>
          <w:rFonts w:hint="eastAsia" w:ascii="宋体" w:hAnsi="宋体" w:cs="宋体"/>
          <w:sz w:val="24"/>
          <w:szCs w:val="24"/>
          <w:lang w:val="zh-CN"/>
        </w:rPr>
        <w:t xml:space="preserve">在本合同履行期间及履行完毕的任何时候，同时未经对方同意，任何一方不得以任何形式公开本合同及附件内容，以确保双</w:t>
      </w:r>
      <w:r>
        <w:rPr>
          <w:rFonts w:hint="eastAsia" w:ascii="宋体" w:hAnsi="宋体" w:cs="宋体"/>
          <w:sz w:val="24"/>
          <w:szCs w:val="24"/>
        </w:rPr>
        <w:t xml:space="preserve">方的商业机密。</w:t>
      </w:r>
      <w:r/>
    </w:p>
    <w:p>
      <w:pPr>
        <w:ind w:firstLine="420"/>
        <w:spacing w:line="360" w:lineRule="auto"/>
        <w:rPr>
          <w:rFonts w:ascii="宋体" w:cs="宋体"/>
          <w:color w:val="000000"/>
          <w:sz w:val="24"/>
          <w:szCs w:val="24"/>
        </w:rPr>
      </w:pPr>
      <w:r>
        <w:rPr>
          <w:rFonts w:hint="eastAsia" w:ascii="宋体" w:hAnsi="宋体" w:cs="宋体"/>
          <w:sz w:val="24"/>
          <w:szCs w:val="24"/>
        </w:rPr>
        <w:t xml:space="preserve">如需要，乙方应根据甲方的要求签署相应的保密协议，保密协议与本条款存在不</w:t>
      </w:r>
      <w:r>
        <w:rPr>
          <w:rFonts w:hint="eastAsia" w:ascii="宋体" w:hAnsi="宋体" w:cs="宋体"/>
          <w:color w:val="000000"/>
          <w:sz w:val="24"/>
          <w:szCs w:val="24"/>
        </w:rPr>
        <w:t xml:space="preserve">一致的，以保密协议为准。</w:t>
      </w:r>
      <w:r/>
    </w:p>
    <w:p>
      <w:pPr>
        <w:ind w:firstLine="420"/>
        <w:spacing w:line="360" w:lineRule="auto"/>
        <w:rPr>
          <w:rFonts w:ascii="宋体" w:cs="宋体"/>
          <w:b/>
          <w:bCs/>
          <w:color w:val="000000"/>
          <w:sz w:val="24"/>
          <w:szCs w:val="24"/>
        </w:rPr>
      </w:pPr>
      <w:r>
        <w:rPr>
          <w:rFonts w:ascii="宋体" w:hAnsi="宋体" w:cs="宋体"/>
          <w:b/>
          <w:bCs/>
          <w:color w:val="000000"/>
          <w:sz w:val="24"/>
          <w:szCs w:val="24"/>
        </w:rPr>
        <w:t xml:space="preserve">10.</w:t>
      </w:r>
      <w:r>
        <w:rPr>
          <w:rFonts w:hint="eastAsia" w:ascii="宋体" w:hAnsi="宋体" w:cs="宋体"/>
          <w:b/>
          <w:bCs/>
          <w:color w:val="000000"/>
          <w:sz w:val="24"/>
          <w:szCs w:val="24"/>
        </w:rPr>
        <w:t xml:space="preserve">本合同壹式</w:t>
      </w:r>
      <w:r>
        <w:rPr>
          <w:rFonts w:ascii="宋体" w:hAnsi="宋体" w:cs="宋体"/>
          <w:b/>
          <w:bCs/>
          <w:color w:val="000000"/>
          <w:sz w:val="24"/>
          <w:szCs w:val="24"/>
          <w:u w:val="single"/>
        </w:rPr>
        <w:t xml:space="preserve"> </w:t>
      </w:r>
      <w:r>
        <w:rPr>
          <w:rFonts w:hint="eastAsia" w:ascii="宋体" w:hAnsi="宋体" w:cs="宋体"/>
          <w:b/>
          <w:bCs/>
          <w:color w:val="000000"/>
          <w:sz w:val="24"/>
          <w:szCs w:val="24"/>
          <w:u w:val="single"/>
        </w:rPr>
        <w:t xml:space="preserve">叁</w:t>
      </w:r>
      <w:r>
        <w:rPr>
          <w:rFonts w:ascii="宋体" w:hAnsi="宋体" w:cs="宋体"/>
          <w:b/>
          <w:bCs/>
          <w:color w:val="000000"/>
          <w:sz w:val="24"/>
          <w:szCs w:val="24"/>
          <w:u w:val="single"/>
        </w:rPr>
        <w:t xml:space="preserve">  </w:t>
      </w:r>
      <w:r>
        <w:rPr>
          <w:rFonts w:hint="eastAsia" w:ascii="宋体" w:hAnsi="宋体" w:cs="宋体"/>
          <w:b/>
          <w:bCs/>
          <w:color w:val="000000"/>
          <w:sz w:val="24"/>
          <w:szCs w:val="24"/>
        </w:rPr>
        <w:t xml:space="preserve">份，甲方执</w:t>
      </w:r>
      <w:r>
        <w:rPr>
          <w:rFonts w:ascii="宋体" w:hAnsi="宋体" w:cs="宋体"/>
          <w:b/>
          <w:bCs/>
          <w:color w:val="000000"/>
          <w:sz w:val="24"/>
          <w:szCs w:val="24"/>
          <w:u w:val="single"/>
        </w:rPr>
        <w:t xml:space="preserve"> </w:t>
      </w:r>
      <w:r>
        <w:rPr>
          <w:rFonts w:hint="eastAsia" w:ascii="宋体" w:hAnsi="宋体" w:cs="宋体"/>
          <w:b/>
          <w:bCs/>
          <w:color w:val="000000"/>
          <w:sz w:val="24"/>
          <w:szCs w:val="24"/>
          <w:u w:val="single"/>
        </w:rPr>
        <w:t xml:space="preserve">贰</w:t>
      </w:r>
      <w:r>
        <w:rPr>
          <w:rFonts w:ascii="宋体" w:hAnsi="宋体" w:cs="宋体"/>
          <w:b/>
          <w:bCs/>
          <w:color w:val="000000"/>
          <w:sz w:val="24"/>
          <w:szCs w:val="24"/>
          <w:u w:val="single"/>
        </w:rPr>
        <w:t xml:space="preserve">  </w:t>
      </w:r>
      <w:r>
        <w:rPr>
          <w:rFonts w:hint="eastAsia" w:ascii="宋体" w:hAnsi="宋体" w:cs="宋体"/>
          <w:b/>
          <w:bCs/>
          <w:color w:val="000000"/>
          <w:sz w:val="24"/>
          <w:szCs w:val="24"/>
        </w:rPr>
        <w:t xml:space="preserve">份，乙方执</w:t>
      </w:r>
      <w:r>
        <w:rPr>
          <w:rFonts w:ascii="宋体" w:hAnsi="宋体" w:cs="宋体"/>
          <w:b/>
          <w:bCs/>
          <w:color w:val="000000"/>
          <w:sz w:val="24"/>
          <w:szCs w:val="24"/>
          <w:u w:val="single"/>
        </w:rPr>
        <w:t xml:space="preserve"> </w:t>
      </w:r>
      <w:r>
        <w:rPr>
          <w:rFonts w:hint="eastAsia" w:ascii="宋体" w:hAnsi="宋体" w:cs="宋体"/>
          <w:b/>
          <w:bCs/>
          <w:color w:val="000000"/>
          <w:sz w:val="24"/>
          <w:szCs w:val="24"/>
          <w:u w:val="single"/>
        </w:rPr>
        <w:t xml:space="preserve">壹</w:t>
      </w:r>
      <w:r>
        <w:rPr>
          <w:rFonts w:ascii="宋体" w:hAnsi="宋体" w:cs="宋体"/>
          <w:b/>
          <w:bCs/>
          <w:color w:val="000000"/>
          <w:sz w:val="24"/>
          <w:szCs w:val="24"/>
          <w:u w:val="single"/>
        </w:rPr>
        <w:t xml:space="preserve">  </w:t>
      </w:r>
      <w:r>
        <w:rPr>
          <w:rFonts w:hint="eastAsia" w:ascii="宋体" w:hAnsi="宋体" w:cs="宋体"/>
          <w:b/>
          <w:bCs/>
          <w:color w:val="000000"/>
          <w:sz w:val="24"/>
          <w:szCs w:val="24"/>
        </w:rPr>
        <w:t xml:space="preserve">份。</w:t>
      </w:r>
      <w:r/>
    </w:p>
    <w:p>
      <w:pPr>
        <w:ind w:firstLine="420"/>
        <w:spacing w:line="360" w:lineRule="auto"/>
        <w:rPr>
          <w:rFonts w:ascii="宋体" w:hAnsi="宋体" w:cs="宋体"/>
          <w:color w:val="000000"/>
          <w:sz w:val="24"/>
          <w:szCs w:val="24"/>
        </w:rPr>
      </w:pPr>
      <w:r>
        <w:rPr>
          <w:rFonts w:ascii="宋体" w:hAnsi="宋体" w:cs="宋体"/>
          <w:color w:val="000000"/>
          <w:sz w:val="24"/>
          <w:szCs w:val="24"/>
        </w:rPr>
        <w:t xml:space="preserve">11</w:t>
      </w:r>
      <w:r>
        <w:rPr>
          <w:rFonts w:ascii="宋体" w:cs="宋体"/>
          <w:color w:val="000000"/>
          <w:sz w:val="24"/>
          <w:szCs w:val="24"/>
        </w:rPr>
        <w:t xml:space="preserve">.</w:t>
      </w:r>
      <w:r>
        <w:rPr>
          <w:rFonts w:hint="eastAsia" w:ascii="宋体" w:hAnsi="宋体" w:cs="宋体"/>
          <w:color w:val="000000"/>
          <w:sz w:val="24"/>
          <w:szCs w:val="24"/>
        </w:rPr>
        <w:t xml:space="preserve">本合同自双方法定代表人或者授权签字人签字并加盖公章后生效。</w:t>
      </w:r>
      <w:r/>
    </w:p>
    <w:p>
      <w:pPr>
        <w:ind w:firstLine="420"/>
        <w:spacing w:line="360" w:lineRule="auto"/>
        <w:rPr>
          <w:rFonts w:ascii="宋体" w:cs="宋体"/>
          <w:sz w:val="24"/>
          <w:szCs w:val="24"/>
        </w:rPr>
      </w:pPr>
      <w:r>
        <w:rPr>
          <w:rFonts w:ascii="宋体" w:hAnsi="宋体" w:cs="宋体"/>
          <w:color w:val="000000"/>
          <w:sz w:val="24"/>
          <w:szCs w:val="24"/>
        </w:rPr>
        <w:t xml:space="preserve">12</w:t>
      </w:r>
      <w:r>
        <w:rPr>
          <w:rFonts w:ascii="宋体" w:cs="宋体"/>
          <w:color w:val="000000"/>
          <w:sz w:val="24"/>
          <w:szCs w:val="24"/>
        </w:rPr>
        <w:t xml:space="preserve">.</w:t>
      </w:r>
      <w:r>
        <w:rPr>
          <w:rFonts w:hint="eastAsia" w:ascii="宋体" w:hAnsi="宋体" w:cs="宋体"/>
          <w:color w:val="000000"/>
          <w:sz w:val="24"/>
          <w:szCs w:val="24"/>
        </w:rPr>
        <w:t xml:space="preserve">合同执行期内，甲</w:t>
      </w:r>
      <w:r>
        <w:rPr>
          <w:rFonts w:hint="eastAsia" w:ascii="宋体" w:hAnsi="宋体" w:cs="宋体"/>
          <w:sz w:val="24"/>
          <w:szCs w:val="24"/>
        </w:rPr>
        <w:t xml:space="preserve">乙双方均不得随意变更或解除合同。未尽事宜，由双方共同协商达成补充协议解决。补充协议与本合同不一致的，以补充协议为准。</w:t>
      </w:r>
      <w:r/>
    </w:p>
    <w:p>
      <w:pPr>
        <w:ind w:firstLine="420"/>
        <w:spacing w:line="360" w:lineRule="auto"/>
        <w:rPr>
          <w:rFonts w:ascii="宋体" w:cs="宋体"/>
          <w:sz w:val="24"/>
          <w:szCs w:val="24"/>
        </w:rPr>
      </w:pPr>
      <w:r>
        <w:rPr>
          <w:rFonts w:ascii="宋体" w:cs="宋体"/>
          <w:sz w:val="24"/>
          <w:szCs w:val="24"/>
        </w:rPr>
      </w:r>
      <w:r/>
    </w:p>
    <w:p>
      <w:pPr>
        <w:spacing w:before="156" w:after="156" w:line="360" w:lineRule="exact"/>
        <w:rPr>
          <w:rFonts w:ascii="宋体" w:hAnsi="宋体" w:cs="宋体"/>
          <w:bCs/>
          <w:sz w:val="24"/>
          <w:szCs w:val="24"/>
        </w:rPr>
      </w:pPr>
      <w:r>
        <w:rPr>
          <w:rFonts w:hint="eastAsia" w:ascii="宋体" w:hAnsi="宋体" w:cs="宋体"/>
          <w:bCs/>
          <w:sz w:val="24"/>
          <w:szCs w:val="24"/>
        </w:rPr>
        <w:t xml:space="preserve">甲方：</w:t>
      </w:r>
      <w:r>
        <w:rPr>
          <w:rFonts w:hint="eastAsia" w:ascii="宋体" w:hAnsi="宋体" w:cs="宋体"/>
          <w:bCs/>
          <w:sz w:val="24"/>
          <w:szCs w:val="24"/>
          <w:u w:val="single"/>
        </w:rPr>
        <w:t xml:space="preserve"> </w:t>
      </w:r>
      <w:r>
        <w:rPr>
          <w:rFonts w:hint="eastAsia" w:ascii="宋体" w:hAnsi="宋体" w:cs="宋体"/>
          <w:bCs/>
          <w:sz w:val="24"/>
          <w:szCs w:val="24"/>
          <w:u w:val="single"/>
          <w:lang w:eastAsia="zh-CN"/>
        </w:rPr>
        <w:t xml:space="preserve">徐州市铜山区教育局（机关）</w:t>
      </w:r>
      <w:r>
        <w:rPr>
          <w:rFonts w:hint="eastAsia" w:ascii="宋体" w:hAnsi="宋体" w:cs="宋体"/>
          <w:bCs/>
          <w:sz w:val="24"/>
          <w:szCs w:val="24"/>
        </w:rPr>
        <w:t xml:space="preserve">（盖章）  乙方：</w:t>
      </w:r>
      <w:r>
        <w:rPr>
          <w:rFonts w:hint="eastAsia" w:ascii="宋体" w:hAnsi="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cs="宋体"/>
          <w:bCs/>
          <w:sz w:val="24"/>
          <w:szCs w:val="24"/>
        </w:rPr>
        <w:t xml:space="preserve">（盖章）</w:t>
      </w:r>
      <w:r/>
    </w:p>
    <w:p>
      <w:pPr>
        <w:spacing w:line="480" w:lineRule="auto"/>
        <w:rPr>
          <w:rFonts w:ascii="宋体" w:hAnsi="宋体" w:cs="宋体"/>
          <w:bCs/>
          <w:sz w:val="24"/>
          <w:szCs w:val="24"/>
        </w:rPr>
      </w:pPr>
      <w:r>
        <w:rPr>
          <w:rFonts w:hint="eastAsia" w:ascii="宋体" w:hAnsi="宋体" w:cs="宋体"/>
          <w:bCs/>
          <w:sz w:val="24"/>
          <w:szCs w:val="24"/>
        </w:rPr>
        <w:t xml:space="preserve">法定代表人：</w:t>
      </w:r>
      <w:r>
        <w:rPr>
          <w:rFonts w:hint="eastAsia" w:ascii="宋体" w:hAnsi="宋体" w:cs="宋体"/>
          <w:bCs/>
          <w:sz w:val="24"/>
          <w:szCs w:val="24"/>
          <w:u w:val="single"/>
        </w:rPr>
        <w:t xml:space="preserve">                 </w:t>
      </w:r>
      <w:r>
        <w:rPr>
          <w:rFonts w:hint="eastAsia" w:ascii="宋体" w:hAnsi="宋体" w:cs="宋体"/>
          <w:bCs/>
          <w:sz w:val="24"/>
          <w:szCs w:val="24"/>
        </w:rPr>
        <w:t xml:space="preserve">    法定代表人：  </w:t>
      </w:r>
      <w:r>
        <w:rPr>
          <w:rFonts w:hint="eastAsia" w:ascii="宋体" w:hAnsi="宋体" w:cs="宋体"/>
          <w:bCs/>
          <w:sz w:val="24"/>
          <w:szCs w:val="24"/>
          <w:u w:val="single"/>
        </w:rPr>
        <w:t xml:space="preserve">                  </w:t>
      </w:r>
      <w:r/>
    </w:p>
    <w:p>
      <w:pPr>
        <w:spacing w:line="480" w:lineRule="auto"/>
        <w:rPr>
          <w:rFonts w:ascii="宋体" w:hAnsi="宋体" w:cs="宋体"/>
          <w:bCs/>
          <w:sz w:val="24"/>
          <w:szCs w:val="24"/>
        </w:rPr>
      </w:pPr>
      <w:r>
        <w:rPr>
          <w:rFonts w:hint="eastAsia" w:ascii="宋体" w:hAnsi="宋体" w:cs="宋体"/>
          <w:bCs/>
          <w:sz w:val="24"/>
          <w:szCs w:val="24"/>
        </w:rPr>
        <w:t xml:space="preserve">委托代表人：</w:t>
      </w:r>
      <w:r>
        <w:rPr>
          <w:rFonts w:hint="eastAsia" w:ascii="宋体" w:hAnsi="宋体" w:cs="宋体"/>
          <w:bCs/>
          <w:sz w:val="24"/>
          <w:szCs w:val="24"/>
          <w:u w:val="single"/>
        </w:rPr>
        <w:t xml:space="preserve">                 </w:t>
      </w:r>
      <w:r>
        <w:rPr>
          <w:rFonts w:hint="eastAsia" w:ascii="宋体" w:hAnsi="宋体" w:cs="宋体"/>
          <w:bCs/>
          <w:sz w:val="24"/>
          <w:szCs w:val="24"/>
        </w:rPr>
        <w:t xml:space="preserve">     委托代表人：  </w:t>
      </w:r>
      <w:r>
        <w:rPr>
          <w:rFonts w:hint="eastAsia" w:ascii="宋体" w:hAnsi="宋体" w:cs="宋体"/>
          <w:bCs/>
          <w:sz w:val="24"/>
          <w:szCs w:val="24"/>
          <w:u w:val="single"/>
        </w:rPr>
        <w:t xml:space="preserve">                   </w:t>
      </w:r>
      <w:r/>
    </w:p>
    <w:p>
      <w:pPr>
        <w:rPr>
          <w:rFonts w:ascii="宋体" w:hAnsi="宋体" w:cs="宋体"/>
          <w:bCs/>
          <w:sz w:val="24"/>
          <w:szCs w:val="24"/>
          <w:u w:val="single"/>
          <w:lang w:val="en-US"/>
        </w:rPr>
      </w:pPr>
      <w:r>
        <w:rPr>
          <w:rFonts w:hint="eastAsia" w:ascii="宋体" w:hAnsi="宋体" w:cs="宋体"/>
          <w:bCs/>
          <w:sz w:val="24"/>
          <w:szCs w:val="24"/>
        </w:rPr>
        <w:t xml:space="preserve">开户银行：</w:t>
      </w:r>
      <w:r>
        <w:rPr>
          <w:rFonts w:hint="eastAsia" w:ascii="宋体" w:hAnsi="宋体" w:cs="宋体"/>
          <w:bCs/>
          <w:sz w:val="24"/>
          <w:szCs w:val="24"/>
          <w:u w:val="single"/>
        </w:rPr>
        <w:t xml:space="preserve">                      </w:t>
      </w:r>
      <w:r>
        <w:rPr>
          <w:rFonts w:hint="eastAsia" w:ascii="宋体" w:hAnsi="宋体" w:cs="宋体"/>
          <w:bCs/>
          <w:sz w:val="24"/>
          <w:szCs w:val="24"/>
        </w:rPr>
        <w:t xml:space="preserve">开户银行：</w:t>
      </w:r>
      <w:r>
        <w:rPr>
          <w:rFonts w:hint="eastAsia" w:ascii="宋体" w:hAnsi="宋体" w:cs="宋体"/>
          <w:bCs/>
          <w:sz w:val="24"/>
          <w:szCs w:val="24"/>
          <w:u w:val="single"/>
          <w:lang w:val="en-US" w:eastAsia="zh-CN"/>
        </w:rPr>
        <w:t xml:space="preserve">                  </w:t>
      </w:r>
      <w:r/>
    </w:p>
    <w:p>
      <w:pPr>
        <w:pStyle w:val="880"/>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bCs/>
          <w:sz w:val="24"/>
          <w:szCs w:val="24"/>
          <w:u w:val="single"/>
          <w:lang w:val="en-US" w:eastAsia="zh-CN"/>
        </w:rPr>
      </w:pPr>
      <w:r>
        <w:rPr>
          <w:rFonts w:hint="eastAsia" w:ascii="宋体" w:hAnsi="宋体" w:cs="宋体"/>
          <w:bCs/>
          <w:sz w:val="24"/>
          <w:szCs w:val="24"/>
          <w:lang w:val="en-US" w:eastAsia="zh-CN"/>
        </w:rPr>
        <w:t xml:space="preserve">帐</w:t>
      </w:r>
      <w:r>
        <w:rPr>
          <w:rFonts w:hint="eastAsia" w:ascii="宋体" w:hAnsi="宋体" w:cs="宋体"/>
          <w:bCs/>
          <w:sz w:val="24"/>
          <w:szCs w:val="24"/>
        </w:rPr>
        <w:t xml:space="preserve">    号：</w:t>
      </w:r>
      <w:r>
        <w:rPr>
          <w:rFonts w:hint="eastAsia" w:ascii="宋体" w:hAnsi="宋体" w:cs="宋体"/>
          <w:bCs/>
          <w:sz w:val="24"/>
          <w:szCs w:val="24"/>
          <w:u w:val="single"/>
        </w:rPr>
        <w:t xml:space="preserve">                    </w:t>
      </w:r>
      <w:r>
        <w:rPr>
          <w:rFonts w:hint="eastAsia" w:ascii="宋体" w:hAnsi="宋体" w:cs="宋体"/>
          <w:bCs/>
          <w:sz w:val="24"/>
          <w:szCs w:val="24"/>
        </w:rPr>
        <w:t xml:space="preserve">   帐    号：</w:t>
      </w:r>
      <w:r>
        <w:rPr>
          <w:rFonts w:hint="eastAsia" w:ascii="宋体" w:hAnsi="宋体" w:cs="宋体"/>
          <w:bCs/>
          <w:sz w:val="24"/>
          <w:szCs w:val="24"/>
          <w:u w:val="single"/>
        </w:rPr>
        <w:t xml:space="preserve">   </w:t>
      </w:r>
      <w:r>
        <w:rPr>
          <w:rFonts w:hint="eastAsia" w:ascii="宋体" w:hAnsi="宋体" w:cs="宋体"/>
          <w:sz w:val="24"/>
          <w:szCs w:val="24"/>
          <w:u w:val="single"/>
          <w:lang w:val="en-US" w:eastAsia="zh-CN"/>
        </w:rPr>
        <w:t xml:space="preserve">                    </w:t>
      </w:r>
      <w:r/>
    </w:p>
    <w:p>
      <w:pPr>
        <w:pStyle w:val="880"/>
        <w:rPr>
          <w:rFonts w:ascii="宋体" w:hAnsi="宋体" w:eastAsia="宋体" w:cs="宋体"/>
          <w:sz w:val="24"/>
          <w:szCs w:val="24"/>
        </w:rPr>
      </w:pPr>
      <w:r>
        <w:rPr>
          <w:rFonts w:ascii="宋体" w:hAnsi="宋体" w:eastAsia="宋体" w:cs="宋体"/>
          <w:sz w:val="24"/>
          <w:szCs w:val="24"/>
        </w:rPr>
      </w:r>
      <w:r/>
    </w:p>
    <w:p>
      <w:pPr>
        <w:rPr>
          <w:rFonts w:ascii="宋体" w:hAnsi="宋体" w:cs="宋体"/>
          <w:bCs/>
          <w:sz w:val="24"/>
          <w:szCs w:val="24"/>
        </w:rPr>
      </w:pPr>
      <w:r>
        <w:rPr>
          <w:rFonts w:hint="eastAsia" w:ascii="宋体" w:hAnsi="宋体" w:cs="宋体"/>
          <w:bCs/>
          <w:sz w:val="24"/>
          <w:szCs w:val="24"/>
        </w:rPr>
        <w:t xml:space="preserve">日    期：</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   日    期：</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rPr>
          <w:rFonts w:ascii="宋体"/>
          <w:b/>
          <w:sz w:val="24"/>
          <w:szCs w:val="24"/>
        </w:rPr>
      </w:pPr>
      <w:r>
        <w:rPr>
          <w:rFonts w:ascii="宋体"/>
          <w:b/>
          <w:sz w:val="24"/>
          <w:szCs w:val="24"/>
        </w:rPr>
      </w:r>
      <w:r/>
    </w:p>
    <w:p>
      <w:pPr>
        <w:pStyle w:val="880"/>
        <w:rPr>
          <w:rFonts w:ascii="宋体"/>
          <w:b/>
          <w:sz w:val="24"/>
          <w:szCs w:val="24"/>
        </w:rPr>
      </w:pPr>
      <w:r>
        <w:rPr>
          <w:rFonts w:ascii="宋体"/>
          <w:b/>
          <w:sz w:val="24"/>
          <w:szCs w:val="24"/>
        </w:rPr>
      </w:r>
      <w:r/>
    </w:p>
    <w:p>
      <w:pPr>
        <w:pStyle w:val="880"/>
        <w:rPr>
          <w:rFonts w:ascii="宋体"/>
          <w:b/>
          <w:sz w:val="24"/>
          <w:szCs w:val="24"/>
        </w:rPr>
      </w:pPr>
      <w:r>
        <w:rPr>
          <w:rFonts w:ascii="宋体"/>
          <w:b/>
          <w:sz w:val="24"/>
          <w:szCs w:val="24"/>
        </w:rPr>
      </w:r>
      <w:r/>
    </w:p>
    <w:p>
      <w:pPr>
        <w:pStyle w:val="880"/>
        <w:rPr>
          <w:rFonts w:ascii="宋体"/>
          <w:b/>
          <w:sz w:val="24"/>
          <w:szCs w:val="24"/>
        </w:rPr>
      </w:pPr>
      <w:r>
        <w:rPr>
          <w:rFonts w:ascii="宋体"/>
          <w:b/>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rPr>
          <w:rFonts w:hint="eastAsia" w:ascii="宋体" w:hAnsi="宋体" w:eastAsia="宋体" w:cs="宋体"/>
          <w:sz w:val="30"/>
          <w:szCs w:val="30"/>
        </w:rPr>
      </w:pPr>
      <w:r>
        <w:rPr>
          <w:rFonts w:hint="eastAsia" w:ascii="宋体" w:hAnsi="宋体" w:eastAsia="宋体" w:cs="宋体"/>
          <w:b/>
          <w:bCs/>
          <w:sz w:val="30"/>
          <w:szCs w:val="30"/>
        </w:rPr>
        <w:t xml:space="preserve">合同附件</w:t>
      </w:r>
      <w:r/>
    </w:p>
    <w:p>
      <w:pPr>
        <w:jc w:val="left"/>
        <w:tabs>
          <w:tab w:val="left" w:pos="7506" w:leader="none"/>
        </w:tabs>
        <w:rPr>
          <w:rFonts w:hint="eastAsia" w:ascii="宋体" w:hAnsi="宋体" w:eastAsia="宋体" w:cs="宋体"/>
          <w:sz w:val="24"/>
        </w:rPr>
      </w:pPr>
      <w:r>
        <w:rPr>
          <w:rFonts w:hint="eastAsia" w:ascii="宋体" w:hAnsi="宋体" w:eastAsia="宋体" w:cs="宋体"/>
          <w:sz w:val="24"/>
        </w:rPr>
        <w:tab/>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val="0"/>
          <w:bCs w:val="0"/>
          <w:sz w:val="24"/>
        </w:rPr>
      </w:pPr>
      <w:r>
        <w:rPr>
          <w:rFonts w:hint="eastAsia" w:ascii="宋体" w:hAnsi="宋体" w:eastAsia="宋体" w:cs="宋体"/>
          <w:b w:val="0"/>
          <w:bCs w:val="0"/>
          <w:sz w:val="24"/>
        </w:rPr>
        <w:t xml:space="preserve">合同附件1：合同协议书</w:t>
      </w:r>
      <w:r/>
    </w:p>
    <w:p>
      <w:pPr>
        <w:rPr>
          <w:rFonts w:hint="eastAsia" w:ascii="宋体" w:hAnsi="宋体" w:eastAsia="宋体" w:cs="宋体"/>
          <w:b w:val="0"/>
          <w:bCs w:val="0"/>
          <w:sz w:val="24"/>
        </w:rPr>
      </w:pPr>
      <w:r>
        <w:rPr>
          <w:rFonts w:hint="eastAsia" w:ascii="宋体" w:hAnsi="宋体" w:eastAsia="宋体" w:cs="宋体"/>
          <w:b w:val="0"/>
          <w:bCs w:val="0"/>
          <w:sz w:val="24"/>
        </w:rPr>
      </w:r>
      <w:r/>
    </w:p>
    <w:p>
      <w:pPr>
        <w:rPr>
          <w:rFonts w:hint="eastAsia" w:ascii="宋体" w:hAnsi="宋体" w:eastAsia="宋体" w:cs="宋体"/>
          <w:b w:val="0"/>
          <w:bCs w:val="0"/>
          <w:sz w:val="24"/>
        </w:rPr>
      </w:pPr>
      <w:r>
        <w:rPr>
          <w:rFonts w:hint="eastAsia" w:ascii="宋体" w:hAnsi="宋体" w:eastAsia="宋体" w:cs="宋体"/>
          <w:b w:val="0"/>
          <w:bCs w:val="0"/>
          <w:sz w:val="24"/>
        </w:rPr>
        <w:t xml:space="preserve">合同附件2：技术规格和技术性能</w:t>
      </w:r>
      <w:r/>
    </w:p>
    <w:p>
      <w:pPr>
        <w:rPr>
          <w:rFonts w:hint="eastAsia" w:ascii="宋体" w:hAnsi="宋体" w:eastAsia="宋体" w:cs="宋体"/>
          <w:b w:val="0"/>
          <w:bCs w:val="0"/>
          <w:sz w:val="24"/>
        </w:rPr>
      </w:pPr>
      <w:r>
        <w:rPr>
          <w:rFonts w:hint="eastAsia" w:ascii="宋体" w:hAnsi="宋体" w:cs="宋体"/>
          <w:b w:val="0"/>
          <w:bCs w:val="0"/>
          <w:sz w:val="24"/>
          <w:lang w:eastAsia="zh-CN"/>
        </w:rPr>
        <w:t xml:space="preserve">（</w:t>
      </w:r>
      <w:r>
        <w:rPr>
          <w:rFonts w:hint="eastAsia" w:ascii="宋体" w:hAnsi="宋体" w:eastAsia="宋体" w:cs="宋体"/>
          <w:b w:val="0"/>
          <w:bCs w:val="0"/>
          <w:sz w:val="24"/>
        </w:rPr>
        <w:t xml:space="preserve">要求见招标文件第六章《采购需求》；合同见卖方投标文件中《技术规格说明》。</w:t>
      </w:r>
      <w:r>
        <w:rPr>
          <w:rFonts w:hint="eastAsia" w:ascii="宋体" w:hAnsi="宋体" w:cs="宋体"/>
          <w:b w:val="0"/>
          <w:bCs w:val="0"/>
          <w:sz w:val="24"/>
          <w:lang w:eastAsia="zh-CN"/>
        </w:rPr>
        <w:t xml:space="preserve">）</w:t>
      </w:r>
      <w:r/>
    </w:p>
    <w:p>
      <w:pPr>
        <w:rPr>
          <w:rFonts w:hint="eastAsia" w:ascii="宋体" w:hAnsi="宋体" w:eastAsia="宋体" w:cs="宋体"/>
          <w:b w:val="0"/>
          <w:bCs w:val="0"/>
          <w:sz w:val="24"/>
        </w:rPr>
      </w:pPr>
      <w:r>
        <w:rPr>
          <w:rFonts w:hint="eastAsia" w:ascii="宋体" w:hAnsi="宋体" w:eastAsia="宋体" w:cs="宋体"/>
          <w:b w:val="0"/>
          <w:bCs w:val="0"/>
          <w:sz w:val="24"/>
        </w:rPr>
      </w:r>
      <w:r/>
    </w:p>
    <w:p>
      <w:pPr>
        <w:rPr>
          <w:rFonts w:hint="eastAsia" w:ascii="宋体" w:hAnsi="宋体" w:eastAsia="宋体" w:cs="宋体"/>
          <w:b w:val="0"/>
          <w:bCs w:val="0"/>
          <w:sz w:val="24"/>
        </w:rPr>
      </w:pPr>
      <w:r>
        <w:rPr>
          <w:rFonts w:hint="eastAsia" w:ascii="宋体" w:hAnsi="宋体" w:eastAsia="宋体" w:cs="宋体"/>
          <w:b w:val="0"/>
          <w:bCs w:val="0"/>
          <w:sz w:val="24"/>
        </w:rPr>
        <w:t xml:space="preserve">合同附件3：售后服务</w:t>
      </w:r>
      <w:r/>
    </w:p>
    <w:p>
      <w:pPr>
        <w:rPr>
          <w:rFonts w:hint="eastAsia" w:ascii="宋体" w:hAnsi="宋体" w:eastAsia="宋体" w:cs="宋体"/>
          <w:b w:val="0"/>
          <w:bCs w:val="0"/>
          <w:sz w:val="24"/>
        </w:rPr>
      </w:pPr>
      <w:r>
        <w:rPr>
          <w:rFonts w:hint="eastAsia" w:ascii="宋体" w:hAnsi="宋体" w:cs="宋体"/>
          <w:b w:val="0"/>
          <w:bCs w:val="0"/>
          <w:sz w:val="24"/>
          <w:lang w:eastAsia="zh-CN"/>
        </w:rPr>
        <w:t xml:space="preserve">（</w:t>
      </w:r>
      <w:r>
        <w:rPr>
          <w:rFonts w:hint="eastAsia" w:ascii="宋体" w:hAnsi="宋体" w:eastAsia="宋体" w:cs="宋体"/>
          <w:b w:val="0"/>
          <w:bCs w:val="0"/>
          <w:sz w:val="24"/>
        </w:rPr>
        <w:t xml:space="preserve">要求见招标文件第六章《采购需求》；合同见卖方投标文件中《售后服务方案》。</w:t>
      </w:r>
      <w:r>
        <w:rPr>
          <w:rFonts w:hint="eastAsia" w:ascii="宋体" w:hAnsi="宋体" w:cs="宋体"/>
          <w:b w:val="0"/>
          <w:bCs w:val="0"/>
          <w:sz w:val="24"/>
          <w:lang w:eastAsia="zh-CN"/>
        </w:rPr>
        <w:t xml:space="preserve">）</w:t>
      </w:r>
      <w:r/>
    </w:p>
    <w:p>
      <w:pPr>
        <w:rPr>
          <w:rFonts w:hint="eastAsia" w:ascii="宋体" w:hAnsi="宋体" w:eastAsia="宋体" w:cs="宋体"/>
          <w:b w:val="0"/>
          <w:bCs w:val="0"/>
          <w:sz w:val="24"/>
        </w:rPr>
      </w:pPr>
      <w:r>
        <w:rPr>
          <w:rFonts w:hint="eastAsia" w:ascii="宋体" w:hAnsi="宋体" w:eastAsia="宋体" w:cs="宋体"/>
          <w:b w:val="0"/>
          <w:bCs w:val="0"/>
          <w:sz w:val="24"/>
        </w:rPr>
      </w:r>
      <w:r/>
    </w:p>
    <w:p>
      <w:pPr>
        <w:rPr>
          <w:rFonts w:hint="eastAsia" w:ascii="宋体" w:hAnsi="宋体" w:eastAsia="宋体" w:cs="宋体"/>
          <w:b w:val="0"/>
          <w:bCs w:val="0"/>
          <w:sz w:val="24"/>
        </w:rPr>
      </w:pPr>
      <w:r>
        <w:rPr>
          <w:rFonts w:hint="eastAsia" w:ascii="宋体" w:hAnsi="宋体" w:eastAsia="宋体" w:cs="宋体"/>
          <w:b w:val="0"/>
          <w:bCs w:val="0"/>
          <w:sz w:val="24"/>
        </w:rPr>
        <w:t xml:space="preserve">合同附件4：供货范围和价格清单</w:t>
      </w:r>
      <w:r/>
    </w:p>
    <w:p>
      <w:pPr>
        <w:rPr>
          <w:rFonts w:hint="eastAsia" w:ascii="宋体" w:hAnsi="宋体" w:eastAsia="宋体" w:cs="宋体"/>
          <w:b w:val="0"/>
          <w:bCs w:val="0"/>
          <w:sz w:val="24"/>
        </w:rPr>
      </w:pPr>
      <w:r>
        <w:rPr>
          <w:rFonts w:hint="eastAsia" w:ascii="宋体" w:hAnsi="宋体" w:cs="宋体"/>
          <w:b w:val="0"/>
          <w:bCs w:val="0"/>
          <w:sz w:val="24"/>
          <w:lang w:eastAsia="zh-CN"/>
        </w:rPr>
        <w:t xml:space="preserve">（</w:t>
      </w:r>
      <w:r>
        <w:rPr>
          <w:rFonts w:hint="eastAsia" w:ascii="宋体" w:hAnsi="宋体" w:eastAsia="宋体" w:cs="宋体"/>
          <w:b w:val="0"/>
          <w:bCs w:val="0"/>
          <w:sz w:val="24"/>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lang w:eastAsia="zh-CN"/>
        </w:rPr>
        <w:t xml:space="preserve">）</w:t>
      </w:r>
      <w:r/>
    </w:p>
    <w:p>
      <w:pPr>
        <w:rPr>
          <w:rFonts w:hint="eastAsia" w:ascii="宋体" w:hAnsi="宋体" w:eastAsia="宋体" w:cs="宋体"/>
          <w:b w:val="0"/>
          <w:bCs w:val="0"/>
          <w:sz w:val="24"/>
        </w:rPr>
      </w:pPr>
      <w:r>
        <w:rPr>
          <w:rFonts w:hint="eastAsia" w:ascii="宋体" w:hAnsi="宋体" w:eastAsia="宋体" w:cs="宋体"/>
          <w:b w:val="0"/>
          <w:bCs w:val="0"/>
          <w:sz w:val="24"/>
        </w:rPr>
      </w:r>
      <w:r/>
    </w:p>
    <w:p>
      <w:pPr>
        <w:rPr>
          <w:rFonts w:hint="eastAsia" w:ascii="宋体" w:hAnsi="宋体" w:eastAsia="宋体" w:cs="宋体"/>
          <w:b w:val="0"/>
          <w:bCs w:val="0"/>
          <w:sz w:val="24"/>
        </w:rPr>
      </w:pPr>
      <w:r>
        <w:rPr>
          <w:rFonts w:hint="eastAsia" w:ascii="宋体" w:hAnsi="宋体" w:eastAsia="宋体" w:cs="宋体"/>
          <w:b w:val="0"/>
          <w:bCs w:val="0"/>
          <w:sz w:val="24"/>
        </w:rPr>
        <w:t xml:space="preserve">合同附件5：验收标准（验收要求、验收标准和程序）</w:t>
      </w:r>
      <w:r/>
    </w:p>
    <w:p>
      <w:pPr>
        <w:rPr>
          <w:rFonts w:hint="eastAsia" w:ascii="宋体" w:hAnsi="宋体" w:eastAsia="宋体" w:cs="宋体"/>
          <w:b w:val="0"/>
          <w:bCs w:val="0"/>
          <w:sz w:val="24"/>
        </w:rPr>
      </w:pPr>
      <w:r>
        <w:rPr>
          <w:rFonts w:hint="eastAsia" w:ascii="宋体" w:hAnsi="宋体" w:eastAsia="宋体" w:cs="宋体"/>
          <w:b w:val="0"/>
          <w:bCs w:val="0"/>
          <w:sz w:val="24"/>
        </w:rPr>
      </w:r>
      <w:r/>
    </w:p>
    <w:p>
      <w:pPr>
        <w:rPr>
          <w:rFonts w:hint="eastAsia" w:ascii="宋体" w:hAnsi="宋体" w:eastAsia="宋体" w:cs="宋体"/>
          <w:b w:val="0"/>
          <w:bCs w:val="0"/>
          <w:sz w:val="24"/>
        </w:rPr>
      </w:pPr>
      <w:r>
        <w:rPr>
          <w:rFonts w:hint="eastAsia" w:ascii="宋体" w:hAnsi="宋体" w:eastAsia="宋体" w:cs="宋体"/>
          <w:b w:val="0"/>
          <w:bCs w:val="0"/>
          <w:sz w:val="24"/>
        </w:rPr>
        <w:t xml:space="preserve">合同附件6：采购需求</w:t>
      </w:r>
      <w:r/>
    </w:p>
    <w:p>
      <w:pPr>
        <w:rPr>
          <w:rFonts w:hint="eastAsia" w:ascii="宋体" w:hAnsi="宋体" w:eastAsia="宋体" w:cs="宋体"/>
          <w:b w:val="0"/>
          <w:bCs w:val="0"/>
          <w:sz w:val="24"/>
        </w:rPr>
      </w:pPr>
      <w:r>
        <w:rPr>
          <w:rFonts w:hint="eastAsia" w:ascii="宋体" w:hAnsi="宋体" w:cs="宋体"/>
          <w:b w:val="0"/>
          <w:bCs w:val="0"/>
          <w:sz w:val="24"/>
          <w:lang w:eastAsia="zh-CN"/>
        </w:rPr>
        <w:t xml:space="preserve">（</w:t>
      </w:r>
      <w:r>
        <w:rPr>
          <w:rFonts w:hint="eastAsia" w:ascii="宋体" w:hAnsi="宋体" w:eastAsia="宋体" w:cs="宋体"/>
          <w:b w:val="0"/>
          <w:bCs w:val="0"/>
          <w:sz w:val="24"/>
        </w:rPr>
        <w:t xml:space="preserve">见招标文件第六章《采购需求》。</w:t>
      </w:r>
      <w:r>
        <w:rPr>
          <w:rFonts w:hint="eastAsia" w:ascii="宋体" w:hAnsi="宋体" w:cs="宋体"/>
          <w:b w:val="0"/>
          <w:bCs w:val="0"/>
          <w:sz w:val="24"/>
          <w:lang w:eastAsia="zh-CN"/>
        </w:rPr>
        <w:t xml:space="preserve">）</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ind w:firstLine="2700"/>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b/>
          <w:bCs/>
          <w:sz w:val="24"/>
        </w:rP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bCs/>
          <w:sz w:val="24"/>
        </w:rPr>
      </w:r>
      <w:r/>
    </w:p>
    <w:p>
      <w:pPr>
        <w:rPr>
          <w:rFonts w:hint="eastAsia" w:ascii="宋体" w:hAnsi="宋体" w:eastAsia="宋体" w:cs="宋体"/>
          <w:b/>
          <w:bCs/>
          <w:sz w:val="24"/>
        </w:rPr>
      </w:pPr>
      <w:r>
        <w:rPr>
          <w:rFonts w:hint="eastAsia" w:ascii="宋体" w:hAnsi="宋体" w:eastAsia="宋体" w:cs="宋体"/>
          <w:b/>
          <w:bCs/>
          <w:sz w:val="24"/>
        </w:rPr>
        <w:t xml:space="preserve">合同附件1：</w:t>
      </w:r>
      <w:r/>
    </w:p>
    <w:p>
      <w:pPr>
        <w:jc w:val="center"/>
        <w:rPr>
          <w:rFonts w:hint="eastAsia" w:ascii="宋体" w:hAnsi="宋体" w:eastAsia="宋体" w:cs="宋体"/>
          <w:b/>
          <w:bCs/>
          <w:sz w:val="28"/>
          <w:szCs w:val="28"/>
        </w:rPr>
      </w:pPr>
      <w:r>
        <w:rPr>
          <w:rFonts w:hint="eastAsia" w:ascii="宋体" w:hAnsi="宋体" w:eastAsia="宋体" w:cs="宋体"/>
          <w:b/>
          <w:bCs/>
          <w:sz w:val="28"/>
          <w:szCs w:val="28"/>
        </w:rPr>
        <w:t xml:space="preserve">合同协议书</w:t>
      </w:r>
      <w:r/>
    </w:p>
    <w:p>
      <w:pPr>
        <w:jc w:val="right"/>
        <w:rPr>
          <w:rFonts w:hint="eastAsia" w:ascii="宋体" w:hAnsi="宋体" w:eastAsia="宋体" w:cs="宋体"/>
          <w:sz w:val="24"/>
        </w:rPr>
      </w:pPr>
      <w:r>
        <w:rPr>
          <w:rFonts w:hint="eastAsia" w:ascii="宋体" w:hAnsi="宋体" w:eastAsia="宋体" w:cs="宋体"/>
          <w:sz w:val="24"/>
        </w:rPr>
        <w:t xml:space="preserve">合同编号</w:t>
      </w:r>
      <w:r>
        <w:rPr>
          <w:rFonts w:hint="eastAsia" w:ascii="宋体" w:hAnsi="宋体" w:cs="宋体"/>
          <w:sz w:val="24"/>
          <w:lang w:eastAsia="zh-CN"/>
        </w:rPr>
        <w:t xml:space="preserve">：</w:t>
      </w:r>
      <w:r>
        <w:rPr>
          <w:rFonts w:hint="eastAsia" w:ascii="宋体" w:hAnsi="宋体" w:eastAsia="宋体" w:cs="宋体"/>
          <w:sz w:val="24"/>
        </w:rPr>
        <w:t xml:space="preserve">____________ </w:t>
      </w:r>
      <w:r/>
    </w:p>
    <w:p>
      <w:pPr>
        <w:jc w:val="right"/>
        <w:rPr>
          <w:rFonts w:hint="eastAsia" w:ascii="宋体" w:hAnsi="宋体" w:eastAsia="宋体" w:cs="宋体"/>
          <w:sz w:val="24"/>
        </w:rPr>
      </w:pPr>
      <w:r>
        <w:rPr>
          <w:rFonts w:hint="eastAsia" w:ascii="宋体" w:hAnsi="宋体" w:eastAsia="宋体" w:cs="宋体"/>
          <w:sz w:val="24"/>
        </w:rPr>
        <w:t xml:space="preserve">签字日期</w:t>
      </w:r>
      <w:r>
        <w:rPr>
          <w:rFonts w:hint="eastAsia" w:ascii="宋体" w:hAnsi="宋体" w:cs="宋体"/>
          <w:sz w:val="24"/>
          <w:lang w:eastAsia="zh-CN"/>
        </w:rPr>
        <w:t xml:space="preserve">：</w:t>
      </w:r>
      <w:r>
        <w:rPr>
          <w:rFonts w:hint="eastAsia" w:ascii="宋体" w:hAnsi="宋体" w:eastAsia="宋体" w:cs="宋体"/>
          <w:sz w:val="24"/>
        </w:rPr>
        <w:t xml:space="preserve">____________ </w:t>
      </w:r>
      <w:r/>
    </w:p>
    <w:p>
      <w:pPr>
        <w:jc w:val="right"/>
        <w:rPr>
          <w:rFonts w:hint="eastAsia" w:ascii="宋体" w:hAnsi="宋体" w:eastAsia="宋体" w:cs="宋体"/>
          <w:sz w:val="24"/>
        </w:rPr>
      </w:pPr>
      <w:r>
        <w:rPr>
          <w:rFonts w:hint="eastAsia" w:ascii="宋体" w:hAnsi="宋体" w:eastAsia="宋体" w:cs="宋体"/>
          <w:sz w:val="24"/>
        </w:rPr>
        <w:t xml:space="preserve">签字地点</w:t>
      </w:r>
      <w:r>
        <w:rPr>
          <w:rFonts w:hint="eastAsia" w:ascii="宋体" w:hAnsi="宋体" w:cs="宋体"/>
          <w:sz w:val="24"/>
          <w:lang w:eastAsia="zh-CN"/>
        </w:rPr>
        <w:t xml:space="preserve">：</w:t>
      </w:r>
      <w:r>
        <w:rPr>
          <w:rFonts w:hint="eastAsia" w:ascii="宋体" w:hAnsi="宋体" w:eastAsia="宋体" w:cs="宋体"/>
          <w:sz w:val="24"/>
        </w:rPr>
        <w:t xml:space="preserve">____________ </w:t>
      </w:r>
      <w:r/>
    </w:p>
    <w:p>
      <w:pPr>
        <w:ind w:firstLine="410"/>
        <w:rPr>
          <w:rFonts w:hint="eastAsia" w:ascii="宋体" w:hAnsi="宋体" w:eastAsia="宋体" w:cs="宋体"/>
          <w:sz w:val="24"/>
        </w:rPr>
      </w:pPr>
      <w:r>
        <w:rPr>
          <w:rFonts w:hint="eastAsia" w:ascii="宋体" w:hAnsi="宋体" w:eastAsia="宋体" w:cs="宋体"/>
          <w:sz w:val="24"/>
        </w:rPr>
      </w:r>
      <w:r/>
    </w:p>
    <w:p>
      <w:pPr>
        <w:ind w:firstLine="359"/>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（买方名称）（以下简称“买方”）已接受</w:t>
      </w:r>
      <w:r>
        <w:rPr>
          <w:rFonts w:hint="eastAsia" w:ascii="宋体" w:hAnsi="宋体" w:eastAsia="宋体" w:cs="宋体"/>
          <w:sz w:val="24"/>
          <w:u w:val="single"/>
        </w:rPr>
        <w:t xml:space="preserve">        </w:t>
      </w:r>
      <w:r>
        <w:rPr>
          <w:rFonts w:hint="eastAsia" w:ascii="宋体" w:hAnsi="宋体" w:eastAsia="宋体" w:cs="宋体"/>
          <w:sz w:val="24"/>
        </w:rPr>
        <w:t xml:space="preserve">（卖方名称）（以下简称“卖方”）对</w:t>
      </w:r>
      <w:r>
        <w:rPr>
          <w:rFonts w:hint="eastAsia" w:ascii="宋体" w:hAnsi="宋体" w:cs="宋体"/>
          <w:sz w:val="24"/>
          <w:lang w:eastAsia="zh-CN"/>
        </w:rPr>
        <w:t xml:space="preserve">铜山区中小学教室空调配备项目（电力箱变设备）</w:t>
      </w:r>
      <w:r>
        <w:rPr>
          <w:rFonts w:hint="eastAsia" w:ascii="宋体" w:hAnsi="宋体" w:eastAsia="宋体" w:cs="宋体"/>
          <w:sz w:val="24"/>
        </w:rPr>
        <w:t xml:space="preserve">（项目名称）（项目编号：</w:t>
      </w:r>
      <w:r>
        <w:rPr>
          <w:rFonts w:hint="eastAsia" w:ascii="宋体" w:hAnsi="宋体" w:cs="宋体"/>
          <w:sz w:val="24"/>
          <w:lang w:eastAsia="zh-CN"/>
        </w:rPr>
        <w:t xml:space="preserve">JSZC-320312-XZZX-G2025-0006</w:t>
      </w:r>
      <w:r>
        <w:rPr>
          <w:rFonts w:hint="eastAsia" w:ascii="宋体" w:hAnsi="宋体" w:eastAsia="宋体" w:cs="宋体"/>
          <w:sz w:val="24"/>
        </w:rPr>
        <w:t xml:space="preserve">）的投标。买方和卖方共同达成如下协议。</w:t>
      </w:r>
      <w:r/>
    </w:p>
    <w:p>
      <w:pPr>
        <w:numPr>
          <w:ilvl w:val="0"/>
          <w:numId w:val="2"/>
        </w:numPr>
        <w:rPr>
          <w:rFonts w:hint="eastAsia" w:ascii="宋体" w:hAnsi="宋体" w:eastAsia="宋体" w:cs="宋体"/>
          <w:sz w:val="24"/>
        </w:rPr>
      </w:pPr>
      <w:r>
        <w:rPr>
          <w:rFonts w:hint="eastAsia" w:ascii="宋体" w:hAnsi="宋体" w:eastAsia="宋体" w:cs="宋体"/>
          <w:sz w:val="24"/>
        </w:rPr>
        <w:t xml:space="preserve">本合同协议书中的词语和术语的含义与合同条款中定义的相同。</w:t>
      </w:r>
      <w:r/>
    </w:p>
    <w:p>
      <w:pPr>
        <w:ind w:firstLine="360"/>
        <w:rPr>
          <w:rFonts w:hint="eastAsia" w:ascii="宋体" w:hAnsi="宋体" w:eastAsia="宋体" w:cs="宋体"/>
          <w:sz w:val="24"/>
        </w:rPr>
      </w:pPr>
      <w:r>
        <w:rPr>
          <w:rFonts w:hint="eastAsia" w:ascii="宋体" w:hAnsi="宋体" w:eastAsia="宋体" w:cs="宋体"/>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sz w:val="24"/>
        </w:rPr>
      </w:pPr>
      <w:r>
        <w:rPr>
          <w:rFonts w:hint="eastAsia" w:ascii="宋体" w:hAnsi="宋体" w:eastAsia="宋体" w:cs="宋体"/>
          <w:sz w:val="24"/>
        </w:rPr>
        <w:t xml:space="preserve">(1) 合同协议书</w:t>
      </w:r>
      <w:r/>
    </w:p>
    <w:p>
      <w:pPr>
        <w:ind w:left="420"/>
        <w:rPr>
          <w:rFonts w:hint="eastAsia" w:ascii="宋体" w:hAnsi="宋体" w:eastAsia="宋体" w:cs="宋体"/>
          <w:sz w:val="24"/>
        </w:rPr>
      </w:pPr>
      <w:r>
        <w:rPr>
          <w:rFonts w:hint="eastAsia" w:ascii="宋体" w:hAnsi="宋体" w:eastAsia="宋体" w:cs="宋体"/>
          <w:sz w:val="24"/>
        </w:rPr>
        <w:t xml:space="preserve">(2) 中标通知书</w:t>
      </w:r>
      <w:r/>
    </w:p>
    <w:p>
      <w:pPr>
        <w:ind w:left="420"/>
        <w:rPr>
          <w:rFonts w:hint="eastAsia" w:ascii="宋体" w:hAnsi="宋体" w:eastAsia="宋体" w:cs="宋体"/>
          <w:sz w:val="24"/>
        </w:rPr>
      </w:pPr>
      <w:r>
        <w:rPr>
          <w:rFonts w:hint="eastAsia" w:ascii="宋体" w:hAnsi="宋体" w:eastAsia="宋体" w:cs="宋体"/>
          <w:sz w:val="24"/>
        </w:rPr>
        <w:t xml:space="preserve">(3) 合同专用条款</w:t>
      </w:r>
      <w:r/>
    </w:p>
    <w:p>
      <w:pPr>
        <w:ind w:left="420"/>
        <w:rPr>
          <w:rFonts w:hint="eastAsia" w:ascii="宋体" w:hAnsi="宋体" w:eastAsia="宋体" w:cs="宋体"/>
          <w:sz w:val="24"/>
        </w:rPr>
      </w:pPr>
      <w:r>
        <w:rPr>
          <w:rFonts w:hint="eastAsia" w:ascii="宋体" w:hAnsi="宋体" w:eastAsia="宋体" w:cs="宋体"/>
          <w:sz w:val="24"/>
        </w:rPr>
        <w:t xml:space="preserve">(4) 合同通用条款</w:t>
      </w:r>
      <w:r/>
    </w:p>
    <w:p>
      <w:pPr>
        <w:ind w:left="420"/>
        <w:rPr>
          <w:rFonts w:hint="eastAsia" w:ascii="宋体" w:hAnsi="宋体" w:eastAsia="宋体" w:cs="宋体"/>
          <w:sz w:val="24"/>
        </w:rPr>
      </w:pPr>
      <w:r>
        <w:rPr>
          <w:rFonts w:hint="eastAsia" w:ascii="宋体" w:hAnsi="宋体" w:eastAsia="宋体" w:cs="宋体"/>
          <w:sz w:val="24"/>
        </w:rPr>
        <w:t xml:space="preserve">(5) 除合同附件1外的合同附件</w:t>
      </w:r>
      <w:r/>
    </w:p>
    <w:p>
      <w:pPr>
        <w:ind w:left="420"/>
        <w:rPr>
          <w:rFonts w:hint="eastAsia" w:ascii="宋体" w:hAnsi="宋体" w:eastAsia="宋体" w:cs="宋体"/>
          <w:sz w:val="24"/>
        </w:rPr>
      </w:pPr>
      <w:r>
        <w:rPr>
          <w:rFonts w:hint="eastAsia" w:ascii="宋体" w:hAnsi="宋体" w:eastAsia="宋体" w:cs="宋体"/>
          <w:sz w:val="24"/>
        </w:rPr>
        <w:t xml:space="preserve">(6) 其他文件</w:t>
      </w:r>
      <w:r/>
    </w:p>
    <w:p>
      <w:pPr>
        <w:ind w:firstLine="540"/>
        <w:rPr>
          <w:rFonts w:hint="eastAsia" w:ascii="宋体" w:hAnsi="宋体" w:eastAsia="宋体" w:cs="宋体"/>
          <w:sz w:val="24"/>
        </w:rPr>
      </w:pPr>
      <w:r>
        <w:rPr>
          <w:rFonts w:hint="eastAsia" w:ascii="宋体" w:hAnsi="宋体" w:eastAsia="宋体" w:cs="宋体"/>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sz w:val="24"/>
        </w:rPr>
      </w:pPr>
      <w:r>
        <w:rPr>
          <w:rFonts w:hint="eastAsia" w:ascii="宋体" w:hAnsi="宋体" w:eastAsia="宋体" w:cs="宋体"/>
          <w:sz w:val="24"/>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rPr>
      </w:pPr>
      <w:r>
        <w:rPr>
          <w:rFonts w:hint="eastAsia" w:ascii="宋体" w:hAnsi="宋体" w:eastAsia="宋体" w:cs="宋体"/>
          <w:sz w:val="24"/>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rPr>
      </w:pPr>
      <w:r>
        <w:rPr>
          <w:rFonts w:hint="eastAsia" w:ascii="宋体" w:hAnsi="宋体" w:eastAsia="宋体" w:cs="宋体"/>
          <w:sz w:val="24"/>
        </w:rPr>
        <w:t xml:space="preserve">6. 合同一式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份，具有同等法律效力，买方</w:t>
      </w:r>
      <w:r>
        <w:rPr>
          <w:rFonts w:hint="eastAsia" w:ascii="宋体" w:hAnsi="宋体" w:eastAsia="宋体" w:cs="宋体"/>
          <w:sz w:val="24"/>
          <w:u w:val="single"/>
        </w:rPr>
        <w:t xml:space="preserve">  </w:t>
      </w:r>
      <w:r>
        <w:rPr>
          <w:rFonts w:hint="eastAsia" w:ascii="宋体" w:hAnsi="宋体" w:eastAsia="宋体" w:cs="宋体"/>
          <w:sz w:val="24"/>
        </w:rPr>
        <w:t xml:space="preserve">份，卖方</w:t>
      </w:r>
      <w:r>
        <w:rPr>
          <w:rFonts w:hint="eastAsia" w:ascii="宋体" w:hAnsi="宋体" w:eastAsia="宋体" w:cs="宋体"/>
          <w:sz w:val="24"/>
          <w:u w:val="single"/>
        </w:rPr>
        <w:t xml:space="preserve">  </w:t>
      </w:r>
      <w:r>
        <w:rPr>
          <w:rFonts w:hint="eastAsia" w:ascii="宋体" w:hAnsi="宋体" w:eastAsia="宋体" w:cs="宋体"/>
          <w:sz w:val="24"/>
        </w:rPr>
        <w:t xml:space="preserve">份，</w:t>
      </w:r>
      <w:r>
        <w:rPr>
          <w:rFonts w:hint="eastAsia" w:ascii="宋体" w:hAnsi="宋体" w:cs="宋体"/>
          <w:sz w:val="24"/>
          <w:lang w:eastAsia="zh-CN"/>
        </w:rPr>
        <w:t xml:space="preserve">徐州众信项目管理咨询有限公司</w:t>
      </w:r>
      <w:r>
        <w:rPr>
          <w:rFonts w:hint="eastAsia" w:ascii="宋体" w:hAnsi="宋体" w:eastAsia="宋体" w:cs="宋体"/>
          <w:sz w:val="24"/>
        </w:rPr>
        <w:t xml:space="preserve">一份存档。</w:t>
      </w:r>
      <w:r/>
    </w:p>
    <w:p>
      <w:pPr>
        <w:ind w:firstLine="480"/>
        <w:rPr>
          <w:rFonts w:hint="eastAsia" w:ascii="宋体" w:hAnsi="宋体" w:eastAsia="宋体" w:cs="宋体"/>
          <w:sz w:val="24"/>
        </w:rPr>
      </w:pPr>
      <w:r>
        <w:rPr>
          <w:rFonts w:hint="eastAsia" w:ascii="宋体" w:hAnsi="宋体" w:eastAsia="宋体" w:cs="宋体"/>
          <w:sz w:val="24"/>
        </w:rPr>
        <w:t xml:space="preserve">7.本合同其他未尽事宜及与采购文件有矛盾之处，以采购文件[项目编号：</w:t>
      </w:r>
      <w:r>
        <w:rPr>
          <w:rFonts w:hint="eastAsia" w:ascii="宋体" w:hAnsi="宋体" w:cs="宋体"/>
          <w:sz w:val="24"/>
          <w:lang w:eastAsia="zh-CN"/>
        </w:rPr>
        <w:t xml:space="preserve">JSZC-320312-XZZX-G2025-0006</w:t>
      </w:r>
      <w:r>
        <w:rPr>
          <w:rFonts w:hint="eastAsia" w:ascii="宋体" w:hAnsi="宋体" w:eastAsia="宋体" w:cs="宋体"/>
          <w:sz w:val="24"/>
        </w:rPr>
        <w:t xml:space="preserve">]为准。</w:t>
      </w:r>
      <w:r/>
    </w:p>
    <w:p>
      <w:pPr>
        <w:ind w:firstLine="360"/>
        <w:rPr>
          <w:rFonts w:hint="eastAsia" w:ascii="宋体" w:hAnsi="宋体" w:eastAsia="宋体" w:cs="宋体"/>
          <w:sz w:val="24"/>
        </w:rPr>
      </w:pPr>
      <w:r>
        <w:rPr>
          <w:rFonts w:hint="eastAsia" w:ascii="宋体" w:hAnsi="宋体" w:eastAsia="宋体" w:cs="宋体"/>
          <w:sz w:val="24"/>
        </w:rPr>
      </w:r>
      <w:r/>
    </w:p>
    <w:p>
      <w:pPr>
        <w:ind w:firstLine="360"/>
        <w:rPr>
          <w:rFonts w:hint="eastAsia" w:ascii="宋体" w:hAnsi="宋体" w:eastAsia="宋体" w:cs="宋体"/>
          <w:sz w:val="24"/>
        </w:rPr>
      </w:pPr>
      <w:r>
        <w:rPr>
          <w:rFonts w:hint="eastAsia" w:ascii="宋体" w:hAnsi="宋体" w:eastAsia="宋体" w:cs="宋体"/>
          <w:sz w:val="24"/>
        </w:rPr>
        <w:t xml:space="preserve">买方和卖方由其正式授权代表于上述所写日期和地点签订本合同。</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买方（签章）：____________________________________  </w:t>
      </w:r>
      <w:r/>
    </w:p>
    <w:p>
      <w:pPr>
        <w:rPr>
          <w:rFonts w:hint="eastAsia" w:ascii="宋体" w:hAnsi="宋体" w:eastAsia="宋体" w:cs="宋体"/>
          <w:sz w:val="24"/>
        </w:rPr>
      </w:pPr>
      <w:r>
        <w:rPr>
          <w:rFonts w:hint="eastAsia" w:ascii="宋体" w:hAnsi="宋体" w:eastAsia="宋体" w:cs="宋体"/>
          <w:sz w:val="24"/>
        </w:rPr>
        <w:t xml:space="preserve">法定代表人或授权代表</w:t>
      </w:r>
      <w:r>
        <w:rPr>
          <w:rFonts w:hint="eastAsia" w:ascii="宋体" w:hAnsi="宋体" w:cs="宋体"/>
          <w:sz w:val="24"/>
          <w:lang w:eastAsia="zh-CN"/>
        </w:rPr>
        <w:t xml:space="preserve">（</w:t>
      </w:r>
      <w:r>
        <w:rPr>
          <w:rFonts w:hint="eastAsia" w:ascii="宋体" w:hAnsi="宋体" w:eastAsia="宋体" w:cs="宋体"/>
          <w:sz w:val="24"/>
        </w:rPr>
        <w:t xml:space="preserve">签名</w:t>
      </w:r>
      <w:r>
        <w:rPr>
          <w:rFonts w:hint="eastAsia" w:ascii="宋体" w:hAnsi="宋体" w:cs="宋体"/>
          <w:sz w:val="24"/>
          <w:lang w:eastAsia="zh-CN"/>
        </w:rPr>
        <w:t xml:space="preserve">）</w:t>
      </w:r>
      <w:r>
        <w:rPr>
          <w:rFonts w:hint="eastAsia" w:ascii="宋体" w:hAnsi="宋体" w:eastAsia="宋体" w:cs="宋体"/>
          <w:sz w:val="24"/>
        </w:rPr>
        <w:t xml:space="preserve">： ____________________ </w:t>
      </w:r>
      <w:r/>
    </w:p>
    <w:p>
      <w:pPr>
        <w:ind w:firstLine="336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卖方（签章）： ____________________________________ </w:t>
      </w:r>
      <w:r/>
    </w:p>
    <w:p>
      <w:pPr>
        <w:rPr>
          <w:rFonts w:hint="eastAsia" w:ascii="宋体" w:hAnsi="宋体" w:eastAsia="宋体" w:cs="宋体"/>
          <w:sz w:val="24"/>
        </w:rPr>
      </w:pPr>
      <w:r>
        <w:rPr>
          <w:rFonts w:hint="eastAsia" w:ascii="宋体" w:hAnsi="宋体" w:eastAsia="宋体" w:cs="宋体"/>
          <w:sz w:val="24"/>
        </w:rPr>
        <w:t xml:space="preserve">法定代表人或授权代表</w:t>
      </w:r>
      <w:r>
        <w:rPr>
          <w:rFonts w:hint="eastAsia" w:ascii="宋体" w:hAnsi="宋体" w:cs="宋体"/>
          <w:sz w:val="24"/>
          <w:lang w:eastAsia="zh-CN"/>
        </w:rPr>
        <w:t xml:space="preserve">（</w:t>
      </w:r>
      <w:r>
        <w:rPr>
          <w:rFonts w:hint="eastAsia" w:ascii="宋体" w:hAnsi="宋体" w:eastAsia="宋体" w:cs="宋体"/>
          <w:sz w:val="24"/>
        </w:rPr>
        <w:t xml:space="preserve">签名</w:t>
      </w:r>
      <w:r>
        <w:rPr>
          <w:rFonts w:hint="eastAsia" w:ascii="宋体" w:hAnsi="宋体" w:cs="宋体"/>
          <w:sz w:val="24"/>
          <w:lang w:eastAsia="zh-CN"/>
        </w:rPr>
        <w:t xml:space="preserve">）</w:t>
      </w:r>
      <w:r>
        <w:rPr>
          <w:rFonts w:hint="eastAsia" w:ascii="宋体" w:hAnsi="宋体" w:eastAsia="宋体" w:cs="宋体"/>
          <w:sz w:val="24"/>
        </w:rPr>
        <w:t xml:space="preserve">： ____________________ </w:t>
      </w:r>
      <w:r/>
    </w:p>
    <w:p>
      <w:pPr>
        <w:jc w:val="cente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b/>
          <w:bCs/>
          <w:sz w:val="24"/>
        </w:rPr>
        <w:sectPr>
          <w:headerReference w:type="default" r:id="rId11"/>
          <w:footerReference w:type="default" r:id="rId14"/>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bCs/>
          <w:sz w:val="24"/>
        </w:rPr>
      </w:r>
      <w:r/>
    </w:p>
    <w:p>
      <w:pPr>
        <w:jc w:val="center"/>
        <w:spacing w:line="360" w:lineRule="auto"/>
        <w:rPr>
          <w:rFonts w:hint="eastAsia" w:ascii="宋体" w:hAnsi="宋体" w:eastAsia="宋体" w:cs="宋体"/>
          <w:sz w:val="32"/>
          <w:szCs w:val="32"/>
        </w:rPr>
      </w:pPr>
      <w:r>
        <w:rPr>
          <w:rFonts w:hint="eastAsia" w:ascii="宋体" w:hAnsi="宋体" w:eastAsia="宋体" w:cs="宋体"/>
          <w:b/>
          <w:sz w:val="28"/>
          <w:szCs w:val="28"/>
        </w:rPr>
        <w:t xml:space="preserve">第六章 采购需求</w:t>
      </w:r>
      <w:bookmarkStart w:id="0" w:name="_Toc322457054"/>
      <w:r/>
      <w:bookmarkEnd w:id="0"/>
      <w:r/>
      <w:bookmarkStart w:id="1" w:name="_Toc324452802"/>
      <w:r/>
      <w:bookmarkEnd w:id="1"/>
      <w:r/>
      <w:r/>
    </w:p>
    <w:p>
      <w:pPr>
        <w:spacing w:line="360" w:lineRule="auto"/>
        <w:rPr>
          <w:lang w:val="en-US" w:eastAsia="zh-CN"/>
        </w:rPr>
      </w:pPr>
      <w:r>
        <w:rPr>
          <w:rFonts w:hint="eastAsia" w:ascii="宋体" w:hAnsi="宋体" w:eastAsia="宋体" w:cs="宋体"/>
          <w:b/>
          <w:sz w:val="24"/>
          <w:szCs w:val="24"/>
        </w:rPr>
        <w:t xml:space="preserve">一、</w:t>
      </w:r>
      <w:r>
        <w:rPr>
          <w:rStyle w:val="989"/>
          <w:rFonts w:hint="eastAsia" w:ascii="宋体" w:hAnsi="宋体" w:eastAsia="宋体" w:cs="宋体"/>
          <w:b/>
          <w:bCs/>
          <w:sz w:val="24"/>
          <w:szCs w:val="24"/>
        </w:rPr>
        <w:t xml:space="preserve">本项目为</w:t>
      </w:r>
      <w:r>
        <w:rPr>
          <w:rFonts w:hint="eastAsia" w:ascii="宋体" w:hAnsi="宋体" w:cs="宋体"/>
          <w:b/>
          <w:sz w:val="24"/>
          <w:szCs w:val="24"/>
          <w:lang w:eastAsia="zh-CN"/>
        </w:rPr>
        <w:t xml:space="preserve">铜山区中小学教室空调配备项目（电力箱变设备）</w:t>
      </w:r>
      <w:r>
        <w:rPr>
          <w:rStyle w:val="989"/>
          <w:rFonts w:hint="eastAsia" w:ascii="宋体" w:hAnsi="宋体" w:eastAsia="宋体" w:cs="宋体"/>
          <w:b/>
          <w:bCs/>
          <w:color w:val="000000"/>
          <w:sz w:val="24"/>
          <w:szCs w:val="24"/>
        </w:rPr>
        <w:t xml:space="preserve">。</w:t>
      </w:r>
      <w:r/>
    </w:p>
    <w:p>
      <w:pPr>
        <w:spacing w:line="360" w:lineRule="auto"/>
        <w:rPr>
          <w:rStyle w:val="989"/>
          <w:rFonts w:hint="eastAsia" w:ascii="宋体" w:hAnsi="宋体" w:eastAsia="宋体" w:cs="宋体"/>
          <w:b w:val="0"/>
          <w:bCs w:val="0"/>
          <w:color w:val="000000"/>
          <w:sz w:val="24"/>
          <w:szCs w:val="24"/>
        </w:rPr>
      </w:pPr>
      <w:r>
        <w:rPr>
          <w:rStyle w:val="989"/>
          <w:rFonts w:hint="eastAsia" w:ascii="宋体" w:hAnsi="宋体" w:eastAsia="宋体" w:cs="宋体"/>
          <w:b/>
          <w:bCs/>
          <w:color w:val="000000"/>
          <w:sz w:val="24"/>
          <w:szCs w:val="24"/>
        </w:rPr>
        <w:t xml:space="preserve">二、本项目不接受超过</w:t>
      </w:r>
      <w:r>
        <w:rPr>
          <w:rStyle w:val="989"/>
          <w:rFonts w:hint="eastAsia" w:ascii="宋体" w:hAnsi="宋体" w:cs="宋体"/>
          <w:b/>
          <w:bCs/>
          <w:color w:val="000000"/>
          <w:sz w:val="24"/>
          <w:szCs w:val="24"/>
          <w:u w:val="single"/>
          <w:lang w:val="en-US"/>
        </w:rPr>
        <w:t xml:space="preserve">433.84</w:t>
      </w:r>
      <w:r>
        <w:rPr>
          <w:rStyle w:val="989"/>
          <w:rFonts w:hint="eastAsia" w:ascii="宋体" w:hAnsi="宋体" w:eastAsia="宋体" w:cs="宋体"/>
          <w:b/>
          <w:bCs/>
          <w:color w:val="000000"/>
          <w:sz w:val="24"/>
          <w:szCs w:val="24"/>
        </w:rPr>
        <w:t xml:space="preserve">万元人民币（采购项目预算金额）的投标报价。</w:t>
      </w:r>
      <w:r>
        <w:rPr>
          <w:rStyle w:val="989"/>
          <w:rFonts w:hint="eastAsia" w:ascii="宋体" w:hAnsi="宋体" w:eastAsia="宋体" w:cs="宋体"/>
          <w:b w:val="0"/>
          <w:bCs w:val="0"/>
          <w:color w:val="000000"/>
          <w:sz w:val="24"/>
          <w:szCs w:val="24"/>
        </w:rPr>
        <w:t xml:space="preserve">报价包括全部货物和服务的报价，应包括所投设备及其备品、备件和专用工具费用、税费及包装、运至最终目的地的运输、保险、检测验收、调试、技术支持与培训、售后服务与维保及相关劳务支出等工作所发生的全部费用以及投标人企业利润、税金和政策性文件规定及合同包含的所有风险、责任等费用。采购人不再支付报价以外的任何费用。</w:t>
      </w:r>
      <w:r/>
    </w:p>
    <w:p>
      <w:pPr>
        <w:pStyle w:val="1010"/>
        <w:spacing w:before="0" w:line="360" w:lineRule="auto"/>
        <w:rPr>
          <w:rStyle w:val="989"/>
          <w:rFonts w:hint="eastAsia" w:ascii="宋体" w:hAnsi="宋体" w:eastAsia="宋体" w:cs="宋体"/>
          <w:b w:val="0"/>
          <w:bCs w:val="0"/>
          <w:color w:val="000000"/>
          <w:sz w:val="24"/>
          <w:szCs w:val="24"/>
        </w:rPr>
      </w:pPr>
      <w:r>
        <w:rPr>
          <w:rStyle w:val="989"/>
          <w:rFonts w:hint="eastAsia" w:ascii="宋体" w:hAnsi="宋体" w:eastAsia="宋体" w:cs="宋体"/>
          <w:b w:val="0"/>
          <w:bCs w:val="0"/>
          <w:color w:val="000000"/>
          <w:sz w:val="24"/>
          <w:szCs w:val="24"/>
        </w:rPr>
        <w:t xml:space="preserve">注：</w:t>
      </w:r>
      <w:r>
        <w:rPr>
          <w:rStyle w:val="989"/>
          <w:rFonts w:hint="eastAsia" w:ascii="宋体" w:hAnsi="宋体" w:eastAsia="宋体" w:cs="宋体"/>
          <w:b w:val="0"/>
          <w:bCs w:val="0"/>
          <w:color w:val="000000"/>
          <w:sz w:val="24"/>
          <w:szCs w:val="24"/>
          <w:lang w:val="en-US"/>
        </w:rPr>
        <w:t xml:space="preserve">评审</w:t>
      </w:r>
      <w:r>
        <w:rPr>
          <w:rStyle w:val="989"/>
          <w:rFonts w:hint="eastAsia" w:ascii="宋体" w:hAnsi="宋体" w:eastAsia="宋体" w:cs="宋体"/>
          <w:b w:val="0"/>
          <w:bCs w:val="0"/>
          <w:color w:val="000000"/>
          <w:sz w:val="24"/>
          <w:szCs w:val="24"/>
        </w:rPr>
        <w:t xml:space="preserve">委员会认为投标人的报价明显低于其他通过符合性审查的投标人的报价，有可能影响质量或者不能诚信履约的，要求其在评标现场合理的时间内提供书面说明，必要时提交相关证明材料，否则</w:t>
      </w:r>
      <w:r>
        <w:rPr>
          <w:rStyle w:val="989"/>
          <w:rFonts w:hint="eastAsia" w:ascii="宋体" w:hAnsi="宋体" w:eastAsia="宋体" w:cs="宋体"/>
          <w:b w:val="0"/>
          <w:bCs w:val="0"/>
          <w:color w:val="000000"/>
          <w:sz w:val="24"/>
          <w:szCs w:val="24"/>
          <w:lang w:val="en-US"/>
        </w:rPr>
        <w:t xml:space="preserve">评审</w:t>
      </w:r>
      <w:r>
        <w:rPr>
          <w:rStyle w:val="989"/>
          <w:rFonts w:hint="eastAsia" w:ascii="宋体" w:hAnsi="宋体" w:eastAsia="宋体" w:cs="宋体"/>
          <w:b w:val="0"/>
          <w:bCs w:val="0"/>
          <w:color w:val="000000"/>
          <w:sz w:val="24"/>
          <w:szCs w:val="24"/>
        </w:rPr>
        <w:t xml:space="preserve">委员会有权按无效投标文件处理。</w:t>
      </w:r>
      <w:r/>
    </w:p>
    <w:p>
      <w:pPr>
        <w:spacing w:line="360" w:lineRule="auto"/>
        <w:rPr>
          <w:rStyle w:val="928"/>
          <w:rFonts w:hint="eastAsia" w:ascii="宋体" w:hAnsi="宋体" w:eastAsia="宋体" w:cs="宋体"/>
          <w:b/>
          <w:bCs/>
          <w:color w:val="000000"/>
          <w:sz w:val="24"/>
          <w:szCs w:val="24"/>
        </w:rPr>
      </w:pPr>
      <w:r>
        <w:rPr>
          <w:rStyle w:val="989"/>
          <w:rFonts w:hint="eastAsia" w:ascii="宋体" w:hAnsi="宋体" w:eastAsia="宋体" w:cs="宋体"/>
          <w:b/>
          <w:bCs/>
          <w:color w:val="000000"/>
          <w:sz w:val="24"/>
          <w:szCs w:val="24"/>
          <w:lang w:val="en-US"/>
        </w:rPr>
        <w:t xml:space="preserve">三</w:t>
      </w:r>
      <w:r>
        <w:rPr>
          <w:rStyle w:val="989"/>
          <w:rFonts w:hint="eastAsia" w:ascii="宋体" w:hAnsi="宋体" w:eastAsia="宋体" w:cs="宋体"/>
          <w:b/>
          <w:bCs/>
          <w:color w:val="000000"/>
          <w:sz w:val="24"/>
          <w:szCs w:val="24"/>
        </w:rPr>
        <w:t xml:space="preserve">、</w:t>
      </w:r>
      <w:r>
        <w:rPr>
          <w:rStyle w:val="989"/>
          <w:rFonts w:hint="eastAsia" w:ascii="宋体" w:hAnsi="宋体" w:cs="宋体"/>
          <w:b/>
          <w:bCs/>
          <w:color w:val="000000"/>
          <w:sz w:val="24"/>
          <w:szCs w:val="24"/>
          <w:lang w:val="en-US"/>
        </w:rPr>
        <w:t xml:space="preserve">铜山区中小学教室空调配备项目（电力箱变设备）</w:t>
      </w:r>
      <w:r>
        <w:rPr>
          <w:rStyle w:val="989"/>
          <w:rFonts w:hint="eastAsia" w:ascii="宋体" w:hAnsi="宋体" w:eastAsia="宋体" w:cs="宋体"/>
          <w:b/>
          <w:bCs/>
          <w:color w:val="000000"/>
          <w:sz w:val="24"/>
          <w:szCs w:val="24"/>
        </w:rPr>
        <w:t xml:space="preserve">技术参数要求：</w:t>
      </w:r>
      <w:r/>
    </w:p>
    <w:p>
      <w:pPr>
        <w:spacing w:line="360" w:lineRule="auto"/>
        <w:rPr>
          <w:rStyle w:val="928"/>
          <w:rFonts w:hint="eastAsia" w:ascii="宋体" w:hAnsi="宋体" w:cs="宋体"/>
          <w:b w:val="0"/>
          <w:bCs w:val="0"/>
          <w:sz w:val="24"/>
          <w:szCs w:val="24"/>
          <w:lang w:val="en-US"/>
        </w:rPr>
      </w:pPr>
      <w:r>
        <w:rPr>
          <w:rStyle w:val="928"/>
          <w:rFonts w:hint="eastAsia" w:ascii="宋体" w:hAnsi="宋体" w:eastAsia="宋体" w:cs="宋体"/>
          <w:b w:val="0"/>
          <w:bCs w:val="0"/>
          <w:sz w:val="24"/>
          <w:szCs w:val="24"/>
          <w:lang w:val="en-US"/>
        </w:rPr>
        <w:t xml:space="preserve">1.产品名称</w:t>
      </w:r>
      <w:r>
        <w:rPr>
          <w:rStyle w:val="928"/>
          <w:rFonts w:hint="eastAsia" w:ascii="宋体" w:hAnsi="宋体" w:cs="宋体"/>
          <w:b w:val="0"/>
          <w:bCs w:val="0"/>
          <w:sz w:val="24"/>
          <w:szCs w:val="24"/>
          <w:lang w:val="en-US"/>
        </w:rPr>
        <w:t xml:space="preserve">：铜山区中小学教室空调配备项目（电力箱变设备）。</w:t>
      </w:r>
      <w:r/>
    </w:p>
    <w:p>
      <w:pPr>
        <w:spacing w:line="360" w:lineRule="auto"/>
        <w:rPr>
          <w:rStyle w:val="928"/>
          <w:rFonts w:hint="eastAsia" w:ascii="宋体" w:hAnsi="宋体" w:eastAsia="宋体" w:cs="宋体"/>
          <w:b w:val="0"/>
          <w:bCs w:val="0"/>
          <w:sz w:val="24"/>
          <w:szCs w:val="24"/>
          <w:lang w:val="en-US"/>
        </w:rPr>
      </w:pPr>
      <w:r>
        <w:rPr>
          <w:rStyle w:val="928"/>
          <w:rFonts w:hint="eastAsia" w:ascii="宋体" w:hAnsi="宋体" w:cs="宋体"/>
          <w:b w:val="0"/>
          <w:bCs w:val="0"/>
          <w:sz w:val="24"/>
          <w:szCs w:val="24"/>
          <w:lang w:val="en-US"/>
        </w:rPr>
        <w:t xml:space="preserve">2.</w:t>
      </w:r>
      <w:r>
        <w:rPr>
          <w:rStyle w:val="928"/>
          <w:rFonts w:hint="eastAsia" w:ascii="宋体" w:hAnsi="宋体" w:eastAsia="宋体" w:cs="宋体"/>
          <w:b w:val="0"/>
          <w:bCs w:val="0"/>
          <w:sz w:val="24"/>
          <w:szCs w:val="24"/>
          <w:lang w:val="en-US"/>
        </w:rPr>
        <w:t xml:space="preserve">数量</w:t>
      </w:r>
      <w:r>
        <w:rPr>
          <w:rStyle w:val="928"/>
          <w:rFonts w:hint="eastAsia" w:ascii="宋体" w:hAnsi="宋体" w:cs="宋体"/>
          <w:b w:val="0"/>
          <w:bCs w:val="0"/>
          <w:sz w:val="24"/>
          <w:szCs w:val="24"/>
          <w:lang w:val="en-US"/>
        </w:rPr>
        <w:t xml:space="preserve">：22台。</w:t>
      </w:r>
      <w:r/>
    </w:p>
    <w:p>
      <w:pPr>
        <w:spacing w:line="360" w:lineRule="auto"/>
        <w:rPr>
          <w:rStyle w:val="928"/>
          <w:rFonts w:hint="eastAsia" w:ascii="宋体" w:hAnsi="宋体" w:eastAsia="宋体" w:cs="宋体"/>
          <w:b w:val="0"/>
          <w:bCs w:val="0"/>
          <w:sz w:val="24"/>
          <w:szCs w:val="24"/>
          <w:lang w:val="en-US"/>
        </w:rPr>
      </w:pPr>
      <w:r>
        <w:rPr>
          <w:rStyle w:val="928"/>
          <w:rFonts w:hint="eastAsia" w:ascii="宋体" w:hAnsi="宋体" w:eastAsia="宋体" w:cs="宋体"/>
          <w:b w:val="0"/>
          <w:bCs w:val="0"/>
          <w:sz w:val="24"/>
          <w:szCs w:val="24"/>
          <w:lang w:val="en-US"/>
        </w:rPr>
        <w:t xml:space="preserve">3.基本要求：整套设备性能稳定，适用国内市电电源。</w:t>
      </w:r>
      <w:r/>
    </w:p>
    <w:p>
      <w:pPr>
        <w:spacing w:line="360" w:lineRule="auto"/>
        <w:rPr>
          <w:rStyle w:val="928"/>
          <w:rFonts w:hint="eastAsia" w:ascii="宋体" w:hAnsi="宋体" w:eastAsia="宋体" w:cs="宋体"/>
          <w:b w:val="0"/>
          <w:bCs w:val="0"/>
          <w:sz w:val="24"/>
          <w:szCs w:val="24"/>
          <w:lang w:val="en-US"/>
        </w:rPr>
      </w:pPr>
      <w:r>
        <w:rPr>
          <w:rStyle w:val="928"/>
          <w:rFonts w:hint="eastAsia" w:ascii="宋体" w:hAnsi="宋体" w:eastAsia="宋体" w:cs="宋体"/>
          <w:b w:val="0"/>
          <w:bCs w:val="0"/>
          <w:sz w:val="24"/>
          <w:szCs w:val="24"/>
          <w:lang w:val="en-US" w:eastAsia="zh-CN"/>
        </w:rPr>
        <w:t xml:space="preserve">4.</w:t>
      </w:r>
      <w:r>
        <w:rPr>
          <w:rStyle w:val="928"/>
          <w:rFonts w:hint="eastAsia" w:ascii="宋体" w:hAnsi="宋体" w:eastAsia="宋体" w:cs="宋体"/>
          <w:b w:val="0"/>
          <w:bCs w:val="0"/>
          <w:sz w:val="24"/>
          <w:szCs w:val="24"/>
          <w:lang w:val="en-US"/>
        </w:rPr>
        <w:t xml:space="preserve">合同履行期限：合同签订后</w:t>
      </w:r>
      <w:r>
        <w:rPr>
          <w:rStyle w:val="928"/>
          <w:rFonts w:hint="eastAsia" w:ascii="宋体" w:hAnsi="宋体" w:eastAsia="宋体" w:cs="宋体"/>
          <w:b w:val="0"/>
          <w:bCs w:val="0"/>
          <w:sz w:val="24"/>
          <w:szCs w:val="24"/>
          <w:u w:val="single"/>
          <w:lang w:val="en-US" w:eastAsia="zh-CN"/>
        </w:rPr>
        <w:t xml:space="preserve">  </w:t>
      </w:r>
      <w:r>
        <w:rPr>
          <w:rStyle w:val="928"/>
          <w:rFonts w:hint="eastAsia" w:ascii="宋体" w:hAnsi="宋体" w:cs="宋体"/>
          <w:b w:val="0"/>
          <w:bCs w:val="0"/>
          <w:sz w:val="24"/>
          <w:szCs w:val="24"/>
          <w:u w:val="single"/>
          <w:lang w:val="en-US" w:eastAsia="zh-CN"/>
        </w:rPr>
        <w:t xml:space="preserve">20</w:t>
      </w:r>
      <w:r>
        <w:rPr>
          <w:rStyle w:val="928"/>
          <w:rFonts w:hint="eastAsia" w:ascii="宋体" w:hAnsi="宋体" w:eastAsia="宋体" w:cs="宋体"/>
          <w:b w:val="0"/>
          <w:bCs w:val="0"/>
          <w:sz w:val="24"/>
          <w:szCs w:val="24"/>
          <w:u w:val="single"/>
          <w:lang w:val="en-US" w:eastAsia="zh-CN"/>
        </w:rPr>
        <w:t xml:space="preserve">  </w:t>
      </w:r>
      <w:r>
        <w:rPr>
          <w:rStyle w:val="928"/>
          <w:rFonts w:hint="eastAsia" w:ascii="宋体" w:hAnsi="宋体" w:eastAsia="宋体" w:cs="宋体"/>
          <w:b w:val="0"/>
          <w:bCs w:val="0"/>
          <w:sz w:val="24"/>
          <w:szCs w:val="24"/>
          <w:lang w:val="en-US"/>
        </w:rPr>
        <w:t xml:space="preserve">日</w:t>
      </w:r>
      <w:bookmarkStart w:id="319" w:name="_GoBack"/>
      <w:r/>
      <w:bookmarkEnd w:id="319"/>
      <w:r>
        <w:rPr>
          <w:rStyle w:val="928"/>
          <w:rFonts w:hint="eastAsia" w:ascii="宋体" w:hAnsi="宋体" w:eastAsia="宋体" w:cs="宋体"/>
          <w:b w:val="0"/>
          <w:bCs w:val="0"/>
          <w:sz w:val="24"/>
          <w:szCs w:val="24"/>
          <w:lang w:val="en-US"/>
        </w:rPr>
        <w:t xml:space="preserve">内</w:t>
      </w:r>
      <w:r>
        <w:rPr>
          <w:rStyle w:val="928"/>
          <w:rFonts w:hint="eastAsia" w:ascii="宋体" w:hAnsi="宋体" w:cs="宋体"/>
          <w:b w:val="0"/>
          <w:bCs w:val="0"/>
          <w:sz w:val="24"/>
          <w:szCs w:val="24"/>
          <w:lang w:val="en-US"/>
        </w:rPr>
        <w:t xml:space="preserve">。</w:t>
      </w:r>
      <w:r/>
    </w:p>
    <w:p>
      <w:pPr>
        <w:spacing w:line="360" w:lineRule="auto"/>
        <w:rPr>
          <w:rStyle w:val="928"/>
          <w:rFonts w:hint="eastAsia" w:ascii="宋体" w:hAnsi="宋体" w:eastAsia="宋体" w:cs="宋体"/>
          <w:b w:val="0"/>
          <w:bCs w:val="0"/>
          <w:sz w:val="24"/>
          <w:szCs w:val="24"/>
          <w:highlight w:val="none"/>
          <w:lang w:val="en-US"/>
        </w:rPr>
      </w:pPr>
      <w:r>
        <w:rPr>
          <w:rStyle w:val="928"/>
          <w:rFonts w:hint="eastAsia" w:ascii="宋体" w:hAnsi="宋体" w:cs="宋体"/>
          <w:b w:val="0"/>
          <w:bCs w:val="0"/>
          <w:sz w:val="24"/>
          <w:szCs w:val="24"/>
          <w:highlight w:val="none"/>
          <w:lang w:val="en-US"/>
        </w:rPr>
        <w:t xml:space="preserve">5</w:t>
      </w:r>
      <w:r>
        <w:rPr>
          <w:rStyle w:val="928"/>
          <w:rFonts w:hint="eastAsia" w:ascii="宋体" w:hAnsi="宋体" w:eastAsia="宋体" w:cs="宋体"/>
          <w:b w:val="0"/>
          <w:bCs w:val="0"/>
          <w:sz w:val="24"/>
          <w:szCs w:val="24"/>
          <w:highlight w:val="none"/>
          <w:lang w:val="en-US"/>
        </w:rPr>
        <w:t xml:space="preserve">.</w:t>
      </w:r>
      <w:r>
        <w:rPr>
          <w:rFonts w:hint="eastAsia" w:ascii="宋体" w:hAnsi="宋体" w:eastAsia="宋体" w:cs="宋体"/>
          <w:sz w:val="24"/>
          <w:szCs w:val="24"/>
          <w:highlight w:val="none"/>
          <w:lang w:eastAsia="zh-CN"/>
        </w:rPr>
        <w:t xml:space="preserve">设备</w:t>
      </w:r>
      <w:r>
        <w:rPr>
          <w:rFonts w:hint="eastAsia" w:ascii="宋体" w:hAnsi="宋体" w:cs="宋体"/>
          <w:sz w:val="24"/>
          <w:szCs w:val="24"/>
          <w:highlight w:val="none"/>
          <w:lang w:val="en-US" w:eastAsia="zh-CN"/>
        </w:rPr>
        <w:t xml:space="preserve">采购内容</w:t>
      </w:r>
      <w:r>
        <w:rPr>
          <w:rStyle w:val="928"/>
          <w:rFonts w:hint="eastAsia" w:ascii="宋体" w:hAnsi="宋体" w:cs="宋体"/>
          <w:b w:val="0"/>
          <w:bCs w:val="0"/>
          <w:sz w:val="24"/>
          <w:szCs w:val="24"/>
          <w:highlight w:val="none"/>
          <w:lang w:val="en-US"/>
        </w:rPr>
        <w:t xml:space="preserve">：</w:t>
      </w:r>
      <w:r/>
    </w:p>
    <w:tbl>
      <w:tblPr>
        <w:tblStyle w:val="827"/>
        <w:tblW w:w="890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96"/>
        <w:gridCol w:w="2145"/>
        <w:gridCol w:w="2865"/>
        <w:gridCol w:w="1275"/>
        <w:gridCol w:w="1620"/>
      </w:tblGrid>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ascii="黑体" w:hAnsi="宋体" w:eastAsia="黑体" w:cs="黑体"/>
                <w:i w:val="0"/>
                <w:iCs w:val="0"/>
                <w:color w:val="000000"/>
                <w:sz w:val="24"/>
                <w:szCs w:val="24"/>
                <w:highlight w:val="none"/>
                <w:u w:val="none"/>
              </w:rPr>
              <w:suppressLineNumbers w:val="0"/>
            </w:pPr>
            <w:r>
              <w:rPr>
                <w:rFonts w:hint="eastAsia" w:ascii="黑体" w:hAnsi="宋体" w:eastAsia="黑体" w:cs="黑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eastAsia" w:ascii="黑体" w:hAnsi="宋体" w:eastAsia="黑体" w:cs="黑体"/>
                <w:i w:val="0"/>
                <w:iCs w:val="0"/>
                <w:color w:val="000000"/>
                <w:sz w:val="24"/>
                <w:szCs w:val="24"/>
                <w:highlight w:val="none"/>
                <w:u w:val="none"/>
              </w:rPr>
              <w:suppressLineNumbers w:val="0"/>
            </w:pPr>
            <w:r>
              <w:rPr>
                <w:rFonts w:hint="eastAsia" w:ascii="黑体" w:hAnsi="宋体" w:eastAsia="黑体" w:cs="黑体"/>
                <w:i w:val="0"/>
                <w:iCs w:val="0"/>
                <w:color w:val="000000"/>
                <w:sz w:val="24"/>
                <w:szCs w:val="24"/>
                <w:highlight w:val="none"/>
                <w:u w:val="none"/>
                <w:lang w:val="en-US" w:eastAsia="zh-CN" w:bidi="ar"/>
              </w:rPr>
              <w:t xml:space="preserve">变压器容量(kVA)</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keepLines w:val="0"/>
              <w:keepNext w:val="0"/>
              <w:widowControl/>
              <w:rPr>
                <w:rFonts w:hint="eastAsia" w:ascii="黑体" w:hAnsi="宋体" w:eastAsia="黑体" w:cs="黑体"/>
                <w:i w:val="0"/>
                <w:iCs w:val="0"/>
                <w:color w:val="000000"/>
                <w:sz w:val="24"/>
                <w:szCs w:val="24"/>
                <w:highlight w:val="none"/>
                <w:u w:val="none"/>
              </w:rPr>
              <w:suppressLineNumbers w:val="0"/>
            </w:pPr>
            <w:r>
              <w:rPr>
                <w:rFonts w:hint="eastAsia" w:ascii="黑体" w:hAnsi="宋体" w:eastAsia="黑体" w:cs="黑体"/>
                <w:i w:val="0"/>
                <w:iCs w:val="0"/>
                <w:color w:val="000000"/>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数量（台）</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c>
          <w:tcPr>
            <w:shd w:val="clear" w:color="auto" w:fill="ffff00"/>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500kVA箱变（低压计量）</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99"/>
        </w:trPr>
        <w:tc>
          <w:tcPr>
            <w:shd w:val="clear" w:color="auto" w:fill="ffff00"/>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c>
          <w:tcPr>
            <w:shd w:val="clear" w:color="auto" w:fill="ffff00"/>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keepLines w:val="0"/>
              <w:keepNext w:val="0"/>
              <w:widowControl/>
              <w:rPr>
                <w:rFonts w:hint="eastAsia" w:ascii="宋体" w:hAnsi="宋体" w:eastAsia="宋体" w:cs="宋体"/>
                <w:i w:val="0"/>
                <w:iCs w:val="0"/>
                <w:color w:val="ff0000"/>
                <w:sz w:val="20"/>
                <w:szCs w:val="20"/>
                <w:highlight w:val="none"/>
                <w:u w:val="none"/>
              </w:rPr>
              <w:suppressLineNumbers w:val="0"/>
            </w:pPr>
            <w:r>
              <w:rPr>
                <w:rFonts w:hint="eastAsia" w:ascii="宋体" w:hAnsi="宋体" w:eastAsia="宋体" w:cs="宋体"/>
                <w:i w:val="0"/>
                <w:iCs w:val="0"/>
                <w:color w:val="ff0000"/>
                <w:sz w:val="20"/>
                <w:szCs w:val="20"/>
                <w:highlight w:val="none"/>
                <w:u w:val="none"/>
                <w:lang w:val="en-US" w:eastAsia="zh-CN" w:bidi="ar"/>
              </w:rPr>
              <w:t xml:space="preserve">400kVA箱变（高压计量）</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箱变需要串接，采购带环网柜的型号，方便安全串接</w:t>
            </w:r>
            <w:r/>
          </w:p>
        </w:tc>
      </w:tr>
      <w:tr>
        <w:trPr>
          <w:trHeight w:val="284"/>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c>
          <w:tcPr>
            <w:shd w:val="clear" w:color="auto" w:fill="ffff00"/>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400kVA箱变（低压计量）</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99"/>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315</w:t>
            </w:r>
            <w:r/>
          </w:p>
        </w:tc>
        <w:tc>
          <w:tcPr>
            <w:shd w:val="clear" w:color="auto" w:fill="ffff00"/>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315kVA箱变（低压计量）</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w:t>
            </w:r>
            <w:r/>
          </w:p>
        </w:tc>
        <w:tc>
          <w:tcPr>
            <w:shd w:val="clear" w:color="auto" w:fill="ffff00"/>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250kVA箱变（低压计量）</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296"/>
        </w:trPr>
        <w:tc>
          <w:tcPr>
            <w:shd w:val="clear" w:color="auto" w:fill="ffff00"/>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w:t>
            </w:r>
            <w:r/>
          </w:p>
        </w:tc>
        <w:tc>
          <w:tcPr>
            <w:shd w:val="clear" w:color="auto" w:fill="ffff00"/>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keepLines w:val="0"/>
              <w:keepNext w:val="0"/>
              <w:widowControl/>
              <w:rPr>
                <w:rFonts w:hint="eastAsia" w:ascii="宋体" w:hAnsi="宋体" w:eastAsia="宋体" w:cs="宋体"/>
                <w:i w:val="0"/>
                <w:iCs w:val="0"/>
                <w:color w:val="ff0000"/>
                <w:sz w:val="20"/>
                <w:szCs w:val="20"/>
                <w:highlight w:val="none"/>
                <w:u w:val="none"/>
              </w:rPr>
              <w:suppressLineNumbers w:val="0"/>
            </w:pPr>
            <w:r>
              <w:rPr>
                <w:rFonts w:hint="eastAsia" w:ascii="宋体" w:hAnsi="宋体" w:eastAsia="宋体" w:cs="宋体"/>
                <w:i w:val="0"/>
                <w:iCs w:val="0"/>
                <w:color w:val="ff0000"/>
                <w:sz w:val="20"/>
                <w:szCs w:val="20"/>
                <w:highlight w:val="none"/>
                <w:u w:val="none"/>
                <w:lang w:val="en-US" w:eastAsia="zh-CN" w:bidi="ar"/>
              </w:rPr>
              <w:t xml:space="preserve">250kVA箱变（高压计量）</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箱变需要串接，采购带环网柜的型号，方便安全串接</w:t>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c>
          <w:tcPr>
            <w:shd w:val="clear" w:color="auto" w:fill="ffff00"/>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400kVA柱上变压器</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4"/>
        </w:trPr>
        <w:tc>
          <w:tcPr>
            <w:gridSpan w:val="3"/>
            <w:shd w:val="clear" w:color="auto" w:fill="auto"/>
            <w:tcBorders>
              <w:top w:val="single" w:color="000000" w:sz="4" w:space="0"/>
              <w:left w:val="single" w:color="000000" w:sz="4" w:space="0"/>
              <w:bottom w:val="single" w:color="000000" w:sz="4" w:space="0"/>
              <w:right w:val="single" w:color="000000" w:sz="4" w:space="0"/>
            </w:tcBorders>
            <w:tcW w:w="60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spacing w:line="360" w:lineRule="auto"/>
        <w:rPr>
          <w:rStyle w:val="989"/>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rPr>
      </w:r>
      <w:r/>
    </w:p>
    <w:p>
      <w:pPr>
        <w:spacing w:line="360" w:lineRule="auto"/>
        <w:rPr>
          <w:rStyle w:val="989"/>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rPr>
      </w:r>
      <w:r/>
    </w:p>
    <w:p>
      <w:pPr>
        <w:spacing w:line="360" w:lineRule="auto"/>
        <w:rPr>
          <w:rStyle w:val="989"/>
          <w:rFonts w:hint="eastAsia" w:ascii="宋体" w:hAnsi="宋体" w:eastAsia="宋体" w:cs="宋体"/>
          <w:b/>
          <w:bCs/>
          <w:color w:val="000000"/>
          <w:sz w:val="24"/>
          <w:szCs w:val="24"/>
          <w:highlight w:val="none"/>
          <w:lang w:val="en-US"/>
        </w:rPr>
      </w:pPr>
      <w:r>
        <w:rPr>
          <w:rStyle w:val="989"/>
          <w:rFonts w:hint="eastAsia" w:ascii="宋体" w:hAnsi="宋体" w:eastAsia="宋体" w:cs="宋体"/>
          <w:b/>
          <w:bCs/>
          <w:color w:val="000000"/>
          <w:sz w:val="24"/>
          <w:szCs w:val="24"/>
          <w:highlight w:val="none"/>
          <w:lang w:val="en-US"/>
        </w:rPr>
        <w:t xml:space="preserve">四、设备技术要求：</w:t>
      </w:r>
      <w:r/>
    </w:p>
    <w:p>
      <w:pPr>
        <w:pStyle w:val="893"/>
        <w:ind w:left="162" w:firstLine="241"/>
        <w:spacing w:line="360" w:lineRule="auto"/>
        <w:rPr>
          <w:rFonts w:ascii="仿宋" w:hAnsi="仿宋" w:eastAsia="仿宋" w:cs="仿宋"/>
          <w:b/>
          <w:bCs/>
          <w:caps/>
          <w:color w:val="000000"/>
          <w:sz w:val="24"/>
          <w:highlight w:val="none"/>
        </w:rPr>
      </w:pPr>
      <w:r>
        <w:rPr>
          <w:rFonts w:hint="eastAsia" w:ascii="仿宋" w:hAnsi="仿宋" w:eastAsia="仿宋" w:cs="仿宋"/>
          <w:b/>
          <w:bCs/>
          <w:sz w:val="24"/>
          <w:highlight w:val="none"/>
        </w:rPr>
        <w:t xml:space="preserve">采购清单及参数要求：</w:t>
      </w:r>
      <w:r/>
    </w:p>
    <w:tbl>
      <w:tblPr>
        <w:tblStyle w:val="851"/>
        <w:tblW w:w="0" w:type="auto"/>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1645"/>
        <w:gridCol w:w="4507"/>
      </w:tblGrid>
      <w:tr>
        <w:trPr/>
        <w:tc>
          <w:tcPr>
            <w:tcW w:w="2521" w:type="dxa"/>
            <w:textDirection w:val="lrTb"/>
            <w:noWrap w:val="false"/>
          </w:tcPr>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名称</w:t>
            </w:r>
            <w:r/>
          </w:p>
        </w:tc>
        <w:tc>
          <w:tcPr>
            <w:tcW w:w="1900" w:type="dxa"/>
            <w:textDirection w:val="lrTb"/>
            <w:noWrap w:val="false"/>
          </w:tcPr>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数量</w:t>
            </w:r>
            <w:r/>
          </w:p>
        </w:tc>
        <w:tc>
          <w:tcPr>
            <w:tcW w:w="5575" w:type="dxa"/>
            <w:textDirection w:val="lrTb"/>
            <w:noWrap w:val="false"/>
          </w:tcPr>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参数</w:t>
            </w:r>
            <w:r/>
          </w:p>
        </w:tc>
      </w:tr>
      <w:tr>
        <w:trPr>
          <w:trHeight w:val="277"/>
        </w:trPr>
        <w:tc>
          <w:tcPr>
            <w:tcW w:w="2521" w:type="dxa"/>
            <w:textDirection w:val="lrTb"/>
            <w:noWrap w:val="false"/>
          </w:tcPr>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500kVA箱变（低压计量）</w:t>
            </w:r>
            <w:r/>
          </w:p>
        </w:tc>
        <w:tc>
          <w:tcPr>
            <w:tcW w:w="1900" w:type="dxa"/>
            <w:textDirection w:val="lrTb"/>
            <w:noWrap w:val="false"/>
          </w:tcPr>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3台</w:t>
            </w:r>
            <w:r/>
          </w:p>
        </w:tc>
        <w:tc>
          <w:tcPr>
            <w:tcW w:w="5575" w:type="dxa"/>
            <w:textDirection w:val="lrTb"/>
            <w:noWrap w:val="false"/>
          </w:tcPr>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高压侧：设置高压一进一出开关柜，开关柜采用负荷开关熔断器组合电器，独立式气体绝缘柜，额定电压为12kV，额定电流为630A，开关柜短路电流不小于20kA，面板采用嵌入式故障显示器，开关柜配置加热除湿装置一套，开关采用弹簧储能手合电分操作机构，预留三动合三动断开关辅助触点，开关柜符合五防要求，具有寿命期后气体回收分解的环保承诺，避雷器、电流互感器安装和选型按相关规范和要求确定。高压出线柜配分励线圈，AC220V，打开变压器室网门同时跳高压出线柜。</w:t>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变压器：变压器采用S13以上节能环保型、低损耗、低噪音的油浸式配电变压器，满足GB20052《三相配电变压器能效限定值及能效等级》的要求（能效等级为二级及以上）。高压侧为10kV，低压侧0.4kV，档位要求五档，变压器芯为纯铜材质，容量为500kVA，接线组别为Dyn11，Ud%=4。</w:t>
            </w:r>
            <w:r/>
          </w:p>
          <w:p>
            <w:pPr>
              <w:ind w:firstLine="425"/>
              <w:spacing w:after="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3.低压侧：设置低压计量柜、进线总柜、无功补偿柜、低压出线柜，低压出线柜数量不少于两个，具体以用户实际需求为准。进线总柜采用智能型框架断路器，断路器额定电流为630A，电流互感器配置不低于600/5 0.5S级，断路器采用弹簧储能电动操作机构，可手动操作。无功补偿柜采用智能型电容无功补偿，总补偿容量100kvar，其中分相补偿容量不低于总补偿容量的40%。</w:t>
            </w:r>
            <w:r/>
          </w:p>
        </w:tc>
      </w:tr>
      <w:tr>
        <w:trPr/>
        <w:tc>
          <w:tcPr>
            <w:tcW w:w="2521" w:type="dxa"/>
            <w:textDirection w:val="lrTb"/>
            <w:noWrap w:val="false"/>
          </w:tcPr>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Calibri" w:hAnsi="Calibri" w:eastAsia="仿宋"/>
                <w:highlight w:val="none"/>
              </w:rPr>
            </w:pPr>
            <w:r>
              <w:rPr>
                <w:rFonts w:hint="eastAsia" w:ascii="仿宋" w:hAnsi="仿宋" w:eastAsia="仿宋" w:cs="仿宋"/>
                <w:b/>
                <w:bCs/>
                <w:sz w:val="24"/>
                <w:highlight w:val="none"/>
              </w:rPr>
              <w:t xml:space="preserve">400kVA箱变（高压计量）</w:t>
            </w:r>
            <w:r/>
          </w:p>
        </w:tc>
        <w:tc>
          <w:tcPr>
            <w:tcW w:w="1900" w:type="dxa"/>
            <w:textDirection w:val="lrTb"/>
            <w:noWrap w:val="false"/>
          </w:tcPr>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Calibri" w:hAnsi="Calibri"/>
                <w:highlight w:val="none"/>
              </w:rPr>
            </w:pPr>
            <w:r>
              <w:rPr>
                <w:rFonts w:hint="eastAsia" w:ascii="仿宋" w:hAnsi="仿宋" w:eastAsia="仿宋" w:cs="仿宋"/>
                <w:b/>
                <w:bCs/>
                <w:sz w:val="24"/>
                <w:highlight w:val="none"/>
              </w:rPr>
              <w:t xml:space="preserve">1台</w:t>
            </w:r>
            <w:r/>
          </w:p>
        </w:tc>
        <w:tc>
          <w:tcPr>
            <w:tcW w:w="5575" w:type="dxa"/>
            <w:textDirection w:val="lrTb"/>
            <w:noWrap w:val="false"/>
          </w:tcPr>
          <w:p>
            <w:pPr>
              <w:ind w:firstLine="425"/>
              <w:spacing w:after="0" w:line="360" w:lineRule="auto"/>
              <w:rPr>
                <w:rFonts w:ascii="仿宋" w:hAnsi="仿宋" w:eastAsia="仿宋" w:cs="仿宋"/>
                <w:sz w:val="24"/>
                <w:highlight w:val="none"/>
              </w:rPr>
            </w:pPr>
            <w:r>
              <w:rPr>
                <w:rFonts w:ascii="仿宋" w:hAnsi="仿宋" w:eastAsia="仿宋" w:cs="仿宋"/>
                <w:sz w:val="24"/>
                <w:highlight w:val="none"/>
              </w:rPr>
              <w:t xml:space="preserve">1.高压侧：设置高压一进二出开关柜、设高压计量柜，开关柜采用负荷开关熔断器组合电器，独立式气体绝缘柜，额定电压为12kV，额定电流为630A，开关柜短路电流不小于20kA，面板采用嵌入式故障显示器，开关柜配置加热除湿装置一套，开关采用弹簧储能手合电分操作机构，预留三动合三动断开关辅助触点，开关柜符合五防要求，具有寿命期后气体回收分解的环保承诺，避雷器、电流互感器安装和选型按相关规范和要求确定。高压出线柜配分励线圈，AC220V，打开变压器室网门同时跳高压出线柜。</w:t>
            </w:r>
            <w:r/>
          </w:p>
          <w:p>
            <w:pPr>
              <w:ind w:firstLine="425"/>
              <w:spacing w:after="0" w:line="360" w:lineRule="auto"/>
              <w:rPr>
                <w:rFonts w:ascii="仿宋" w:hAnsi="仿宋" w:eastAsia="仿宋" w:cs="仿宋"/>
                <w:sz w:val="24"/>
                <w:highlight w:val="none"/>
              </w:rPr>
            </w:pPr>
            <w:r>
              <w:rPr>
                <w:rFonts w:ascii="仿宋" w:hAnsi="仿宋" w:eastAsia="仿宋" w:cs="仿宋"/>
                <w:sz w:val="24"/>
                <w:highlight w:val="none"/>
              </w:rPr>
              <w:t xml:space="preserve">2.变压器：变压器采用S13以上型号的油浸式配电变压器（要求同上），高压侧为10kV，低压侧0.4kV，档位要求五档，变压器芯为纯铜材质，容量为400kVA，接线组别为Dyn11，Ud%=4。</w:t>
            </w:r>
            <w:r/>
          </w:p>
          <w:p>
            <w:pPr>
              <w:ind w:firstLine="425"/>
              <w:spacing w:after="0" w:line="360" w:lineRule="auto"/>
              <w:rPr>
                <w:rFonts w:ascii="Calibri" w:hAnsi="Calibri"/>
                <w:highlight w:val="none"/>
              </w:rPr>
            </w:pPr>
            <w:r>
              <w:rPr>
                <w:rFonts w:ascii="仿宋" w:hAnsi="仿宋" w:eastAsia="仿宋" w:cs="仿宋"/>
                <w:sz w:val="24"/>
                <w:highlight w:val="none"/>
              </w:rPr>
              <w:t xml:space="preserve">3.低压侧：设置进线总柜、无功补偿柜、低压出线柜，低压出线柜数量不少于两个，具体以用户实际需求为准。进线总柜采用智能型框架断路器，断路器额定电流为630A，电流互感器配置不低于600/5 0.5S级，断路器采用弹簧储能电动操作机构，可手动操作。无功补偿柜采用智能型电容无功补偿，总补偿容量120kvar，其中分相补偿容量不低于总补偿容量的40%。</w:t>
            </w:r>
            <w:r/>
          </w:p>
        </w:tc>
      </w:tr>
      <w:tr>
        <w:trPr/>
        <w:tc>
          <w:tcPr>
            <w:tcW w:w="2521" w:type="dxa"/>
            <w:textDirection w:val="lrTb"/>
            <w:noWrap w:val="false"/>
          </w:tcPr>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Calibri" w:hAnsi="Calibri" w:eastAsia="仿宋"/>
                <w:highlight w:val="none"/>
              </w:rPr>
            </w:pPr>
            <w:r>
              <w:rPr>
                <w:rFonts w:hint="eastAsia" w:ascii="仿宋" w:hAnsi="仿宋" w:eastAsia="仿宋" w:cs="仿宋"/>
                <w:b/>
                <w:bCs/>
                <w:sz w:val="24"/>
                <w:highlight w:val="none"/>
              </w:rPr>
              <w:t xml:space="preserve">400kVA箱变（低压计量）</w:t>
            </w:r>
            <w:r/>
          </w:p>
        </w:tc>
        <w:tc>
          <w:tcPr>
            <w:tcW w:w="1900" w:type="dxa"/>
            <w:textDirection w:val="lrTb"/>
            <w:noWrap w:val="false"/>
          </w:tcPr>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Calibri" w:hAnsi="Calibri" w:eastAsia="仿宋"/>
                <w:highlight w:val="none"/>
              </w:rPr>
            </w:pPr>
            <w:r>
              <w:rPr>
                <w:rFonts w:hint="eastAsia" w:ascii="仿宋" w:hAnsi="仿宋" w:eastAsia="仿宋" w:cs="仿宋"/>
                <w:b/>
                <w:bCs/>
                <w:sz w:val="24"/>
                <w:highlight w:val="none"/>
              </w:rPr>
              <w:t xml:space="preserve">4台</w:t>
            </w:r>
            <w:r/>
          </w:p>
        </w:tc>
        <w:tc>
          <w:tcPr>
            <w:tcW w:w="5575" w:type="dxa"/>
            <w:textDirection w:val="lrTb"/>
            <w:noWrap w:val="false"/>
          </w:tcPr>
          <w:p>
            <w:pPr>
              <w:ind w:firstLine="425"/>
              <w:spacing w:after="0" w:line="360" w:lineRule="auto"/>
              <w:rPr>
                <w:rFonts w:ascii="仿宋" w:hAnsi="仿宋" w:eastAsia="仿宋" w:cs="仿宋"/>
                <w:sz w:val="24"/>
                <w:highlight w:val="none"/>
              </w:rPr>
            </w:pPr>
            <w:r>
              <w:rPr>
                <w:rFonts w:ascii="仿宋" w:hAnsi="仿宋" w:eastAsia="仿宋" w:cs="仿宋"/>
                <w:sz w:val="24"/>
                <w:highlight w:val="none"/>
              </w:rPr>
              <w:t xml:space="preserve">1.</w:t>
            </w:r>
            <w:r>
              <w:rPr>
                <w:rFonts w:hint="eastAsia" w:ascii="仿宋" w:hAnsi="仿宋" w:eastAsia="仿宋" w:cs="仿宋"/>
                <w:sz w:val="24"/>
                <w:highlight w:val="none"/>
              </w:rPr>
              <w:t xml:space="preserve">高压侧：设置高压一进一出开关柜，开关柜采用负荷开关熔断器组合电器，独立式气体绝缘柜，额定电压为</w:t>
            </w:r>
            <w:r>
              <w:rPr>
                <w:rFonts w:ascii="仿宋" w:hAnsi="仿宋" w:eastAsia="仿宋" w:cs="仿宋"/>
                <w:sz w:val="24"/>
                <w:highlight w:val="none"/>
              </w:rPr>
              <w:t xml:space="preserve">12kV</w:t>
            </w:r>
            <w:r>
              <w:rPr>
                <w:rFonts w:hint="eastAsia" w:ascii="仿宋" w:hAnsi="仿宋" w:eastAsia="仿宋" w:cs="仿宋"/>
                <w:sz w:val="24"/>
                <w:highlight w:val="none"/>
              </w:rPr>
              <w:t xml:space="preserve">，额定电流为</w:t>
            </w:r>
            <w:r>
              <w:rPr>
                <w:rFonts w:ascii="仿宋" w:hAnsi="仿宋" w:eastAsia="仿宋" w:cs="仿宋"/>
                <w:sz w:val="24"/>
                <w:highlight w:val="none"/>
              </w:rPr>
              <w:t xml:space="preserve">630A</w:t>
            </w:r>
            <w:r>
              <w:rPr>
                <w:rFonts w:hint="eastAsia" w:ascii="仿宋" w:hAnsi="仿宋" w:eastAsia="仿宋" w:cs="仿宋"/>
                <w:sz w:val="24"/>
                <w:highlight w:val="none"/>
              </w:rPr>
              <w:t xml:space="preserve">，开关柜短路电流不小于</w:t>
            </w:r>
            <w:r>
              <w:rPr>
                <w:rFonts w:ascii="仿宋" w:hAnsi="仿宋" w:eastAsia="仿宋" w:cs="仿宋"/>
                <w:sz w:val="24"/>
                <w:highlight w:val="none"/>
              </w:rPr>
              <w:t xml:space="preserve">20kA</w:t>
            </w:r>
            <w:r>
              <w:rPr>
                <w:rFonts w:hint="eastAsia" w:ascii="仿宋" w:hAnsi="仿宋" w:eastAsia="仿宋" w:cs="仿宋"/>
                <w:sz w:val="24"/>
                <w:highlight w:val="none"/>
              </w:rPr>
              <w:t xml:space="preserve">，面板采用嵌入式故障显示器，开关柜配置加热除湿装置一套，开关采用弹簧储能手合电分操作机构，预留三动合三动断开关辅助触点，开关柜符合五防要求，具有寿命期后气体回收分解的环保承诺，避雷器、电流互感器安装和选型按相关规范和要求确定。高压出线柜配分励线圈，</w:t>
            </w:r>
            <w:r>
              <w:rPr>
                <w:rFonts w:ascii="仿宋" w:hAnsi="仿宋" w:eastAsia="仿宋" w:cs="仿宋"/>
                <w:sz w:val="24"/>
                <w:highlight w:val="none"/>
              </w:rPr>
              <w:t xml:space="preserve">AC220V</w:t>
            </w:r>
            <w:r>
              <w:rPr>
                <w:rFonts w:hint="eastAsia" w:ascii="仿宋" w:hAnsi="仿宋" w:eastAsia="仿宋" w:cs="仿宋"/>
                <w:sz w:val="24"/>
                <w:highlight w:val="none"/>
              </w:rPr>
              <w:t xml:space="preserve">，打开变压器室网门同时跳高压出线柜。</w:t>
            </w:r>
            <w:r/>
          </w:p>
          <w:p>
            <w:pPr>
              <w:ind w:firstLine="425"/>
              <w:spacing w:after="0" w:line="360" w:lineRule="auto"/>
              <w:rPr>
                <w:rFonts w:ascii="仿宋" w:hAnsi="仿宋" w:eastAsia="仿宋" w:cs="仿宋"/>
                <w:sz w:val="24"/>
                <w:highlight w:val="none"/>
              </w:rPr>
            </w:pPr>
            <w:r>
              <w:rPr>
                <w:rFonts w:ascii="仿宋" w:hAnsi="仿宋" w:eastAsia="仿宋" w:cs="仿宋"/>
                <w:sz w:val="24"/>
                <w:highlight w:val="none"/>
              </w:rPr>
              <w:t xml:space="preserve">2.</w:t>
            </w:r>
            <w:r>
              <w:rPr>
                <w:rFonts w:hint="eastAsia" w:ascii="仿宋" w:hAnsi="仿宋" w:eastAsia="仿宋" w:cs="仿宋"/>
                <w:sz w:val="24"/>
                <w:highlight w:val="none"/>
              </w:rPr>
              <w:t xml:space="preserve">变压器：变压器采用</w:t>
            </w:r>
            <w:r>
              <w:rPr>
                <w:rFonts w:ascii="仿宋" w:hAnsi="仿宋" w:eastAsia="仿宋" w:cs="仿宋"/>
                <w:sz w:val="24"/>
                <w:highlight w:val="none"/>
              </w:rPr>
              <w:t xml:space="preserve">S13</w:t>
            </w:r>
            <w:r>
              <w:rPr>
                <w:rFonts w:hint="eastAsia" w:ascii="仿宋" w:hAnsi="仿宋" w:eastAsia="仿宋" w:cs="仿宋"/>
                <w:sz w:val="24"/>
                <w:highlight w:val="none"/>
              </w:rPr>
              <w:t xml:space="preserve">以上型号的油浸式配电变压器（要求同上），高压侧为</w:t>
            </w:r>
            <w:r>
              <w:rPr>
                <w:rFonts w:ascii="仿宋" w:hAnsi="仿宋" w:eastAsia="仿宋" w:cs="仿宋"/>
                <w:sz w:val="24"/>
                <w:highlight w:val="none"/>
              </w:rPr>
              <w:t xml:space="preserve">10kV</w:t>
            </w:r>
            <w:r>
              <w:rPr>
                <w:rFonts w:hint="eastAsia" w:ascii="仿宋" w:hAnsi="仿宋" w:eastAsia="仿宋" w:cs="仿宋"/>
                <w:sz w:val="24"/>
                <w:highlight w:val="none"/>
              </w:rPr>
              <w:t xml:space="preserve">，低压侧</w:t>
            </w:r>
            <w:r>
              <w:rPr>
                <w:rFonts w:ascii="仿宋" w:hAnsi="仿宋" w:eastAsia="仿宋" w:cs="仿宋"/>
                <w:sz w:val="24"/>
                <w:highlight w:val="none"/>
              </w:rPr>
              <w:t xml:space="preserve">0.4kV</w:t>
            </w:r>
            <w:r>
              <w:rPr>
                <w:rFonts w:hint="eastAsia" w:ascii="仿宋" w:hAnsi="仿宋" w:eastAsia="仿宋" w:cs="仿宋"/>
                <w:sz w:val="24"/>
                <w:highlight w:val="none"/>
              </w:rPr>
              <w:t xml:space="preserve">，档位要求五档，变压器芯为纯铜材质，容量为</w:t>
            </w:r>
            <w:r>
              <w:rPr>
                <w:rFonts w:ascii="仿宋" w:hAnsi="仿宋" w:eastAsia="仿宋" w:cs="仿宋"/>
                <w:sz w:val="24"/>
                <w:highlight w:val="none"/>
              </w:rPr>
              <w:t xml:space="preserve">400kVA</w:t>
            </w:r>
            <w:r>
              <w:rPr>
                <w:rFonts w:hint="eastAsia" w:ascii="仿宋" w:hAnsi="仿宋" w:eastAsia="仿宋" w:cs="仿宋"/>
                <w:sz w:val="24"/>
                <w:highlight w:val="none"/>
              </w:rPr>
              <w:t xml:space="preserve">，接线组别为</w:t>
            </w:r>
            <w:r>
              <w:rPr>
                <w:rFonts w:ascii="仿宋" w:hAnsi="仿宋" w:eastAsia="仿宋" w:cs="仿宋"/>
                <w:sz w:val="24"/>
                <w:highlight w:val="none"/>
              </w:rPr>
              <w:t xml:space="preserve">Dyn11</w:t>
            </w:r>
            <w:r>
              <w:rPr>
                <w:rFonts w:hint="eastAsia" w:ascii="仿宋" w:hAnsi="仿宋" w:eastAsia="仿宋" w:cs="仿宋"/>
                <w:sz w:val="24"/>
                <w:highlight w:val="none"/>
              </w:rPr>
              <w:t xml:space="preserve">，</w:t>
            </w:r>
            <w:r>
              <w:rPr>
                <w:rFonts w:ascii="仿宋" w:hAnsi="仿宋" w:eastAsia="仿宋" w:cs="仿宋"/>
                <w:sz w:val="24"/>
                <w:highlight w:val="none"/>
              </w:rPr>
              <w:t xml:space="preserve">Ud%=4</w:t>
            </w:r>
            <w:r>
              <w:rPr>
                <w:rFonts w:hint="eastAsia" w:ascii="仿宋" w:hAnsi="仿宋" w:eastAsia="仿宋" w:cs="仿宋"/>
                <w:sz w:val="24"/>
                <w:highlight w:val="none"/>
              </w:rPr>
              <w:t xml:space="preserve">。</w:t>
            </w:r>
            <w:r/>
          </w:p>
          <w:p>
            <w:pPr>
              <w:ind w:firstLine="425"/>
              <w:spacing w:after="0" w:line="360" w:lineRule="auto"/>
              <w:rPr>
                <w:rFonts w:ascii="Calibri" w:hAnsi="Calibri"/>
                <w:highlight w:val="none"/>
              </w:rPr>
            </w:pPr>
            <w:r>
              <w:rPr>
                <w:rFonts w:ascii="仿宋" w:hAnsi="仿宋" w:eastAsia="仿宋" w:cs="仿宋"/>
                <w:sz w:val="24"/>
                <w:highlight w:val="none"/>
              </w:rPr>
              <w:t xml:space="preserve">3.</w:t>
            </w:r>
            <w:r>
              <w:rPr>
                <w:rFonts w:hint="eastAsia" w:ascii="仿宋" w:hAnsi="仿宋" w:eastAsia="仿宋" w:cs="仿宋"/>
                <w:sz w:val="24"/>
                <w:highlight w:val="none"/>
              </w:rPr>
              <w:t xml:space="preserve">低压侧：设置低压计量柜、进线总柜、无功补偿柜、低压出线柜，低压出线柜数量不少于两个，具体以用户实际需求为准。进线总柜采用智能型框架断路器，断路器额定电流为</w:t>
            </w:r>
            <w:r>
              <w:rPr>
                <w:rFonts w:ascii="仿宋" w:hAnsi="仿宋" w:eastAsia="仿宋" w:cs="仿宋"/>
                <w:sz w:val="24"/>
                <w:highlight w:val="none"/>
              </w:rPr>
              <w:t xml:space="preserve">630A</w:t>
            </w:r>
            <w:r>
              <w:rPr>
                <w:rFonts w:hint="eastAsia" w:ascii="仿宋" w:hAnsi="仿宋" w:eastAsia="仿宋" w:cs="仿宋"/>
                <w:sz w:val="24"/>
                <w:highlight w:val="none"/>
              </w:rPr>
              <w:t xml:space="preserve">，电流互感器配置不低于</w:t>
            </w:r>
            <w:r>
              <w:rPr>
                <w:rFonts w:ascii="仿宋" w:hAnsi="仿宋" w:eastAsia="仿宋" w:cs="仿宋"/>
                <w:sz w:val="24"/>
                <w:highlight w:val="none"/>
              </w:rPr>
              <w:t xml:space="preserve">600/5 0.5S</w:t>
            </w:r>
            <w:r>
              <w:rPr>
                <w:rFonts w:hint="eastAsia" w:ascii="仿宋" w:hAnsi="仿宋" w:eastAsia="仿宋" w:cs="仿宋"/>
                <w:sz w:val="24"/>
                <w:highlight w:val="none"/>
              </w:rPr>
              <w:t xml:space="preserve">级，断路器采用弹簧储能电动操作机构，可手动操作。无功补偿柜采用智能型电容无功补偿，总补偿容量</w:t>
            </w:r>
            <w:r>
              <w:rPr>
                <w:rFonts w:ascii="仿宋" w:hAnsi="仿宋" w:eastAsia="仿宋" w:cs="仿宋"/>
                <w:sz w:val="24"/>
                <w:highlight w:val="none"/>
              </w:rPr>
              <w:t xml:space="preserve">120kvar</w:t>
            </w:r>
            <w:r>
              <w:rPr>
                <w:rFonts w:hint="eastAsia" w:ascii="仿宋" w:hAnsi="仿宋" w:eastAsia="仿宋" w:cs="仿宋"/>
                <w:sz w:val="24"/>
                <w:highlight w:val="none"/>
              </w:rPr>
              <w:t xml:space="preserve">，其中分相补偿容量不低于总补偿容量的</w:t>
            </w:r>
            <w:r>
              <w:rPr>
                <w:rFonts w:ascii="仿宋" w:hAnsi="仿宋" w:eastAsia="仿宋" w:cs="仿宋"/>
                <w:sz w:val="24"/>
                <w:highlight w:val="none"/>
              </w:rPr>
              <w:t xml:space="preserve">40%</w:t>
            </w:r>
            <w:r>
              <w:rPr>
                <w:rFonts w:hint="eastAsia" w:ascii="仿宋" w:hAnsi="仿宋" w:eastAsia="仿宋" w:cs="仿宋"/>
                <w:sz w:val="24"/>
                <w:highlight w:val="none"/>
              </w:rPr>
              <w:t xml:space="preserve">。</w:t>
            </w:r>
            <w:r/>
          </w:p>
        </w:tc>
      </w:tr>
      <w:tr>
        <w:trPr/>
        <w:tc>
          <w:tcPr>
            <w:tcW w:w="2521" w:type="dxa"/>
            <w:textDirection w:val="lrTb"/>
            <w:noWrap w:val="false"/>
          </w:tcPr>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Calibri" w:hAnsi="Calibri" w:eastAsia="仿宋"/>
                <w:highlight w:val="none"/>
              </w:rPr>
            </w:pPr>
            <w:r>
              <w:rPr>
                <w:rFonts w:hint="eastAsia" w:ascii="仿宋" w:hAnsi="仿宋" w:eastAsia="仿宋" w:cs="仿宋"/>
                <w:b/>
                <w:bCs/>
                <w:sz w:val="24"/>
                <w:highlight w:val="none"/>
              </w:rPr>
              <w:t xml:space="preserve">315kVA箱变（低压计量）</w:t>
            </w:r>
            <w:r/>
          </w:p>
        </w:tc>
        <w:tc>
          <w:tcPr>
            <w:tcW w:w="1900" w:type="dxa"/>
            <w:textDirection w:val="lrTb"/>
            <w:noWrap w:val="false"/>
          </w:tcPr>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Calibri" w:hAnsi="Calibri"/>
                <w:highlight w:val="none"/>
              </w:rPr>
            </w:pPr>
            <w:r>
              <w:rPr>
                <w:rFonts w:hint="eastAsia" w:ascii="仿宋" w:hAnsi="仿宋" w:eastAsia="仿宋" w:cs="仿宋"/>
                <w:b/>
                <w:bCs/>
                <w:sz w:val="24"/>
                <w:highlight w:val="none"/>
              </w:rPr>
              <w:t xml:space="preserve">6台</w:t>
            </w:r>
            <w:r/>
          </w:p>
        </w:tc>
        <w:tc>
          <w:tcPr>
            <w:tcW w:w="5575" w:type="dxa"/>
            <w:textDirection w:val="lrTb"/>
            <w:noWrap w:val="false"/>
          </w:tcPr>
          <w:p>
            <w:pPr>
              <w:ind w:firstLine="425"/>
              <w:spacing w:after="0" w:line="360" w:lineRule="auto"/>
              <w:rPr>
                <w:rFonts w:ascii="仿宋" w:hAnsi="仿宋" w:eastAsia="仿宋" w:cs="仿宋"/>
                <w:sz w:val="24"/>
                <w:highlight w:val="none"/>
              </w:rPr>
            </w:pPr>
            <w:r>
              <w:rPr>
                <w:rFonts w:ascii="仿宋" w:hAnsi="仿宋" w:eastAsia="仿宋" w:cs="仿宋"/>
                <w:sz w:val="24"/>
                <w:highlight w:val="none"/>
              </w:rPr>
              <w:t xml:space="preserve">1.</w:t>
            </w:r>
            <w:r>
              <w:rPr>
                <w:rFonts w:hint="eastAsia" w:ascii="仿宋" w:hAnsi="仿宋" w:eastAsia="仿宋" w:cs="仿宋"/>
                <w:sz w:val="24"/>
                <w:highlight w:val="none"/>
              </w:rPr>
              <w:t xml:space="preserve">高压侧：设置高压一进一出开关柜，开关柜采用负荷开关熔断器组合电器，独立式气体绝缘柜，额定电压为</w:t>
            </w:r>
            <w:r>
              <w:rPr>
                <w:rFonts w:ascii="仿宋" w:hAnsi="仿宋" w:eastAsia="仿宋" w:cs="仿宋"/>
                <w:sz w:val="24"/>
                <w:highlight w:val="none"/>
              </w:rPr>
              <w:t xml:space="preserve">12kV</w:t>
            </w:r>
            <w:r>
              <w:rPr>
                <w:rFonts w:hint="eastAsia" w:ascii="仿宋" w:hAnsi="仿宋" w:eastAsia="仿宋" w:cs="仿宋"/>
                <w:sz w:val="24"/>
                <w:highlight w:val="none"/>
              </w:rPr>
              <w:t xml:space="preserve">，额定电流为</w:t>
            </w:r>
            <w:r>
              <w:rPr>
                <w:rFonts w:ascii="仿宋" w:hAnsi="仿宋" w:eastAsia="仿宋" w:cs="仿宋"/>
                <w:sz w:val="24"/>
                <w:highlight w:val="none"/>
              </w:rPr>
              <w:t xml:space="preserve">630A</w:t>
            </w:r>
            <w:r>
              <w:rPr>
                <w:rFonts w:hint="eastAsia" w:ascii="仿宋" w:hAnsi="仿宋" w:eastAsia="仿宋" w:cs="仿宋"/>
                <w:sz w:val="24"/>
                <w:highlight w:val="none"/>
              </w:rPr>
              <w:t xml:space="preserve">，开关柜短路电流不小于</w:t>
            </w:r>
            <w:r>
              <w:rPr>
                <w:rFonts w:ascii="仿宋" w:hAnsi="仿宋" w:eastAsia="仿宋" w:cs="仿宋"/>
                <w:sz w:val="24"/>
                <w:highlight w:val="none"/>
              </w:rPr>
              <w:t xml:space="preserve">20kA</w:t>
            </w:r>
            <w:r>
              <w:rPr>
                <w:rFonts w:hint="eastAsia" w:ascii="仿宋" w:hAnsi="仿宋" w:eastAsia="仿宋" w:cs="仿宋"/>
                <w:sz w:val="24"/>
                <w:highlight w:val="none"/>
              </w:rPr>
              <w:t xml:space="preserve">，面板采用嵌入式故障显示器，开关柜配置加热除湿装置一套，开关采用弹簧储能手合电分操作机构，预留三动合三动断开关辅助触点，开关柜符合五防要求，具有寿命期后气体回收分解的环保承诺，避雷器、电流互感器安装和选型按相关规范和要求确定。高压出线柜配分励线圈，</w:t>
            </w:r>
            <w:r>
              <w:rPr>
                <w:rFonts w:ascii="仿宋" w:hAnsi="仿宋" w:eastAsia="仿宋" w:cs="仿宋"/>
                <w:sz w:val="24"/>
                <w:highlight w:val="none"/>
              </w:rPr>
              <w:t xml:space="preserve">AC220V</w:t>
            </w:r>
            <w:r>
              <w:rPr>
                <w:rFonts w:hint="eastAsia" w:ascii="仿宋" w:hAnsi="仿宋" w:eastAsia="仿宋" w:cs="仿宋"/>
                <w:sz w:val="24"/>
                <w:highlight w:val="none"/>
              </w:rPr>
              <w:t xml:space="preserve">，打开变压器室网门同时跳高压出线柜。</w:t>
            </w:r>
            <w:r/>
          </w:p>
          <w:p>
            <w:pPr>
              <w:ind w:firstLine="425"/>
              <w:spacing w:after="0" w:line="360" w:lineRule="auto"/>
              <w:rPr>
                <w:rFonts w:ascii="仿宋" w:hAnsi="仿宋" w:eastAsia="仿宋" w:cs="仿宋"/>
                <w:sz w:val="24"/>
                <w:highlight w:val="none"/>
              </w:rPr>
            </w:pPr>
            <w:r>
              <w:rPr>
                <w:rFonts w:ascii="仿宋" w:hAnsi="仿宋" w:eastAsia="仿宋" w:cs="仿宋"/>
                <w:sz w:val="24"/>
                <w:highlight w:val="none"/>
              </w:rPr>
              <w:t xml:space="preserve">2.</w:t>
            </w:r>
            <w:r>
              <w:rPr>
                <w:rFonts w:hint="eastAsia" w:ascii="仿宋" w:hAnsi="仿宋" w:eastAsia="仿宋" w:cs="仿宋"/>
                <w:sz w:val="24"/>
                <w:highlight w:val="none"/>
              </w:rPr>
              <w:t xml:space="preserve">变压器：变压器采用</w:t>
            </w:r>
            <w:r>
              <w:rPr>
                <w:rFonts w:ascii="仿宋" w:hAnsi="仿宋" w:eastAsia="仿宋" w:cs="仿宋"/>
                <w:sz w:val="24"/>
                <w:highlight w:val="none"/>
              </w:rPr>
              <w:t xml:space="preserve">S13</w:t>
            </w:r>
            <w:r>
              <w:rPr>
                <w:rFonts w:hint="eastAsia" w:ascii="仿宋" w:hAnsi="仿宋" w:eastAsia="仿宋" w:cs="仿宋"/>
                <w:sz w:val="24"/>
                <w:highlight w:val="none"/>
              </w:rPr>
              <w:t xml:space="preserve">以上型号的油浸式配电变压器（要求同上），高压侧为</w:t>
            </w:r>
            <w:r>
              <w:rPr>
                <w:rFonts w:ascii="仿宋" w:hAnsi="仿宋" w:eastAsia="仿宋" w:cs="仿宋"/>
                <w:sz w:val="24"/>
                <w:highlight w:val="none"/>
              </w:rPr>
              <w:t xml:space="preserve">10kV</w:t>
            </w:r>
            <w:r>
              <w:rPr>
                <w:rFonts w:hint="eastAsia" w:ascii="仿宋" w:hAnsi="仿宋" w:eastAsia="仿宋" w:cs="仿宋"/>
                <w:sz w:val="24"/>
                <w:highlight w:val="none"/>
              </w:rPr>
              <w:t xml:space="preserve">，低压侧</w:t>
            </w:r>
            <w:r>
              <w:rPr>
                <w:rFonts w:ascii="仿宋" w:hAnsi="仿宋" w:eastAsia="仿宋" w:cs="仿宋"/>
                <w:sz w:val="24"/>
                <w:highlight w:val="none"/>
              </w:rPr>
              <w:t xml:space="preserve">0.4kV</w:t>
            </w:r>
            <w:r>
              <w:rPr>
                <w:rFonts w:hint="eastAsia" w:ascii="仿宋" w:hAnsi="仿宋" w:eastAsia="仿宋" w:cs="仿宋"/>
                <w:sz w:val="24"/>
                <w:highlight w:val="none"/>
              </w:rPr>
              <w:t xml:space="preserve">，档位要求五档，变压器芯为纯铜材质，容量为</w:t>
            </w:r>
            <w:r>
              <w:rPr>
                <w:rFonts w:ascii="仿宋" w:hAnsi="仿宋" w:eastAsia="仿宋" w:cs="仿宋"/>
                <w:sz w:val="24"/>
                <w:highlight w:val="none"/>
              </w:rPr>
              <w:t xml:space="preserve">315kVA</w:t>
            </w:r>
            <w:r>
              <w:rPr>
                <w:rFonts w:hint="eastAsia" w:ascii="仿宋" w:hAnsi="仿宋" w:eastAsia="仿宋" w:cs="仿宋"/>
                <w:sz w:val="24"/>
                <w:highlight w:val="none"/>
              </w:rPr>
              <w:t xml:space="preserve">，接线组别为</w:t>
            </w:r>
            <w:r>
              <w:rPr>
                <w:rFonts w:ascii="仿宋" w:hAnsi="仿宋" w:eastAsia="仿宋" w:cs="仿宋"/>
                <w:sz w:val="24"/>
                <w:highlight w:val="none"/>
              </w:rPr>
              <w:t xml:space="preserve">Dyn11</w:t>
            </w:r>
            <w:r>
              <w:rPr>
                <w:rFonts w:hint="eastAsia" w:ascii="仿宋" w:hAnsi="仿宋" w:eastAsia="仿宋" w:cs="仿宋"/>
                <w:sz w:val="24"/>
                <w:highlight w:val="none"/>
              </w:rPr>
              <w:t xml:space="preserve">，</w:t>
            </w:r>
            <w:r>
              <w:rPr>
                <w:rFonts w:ascii="仿宋" w:hAnsi="仿宋" w:eastAsia="仿宋" w:cs="仿宋"/>
                <w:sz w:val="24"/>
                <w:highlight w:val="none"/>
              </w:rPr>
              <w:t xml:space="preserve">Ud%=4</w:t>
            </w:r>
            <w:r>
              <w:rPr>
                <w:rFonts w:hint="eastAsia" w:ascii="仿宋" w:hAnsi="仿宋" w:eastAsia="仿宋" w:cs="仿宋"/>
                <w:sz w:val="24"/>
                <w:highlight w:val="none"/>
              </w:rPr>
              <w:t xml:space="preserve">。</w:t>
            </w:r>
            <w:r/>
          </w:p>
          <w:p>
            <w:pPr>
              <w:ind w:firstLine="425"/>
              <w:spacing w:after="0" w:line="360" w:lineRule="auto"/>
              <w:rPr>
                <w:rFonts w:ascii="Calibri" w:hAnsi="Calibri"/>
                <w:highlight w:val="none"/>
              </w:rPr>
            </w:pPr>
            <w:r>
              <w:rPr>
                <w:rFonts w:ascii="仿宋" w:hAnsi="仿宋" w:eastAsia="仿宋" w:cs="仿宋"/>
                <w:sz w:val="24"/>
                <w:highlight w:val="none"/>
              </w:rPr>
              <w:t xml:space="preserve">3.</w:t>
            </w:r>
            <w:r>
              <w:rPr>
                <w:rFonts w:hint="eastAsia" w:ascii="仿宋" w:hAnsi="仿宋" w:eastAsia="仿宋" w:cs="仿宋"/>
                <w:sz w:val="24"/>
                <w:highlight w:val="none"/>
              </w:rPr>
              <w:t xml:space="preserve">低压侧：设置低压计量柜、进线总柜、无功补偿柜、低压出线柜，低压出线柜数量不少于两个，具体以用户实际需求为准。进线总柜采用智能型框架断路器，断路器额定电流为</w:t>
            </w:r>
            <w:r>
              <w:rPr>
                <w:rFonts w:ascii="仿宋" w:hAnsi="仿宋" w:eastAsia="仿宋" w:cs="仿宋"/>
                <w:sz w:val="24"/>
                <w:highlight w:val="none"/>
              </w:rPr>
              <w:t xml:space="preserve">630A</w:t>
            </w:r>
            <w:r>
              <w:rPr>
                <w:rFonts w:hint="eastAsia" w:ascii="仿宋" w:hAnsi="仿宋" w:eastAsia="仿宋" w:cs="仿宋"/>
                <w:sz w:val="24"/>
                <w:highlight w:val="none"/>
              </w:rPr>
              <w:t xml:space="preserve">，电流互感器配置不低于</w:t>
            </w:r>
            <w:r>
              <w:rPr>
                <w:rFonts w:ascii="仿宋" w:hAnsi="仿宋" w:eastAsia="仿宋" w:cs="仿宋"/>
                <w:sz w:val="24"/>
                <w:highlight w:val="none"/>
              </w:rPr>
              <w:t xml:space="preserve">600/5 0.5S</w:t>
            </w:r>
            <w:r>
              <w:rPr>
                <w:rFonts w:hint="eastAsia" w:ascii="仿宋" w:hAnsi="仿宋" w:eastAsia="仿宋" w:cs="仿宋"/>
                <w:sz w:val="24"/>
                <w:highlight w:val="none"/>
              </w:rPr>
              <w:t xml:space="preserve">级，断路器采用弹簧储能电动操作机构，可手动操作。无功补偿柜采用智能型电容无功补偿，总补偿容量</w:t>
            </w:r>
            <w:r>
              <w:rPr>
                <w:rFonts w:ascii="仿宋" w:hAnsi="仿宋" w:eastAsia="仿宋" w:cs="仿宋"/>
                <w:sz w:val="24"/>
                <w:highlight w:val="none"/>
              </w:rPr>
              <w:t xml:space="preserve">95kvar</w:t>
            </w:r>
            <w:r>
              <w:rPr>
                <w:rFonts w:hint="eastAsia" w:ascii="仿宋" w:hAnsi="仿宋" w:eastAsia="仿宋" w:cs="仿宋"/>
                <w:sz w:val="24"/>
                <w:highlight w:val="none"/>
              </w:rPr>
              <w:t xml:space="preserve">，其中分相补偿容量不低于总补偿容量的</w:t>
            </w:r>
            <w:r>
              <w:rPr>
                <w:rFonts w:ascii="仿宋" w:hAnsi="仿宋" w:eastAsia="仿宋" w:cs="仿宋"/>
                <w:sz w:val="24"/>
                <w:highlight w:val="none"/>
              </w:rPr>
              <w:t xml:space="preserve">40%</w:t>
            </w:r>
            <w:r>
              <w:rPr>
                <w:rFonts w:hint="eastAsia" w:ascii="仿宋" w:hAnsi="仿宋" w:eastAsia="仿宋" w:cs="仿宋"/>
                <w:sz w:val="24"/>
                <w:highlight w:val="none"/>
              </w:rPr>
              <w:t xml:space="preserve">。</w:t>
            </w:r>
            <w:r/>
          </w:p>
        </w:tc>
      </w:tr>
      <w:tr>
        <w:trPr/>
        <w:tc>
          <w:tcPr>
            <w:tcW w:w="2521" w:type="dxa"/>
            <w:textDirection w:val="lrTb"/>
            <w:noWrap w:val="false"/>
          </w:tcPr>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hint="eastAsia" w:ascii="仿宋" w:hAnsi="仿宋" w:eastAsia="仿宋" w:cs="仿宋"/>
                <w:b/>
                <w:bCs/>
                <w:sz w:val="24"/>
                <w:highlight w:val="none"/>
              </w:rPr>
              <w:t xml:space="preserve">250kVA箱变（低压计量）</w:t>
            </w:r>
            <w:r/>
          </w:p>
        </w:tc>
        <w:tc>
          <w:tcPr>
            <w:tcW w:w="1900" w:type="dxa"/>
            <w:textDirection w:val="lrTb"/>
            <w:noWrap w:val="false"/>
          </w:tcPr>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hint="eastAsia" w:ascii="仿宋" w:hAnsi="仿宋" w:eastAsia="仿宋" w:cs="仿宋"/>
                <w:b/>
                <w:bCs/>
                <w:sz w:val="24"/>
                <w:highlight w:val="none"/>
              </w:rPr>
              <w:t xml:space="preserve">1台</w:t>
            </w:r>
            <w:r/>
          </w:p>
        </w:tc>
        <w:tc>
          <w:tcPr>
            <w:tcW w:w="5575" w:type="dxa"/>
            <w:textDirection w:val="lrTb"/>
            <w:noWrap w:val="false"/>
          </w:tcPr>
          <w:p>
            <w:pPr>
              <w:ind w:firstLine="425"/>
              <w:spacing w:after="0" w:line="360" w:lineRule="auto"/>
              <w:rPr>
                <w:rFonts w:ascii="仿宋" w:hAnsi="仿宋" w:eastAsia="仿宋" w:cs="仿宋"/>
                <w:sz w:val="24"/>
                <w:highlight w:val="none"/>
              </w:rPr>
            </w:pPr>
            <w:r>
              <w:rPr>
                <w:rFonts w:ascii="仿宋" w:hAnsi="仿宋" w:eastAsia="仿宋" w:cs="仿宋"/>
                <w:sz w:val="24"/>
                <w:highlight w:val="none"/>
              </w:rPr>
              <w:t xml:space="preserve">1.</w:t>
            </w:r>
            <w:r>
              <w:rPr>
                <w:rFonts w:hint="eastAsia" w:ascii="仿宋" w:hAnsi="仿宋" w:eastAsia="仿宋" w:cs="仿宋"/>
                <w:sz w:val="24"/>
                <w:highlight w:val="none"/>
              </w:rPr>
              <w:t xml:space="preserve">高压侧：设置高压一进一出开关柜，开关柜采用负荷开关熔断器组合电器，独立式气体绝缘柜，额定电压为</w:t>
            </w:r>
            <w:r>
              <w:rPr>
                <w:rFonts w:ascii="仿宋" w:hAnsi="仿宋" w:eastAsia="仿宋" w:cs="仿宋"/>
                <w:sz w:val="24"/>
                <w:highlight w:val="none"/>
              </w:rPr>
              <w:t xml:space="preserve">12kV</w:t>
            </w:r>
            <w:r>
              <w:rPr>
                <w:rFonts w:hint="eastAsia" w:ascii="仿宋" w:hAnsi="仿宋" w:eastAsia="仿宋" w:cs="仿宋"/>
                <w:sz w:val="24"/>
                <w:highlight w:val="none"/>
              </w:rPr>
              <w:t xml:space="preserve">，额定电流为</w:t>
            </w:r>
            <w:r>
              <w:rPr>
                <w:rFonts w:ascii="仿宋" w:hAnsi="仿宋" w:eastAsia="仿宋" w:cs="仿宋"/>
                <w:sz w:val="24"/>
                <w:highlight w:val="none"/>
              </w:rPr>
              <w:t xml:space="preserve">630A</w:t>
            </w:r>
            <w:r>
              <w:rPr>
                <w:rFonts w:hint="eastAsia" w:ascii="仿宋" w:hAnsi="仿宋" w:eastAsia="仿宋" w:cs="仿宋"/>
                <w:sz w:val="24"/>
                <w:highlight w:val="none"/>
              </w:rPr>
              <w:t xml:space="preserve">，开关柜短路电流不小于</w:t>
            </w:r>
            <w:r>
              <w:rPr>
                <w:rFonts w:ascii="仿宋" w:hAnsi="仿宋" w:eastAsia="仿宋" w:cs="仿宋"/>
                <w:sz w:val="24"/>
                <w:highlight w:val="none"/>
              </w:rPr>
              <w:t xml:space="preserve">20kA</w:t>
            </w:r>
            <w:r>
              <w:rPr>
                <w:rFonts w:hint="eastAsia" w:ascii="仿宋" w:hAnsi="仿宋" w:eastAsia="仿宋" w:cs="仿宋"/>
                <w:sz w:val="24"/>
                <w:highlight w:val="none"/>
              </w:rPr>
              <w:t xml:space="preserve">，面板采用嵌入式故障显示器，开关柜配置加热除湿装置一套，开关采用弹簧储能手合电分操作机构，预留三动合三动断开关辅助触点，开关柜符合五防要求，具有寿命期后气体回收分解的环保承诺，避雷器、电流互感器安装和选型按相关规范和要求确定。高压出线柜配分励线圈，</w:t>
            </w:r>
            <w:r>
              <w:rPr>
                <w:rFonts w:ascii="仿宋" w:hAnsi="仿宋" w:eastAsia="仿宋" w:cs="仿宋"/>
                <w:sz w:val="24"/>
                <w:highlight w:val="none"/>
              </w:rPr>
              <w:t xml:space="preserve">AC220V</w:t>
            </w:r>
            <w:r>
              <w:rPr>
                <w:rFonts w:hint="eastAsia" w:ascii="仿宋" w:hAnsi="仿宋" w:eastAsia="仿宋" w:cs="仿宋"/>
                <w:sz w:val="24"/>
                <w:highlight w:val="none"/>
              </w:rPr>
              <w:t xml:space="preserve">，打开变压器室网门同时跳高压出线柜。</w:t>
            </w:r>
            <w:r/>
          </w:p>
          <w:p>
            <w:pPr>
              <w:ind w:firstLine="425"/>
              <w:spacing w:after="0" w:line="360" w:lineRule="auto"/>
              <w:rPr>
                <w:rFonts w:ascii="仿宋" w:hAnsi="仿宋" w:eastAsia="仿宋" w:cs="仿宋"/>
                <w:sz w:val="24"/>
                <w:highlight w:val="none"/>
              </w:rPr>
            </w:pPr>
            <w:r>
              <w:rPr>
                <w:rFonts w:ascii="仿宋" w:hAnsi="仿宋" w:eastAsia="仿宋" w:cs="仿宋"/>
                <w:sz w:val="24"/>
                <w:highlight w:val="none"/>
              </w:rPr>
              <w:t xml:space="preserve">2.</w:t>
            </w:r>
            <w:r>
              <w:rPr>
                <w:rFonts w:hint="eastAsia" w:ascii="仿宋" w:hAnsi="仿宋" w:eastAsia="仿宋" w:cs="仿宋"/>
                <w:sz w:val="24"/>
                <w:highlight w:val="none"/>
              </w:rPr>
              <w:t xml:space="preserve">变压器：变压器采用</w:t>
            </w:r>
            <w:r>
              <w:rPr>
                <w:rFonts w:ascii="仿宋" w:hAnsi="仿宋" w:eastAsia="仿宋" w:cs="仿宋"/>
                <w:sz w:val="24"/>
                <w:highlight w:val="none"/>
              </w:rPr>
              <w:t xml:space="preserve">S13</w:t>
            </w:r>
            <w:r>
              <w:rPr>
                <w:rFonts w:hint="eastAsia" w:ascii="仿宋" w:hAnsi="仿宋" w:eastAsia="仿宋" w:cs="仿宋"/>
                <w:sz w:val="24"/>
                <w:highlight w:val="none"/>
              </w:rPr>
              <w:t xml:space="preserve">以上型号的油浸式配电变压器（要求同上），高压侧为</w:t>
            </w:r>
            <w:r>
              <w:rPr>
                <w:rFonts w:ascii="仿宋" w:hAnsi="仿宋" w:eastAsia="仿宋" w:cs="仿宋"/>
                <w:sz w:val="24"/>
                <w:highlight w:val="none"/>
              </w:rPr>
              <w:t xml:space="preserve">10kV</w:t>
            </w:r>
            <w:r>
              <w:rPr>
                <w:rFonts w:hint="eastAsia" w:ascii="仿宋" w:hAnsi="仿宋" w:eastAsia="仿宋" w:cs="仿宋"/>
                <w:sz w:val="24"/>
                <w:highlight w:val="none"/>
              </w:rPr>
              <w:t xml:space="preserve">，低压侧</w:t>
            </w:r>
            <w:r>
              <w:rPr>
                <w:rFonts w:ascii="仿宋" w:hAnsi="仿宋" w:eastAsia="仿宋" w:cs="仿宋"/>
                <w:sz w:val="24"/>
                <w:highlight w:val="none"/>
              </w:rPr>
              <w:t xml:space="preserve">0.4kV</w:t>
            </w:r>
            <w:r>
              <w:rPr>
                <w:rFonts w:hint="eastAsia" w:ascii="仿宋" w:hAnsi="仿宋" w:eastAsia="仿宋" w:cs="仿宋"/>
                <w:sz w:val="24"/>
                <w:highlight w:val="none"/>
              </w:rPr>
              <w:t xml:space="preserve">，档位要求五档，变压器芯为纯铜材质，容量为</w:t>
            </w:r>
            <w:r>
              <w:rPr>
                <w:rFonts w:ascii="仿宋" w:hAnsi="仿宋" w:eastAsia="仿宋" w:cs="仿宋"/>
                <w:sz w:val="24"/>
                <w:highlight w:val="none"/>
              </w:rPr>
              <w:t xml:space="preserve">250kVA</w:t>
            </w:r>
            <w:r>
              <w:rPr>
                <w:rFonts w:hint="eastAsia" w:ascii="仿宋" w:hAnsi="仿宋" w:eastAsia="仿宋" w:cs="仿宋"/>
                <w:sz w:val="24"/>
                <w:highlight w:val="none"/>
              </w:rPr>
              <w:t xml:space="preserve">，接线组别为</w:t>
            </w:r>
            <w:r>
              <w:rPr>
                <w:rFonts w:ascii="仿宋" w:hAnsi="仿宋" w:eastAsia="仿宋" w:cs="仿宋"/>
                <w:sz w:val="24"/>
                <w:highlight w:val="none"/>
              </w:rPr>
              <w:t xml:space="preserve">Dyn11</w:t>
            </w:r>
            <w:r>
              <w:rPr>
                <w:rFonts w:hint="eastAsia" w:ascii="仿宋" w:hAnsi="仿宋" w:eastAsia="仿宋" w:cs="仿宋"/>
                <w:sz w:val="24"/>
                <w:highlight w:val="none"/>
              </w:rPr>
              <w:t xml:space="preserve">，</w:t>
            </w:r>
            <w:r>
              <w:rPr>
                <w:rFonts w:ascii="仿宋" w:hAnsi="仿宋" w:eastAsia="仿宋" w:cs="仿宋"/>
                <w:sz w:val="24"/>
                <w:highlight w:val="none"/>
              </w:rPr>
              <w:t xml:space="preserve">Ud%=4</w:t>
            </w:r>
            <w:r>
              <w:rPr>
                <w:rFonts w:hint="eastAsia" w:ascii="仿宋" w:hAnsi="仿宋" w:eastAsia="仿宋" w:cs="仿宋"/>
                <w:sz w:val="24"/>
                <w:highlight w:val="none"/>
              </w:rPr>
              <w:t xml:space="preserve">。</w:t>
            </w:r>
            <w:r/>
          </w:p>
          <w:p>
            <w:pPr>
              <w:ind w:firstLine="425"/>
              <w:spacing w:after="0" w:line="360" w:lineRule="auto"/>
              <w:rPr>
                <w:rFonts w:ascii="Calibri" w:hAnsi="Calibri"/>
                <w:highlight w:val="none"/>
              </w:rPr>
            </w:pPr>
            <w:r>
              <w:rPr>
                <w:rFonts w:ascii="仿宋" w:hAnsi="仿宋" w:eastAsia="仿宋" w:cs="仿宋"/>
                <w:sz w:val="24"/>
                <w:highlight w:val="none"/>
              </w:rPr>
              <w:t xml:space="preserve">3.</w:t>
            </w:r>
            <w:r>
              <w:rPr>
                <w:rFonts w:hint="eastAsia" w:ascii="仿宋" w:hAnsi="仿宋" w:eastAsia="仿宋" w:cs="仿宋"/>
                <w:sz w:val="24"/>
                <w:highlight w:val="none"/>
              </w:rPr>
              <w:t xml:space="preserve">低压侧：设置低压计量柜、进线总柜、无功补偿柜、低压出线柜，低压出线柜数量不少于两个，具体以用户实际需求为准。进线总柜采用智能型框架断路器，断路器额定电流为</w:t>
            </w:r>
            <w:r>
              <w:rPr>
                <w:rFonts w:ascii="仿宋" w:hAnsi="仿宋" w:eastAsia="仿宋" w:cs="仿宋"/>
                <w:sz w:val="24"/>
                <w:highlight w:val="none"/>
              </w:rPr>
              <w:t xml:space="preserve">630A</w:t>
            </w:r>
            <w:r>
              <w:rPr>
                <w:rFonts w:hint="eastAsia" w:ascii="仿宋" w:hAnsi="仿宋" w:eastAsia="仿宋" w:cs="仿宋"/>
                <w:sz w:val="24"/>
                <w:highlight w:val="none"/>
              </w:rPr>
              <w:t xml:space="preserve">，电流互感器配置不低于</w:t>
            </w:r>
            <w:r>
              <w:rPr>
                <w:rFonts w:ascii="仿宋" w:hAnsi="仿宋" w:eastAsia="仿宋" w:cs="仿宋"/>
                <w:sz w:val="24"/>
                <w:highlight w:val="none"/>
              </w:rPr>
              <w:t xml:space="preserve">600/5 0.5S</w:t>
            </w:r>
            <w:r>
              <w:rPr>
                <w:rFonts w:hint="eastAsia" w:ascii="仿宋" w:hAnsi="仿宋" w:eastAsia="仿宋" w:cs="仿宋"/>
                <w:sz w:val="24"/>
                <w:highlight w:val="none"/>
              </w:rPr>
              <w:t xml:space="preserve">级，断路器采用弹簧储能电动操作机构，可手动操作。无功补偿柜采用智能型电容无功补偿，总补偿容量</w:t>
            </w:r>
            <w:r>
              <w:rPr>
                <w:rFonts w:ascii="仿宋" w:hAnsi="仿宋" w:eastAsia="仿宋" w:cs="仿宋"/>
                <w:sz w:val="24"/>
                <w:highlight w:val="none"/>
              </w:rPr>
              <w:t xml:space="preserve">75kvar</w:t>
            </w:r>
            <w:r>
              <w:rPr>
                <w:rFonts w:hint="eastAsia" w:ascii="仿宋" w:hAnsi="仿宋" w:eastAsia="仿宋" w:cs="仿宋"/>
                <w:sz w:val="24"/>
                <w:highlight w:val="none"/>
              </w:rPr>
              <w:t xml:space="preserve">，其中分相补偿容量不低于总补偿容量的</w:t>
            </w:r>
            <w:r>
              <w:rPr>
                <w:rFonts w:ascii="仿宋" w:hAnsi="仿宋" w:eastAsia="仿宋" w:cs="仿宋"/>
                <w:sz w:val="24"/>
                <w:highlight w:val="none"/>
              </w:rPr>
              <w:t xml:space="preserve">40%</w:t>
            </w:r>
            <w:r>
              <w:rPr>
                <w:rFonts w:hint="eastAsia" w:ascii="仿宋" w:hAnsi="仿宋" w:eastAsia="仿宋" w:cs="仿宋"/>
                <w:sz w:val="24"/>
                <w:highlight w:val="none"/>
              </w:rPr>
              <w:t xml:space="preserve">。</w:t>
            </w:r>
            <w:r/>
          </w:p>
        </w:tc>
      </w:tr>
      <w:tr>
        <w:trPr/>
        <w:tc>
          <w:tcPr>
            <w:tcW w:w="2521" w:type="dxa"/>
            <w:textDirection w:val="lrTb"/>
            <w:noWrap w:val="false"/>
          </w:tcPr>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pStyle w:val="818"/>
              <w:spacing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pStyle w:val="818"/>
              <w:spacing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highlight w:val="none"/>
              </w:rPr>
            </w:pPr>
            <w:r>
              <w:rPr>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hint="eastAsia" w:ascii="仿宋" w:hAnsi="仿宋" w:eastAsia="仿宋" w:cs="仿宋"/>
                <w:b/>
                <w:bCs/>
                <w:sz w:val="24"/>
                <w:highlight w:val="none"/>
              </w:rPr>
              <w:t xml:space="preserve">250kVA箱变（高压计量）</w:t>
            </w:r>
            <w:r/>
          </w:p>
        </w:tc>
        <w:tc>
          <w:tcPr>
            <w:tcW w:w="1900" w:type="dxa"/>
            <w:textDirection w:val="lrTb"/>
            <w:noWrap w:val="false"/>
          </w:tcPr>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pStyle w:val="818"/>
              <w:spacing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pStyle w:val="818"/>
              <w:spacing w:line="240" w:lineRule="auto"/>
              <w:rPr>
                <w:rFonts w:ascii="仿宋" w:hAnsi="仿宋" w:eastAsia="仿宋" w:cs="仿宋"/>
                <w:b/>
                <w:bCs/>
                <w:sz w:val="24"/>
                <w:highlight w:val="none"/>
              </w:rPr>
            </w:pPr>
            <w:r>
              <w:rPr>
                <w:rFonts w:ascii="仿宋" w:hAnsi="仿宋" w:eastAsia="仿宋" w:cs="仿宋"/>
                <w:b/>
                <w:bCs/>
                <w:sz w:val="24"/>
                <w:highlight w:val="none"/>
              </w:rPr>
            </w:r>
            <w:r/>
          </w:p>
          <w:p>
            <w:pPr>
              <w:spacing w:after="0" w:line="240" w:lineRule="auto"/>
              <w:rPr>
                <w:highlight w:val="none"/>
              </w:rPr>
            </w:pPr>
            <w:r>
              <w:rPr>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ascii="仿宋" w:hAnsi="仿宋" w:eastAsia="仿宋" w:cs="仿宋"/>
                <w:b/>
                <w:bCs/>
                <w:sz w:val="24"/>
                <w:highlight w:val="none"/>
              </w:rPr>
            </w:r>
            <w:r/>
          </w:p>
          <w:p>
            <w:pPr>
              <w:jc w:val="center"/>
              <w:spacing w:after="0" w:line="240" w:lineRule="auto"/>
              <w:rPr>
                <w:rFonts w:ascii="仿宋" w:hAnsi="仿宋" w:eastAsia="仿宋" w:cs="仿宋"/>
                <w:b/>
                <w:bCs/>
                <w:sz w:val="24"/>
                <w:highlight w:val="none"/>
              </w:rPr>
            </w:pPr>
            <w:r>
              <w:rPr>
                <w:rFonts w:hint="eastAsia" w:ascii="仿宋" w:hAnsi="仿宋" w:eastAsia="仿宋" w:cs="仿宋"/>
                <w:b/>
                <w:bCs/>
                <w:sz w:val="24"/>
                <w:highlight w:val="none"/>
              </w:rPr>
              <w:t xml:space="preserve">3台</w:t>
            </w:r>
            <w:r/>
          </w:p>
        </w:tc>
        <w:tc>
          <w:tcPr>
            <w:tcW w:w="5575" w:type="dxa"/>
            <w:textDirection w:val="lrTb"/>
            <w:noWrap w:val="false"/>
          </w:tcPr>
          <w:p>
            <w:pPr>
              <w:ind w:firstLine="425"/>
              <w:spacing w:after="0" w:line="360" w:lineRule="auto"/>
              <w:rPr>
                <w:rFonts w:ascii="仿宋" w:hAnsi="仿宋" w:eastAsia="仿宋" w:cs="仿宋"/>
                <w:sz w:val="24"/>
                <w:highlight w:val="none"/>
              </w:rPr>
            </w:pPr>
            <w:r>
              <w:rPr>
                <w:rFonts w:ascii="仿宋" w:hAnsi="仿宋" w:eastAsia="仿宋" w:cs="仿宋"/>
                <w:sz w:val="24"/>
                <w:highlight w:val="none"/>
              </w:rPr>
              <w:t xml:space="preserve">1.</w:t>
            </w:r>
            <w:r>
              <w:rPr>
                <w:rFonts w:hint="eastAsia" w:ascii="仿宋" w:hAnsi="仿宋" w:eastAsia="仿宋" w:cs="仿宋"/>
                <w:sz w:val="24"/>
                <w:highlight w:val="none"/>
              </w:rPr>
              <w:t xml:space="preserve">高压侧：设置高压一进二出开关柜、设高压计量柜，开关柜采用负荷开关熔断器组合电器，独立式气体绝缘柜，额定电压为</w:t>
            </w:r>
            <w:r>
              <w:rPr>
                <w:rFonts w:ascii="仿宋" w:hAnsi="仿宋" w:eastAsia="仿宋" w:cs="仿宋"/>
                <w:sz w:val="24"/>
                <w:highlight w:val="none"/>
              </w:rPr>
              <w:t xml:space="preserve">12kV</w:t>
            </w:r>
            <w:r>
              <w:rPr>
                <w:rFonts w:hint="eastAsia" w:ascii="仿宋" w:hAnsi="仿宋" w:eastAsia="仿宋" w:cs="仿宋"/>
                <w:sz w:val="24"/>
                <w:highlight w:val="none"/>
              </w:rPr>
              <w:t xml:space="preserve">，额定电流为</w:t>
            </w:r>
            <w:r>
              <w:rPr>
                <w:rFonts w:ascii="仿宋" w:hAnsi="仿宋" w:eastAsia="仿宋" w:cs="仿宋"/>
                <w:sz w:val="24"/>
                <w:highlight w:val="none"/>
              </w:rPr>
              <w:t xml:space="preserve">630A</w:t>
            </w:r>
            <w:r>
              <w:rPr>
                <w:rFonts w:hint="eastAsia" w:ascii="仿宋" w:hAnsi="仿宋" w:eastAsia="仿宋" w:cs="仿宋"/>
                <w:sz w:val="24"/>
                <w:highlight w:val="none"/>
              </w:rPr>
              <w:t xml:space="preserve">，开关柜短路电流不小于</w:t>
            </w:r>
            <w:r>
              <w:rPr>
                <w:rFonts w:ascii="仿宋" w:hAnsi="仿宋" w:eastAsia="仿宋" w:cs="仿宋"/>
                <w:sz w:val="24"/>
                <w:highlight w:val="none"/>
              </w:rPr>
              <w:t xml:space="preserve">20kA</w:t>
            </w:r>
            <w:r>
              <w:rPr>
                <w:rFonts w:hint="eastAsia" w:ascii="仿宋" w:hAnsi="仿宋" w:eastAsia="仿宋" w:cs="仿宋"/>
                <w:sz w:val="24"/>
                <w:highlight w:val="none"/>
              </w:rPr>
              <w:t xml:space="preserve">，面板采用嵌入式故障显示器，开关柜配置加热除湿装置一套，开关采用弹簧储能手合电分操作机构，预留三动合三动断开关辅助触点，开关柜符合五防要求，具有寿命期后气体回收分解的环保承诺，避雷器、电流互感器安装和选型按相关规范和要求确定。高压出线柜配分励线圈，</w:t>
            </w:r>
            <w:r>
              <w:rPr>
                <w:rFonts w:ascii="仿宋" w:hAnsi="仿宋" w:eastAsia="仿宋" w:cs="仿宋"/>
                <w:sz w:val="24"/>
                <w:highlight w:val="none"/>
              </w:rPr>
              <w:t xml:space="preserve">AC220V</w:t>
            </w:r>
            <w:r>
              <w:rPr>
                <w:rFonts w:hint="eastAsia" w:ascii="仿宋" w:hAnsi="仿宋" w:eastAsia="仿宋" w:cs="仿宋"/>
                <w:sz w:val="24"/>
                <w:highlight w:val="none"/>
              </w:rPr>
              <w:t xml:space="preserve">，打开变压器室网门同时跳高压出线柜。</w:t>
            </w:r>
            <w:r/>
          </w:p>
          <w:p>
            <w:pPr>
              <w:ind w:firstLine="425"/>
              <w:spacing w:after="0" w:line="360" w:lineRule="auto"/>
              <w:rPr>
                <w:rFonts w:ascii="仿宋" w:hAnsi="仿宋" w:eastAsia="仿宋" w:cs="仿宋"/>
                <w:sz w:val="24"/>
                <w:highlight w:val="none"/>
              </w:rPr>
            </w:pPr>
            <w:r>
              <w:rPr>
                <w:rFonts w:ascii="仿宋" w:hAnsi="仿宋" w:eastAsia="仿宋" w:cs="仿宋"/>
                <w:sz w:val="24"/>
                <w:highlight w:val="none"/>
              </w:rPr>
              <w:t xml:space="preserve">2.</w:t>
            </w:r>
            <w:r>
              <w:rPr>
                <w:rFonts w:hint="eastAsia" w:ascii="仿宋" w:hAnsi="仿宋" w:eastAsia="仿宋" w:cs="仿宋"/>
                <w:sz w:val="24"/>
                <w:highlight w:val="none"/>
              </w:rPr>
              <w:t xml:space="preserve">变压器：变压器采用</w:t>
            </w:r>
            <w:r>
              <w:rPr>
                <w:rFonts w:ascii="仿宋" w:hAnsi="仿宋" w:eastAsia="仿宋" w:cs="仿宋"/>
                <w:sz w:val="24"/>
                <w:highlight w:val="none"/>
              </w:rPr>
              <w:t xml:space="preserve">S13</w:t>
            </w:r>
            <w:r>
              <w:rPr>
                <w:rFonts w:hint="eastAsia" w:ascii="仿宋" w:hAnsi="仿宋" w:eastAsia="仿宋" w:cs="仿宋"/>
                <w:sz w:val="24"/>
                <w:highlight w:val="none"/>
              </w:rPr>
              <w:t xml:space="preserve">以上型号的油浸式配电变压器（要求同上），高压侧为</w:t>
            </w:r>
            <w:r>
              <w:rPr>
                <w:rFonts w:ascii="仿宋" w:hAnsi="仿宋" w:eastAsia="仿宋" w:cs="仿宋"/>
                <w:sz w:val="24"/>
                <w:highlight w:val="none"/>
              </w:rPr>
              <w:t xml:space="preserve">10kV</w:t>
            </w:r>
            <w:r>
              <w:rPr>
                <w:rFonts w:hint="eastAsia" w:ascii="仿宋" w:hAnsi="仿宋" w:eastAsia="仿宋" w:cs="仿宋"/>
                <w:sz w:val="24"/>
                <w:highlight w:val="none"/>
              </w:rPr>
              <w:t xml:space="preserve">，低压侧</w:t>
            </w:r>
            <w:r>
              <w:rPr>
                <w:rFonts w:ascii="仿宋" w:hAnsi="仿宋" w:eastAsia="仿宋" w:cs="仿宋"/>
                <w:sz w:val="24"/>
                <w:highlight w:val="none"/>
              </w:rPr>
              <w:t xml:space="preserve">0.4kV</w:t>
            </w:r>
            <w:r>
              <w:rPr>
                <w:rFonts w:hint="eastAsia" w:ascii="仿宋" w:hAnsi="仿宋" w:eastAsia="仿宋" w:cs="仿宋"/>
                <w:sz w:val="24"/>
                <w:highlight w:val="none"/>
              </w:rPr>
              <w:t xml:space="preserve">，档位要求五档，变压器芯为纯铜材质，容量为</w:t>
            </w:r>
            <w:r>
              <w:rPr>
                <w:rFonts w:ascii="仿宋" w:hAnsi="仿宋" w:eastAsia="仿宋" w:cs="仿宋"/>
                <w:sz w:val="24"/>
                <w:highlight w:val="none"/>
              </w:rPr>
              <w:t xml:space="preserve">250kVA</w:t>
            </w:r>
            <w:r>
              <w:rPr>
                <w:rFonts w:hint="eastAsia" w:ascii="仿宋" w:hAnsi="仿宋" w:eastAsia="仿宋" w:cs="仿宋"/>
                <w:sz w:val="24"/>
                <w:highlight w:val="none"/>
              </w:rPr>
              <w:t xml:space="preserve">，接线组别为</w:t>
            </w:r>
            <w:r>
              <w:rPr>
                <w:rFonts w:ascii="仿宋" w:hAnsi="仿宋" w:eastAsia="仿宋" w:cs="仿宋"/>
                <w:sz w:val="24"/>
                <w:highlight w:val="none"/>
              </w:rPr>
              <w:t xml:space="preserve">Dyn11</w:t>
            </w:r>
            <w:r>
              <w:rPr>
                <w:rFonts w:hint="eastAsia" w:ascii="仿宋" w:hAnsi="仿宋" w:eastAsia="仿宋" w:cs="仿宋"/>
                <w:sz w:val="24"/>
                <w:highlight w:val="none"/>
              </w:rPr>
              <w:t xml:space="preserve">，</w:t>
            </w:r>
            <w:r>
              <w:rPr>
                <w:rFonts w:ascii="仿宋" w:hAnsi="仿宋" w:eastAsia="仿宋" w:cs="仿宋"/>
                <w:sz w:val="24"/>
                <w:highlight w:val="none"/>
              </w:rPr>
              <w:t xml:space="preserve">Ud%=4</w:t>
            </w:r>
            <w:r>
              <w:rPr>
                <w:rFonts w:hint="eastAsia" w:ascii="仿宋" w:hAnsi="仿宋" w:eastAsia="仿宋" w:cs="仿宋"/>
                <w:sz w:val="24"/>
                <w:highlight w:val="none"/>
              </w:rPr>
              <w:t xml:space="preserve">。</w:t>
            </w:r>
            <w:r/>
          </w:p>
          <w:p>
            <w:pPr>
              <w:ind w:firstLine="425"/>
              <w:spacing w:after="0" w:line="360" w:lineRule="auto"/>
              <w:rPr>
                <w:rFonts w:ascii="Calibri" w:hAnsi="Calibri"/>
                <w:highlight w:val="none"/>
              </w:rPr>
            </w:pPr>
            <w:r>
              <w:rPr>
                <w:rFonts w:ascii="仿宋" w:hAnsi="仿宋" w:eastAsia="仿宋" w:cs="仿宋"/>
                <w:sz w:val="24"/>
                <w:highlight w:val="none"/>
              </w:rPr>
              <w:t xml:space="preserve">3.</w:t>
            </w:r>
            <w:r>
              <w:rPr>
                <w:rFonts w:hint="eastAsia" w:ascii="仿宋" w:hAnsi="仿宋" w:eastAsia="仿宋" w:cs="仿宋"/>
                <w:sz w:val="24"/>
                <w:highlight w:val="none"/>
              </w:rPr>
              <w:t xml:space="preserve">低压侧：设置进线总柜、无功补偿柜、低压出线柜，低压出线柜数量不少于两个，具体以用户实际需求为准。进线总柜采用智能型框架断路器，断路器额定电流为</w:t>
            </w:r>
            <w:r>
              <w:rPr>
                <w:rFonts w:ascii="仿宋" w:hAnsi="仿宋" w:eastAsia="仿宋" w:cs="仿宋"/>
                <w:sz w:val="24"/>
                <w:highlight w:val="none"/>
              </w:rPr>
              <w:t xml:space="preserve">630A</w:t>
            </w:r>
            <w:r>
              <w:rPr>
                <w:rFonts w:hint="eastAsia" w:ascii="仿宋" w:hAnsi="仿宋" w:eastAsia="仿宋" w:cs="仿宋"/>
                <w:sz w:val="24"/>
                <w:highlight w:val="none"/>
              </w:rPr>
              <w:t xml:space="preserve">，电流互感器配置不低于</w:t>
            </w:r>
            <w:r>
              <w:rPr>
                <w:rFonts w:ascii="仿宋" w:hAnsi="仿宋" w:eastAsia="仿宋" w:cs="仿宋"/>
                <w:sz w:val="24"/>
                <w:highlight w:val="none"/>
              </w:rPr>
              <w:t xml:space="preserve">600/5 0.5S</w:t>
            </w:r>
            <w:r>
              <w:rPr>
                <w:rFonts w:hint="eastAsia" w:ascii="仿宋" w:hAnsi="仿宋" w:eastAsia="仿宋" w:cs="仿宋"/>
                <w:sz w:val="24"/>
                <w:highlight w:val="none"/>
              </w:rPr>
              <w:t xml:space="preserve">级，断路器采用弹簧储能电动操作机构，可手动操作。无功补偿柜采用智能型电容无功补偿，总补偿容量</w:t>
            </w:r>
            <w:r>
              <w:rPr>
                <w:rFonts w:ascii="仿宋" w:hAnsi="仿宋" w:eastAsia="仿宋" w:cs="仿宋"/>
                <w:sz w:val="24"/>
                <w:highlight w:val="none"/>
              </w:rPr>
              <w:t xml:space="preserve">75kvar</w:t>
            </w:r>
            <w:r>
              <w:rPr>
                <w:rFonts w:hint="eastAsia" w:ascii="仿宋" w:hAnsi="仿宋" w:eastAsia="仿宋" w:cs="仿宋"/>
                <w:sz w:val="24"/>
                <w:highlight w:val="none"/>
              </w:rPr>
              <w:t xml:space="preserve">，其中分相补偿容量不低于总补偿容量的</w:t>
            </w:r>
            <w:r>
              <w:rPr>
                <w:rFonts w:ascii="仿宋" w:hAnsi="仿宋" w:eastAsia="仿宋" w:cs="仿宋"/>
                <w:sz w:val="24"/>
                <w:highlight w:val="none"/>
              </w:rPr>
              <w:t xml:space="preserve">40%</w:t>
            </w:r>
            <w:r>
              <w:rPr>
                <w:rFonts w:hint="eastAsia" w:ascii="仿宋" w:hAnsi="仿宋" w:eastAsia="仿宋" w:cs="仿宋"/>
                <w:sz w:val="24"/>
                <w:highlight w:val="none"/>
              </w:rPr>
              <w:t xml:space="preserve">。</w:t>
            </w:r>
            <w:r/>
          </w:p>
        </w:tc>
      </w:tr>
      <w:tr>
        <w:trPr/>
        <w:tc>
          <w:tcPr>
            <w:tcW w:w="2521" w:type="dxa"/>
            <w:vAlign w:val="center"/>
            <w:textDirection w:val="lrTb"/>
            <w:noWrap w:val="false"/>
          </w:tcPr>
          <w:p>
            <w:pPr>
              <w:jc w:val="center"/>
              <w:spacing w:after="0" w:line="240" w:lineRule="auto"/>
              <w:rPr>
                <w:rFonts w:ascii="仿宋" w:hAnsi="仿宋" w:eastAsia="仿宋" w:cs="仿宋"/>
                <w:b/>
                <w:bCs/>
                <w:sz w:val="24"/>
                <w:highlight w:val="none"/>
              </w:rPr>
            </w:pPr>
            <w:r>
              <w:rPr>
                <w:rFonts w:hint="eastAsia" w:ascii="仿宋" w:hAnsi="仿宋" w:eastAsia="仿宋" w:cs="仿宋"/>
                <w:b/>
                <w:bCs/>
                <w:sz w:val="24"/>
                <w:highlight w:val="none"/>
              </w:rPr>
              <w:t xml:space="preserve">400kVA柱上变压器</w:t>
            </w:r>
            <w:r/>
          </w:p>
        </w:tc>
        <w:tc>
          <w:tcPr>
            <w:tcW w:w="1900" w:type="dxa"/>
            <w:vAlign w:val="center"/>
            <w:textDirection w:val="lrTb"/>
            <w:noWrap w:val="false"/>
          </w:tcPr>
          <w:p>
            <w:pPr>
              <w:jc w:val="center"/>
              <w:spacing w:after="0" w:line="240" w:lineRule="auto"/>
              <w:rPr>
                <w:rFonts w:ascii="仿宋" w:hAnsi="仿宋" w:eastAsia="仿宋" w:cs="仿宋"/>
                <w:b/>
                <w:bCs/>
                <w:sz w:val="24"/>
                <w:highlight w:val="none"/>
              </w:rPr>
            </w:pPr>
            <w:r>
              <w:rPr>
                <w:rFonts w:hint="eastAsia" w:ascii="仿宋" w:hAnsi="仿宋" w:eastAsia="仿宋" w:cs="仿宋"/>
                <w:b/>
                <w:bCs/>
                <w:sz w:val="24"/>
                <w:highlight w:val="none"/>
              </w:rPr>
              <w:t xml:space="preserve">4台</w:t>
            </w:r>
            <w:r/>
          </w:p>
        </w:tc>
        <w:tc>
          <w:tcPr>
            <w:tcW w:w="5575" w:type="dxa"/>
            <w:textDirection w:val="lrTb"/>
            <w:noWrap w:val="false"/>
          </w:tcPr>
          <w:p>
            <w:pPr>
              <w:ind w:firstLine="425"/>
              <w:spacing w:after="0" w:line="360" w:lineRule="auto"/>
              <w:rPr>
                <w:rFonts w:ascii="仿宋" w:hAnsi="仿宋" w:eastAsia="仿宋" w:cs="仿宋"/>
                <w:strike/>
                <w:sz w:val="24"/>
                <w:highlight w:val="none"/>
              </w:rPr>
            </w:pPr>
            <w:r>
              <w:rPr>
                <w:rFonts w:hint="eastAsia" w:ascii="仿宋" w:hAnsi="仿宋" w:eastAsia="仿宋" w:cs="仿宋"/>
                <w:sz w:val="24"/>
                <w:highlight w:val="none"/>
              </w:rPr>
              <w:t xml:space="preserve">变压器：变压器采用</w:t>
            </w:r>
            <w:r>
              <w:rPr>
                <w:rFonts w:ascii="仿宋" w:hAnsi="仿宋" w:eastAsia="仿宋" w:cs="仿宋"/>
                <w:sz w:val="24"/>
                <w:highlight w:val="none"/>
              </w:rPr>
              <w:t xml:space="preserve">S</w:t>
            </w:r>
            <w:r>
              <w:rPr>
                <w:rFonts w:hint="eastAsia" w:ascii="仿宋" w:hAnsi="仿宋" w:eastAsia="仿宋" w:cs="仿宋"/>
                <w:sz w:val="24"/>
                <w:highlight w:val="none"/>
                <w:lang w:val="en-US" w:eastAsia="zh-CN"/>
              </w:rPr>
              <w:t xml:space="preserve">13</w:t>
            </w:r>
            <w:r>
              <w:rPr>
                <w:rFonts w:hint="eastAsia" w:ascii="仿宋" w:hAnsi="仿宋" w:eastAsia="仿宋" w:cs="仿宋"/>
                <w:sz w:val="24"/>
                <w:highlight w:val="none"/>
              </w:rPr>
              <w:t xml:space="preserve">以上型号的油浸式配电变压器（要求同上），高压侧为</w:t>
            </w:r>
            <w:r>
              <w:rPr>
                <w:rFonts w:ascii="仿宋" w:hAnsi="仿宋" w:eastAsia="仿宋" w:cs="仿宋"/>
                <w:sz w:val="24"/>
                <w:highlight w:val="none"/>
              </w:rPr>
              <w:t xml:space="preserve">10kV</w:t>
            </w:r>
            <w:r>
              <w:rPr>
                <w:rFonts w:hint="eastAsia" w:ascii="仿宋" w:hAnsi="仿宋" w:eastAsia="仿宋" w:cs="仿宋"/>
                <w:sz w:val="24"/>
                <w:highlight w:val="none"/>
              </w:rPr>
              <w:t xml:space="preserve">，低压侧</w:t>
            </w:r>
            <w:r>
              <w:rPr>
                <w:rFonts w:ascii="仿宋" w:hAnsi="仿宋" w:eastAsia="仿宋" w:cs="仿宋"/>
                <w:sz w:val="24"/>
                <w:highlight w:val="none"/>
              </w:rPr>
              <w:t xml:space="preserve">0.4kV</w:t>
            </w:r>
            <w:r>
              <w:rPr>
                <w:rFonts w:hint="eastAsia" w:ascii="仿宋" w:hAnsi="仿宋" w:eastAsia="仿宋" w:cs="仿宋"/>
                <w:sz w:val="24"/>
                <w:highlight w:val="none"/>
              </w:rPr>
              <w:t xml:space="preserve">，档位要求五档，变压器芯为纯铜材质，容量为400</w:t>
            </w:r>
            <w:r>
              <w:rPr>
                <w:rFonts w:ascii="仿宋" w:hAnsi="仿宋" w:eastAsia="仿宋" w:cs="仿宋"/>
                <w:sz w:val="24"/>
                <w:highlight w:val="none"/>
              </w:rPr>
              <w:t xml:space="preserve">kVA</w:t>
            </w:r>
            <w:r>
              <w:rPr>
                <w:rFonts w:hint="eastAsia" w:ascii="仿宋" w:hAnsi="仿宋" w:eastAsia="仿宋" w:cs="仿宋"/>
                <w:sz w:val="24"/>
                <w:highlight w:val="none"/>
              </w:rPr>
              <w:t xml:space="preserve">，接线组别为</w:t>
            </w:r>
            <w:r>
              <w:rPr>
                <w:rFonts w:ascii="仿宋" w:hAnsi="仿宋" w:eastAsia="仿宋" w:cs="仿宋"/>
                <w:sz w:val="24"/>
                <w:highlight w:val="none"/>
              </w:rPr>
              <w:t xml:space="preserve">Dyn11</w:t>
            </w:r>
            <w:r>
              <w:rPr>
                <w:rFonts w:hint="eastAsia" w:ascii="仿宋" w:hAnsi="仿宋" w:eastAsia="仿宋" w:cs="仿宋"/>
                <w:sz w:val="24"/>
                <w:highlight w:val="none"/>
              </w:rPr>
              <w:t xml:space="preserve">，</w:t>
            </w:r>
            <w:r>
              <w:rPr>
                <w:rFonts w:ascii="仿宋" w:hAnsi="仿宋" w:eastAsia="仿宋" w:cs="仿宋"/>
                <w:sz w:val="24"/>
                <w:highlight w:val="none"/>
              </w:rPr>
              <w:t xml:space="preserve">Ud%=4</w:t>
            </w:r>
            <w:r>
              <w:rPr>
                <w:rFonts w:hint="eastAsia" w:ascii="仿宋" w:hAnsi="仿宋" w:eastAsia="仿宋" w:cs="仿宋"/>
                <w:sz w:val="24"/>
                <w:highlight w:val="none"/>
              </w:rPr>
              <w:t xml:space="preserve">，接地装置每个一组。</w:t>
            </w:r>
            <w:r/>
          </w:p>
        </w:tc>
      </w:tr>
    </w:tbl>
    <w:p>
      <w:pPr>
        <w:ind w:right="32"/>
        <w:spacing w:line="360" w:lineRule="auto"/>
        <w:rPr>
          <w:rFonts w:ascii="仿宋" w:hAnsi="仿宋" w:eastAsia="仿宋" w:cs="仿宋"/>
          <w:color w:val="ff0000"/>
          <w:sz w:val="24"/>
          <w:highlight w:val="none"/>
        </w:rPr>
      </w:pPr>
      <w:r>
        <w:rPr>
          <w:rFonts w:ascii="仿宋" w:hAnsi="仿宋" w:eastAsia="仿宋" w:cs="仿宋"/>
          <w:color w:val="ff0000"/>
          <w:sz w:val="24"/>
          <w:highlight w:val="none"/>
        </w:rPr>
      </w:r>
      <w:r/>
    </w:p>
    <w:p>
      <w:pPr>
        <w:numPr>
          <w:ilvl w:val="0"/>
          <w:numId w:val="0"/>
        </w:numPr>
        <w:ind w:right="3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五、</w:t>
      </w:r>
      <w:r>
        <w:rPr>
          <w:rFonts w:hint="eastAsia" w:ascii="仿宋" w:hAnsi="仿宋" w:eastAsia="仿宋" w:cs="仿宋"/>
          <w:b/>
          <w:bCs/>
          <w:sz w:val="24"/>
          <w:highlight w:val="none"/>
        </w:rPr>
        <w:t xml:space="preserve">招标技术规范仅供技术参考：</w:t>
      </w:r>
      <w:r/>
    </w:p>
    <w:p>
      <w:pPr>
        <w:numPr>
          <w:ilvl w:val="0"/>
          <w:numId w:val="0"/>
        </w:numPr>
        <w:ind w:right="32"/>
        <w:spacing w:line="360" w:lineRule="auto"/>
        <w:rPr>
          <w:rFonts w:ascii="仿宋" w:hAnsi="仿宋" w:eastAsia="仿宋" w:cs="仿宋"/>
          <w:b/>
          <w:bCs/>
          <w:sz w:val="24"/>
          <w:highlight w:val="none"/>
        </w:rPr>
      </w:pPr>
      <w:r>
        <w:rPr>
          <w:rFonts w:hint="eastAsia" w:ascii="仿宋" w:hAnsi="仿宋" w:eastAsia="仿宋" w:cs="仿宋"/>
          <w:color w:val="auto"/>
          <w:sz w:val="24"/>
          <w:highlight w:val="none"/>
        </w:rPr>
        <w:t xml:space="preserve">所有箱变采用10kV欧式箱变设计方案</w:t>
      </w:r>
      <w:r>
        <w:rPr>
          <w:rFonts w:hint="eastAsia" w:ascii="仿宋" w:hAnsi="仿宋" w:eastAsia="仿宋" w:cs="仿宋"/>
          <w:sz w:val="24"/>
          <w:highlight w:val="none"/>
        </w:rPr>
        <w:t xml:space="preserve">，所有变压器能效等级均为二级及以上。</w:t>
      </w:r>
      <w:r/>
    </w:p>
    <w:p>
      <w:pPr>
        <w:keepLines w:val="0"/>
        <w:keepNext w:val="0"/>
        <w:pageBreakBefore w:val="0"/>
        <w:widowControl w:val="off"/>
        <w:rPr>
          <w:rFonts w:hAnsi="宋体" w:cs="宋体"/>
          <w:bCs/>
          <w:szCs w:val="32"/>
          <w:highlight w:val="none"/>
        </w:rPr>
        <w:outlineLvl w:val="0"/>
      </w:pPr>
      <w:r/>
      <w:bookmarkStart w:id="2" w:name="_Toc6371"/>
      <w:r/>
      <w:bookmarkStart w:id="3" w:name="_Toc23960"/>
      <w:r/>
      <w:bookmarkStart w:id="4" w:name="_Toc454978634"/>
      <w:r/>
      <w:bookmarkStart w:id="5" w:name="_Toc5979"/>
      <w:r/>
      <w:bookmarkStart w:id="6" w:name="_Toc8618"/>
      <w:r/>
      <w:bookmarkStart w:id="7" w:name="_Toc3155"/>
      <w:r/>
      <w:bookmarkStart w:id="8" w:name="_Toc22638"/>
      <w:r/>
      <w:bookmarkStart w:id="9" w:name="_Toc9131"/>
      <w:r/>
      <w:bookmarkStart w:id="10" w:name="_Toc15489"/>
      <w:r/>
      <w:bookmarkStart w:id="11" w:name="_Toc4027"/>
      <w:r>
        <w:rPr>
          <w:rFonts w:hint="eastAsia" w:hAnsi="宋体" w:cs="宋体"/>
          <w:b/>
          <w:bCs/>
          <w:sz w:val="32"/>
          <w:szCs w:val="32"/>
          <w:highlight w:val="none"/>
        </w:rPr>
        <w:t xml:space="preserve">第</w:t>
      </w:r>
      <w:r>
        <w:rPr>
          <w:rFonts w:hAnsi="宋体" w:cs="宋体"/>
          <w:b/>
          <w:bCs/>
          <w:sz w:val="32"/>
          <w:szCs w:val="32"/>
          <w:highlight w:val="none"/>
        </w:rPr>
        <w:t xml:space="preserve">1</w:t>
      </w:r>
      <w:r>
        <w:rPr>
          <w:rFonts w:hint="eastAsia" w:hAnsi="宋体" w:cs="宋体"/>
          <w:b/>
          <w:bCs/>
          <w:sz w:val="32"/>
          <w:szCs w:val="32"/>
          <w:highlight w:val="none"/>
        </w:rPr>
        <w:t xml:space="preserve">部分：通用技术规范</w:t>
      </w:r>
      <w:bookmarkEnd w:id="2"/>
      <w:r/>
      <w:bookmarkEnd w:id="3"/>
      <w:r/>
      <w:bookmarkEnd w:id="4"/>
      <w:r/>
      <w:bookmarkEnd w:id="5"/>
      <w:r/>
      <w:bookmarkEnd w:id="6"/>
      <w:r/>
      <w:bookmarkEnd w:id="7"/>
      <w:r/>
      <w:bookmarkEnd w:id="8"/>
      <w:r/>
      <w:bookmarkEnd w:id="9"/>
      <w:r/>
      <w:bookmarkEnd w:id="10"/>
      <w:r/>
      <w:bookmarkEnd w:id="11"/>
      <w:r/>
      <w:r/>
    </w:p>
    <w:p>
      <w:pPr>
        <w:pStyle w:val="1149"/>
        <w:spacing w:line="480" w:lineRule="auto"/>
        <w:rPr>
          <w:rFonts w:eastAsia="黑体"/>
          <w:sz w:val="21"/>
          <w:szCs w:val="21"/>
          <w:highlight w:val="none"/>
        </w:rPr>
        <w:outlineLvl w:val="0"/>
      </w:pPr>
      <w:r/>
      <w:bookmarkStart w:id="12" w:name="_Toc24341"/>
      <w:r/>
      <w:bookmarkStart w:id="13" w:name="_Toc376165139"/>
      <w:r/>
      <w:bookmarkStart w:id="14" w:name="_Toc454978635"/>
      <w:r/>
      <w:bookmarkStart w:id="15" w:name="_Toc26921"/>
      <w:r/>
      <w:bookmarkStart w:id="16" w:name="_Toc13295"/>
      <w:r/>
      <w:bookmarkStart w:id="17" w:name="_Toc13883"/>
      <w:r/>
      <w:bookmarkStart w:id="18" w:name="_Toc22064"/>
      <w:r/>
      <w:bookmarkStart w:id="19" w:name="_Toc27392"/>
      <w:r/>
      <w:bookmarkStart w:id="20" w:name="_Toc15017"/>
      <w:r/>
      <w:bookmarkStart w:id="21" w:name="_Toc372018970"/>
      <w:r/>
      <w:bookmarkStart w:id="22" w:name="_Toc964"/>
      <w:r/>
      <w:bookmarkStart w:id="23" w:name="_Toc20340"/>
      <w:r/>
      <w:bookmarkStart w:id="24" w:name="_Toc372018550"/>
      <w:r/>
      <w:bookmarkStart w:id="25" w:name="_Toc21645"/>
      <w:r/>
      <w:bookmarkStart w:id="26" w:name="_Toc374078452"/>
      <w:r/>
      <w:bookmarkStart w:id="27" w:name="_Toc18906"/>
      <w:r/>
      <w:bookmarkStart w:id="28" w:name="_Toc15743"/>
      <w:r>
        <w:rPr>
          <w:rFonts w:eastAsia="黑体"/>
          <w:sz w:val="21"/>
          <w:szCs w:val="21"/>
          <w:highlight w:val="none"/>
        </w:rPr>
        <w:t xml:space="preserve">1  </w:t>
      </w:r>
      <w:r>
        <w:rPr>
          <w:rFonts w:hint="eastAsia" w:eastAsia="黑体"/>
          <w:sz w:val="21"/>
          <w:szCs w:val="21"/>
          <w:highlight w:val="none"/>
        </w:rPr>
        <w:t xml:space="preserve">范围</w:t>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
    </w:p>
    <w:p>
      <w:pPr>
        <w:ind w:firstLine="425"/>
        <w:rPr>
          <w:szCs w:val="21"/>
          <w:highlight w:val="none"/>
        </w:rPr>
      </w:pPr>
      <w:r>
        <w:rPr>
          <w:rFonts w:hint="eastAsia"/>
          <w:szCs w:val="21"/>
          <w:highlight w:val="none"/>
        </w:rPr>
        <w:t xml:space="preserve">本部分规定了</w:t>
      </w:r>
      <w:r>
        <w:rPr>
          <w:szCs w:val="21"/>
          <w:highlight w:val="none"/>
        </w:rPr>
        <w:t xml:space="preserve">10kV箱式变电站招标的总则、技术参数和性能要求、试验、包装、运输、交货及工厂检验和监造的一般要求。</w:t>
      </w:r>
      <w:r/>
    </w:p>
    <w:p>
      <w:pPr>
        <w:ind w:firstLine="425"/>
        <w:rPr>
          <w:szCs w:val="21"/>
          <w:highlight w:val="none"/>
        </w:rPr>
      </w:pPr>
      <w:r>
        <w:rPr>
          <w:rFonts w:hint="eastAsia"/>
          <w:szCs w:val="21"/>
          <w:highlight w:val="none"/>
        </w:rPr>
        <w:t xml:space="preserve">本部分适用于</w:t>
      </w:r>
      <w:r>
        <w:rPr>
          <w:szCs w:val="21"/>
          <w:highlight w:val="none"/>
        </w:rPr>
        <w:t xml:space="preserve">10kV箱式变电站招标。</w:t>
      </w:r>
      <w:r/>
    </w:p>
    <w:p>
      <w:pPr>
        <w:pStyle w:val="1149"/>
        <w:spacing w:line="480" w:lineRule="auto"/>
        <w:rPr>
          <w:szCs w:val="28"/>
          <w:highlight w:val="none"/>
        </w:rPr>
        <w:outlineLvl w:val="0"/>
      </w:pPr>
      <w:r/>
      <w:bookmarkStart w:id="29" w:name="_Toc10877"/>
      <w:r/>
      <w:bookmarkStart w:id="30" w:name="_Toc23413"/>
      <w:r/>
      <w:bookmarkStart w:id="31" w:name="_Toc3262"/>
      <w:r/>
      <w:bookmarkStart w:id="32" w:name="_Toc25054"/>
      <w:r/>
      <w:bookmarkStart w:id="33" w:name="_Toc13981"/>
      <w:r/>
      <w:bookmarkStart w:id="34" w:name="_Toc22702"/>
      <w:r/>
      <w:bookmarkStart w:id="35" w:name="_Toc20074"/>
      <w:r/>
      <w:bookmarkStart w:id="36" w:name="_Toc14282"/>
      <w:r/>
      <w:bookmarkStart w:id="37" w:name="_Toc454978636"/>
      <w:r/>
      <w:bookmarkStart w:id="38" w:name="_Toc32176"/>
      <w:r>
        <w:rPr>
          <w:rFonts w:eastAsia="黑体"/>
          <w:sz w:val="21"/>
          <w:szCs w:val="21"/>
          <w:highlight w:val="none"/>
        </w:rPr>
        <w:t xml:space="preserve">2</w:t>
      </w:r>
      <w:r>
        <w:rPr>
          <w:rFonts w:hint="eastAsia" w:eastAsia="黑体"/>
          <w:sz w:val="21"/>
          <w:szCs w:val="21"/>
          <w:highlight w:val="none"/>
        </w:rPr>
        <w:t xml:space="preserve">　规范性引用文件</w:t>
      </w:r>
      <w:bookmarkEnd w:id="29"/>
      <w:r/>
      <w:bookmarkEnd w:id="30"/>
      <w:r/>
      <w:bookmarkEnd w:id="31"/>
      <w:r/>
      <w:bookmarkEnd w:id="32"/>
      <w:r/>
      <w:bookmarkEnd w:id="33"/>
      <w:r/>
      <w:bookmarkEnd w:id="34"/>
      <w:r/>
      <w:bookmarkEnd w:id="35"/>
      <w:r/>
      <w:bookmarkEnd w:id="36"/>
      <w:r/>
      <w:bookmarkEnd w:id="37"/>
      <w:r/>
      <w:bookmarkEnd w:id="38"/>
      <w:r/>
      <w:r/>
    </w:p>
    <w:p>
      <w:pPr>
        <w:ind w:firstLine="425"/>
        <w:rPr>
          <w:szCs w:val="21"/>
          <w:highlight w:val="none"/>
        </w:rPr>
      </w:pPr>
      <w:r>
        <w:rPr>
          <w:rFonts w:hint="eastAsia"/>
          <w:szCs w:val="21"/>
          <w:highlight w:val="none"/>
        </w:rPr>
        <w:t xml:space="preserve">下列文件对于本文件的应用是必不可少的。凡是注日期的引用文件，仅注日期的版本适用于本文件。凡是不注日期的引用文件，其最新版本适用于本文件。</w:t>
      </w:r>
      <w:r/>
    </w:p>
    <w:p>
      <w:pPr>
        <w:ind w:firstLine="425"/>
        <w:rPr>
          <w:szCs w:val="21"/>
          <w:highlight w:val="none"/>
        </w:rPr>
      </w:pPr>
      <w:r>
        <w:rPr>
          <w:szCs w:val="21"/>
          <w:highlight w:val="none"/>
        </w:rPr>
        <w:t xml:space="preserve">GB/T 311.1</w:t>
      </w:r>
      <w:r>
        <w:rPr>
          <w:rFonts w:hint="eastAsia"/>
          <w:szCs w:val="21"/>
          <w:highlight w:val="none"/>
        </w:rPr>
        <w:t xml:space="preserve">　绝缘配合第</w:t>
      </w:r>
      <w:r>
        <w:rPr>
          <w:szCs w:val="21"/>
          <w:highlight w:val="none"/>
        </w:rPr>
        <w:t xml:space="preserve">1部分：定义、原则和规则</w:t>
      </w:r>
      <w:r/>
    </w:p>
    <w:p>
      <w:pPr>
        <w:ind w:firstLine="425"/>
        <w:rPr>
          <w:szCs w:val="21"/>
          <w:highlight w:val="none"/>
        </w:rPr>
      </w:pPr>
      <w:r>
        <w:rPr>
          <w:szCs w:val="21"/>
          <w:highlight w:val="none"/>
        </w:rPr>
        <w:t xml:space="preserve">GB/T 1094.1</w:t>
      </w:r>
      <w:r>
        <w:rPr>
          <w:rFonts w:hint="eastAsia"/>
          <w:szCs w:val="21"/>
          <w:highlight w:val="none"/>
        </w:rPr>
        <w:t xml:space="preserve">　电力变压器　第</w:t>
      </w:r>
      <w:r>
        <w:rPr>
          <w:szCs w:val="21"/>
          <w:highlight w:val="none"/>
        </w:rPr>
        <w:t xml:space="preserve">1部分：总则</w:t>
      </w:r>
      <w:r/>
    </w:p>
    <w:p>
      <w:pPr>
        <w:ind w:firstLine="425"/>
        <w:rPr>
          <w:szCs w:val="21"/>
          <w:highlight w:val="none"/>
        </w:rPr>
      </w:pPr>
      <w:r>
        <w:rPr>
          <w:szCs w:val="21"/>
          <w:highlight w:val="none"/>
        </w:rPr>
        <w:t xml:space="preserve">GB/T 1094.2</w:t>
      </w:r>
      <w:r>
        <w:rPr>
          <w:rFonts w:hint="eastAsia"/>
          <w:szCs w:val="21"/>
          <w:highlight w:val="none"/>
        </w:rPr>
        <w:t xml:space="preserve">　电力变压器　第</w:t>
      </w:r>
      <w:r>
        <w:rPr>
          <w:szCs w:val="21"/>
          <w:highlight w:val="none"/>
        </w:rPr>
        <w:t xml:space="preserve">2部分：</w:t>
      </w:r>
      <w:r>
        <w:rPr>
          <w:rFonts w:hint="eastAsia"/>
          <w:szCs w:val="21"/>
          <w:highlight w:val="none"/>
        </w:rPr>
        <w:t xml:space="preserve">液浸式变压器的</w:t>
      </w:r>
      <w:r>
        <w:rPr>
          <w:szCs w:val="21"/>
          <w:highlight w:val="none"/>
        </w:rPr>
        <w:t xml:space="preserve">温升</w:t>
      </w:r>
      <w:r/>
    </w:p>
    <w:p>
      <w:pPr>
        <w:ind w:firstLine="425"/>
        <w:rPr>
          <w:szCs w:val="21"/>
          <w:highlight w:val="none"/>
        </w:rPr>
      </w:pPr>
      <w:r>
        <w:rPr>
          <w:szCs w:val="21"/>
          <w:highlight w:val="none"/>
        </w:rPr>
        <w:t xml:space="preserve">GB/T 1094.3</w:t>
      </w:r>
      <w:r>
        <w:rPr>
          <w:rFonts w:hint="eastAsia"/>
          <w:szCs w:val="21"/>
          <w:highlight w:val="none"/>
        </w:rPr>
        <w:t xml:space="preserve">　电力变压器　第</w:t>
      </w:r>
      <w:r>
        <w:rPr>
          <w:szCs w:val="21"/>
          <w:highlight w:val="none"/>
        </w:rPr>
        <w:t xml:space="preserve">3部分：绝缘水平、绝缘试验和外绝缘空气间隙</w:t>
      </w:r>
      <w:r/>
    </w:p>
    <w:p>
      <w:pPr>
        <w:ind w:firstLine="425"/>
        <w:rPr>
          <w:szCs w:val="21"/>
          <w:highlight w:val="none"/>
        </w:rPr>
      </w:pPr>
      <w:r>
        <w:rPr>
          <w:szCs w:val="21"/>
          <w:highlight w:val="none"/>
        </w:rPr>
        <w:t xml:space="preserve">GB/T 1094.4</w:t>
      </w:r>
      <w:r>
        <w:rPr>
          <w:rFonts w:hint="eastAsia"/>
          <w:szCs w:val="21"/>
          <w:highlight w:val="none"/>
        </w:rPr>
        <w:t xml:space="preserve">　电力变压器　第</w:t>
      </w:r>
      <w:r>
        <w:rPr>
          <w:szCs w:val="21"/>
          <w:highlight w:val="none"/>
        </w:rPr>
        <w:t xml:space="preserve">4部分：电力变压器和电抗器雷电冲击和操作冲击试验导则</w:t>
      </w:r>
      <w:r/>
    </w:p>
    <w:p>
      <w:pPr>
        <w:ind w:firstLine="425"/>
        <w:rPr>
          <w:szCs w:val="21"/>
          <w:highlight w:val="none"/>
        </w:rPr>
      </w:pPr>
      <w:r>
        <w:rPr>
          <w:szCs w:val="21"/>
          <w:highlight w:val="none"/>
        </w:rPr>
        <w:t xml:space="preserve">GB/T 1094.5</w:t>
      </w:r>
      <w:r>
        <w:rPr>
          <w:rFonts w:hint="eastAsia"/>
          <w:szCs w:val="21"/>
          <w:highlight w:val="none"/>
        </w:rPr>
        <w:t xml:space="preserve">　电力变压器　第</w:t>
      </w:r>
      <w:r>
        <w:rPr>
          <w:szCs w:val="21"/>
          <w:highlight w:val="none"/>
        </w:rPr>
        <w:t xml:space="preserve">5部分：承受短路的能力</w:t>
      </w:r>
      <w:r/>
    </w:p>
    <w:p>
      <w:pPr>
        <w:ind w:firstLine="425"/>
        <w:rPr>
          <w:szCs w:val="21"/>
          <w:highlight w:val="none"/>
        </w:rPr>
      </w:pPr>
      <w:r>
        <w:rPr>
          <w:szCs w:val="21"/>
          <w:highlight w:val="none"/>
        </w:rPr>
        <w:t xml:space="preserve">GB/T 1094.7　电力变压器　第7部分：油浸式电力变压器负载导则</w:t>
      </w:r>
      <w:r/>
    </w:p>
    <w:p>
      <w:pPr>
        <w:ind w:firstLine="425"/>
        <w:rPr>
          <w:szCs w:val="21"/>
          <w:highlight w:val="none"/>
        </w:rPr>
      </w:pPr>
      <w:r>
        <w:rPr>
          <w:szCs w:val="21"/>
          <w:highlight w:val="none"/>
        </w:rPr>
        <w:t xml:space="preserve">GB/T 1094.10</w:t>
      </w:r>
      <w:r>
        <w:rPr>
          <w:rFonts w:hint="eastAsia"/>
          <w:szCs w:val="21"/>
          <w:highlight w:val="none"/>
        </w:rPr>
        <w:t xml:space="preserve">　电力变压器　第</w:t>
      </w:r>
      <w:r>
        <w:rPr>
          <w:szCs w:val="21"/>
          <w:highlight w:val="none"/>
        </w:rPr>
        <w:t xml:space="preserve">10部分：声级测定</w:t>
      </w:r>
      <w:r/>
    </w:p>
    <w:p>
      <w:pPr>
        <w:ind w:firstLine="425"/>
        <w:rPr>
          <w:szCs w:val="21"/>
          <w:highlight w:val="none"/>
        </w:rPr>
      </w:pPr>
      <w:r>
        <w:rPr>
          <w:szCs w:val="21"/>
          <w:highlight w:val="none"/>
        </w:rPr>
        <w:t xml:space="preserve">GB/T 1984　高压交流断路器</w:t>
      </w:r>
      <w:r/>
    </w:p>
    <w:p>
      <w:pPr>
        <w:ind w:firstLine="425"/>
        <w:rPr>
          <w:szCs w:val="21"/>
          <w:highlight w:val="none"/>
        </w:rPr>
      </w:pPr>
      <w:r>
        <w:rPr>
          <w:szCs w:val="21"/>
          <w:highlight w:val="none"/>
        </w:rPr>
        <w:t xml:space="preserve">GB/T 1985　高压交流隔离开关和接地开关</w:t>
      </w:r>
      <w:r/>
    </w:p>
    <w:p>
      <w:pPr>
        <w:ind w:firstLine="425"/>
        <w:rPr>
          <w:szCs w:val="21"/>
          <w:highlight w:val="none"/>
        </w:rPr>
      </w:pPr>
      <w:r>
        <w:rPr>
          <w:szCs w:val="21"/>
          <w:highlight w:val="none"/>
        </w:rPr>
        <w:t xml:space="preserve">GB/T 2518  </w:t>
      </w:r>
      <w:r>
        <w:rPr>
          <w:rFonts w:hint="eastAsia"/>
          <w:szCs w:val="21"/>
          <w:highlight w:val="none"/>
        </w:rPr>
        <w:t xml:space="preserve">热镀锌钢板及钢带</w:t>
      </w:r>
      <w:r/>
    </w:p>
    <w:p>
      <w:pPr>
        <w:ind w:firstLine="425"/>
        <w:rPr>
          <w:szCs w:val="21"/>
          <w:highlight w:val="none"/>
        </w:rPr>
      </w:pPr>
      <w:r>
        <w:rPr>
          <w:szCs w:val="21"/>
          <w:highlight w:val="none"/>
        </w:rPr>
        <w:t xml:space="preserve">GB</w:t>
      </w:r>
      <w:r>
        <w:rPr>
          <w:rFonts w:hint="eastAsia"/>
          <w:szCs w:val="21"/>
          <w:highlight w:val="none"/>
        </w:rPr>
        <w:t xml:space="preserve"> </w:t>
      </w:r>
      <w:r>
        <w:rPr>
          <w:szCs w:val="21"/>
          <w:highlight w:val="none"/>
        </w:rPr>
        <w:t xml:space="preserve">2536</w:t>
      </w:r>
      <w:r>
        <w:rPr>
          <w:rFonts w:hint="eastAsia"/>
          <w:szCs w:val="21"/>
          <w:highlight w:val="none"/>
        </w:rPr>
        <w:t xml:space="preserve">　电工流体 变压器和开关用的未使用过的矿物绝缘油</w:t>
      </w:r>
      <w:r/>
    </w:p>
    <w:p>
      <w:pPr>
        <w:ind w:firstLine="425"/>
        <w:rPr>
          <w:szCs w:val="21"/>
          <w:highlight w:val="none"/>
        </w:rPr>
      </w:pPr>
      <w:r>
        <w:rPr>
          <w:szCs w:val="21"/>
          <w:highlight w:val="none"/>
        </w:rPr>
        <w:t xml:space="preserve">GB/T 2900.95</w:t>
      </w:r>
      <w:r>
        <w:rPr>
          <w:rFonts w:hint="eastAsia"/>
          <w:szCs w:val="21"/>
          <w:highlight w:val="none"/>
        </w:rPr>
        <w:t xml:space="preserve">　电工术语　变压器、调压器和电抗器</w:t>
      </w:r>
      <w:r/>
    </w:p>
    <w:p>
      <w:pPr>
        <w:ind w:firstLine="420"/>
        <w:rPr>
          <w:szCs w:val="21"/>
          <w:highlight w:val="none"/>
        </w:rPr>
      </w:pPr>
      <w:r>
        <w:rPr>
          <w:rFonts w:hint="eastAsia"/>
          <w:szCs w:val="21"/>
          <w:highlight w:val="none"/>
        </w:rPr>
        <w:t xml:space="preserve">GB 3096  声环境质量标准</w:t>
      </w:r>
      <w:r/>
    </w:p>
    <w:p>
      <w:pPr>
        <w:ind w:firstLine="425"/>
        <w:rPr>
          <w:szCs w:val="21"/>
          <w:highlight w:val="none"/>
        </w:rPr>
      </w:pPr>
      <w:r>
        <w:rPr>
          <w:szCs w:val="21"/>
          <w:highlight w:val="none"/>
        </w:rPr>
        <w:t xml:space="preserve">GB/T</w:t>
      </w:r>
      <w:r>
        <w:rPr>
          <w:rFonts w:hint="eastAsia"/>
          <w:szCs w:val="21"/>
          <w:highlight w:val="none"/>
        </w:rPr>
        <w:t xml:space="preserve"> </w:t>
      </w:r>
      <w:r>
        <w:rPr>
          <w:szCs w:val="21"/>
          <w:highlight w:val="none"/>
        </w:rPr>
        <w:t xml:space="preserve">4109</w:t>
      </w:r>
      <w:r>
        <w:rPr>
          <w:rFonts w:hint="eastAsia"/>
          <w:szCs w:val="21"/>
          <w:highlight w:val="none"/>
        </w:rPr>
        <w:t xml:space="preserve">　交流电压高于</w:t>
      </w:r>
      <w:r>
        <w:rPr>
          <w:szCs w:val="21"/>
          <w:highlight w:val="none"/>
        </w:rPr>
        <w:t xml:space="preserve">1000V的绝缘套管</w:t>
      </w:r>
      <w:r/>
    </w:p>
    <w:p>
      <w:pPr>
        <w:ind w:firstLine="425"/>
        <w:rPr>
          <w:szCs w:val="21"/>
          <w:highlight w:val="none"/>
        </w:rPr>
      </w:pPr>
      <w:r>
        <w:rPr>
          <w:szCs w:val="21"/>
          <w:highlight w:val="none"/>
        </w:rPr>
        <w:t xml:space="preserve">GB/T 4208</w:t>
      </w:r>
      <w:r>
        <w:rPr>
          <w:rFonts w:hint="eastAsia"/>
          <w:szCs w:val="21"/>
          <w:highlight w:val="none"/>
        </w:rPr>
        <w:t xml:space="preserve">　外壳防护等级（</w:t>
      </w:r>
      <w:r>
        <w:rPr>
          <w:szCs w:val="21"/>
          <w:highlight w:val="none"/>
        </w:rPr>
        <w:t xml:space="preserve">IP代码）</w:t>
      </w:r>
      <w:r/>
    </w:p>
    <w:p>
      <w:pPr>
        <w:ind w:firstLine="425"/>
        <w:rPr>
          <w:szCs w:val="21"/>
          <w:highlight w:val="none"/>
        </w:rPr>
      </w:pPr>
      <w:r>
        <w:rPr>
          <w:szCs w:val="21"/>
          <w:highlight w:val="none"/>
        </w:rPr>
        <w:t xml:space="preserve">GB/T</w:t>
      </w:r>
      <w:r>
        <w:rPr>
          <w:rFonts w:hint="eastAsia"/>
          <w:szCs w:val="21"/>
          <w:highlight w:val="none"/>
        </w:rPr>
        <w:t xml:space="preserve"> </w:t>
      </w:r>
      <w:r>
        <w:rPr>
          <w:szCs w:val="21"/>
          <w:highlight w:val="none"/>
        </w:rPr>
        <w:t xml:space="preserve">4585　交流系统用高压绝缘子的人工污秽试验</w:t>
      </w:r>
      <w:r/>
    </w:p>
    <w:p>
      <w:pPr>
        <w:ind w:firstLine="425"/>
        <w:rPr>
          <w:szCs w:val="21"/>
          <w:highlight w:val="none"/>
        </w:rPr>
      </w:pPr>
      <w:r>
        <w:rPr>
          <w:szCs w:val="21"/>
          <w:highlight w:val="none"/>
        </w:rPr>
        <w:t xml:space="preserve">GB 5273</w:t>
      </w:r>
      <w:r>
        <w:rPr>
          <w:rFonts w:hint="eastAsia"/>
          <w:szCs w:val="21"/>
          <w:highlight w:val="none"/>
        </w:rPr>
        <w:t xml:space="preserve">　变压器、高压电器和套管的接线端子</w:t>
      </w:r>
      <w:r/>
    </w:p>
    <w:p>
      <w:pPr>
        <w:ind w:firstLine="425"/>
        <w:rPr>
          <w:szCs w:val="21"/>
          <w:highlight w:val="none"/>
        </w:rPr>
      </w:pPr>
      <w:r>
        <w:rPr>
          <w:szCs w:val="21"/>
          <w:highlight w:val="none"/>
        </w:rPr>
        <w:t xml:space="preserve">GB/T 6451　油浸式电力变压器技术参数和要求</w:t>
      </w:r>
      <w:r/>
    </w:p>
    <w:p>
      <w:pPr>
        <w:ind w:firstLine="425"/>
        <w:rPr>
          <w:szCs w:val="21"/>
          <w:highlight w:val="none"/>
        </w:rPr>
      </w:pPr>
      <w:r>
        <w:rPr>
          <w:rFonts w:hint="eastAsia"/>
          <w:szCs w:val="21"/>
          <w:highlight w:val="none"/>
        </w:rPr>
        <w:t xml:space="preserve">G</w:t>
      </w:r>
      <w:r>
        <w:rPr>
          <w:szCs w:val="21"/>
          <w:highlight w:val="none"/>
        </w:rPr>
        <w:t xml:space="preserve">B 7251.1 </w:t>
      </w:r>
      <w:r>
        <w:rPr>
          <w:rFonts w:hint="eastAsia"/>
          <w:szCs w:val="21"/>
          <w:highlight w:val="none"/>
        </w:rPr>
        <w:t xml:space="preserve">低压成套开关设备和控制设备 第1部分：型式试验和部分型式试验成套设备</w:t>
      </w:r>
      <w:r/>
    </w:p>
    <w:p>
      <w:pPr>
        <w:ind w:firstLine="425"/>
        <w:rPr>
          <w:szCs w:val="21"/>
          <w:highlight w:val="none"/>
        </w:rPr>
      </w:pPr>
      <w:r>
        <w:rPr>
          <w:szCs w:val="21"/>
          <w:highlight w:val="none"/>
        </w:rPr>
        <w:t xml:space="preserve">GB/T</w:t>
      </w:r>
      <w:r>
        <w:rPr>
          <w:rFonts w:hint="eastAsia"/>
          <w:szCs w:val="21"/>
          <w:highlight w:val="none"/>
        </w:rPr>
        <w:t xml:space="preserve"> </w:t>
      </w:r>
      <w:r>
        <w:rPr>
          <w:szCs w:val="21"/>
          <w:highlight w:val="none"/>
        </w:rPr>
        <w:t xml:space="preserve">7252</w:t>
      </w:r>
      <w:r>
        <w:rPr>
          <w:rFonts w:hint="eastAsia"/>
          <w:szCs w:val="21"/>
          <w:highlight w:val="none"/>
        </w:rPr>
        <w:t xml:space="preserve">　变压器油中溶解气体分析和判断导则</w:t>
      </w:r>
      <w:r/>
    </w:p>
    <w:p>
      <w:pPr>
        <w:ind w:firstLine="425"/>
        <w:rPr>
          <w:szCs w:val="21"/>
          <w:highlight w:val="none"/>
        </w:rPr>
      </w:pPr>
      <w:r>
        <w:rPr>
          <w:szCs w:val="21"/>
          <w:highlight w:val="none"/>
        </w:rPr>
        <w:t xml:space="preserve">GB/T 7354</w:t>
      </w:r>
      <w:r>
        <w:rPr>
          <w:rFonts w:hint="eastAsia"/>
          <w:szCs w:val="21"/>
          <w:highlight w:val="none"/>
        </w:rPr>
        <w:t xml:space="preserve">　高电压试验技术</w:t>
      </w:r>
      <w:r>
        <w:rPr>
          <w:szCs w:val="21"/>
          <w:highlight w:val="none"/>
        </w:rPr>
        <w:t xml:space="preserve"> </w:t>
      </w:r>
      <w:r>
        <w:rPr>
          <w:rFonts w:hint="eastAsia"/>
          <w:szCs w:val="21"/>
          <w:highlight w:val="none"/>
        </w:rPr>
        <w:t xml:space="preserve">局部放电测量</w:t>
      </w:r>
      <w:r/>
    </w:p>
    <w:p>
      <w:pPr>
        <w:ind w:firstLine="425"/>
        <w:rPr>
          <w:szCs w:val="21"/>
          <w:highlight w:val="none"/>
        </w:rPr>
      </w:pPr>
      <w:r>
        <w:rPr>
          <w:szCs w:val="21"/>
          <w:highlight w:val="none"/>
        </w:rPr>
        <w:t xml:space="preserve">GB/T</w:t>
      </w:r>
      <w:r>
        <w:rPr>
          <w:rFonts w:hint="eastAsia"/>
          <w:szCs w:val="21"/>
          <w:highlight w:val="none"/>
        </w:rPr>
        <w:t xml:space="preserve"> </w:t>
      </w:r>
      <w:r>
        <w:rPr>
          <w:szCs w:val="21"/>
          <w:highlight w:val="none"/>
        </w:rPr>
        <w:t xml:space="preserve">7595　运行中变压器油质量</w:t>
      </w:r>
      <w:r/>
    </w:p>
    <w:p>
      <w:pPr>
        <w:ind w:firstLine="425"/>
        <w:rPr>
          <w:szCs w:val="21"/>
          <w:highlight w:val="none"/>
        </w:rPr>
      </w:pPr>
      <w:r>
        <w:rPr>
          <w:szCs w:val="21"/>
          <w:highlight w:val="none"/>
        </w:rPr>
        <w:t xml:space="preserve">GB/T 10230.1　分接开关　第1部分</w:t>
      </w:r>
      <w:r>
        <w:rPr>
          <w:rFonts w:hint="eastAsia"/>
          <w:szCs w:val="21"/>
          <w:highlight w:val="none"/>
        </w:rPr>
        <w:t xml:space="preserve">：</w:t>
      </w:r>
      <w:r>
        <w:rPr>
          <w:szCs w:val="21"/>
          <w:highlight w:val="none"/>
        </w:rPr>
        <w:t xml:space="preserve">性能要求和试验方法</w:t>
      </w:r>
      <w:r/>
    </w:p>
    <w:p>
      <w:pPr>
        <w:ind w:firstLine="425"/>
        <w:rPr>
          <w:szCs w:val="21"/>
          <w:highlight w:val="none"/>
        </w:rPr>
      </w:pPr>
      <w:r>
        <w:rPr>
          <w:szCs w:val="21"/>
          <w:highlight w:val="none"/>
        </w:rPr>
        <w:t xml:space="preserve">GB/T 10230.2　分接开关　第2部分：应用导则</w:t>
      </w:r>
      <w:r/>
    </w:p>
    <w:p>
      <w:pPr>
        <w:ind w:firstLine="425"/>
        <w:rPr>
          <w:szCs w:val="21"/>
          <w:highlight w:val="none"/>
        </w:rPr>
      </w:pPr>
      <w:r>
        <w:rPr>
          <w:szCs w:val="21"/>
          <w:highlight w:val="none"/>
        </w:rPr>
        <w:t xml:space="preserve">GB/T</w:t>
      </w:r>
      <w:r>
        <w:rPr>
          <w:rFonts w:hint="eastAsia"/>
          <w:szCs w:val="21"/>
          <w:highlight w:val="none"/>
        </w:rPr>
        <w:t xml:space="preserve"> </w:t>
      </w:r>
      <w:r>
        <w:rPr>
          <w:szCs w:val="21"/>
          <w:highlight w:val="none"/>
        </w:rPr>
        <w:t xml:space="preserve">13499</w:t>
      </w:r>
      <w:r>
        <w:rPr>
          <w:rFonts w:hint="eastAsia"/>
          <w:szCs w:val="21"/>
          <w:highlight w:val="none"/>
        </w:rPr>
        <w:t xml:space="preserve">　电力变压器应用导则</w:t>
      </w:r>
      <w:r/>
    </w:p>
    <w:p>
      <w:pPr>
        <w:ind w:firstLine="425"/>
        <w:rPr>
          <w:szCs w:val="21"/>
          <w:highlight w:val="none"/>
        </w:rPr>
      </w:pPr>
      <w:r>
        <w:rPr>
          <w:szCs w:val="21"/>
          <w:highlight w:val="none"/>
        </w:rPr>
        <w:t xml:space="preserve">GB/T 13729　远动终端设备</w:t>
      </w:r>
      <w:r/>
    </w:p>
    <w:p>
      <w:pPr>
        <w:ind w:firstLine="425"/>
        <w:rPr>
          <w:szCs w:val="21"/>
          <w:highlight w:val="none"/>
        </w:rPr>
      </w:pPr>
      <w:r>
        <w:rPr>
          <w:szCs w:val="21"/>
          <w:highlight w:val="none"/>
        </w:rPr>
        <w:t xml:space="preserve">GB/T 14048.1</w:t>
      </w:r>
      <w:r>
        <w:rPr>
          <w:rFonts w:hint="eastAsia"/>
          <w:szCs w:val="21"/>
          <w:highlight w:val="none"/>
        </w:rPr>
        <w:t xml:space="preserve">　低压开关设备和控制设备第</w:t>
      </w:r>
      <w:r>
        <w:rPr>
          <w:szCs w:val="21"/>
          <w:highlight w:val="none"/>
        </w:rPr>
        <w:t xml:space="preserve">1部分：总则</w:t>
      </w:r>
      <w:r/>
    </w:p>
    <w:p>
      <w:pPr>
        <w:ind w:firstLine="425"/>
        <w:rPr>
          <w:szCs w:val="21"/>
          <w:highlight w:val="none"/>
        </w:rPr>
      </w:pPr>
      <w:r>
        <w:rPr>
          <w:szCs w:val="21"/>
          <w:highlight w:val="none"/>
        </w:rPr>
        <w:t xml:space="preserve">GB/T 14048.2　低压开关设备和控制设备第2部分：断路器</w:t>
      </w:r>
      <w:r/>
    </w:p>
    <w:p>
      <w:pPr>
        <w:ind w:firstLine="425"/>
        <w:rPr>
          <w:szCs w:val="21"/>
          <w:highlight w:val="none"/>
        </w:rPr>
      </w:pPr>
      <w:r>
        <w:rPr>
          <w:szCs w:val="21"/>
          <w:highlight w:val="none"/>
        </w:rPr>
        <w:t xml:space="preserve">GB</w:t>
      </w:r>
      <w:r>
        <w:rPr>
          <w:rFonts w:hint="eastAsia"/>
          <w:szCs w:val="21"/>
          <w:highlight w:val="none"/>
        </w:rPr>
        <w:t xml:space="preserve"> </w:t>
      </w:r>
      <w:r>
        <w:rPr>
          <w:szCs w:val="21"/>
          <w:highlight w:val="none"/>
        </w:rPr>
        <w:t xml:space="preserve">16847</w:t>
      </w:r>
      <w:r>
        <w:rPr>
          <w:rFonts w:hint="eastAsia"/>
          <w:szCs w:val="21"/>
          <w:highlight w:val="none"/>
        </w:rPr>
        <w:t xml:space="preserve">　保护用电流互感器暂态特性技术要求</w:t>
      </w:r>
      <w:r/>
    </w:p>
    <w:p>
      <w:pPr>
        <w:ind w:firstLine="425"/>
        <w:rPr>
          <w:szCs w:val="21"/>
          <w:highlight w:val="none"/>
        </w:rPr>
      </w:pPr>
      <w:r>
        <w:rPr>
          <w:szCs w:val="21"/>
          <w:highlight w:val="none"/>
        </w:rPr>
        <w:t xml:space="preserve">GB/T 16927.1</w:t>
      </w:r>
      <w:r>
        <w:rPr>
          <w:rFonts w:hint="eastAsia"/>
          <w:szCs w:val="21"/>
          <w:highlight w:val="none"/>
        </w:rPr>
        <w:t xml:space="preserve">　高压试验技术　第</w:t>
      </w:r>
      <w:r>
        <w:rPr>
          <w:szCs w:val="21"/>
          <w:highlight w:val="none"/>
        </w:rPr>
        <w:t xml:space="preserve">1部分：一般定义及试验要求</w:t>
      </w:r>
      <w:r/>
    </w:p>
    <w:p>
      <w:pPr>
        <w:ind w:firstLine="425"/>
        <w:rPr>
          <w:szCs w:val="21"/>
          <w:highlight w:val="none"/>
        </w:rPr>
      </w:pPr>
      <w:r>
        <w:rPr>
          <w:szCs w:val="21"/>
          <w:highlight w:val="none"/>
        </w:rPr>
        <w:t xml:space="preserve">GB/T 16927.2</w:t>
      </w:r>
      <w:r>
        <w:rPr>
          <w:rFonts w:hint="eastAsia"/>
          <w:szCs w:val="21"/>
          <w:highlight w:val="none"/>
        </w:rPr>
        <w:t xml:space="preserve">　高压试验技术　第</w:t>
      </w:r>
      <w:r>
        <w:rPr>
          <w:szCs w:val="21"/>
          <w:highlight w:val="none"/>
        </w:rPr>
        <w:t xml:space="preserve">2部分：测量系统</w:t>
      </w:r>
      <w:r/>
    </w:p>
    <w:p>
      <w:pPr>
        <w:ind w:firstLine="425"/>
        <w:rPr>
          <w:szCs w:val="21"/>
          <w:highlight w:val="none"/>
        </w:rPr>
      </w:pPr>
      <w:r>
        <w:rPr>
          <w:szCs w:val="21"/>
          <w:highlight w:val="none"/>
        </w:rPr>
        <w:t xml:space="preserve">GB/T 16935.1</w:t>
      </w:r>
      <w:r>
        <w:rPr>
          <w:rFonts w:hint="eastAsia"/>
          <w:szCs w:val="21"/>
          <w:highlight w:val="none"/>
        </w:rPr>
        <w:t xml:space="preserve">　低压系统内设备的绝缘配合　第</w:t>
      </w:r>
      <w:r>
        <w:rPr>
          <w:szCs w:val="21"/>
          <w:highlight w:val="none"/>
        </w:rPr>
        <w:t xml:space="preserve">1部分：原理、要求和试验</w:t>
      </w:r>
      <w:r/>
    </w:p>
    <w:p>
      <w:pPr>
        <w:ind w:firstLine="425"/>
        <w:rPr>
          <w:szCs w:val="21"/>
          <w:highlight w:val="none"/>
        </w:rPr>
      </w:pPr>
      <w:r>
        <w:rPr>
          <w:szCs w:val="21"/>
          <w:highlight w:val="none"/>
        </w:rPr>
        <w:t xml:space="preserve">GB/T</w:t>
      </w:r>
      <w:r>
        <w:rPr>
          <w:rFonts w:hint="eastAsia"/>
          <w:szCs w:val="21"/>
          <w:highlight w:val="none"/>
        </w:rPr>
        <w:t xml:space="preserve"> </w:t>
      </w:r>
      <w:r>
        <w:rPr>
          <w:szCs w:val="21"/>
          <w:highlight w:val="none"/>
        </w:rPr>
        <w:t xml:space="preserve">17467</w:t>
      </w:r>
      <w:r>
        <w:rPr>
          <w:rFonts w:hint="eastAsia"/>
          <w:szCs w:val="21"/>
          <w:highlight w:val="none"/>
        </w:rPr>
        <w:t xml:space="preserve">　高压</w:t>
      </w:r>
      <w:r>
        <w:rPr>
          <w:szCs w:val="21"/>
          <w:highlight w:val="none"/>
        </w:rPr>
        <w:t xml:space="preserve">/</w:t>
      </w:r>
      <w:r>
        <w:rPr>
          <w:rFonts w:hint="eastAsia"/>
          <w:szCs w:val="21"/>
          <w:highlight w:val="none"/>
        </w:rPr>
        <w:t xml:space="preserve">低压预装式变电站</w:t>
      </w:r>
      <w:r/>
    </w:p>
    <w:p>
      <w:pPr>
        <w:ind w:firstLine="425"/>
        <w:rPr>
          <w:szCs w:val="21"/>
          <w:highlight w:val="none"/>
        </w:rPr>
      </w:pPr>
      <w:r>
        <w:rPr>
          <w:szCs w:val="21"/>
          <w:highlight w:val="none"/>
        </w:rPr>
        <w:t xml:space="preserve">GB/T</w:t>
      </w:r>
      <w:r>
        <w:rPr>
          <w:rFonts w:hint="eastAsia"/>
          <w:szCs w:val="21"/>
          <w:highlight w:val="none"/>
        </w:rPr>
        <w:t xml:space="preserve"> </w:t>
      </w:r>
      <w:r>
        <w:rPr>
          <w:szCs w:val="21"/>
          <w:highlight w:val="none"/>
        </w:rPr>
        <w:t xml:space="preserve">17468</w:t>
      </w:r>
      <w:r>
        <w:rPr>
          <w:rFonts w:hint="eastAsia"/>
          <w:szCs w:val="21"/>
          <w:highlight w:val="none"/>
        </w:rPr>
        <w:t xml:space="preserve">　电力变压器选用导则</w:t>
      </w:r>
      <w:r/>
    </w:p>
    <w:p>
      <w:pPr>
        <w:ind w:firstLine="425"/>
        <w:rPr>
          <w:szCs w:val="21"/>
          <w:highlight w:val="none"/>
        </w:rPr>
      </w:pPr>
      <w:r>
        <w:rPr>
          <w:rFonts w:hint="eastAsia"/>
          <w:szCs w:val="21"/>
          <w:highlight w:val="none"/>
        </w:rPr>
        <w:t xml:space="preserve">GB 20052　电力变压器能效限定值及能效等级</w:t>
      </w:r>
      <w:r/>
    </w:p>
    <w:p>
      <w:pPr>
        <w:ind w:firstLine="425"/>
        <w:rPr>
          <w:szCs w:val="21"/>
          <w:highlight w:val="none"/>
        </w:rPr>
      </w:pPr>
      <w:r>
        <w:rPr>
          <w:szCs w:val="21"/>
          <w:highlight w:val="none"/>
        </w:rPr>
        <w:t xml:space="preserve">GB 20840.2 </w:t>
      </w:r>
      <w:r>
        <w:rPr>
          <w:rFonts w:hint="eastAsia"/>
          <w:szCs w:val="21"/>
          <w:highlight w:val="none"/>
        </w:rPr>
        <w:t xml:space="preserve">互感器</w:t>
      </w:r>
      <w:r>
        <w:rPr>
          <w:szCs w:val="21"/>
          <w:highlight w:val="none"/>
        </w:rPr>
        <w:t xml:space="preserve"> </w:t>
      </w:r>
      <w:r>
        <w:rPr>
          <w:rFonts w:hint="eastAsia"/>
          <w:szCs w:val="21"/>
          <w:highlight w:val="none"/>
        </w:rPr>
        <w:t xml:space="preserve">第2部分：电流互感器的补充技术要求</w:t>
      </w:r>
      <w:r/>
    </w:p>
    <w:p>
      <w:pPr>
        <w:ind w:firstLine="425"/>
        <w:rPr>
          <w:szCs w:val="21"/>
          <w:highlight w:val="none"/>
        </w:rPr>
      </w:pPr>
      <w:r>
        <w:rPr>
          <w:szCs w:val="21"/>
          <w:highlight w:val="none"/>
        </w:rPr>
        <w:t xml:space="preserve">GB/T 26218.1　污秽条件下使用的高压绝缘子的选择和尺寸确定第1部分：定义、信息和一般原则</w:t>
      </w:r>
      <w:r/>
    </w:p>
    <w:p>
      <w:pPr>
        <w:ind w:firstLine="425"/>
        <w:rPr>
          <w:szCs w:val="21"/>
          <w:highlight w:val="none"/>
        </w:rPr>
      </w:pPr>
      <w:r>
        <w:rPr>
          <w:szCs w:val="21"/>
          <w:highlight w:val="none"/>
        </w:rPr>
        <w:t xml:space="preserve">GB/T 26218.2　污秽条件下使用的高压绝缘子的选择和尺寸确定第2部分：交流系统用瓷和玻璃绝缘子</w:t>
      </w:r>
      <w:r/>
    </w:p>
    <w:p>
      <w:pPr>
        <w:ind w:firstLine="425"/>
        <w:rPr>
          <w:szCs w:val="21"/>
          <w:highlight w:val="none"/>
        </w:rPr>
      </w:pPr>
      <w:r>
        <w:rPr>
          <w:szCs w:val="21"/>
          <w:highlight w:val="none"/>
        </w:rPr>
        <w:t xml:space="preserve">GB 50148</w:t>
      </w:r>
      <w:r>
        <w:rPr>
          <w:rFonts w:hint="eastAsia"/>
          <w:szCs w:val="21"/>
          <w:highlight w:val="none"/>
        </w:rPr>
        <w:t xml:space="preserve">　电气装置安装工程电力变压器、油浸电抗器、互感器施工及验收规范</w:t>
      </w:r>
      <w:r/>
    </w:p>
    <w:p>
      <w:pPr>
        <w:ind w:firstLine="425"/>
        <w:rPr>
          <w:szCs w:val="21"/>
          <w:highlight w:val="none"/>
        </w:rPr>
      </w:pPr>
      <w:r>
        <w:rPr>
          <w:szCs w:val="21"/>
          <w:highlight w:val="none"/>
        </w:rPr>
        <w:t xml:space="preserve">GB</w:t>
      </w:r>
      <w:r>
        <w:rPr>
          <w:rFonts w:hint="eastAsia"/>
          <w:szCs w:val="21"/>
          <w:highlight w:val="none"/>
        </w:rPr>
        <w:t xml:space="preserve"> </w:t>
      </w:r>
      <w:r>
        <w:rPr>
          <w:szCs w:val="21"/>
          <w:highlight w:val="none"/>
        </w:rPr>
        <w:t xml:space="preserve">50150</w:t>
      </w:r>
      <w:r>
        <w:rPr>
          <w:rFonts w:hint="eastAsia"/>
          <w:szCs w:val="21"/>
          <w:highlight w:val="none"/>
        </w:rPr>
        <w:t xml:space="preserve">　电气装置安装工程电气设备交接试验标准</w:t>
      </w:r>
      <w:r/>
    </w:p>
    <w:p>
      <w:pPr>
        <w:ind w:firstLine="425"/>
        <w:rPr>
          <w:szCs w:val="21"/>
          <w:highlight w:val="none"/>
        </w:rPr>
      </w:pPr>
      <w:r>
        <w:rPr>
          <w:szCs w:val="21"/>
          <w:highlight w:val="none"/>
        </w:rPr>
        <w:t xml:space="preserve">DL/T</w:t>
      </w:r>
      <w:r>
        <w:rPr>
          <w:rFonts w:hint="eastAsia"/>
          <w:szCs w:val="21"/>
          <w:highlight w:val="none"/>
        </w:rPr>
        <w:t xml:space="preserve"> </w:t>
      </w:r>
      <w:r>
        <w:rPr>
          <w:szCs w:val="21"/>
          <w:highlight w:val="none"/>
        </w:rPr>
        <w:t xml:space="preserve">537　高压/低压预装箱式变电站选用导则</w:t>
      </w:r>
      <w:r/>
    </w:p>
    <w:p>
      <w:pPr>
        <w:ind w:firstLine="425"/>
        <w:rPr>
          <w:szCs w:val="21"/>
          <w:highlight w:val="none"/>
        </w:rPr>
      </w:pPr>
      <w:r>
        <w:rPr>
          <w:szCs w:val="21"/>
          <w:highlight w:val="none"/>
        </w:rPr>
        <w:t xml:space="preserve">DL/T</w:t>
      </w:r>
      <w:r>
        <w:rPr>
          <w:rFonts w:hint="eastAsia"/>
          <w:szCs w:val="21"/>
          <w:highlight w:val="none"/>
        </w:rPr>
        <w:t xml:space="preserve"> </w:t>
      </w:r>
      <w:r>
        <w:rPr>
          <w:szCs w:val="21"/>
          <w:highlight w:val="none"/>
        </w:rPr>
        <w:t xml:space="preserve">572　电力变压器运行规程</w:t>
      </w:r>
      <w:r/>
    </w:p>
    <w:p>
      <w:pPr>
        <w:ind w:firstLine="425"/>
        <w:rPr>
          <w:szCs w:val="21"/>
          <w:highlight w:val="none"/>
        </w:rPr>
      </w:pPr>
      <w:r>
        <w:rPr>
          <w:szCs w:val="21"/>
          <w:highlight w:val="none"/>
        </w:rPr>
        <w:t xml:space="preserve">DL/T 593　高压开关设备和控制设备标准的共用技术要求</w:t>
      </w:r>
      <w:r/>
    </w:p>
    <w:p>
      <w:pPr>
        <w:ind w:firstLine="425"/>
        <w:rPr>
          <w:szCs w:val="21"/>
          <w:highlight w:val="none"/>
        </w:rPr>
      </w:pPr>
      <w:r>
        <w:rPr>
          <w:szCs w:val="21"/>
          <w:highlight w:val="none"/>
        </w:rPr>
        <w:t xml:space="preserve">DL/T</w:t>
      </w:r>
      <w:r>
        <w:rPr>
          <w:rFonts w:hint="eastAsia"/>
          <w:szCs w:val="21"/>
          <w:highlight w:val="none"/>
        </w:rPr>
        <w:t xml:space="preserve"> </w:t>
      </w:r>
      <w:r>
        <w:rPr>
          <w:szCs w:val="21"/>
          <w:highlight w:val="none"/>
        </w:rPr>
        <w:t xml:space="preserve">596　电力设备预防性试验规程</w:t>
      </w:r>
      <w:r/>
    </w:p>
    <w:p>
      <w:pPr>
        <w:ind w:firstLine="425"/>
        <w:rPr>
          <w:szCs w:val="21"/>
          <w:highlight w:val="none"/>
        </w:rPr>
      </w:pPr>
      <w:r>
        <w:rPr>
          <w:szCs w:val="21"/>
          <w:highlight w:val="none"/>
        </w:rPr>
        <w:t xml:space="preserve">DL/T 844　12kV少维护户外配电开关设备通用技术条件</w:t>
      </w:r>
      <w:r/>
    </w:p>
    <w:p>
      <w:pPr>
        <w:ind w:firstLine="425"/>
        <w:rPr>
          <w:szCs w:val="21"/>
          <w:highlight w:val="none"/>
        </w:rPr>
      </w:pPr>
      <w:r>
        <w:rPr>
          <w:szCs w:val="21"/>
          <w:highlight w:val="none"/>
        </w:rPr>
        <w:t xml:space="preserve">DL/T 911　电力变压器绕组变形的频率响应分析法</w:t>
      </w:r>
      <w:r/>
    </w:p>
    <w:p>
      <w:pPr>
        <w:ind w:firstLine="425"/>
        <w:rPr>
          <w:szCs w:val="21"/>
          <w:highlight w:val="none"/>
        </w:rPr>
      </w:pPr>
      <w:r>
        <w:rPr>
          <w:szCs w:val="21"/>
          <w:highlight w:val="none"/>
        </w:rPr>
        <w:t xml:space="preserve">DL/T 1093　电力变压器绕组变形的电抗法检测判断导则</w:t>
      </w:r>
      <w:r/>
    </w:p>
    <w:p>
      <w:pPr>
        <w:ind w:firstLine="425"/>
        <w:rPr>
          <w:szCs w:val="21"/>
          <w:highlight w:val="none"/>
        </w:rPr>
      </w:pPr>
      <w:r>
        <w:rPr>
          <w:szCs w:val="21"/>
          <w:highlight w:val="none"/>
        </w:rPr>
        <w:t xml:space="preserve">DL/T 1094　电力变压器用绝缘油选用指南</w:t>
      </w:r>
      <w:r/>
    </w:p>
    <w:p>
      <w:pPr>
        <w:pStyle w:val="896"/>
        <w:ind w:firstLine="420"/>
        <w:tabs>
          <w:tab w:val="center" w:pos="4201" w:leader="none"/>
          <w:tab w:val="right" w:pos="9298" w:leader="dot"/>
        </w:tabs>
        <w:rPr>
          <w:rFonts w:ascii="Times New Roman"/>
          <w:szCs w:val="21"/>
          <w:highlight w:val="none"/>
        </w:rPr>
      </w:pPr>
      <w:r>
        <w:rPr>
          <w:rFonts w:ascii="Times New Roman"/>
          <w:szCs w:val="21"/>
          <w:highlight w:val="none"/>
        </w:rPr>
        <w:t xml:space="preserve">DL/T 1811 </w:t>
      </w:r>
      <w:r>
        <w:rPr>
          <w:rFonts w:hint="eastAsia" w:ascii="Times New Roman"/>
          <w:szCs w:val="21"/>
          <w:highlight w:val="none"/>
        </w:rPr>
        <w:t xml:space="preserve">电力变压器用天然酯绝缘油选用导则</w:t>
      </w:r>
      <w:r/>
    </w:p>
    <w:p>
      <w:pPr>
        <w:ind w:firstLine="425"/>
        <w:rPr>
          <w:szCs w:val="21"/>
          <w:highlight w:val="none"/>
        </w:rPr>
      </w:pPr>
      <w:r>
        <w:rPr>
          <w:szCs w:val="21"/>
          <w:highlight w:val="none"/>
        </w:rPr>
        <w:t xml:space="preserve">DL 5027</w:t>
      </w:r>
      <w:r>
        <w:rPr>
          <w:rFonts w:hint="eastAsia"/>
          <w:szCs w:val="21"/>
          <w:highlight w:val="none"/>
        </w:rPr>
        <w:t xml:space="preserve">　电力设备典型消防规程</w:t>
      </w:r>
      <w:r/>
    </w:p>
    <w:p>
      <w:pPr>
        <w:pStyle w:val="896"/>
        <w:ind w:firstLine="420"/>
        <w:tabs>
          <w:tab w:val="center" w:pos="4201" w:leader="none"/>
          <w:tab w:val="right" w:pos="9298" w:leader="dot"/>
        </w:tabs>
        <w:rPr>
          <w:rFonts w:ascii="Times New Roman"/>
          <w:highlight w:val="none"/>
        </w:rPr>
      </w:pPr>
      <w:r>
        <w:rPr>
          <w:rFonts w:ascii="Times New Roman"/>
          <w:szCs w:val="21"/>
          <w:highlight w:val="none"/>
        </w:rPr>
        <w:t xml:space="preserve">Q/GDW11380  </w:t>
      </w:r>
      <w:r>
        <w:rPr>
          <w:rFonts w:hint="eastAsia" w:ascii="Times New Roman"/>
          <w:szCs w:val="21"/>
          <w:highlight w:val="none"/>
        </w:rPr>
        <w:t xml:space="preserve">高压低压预装箱式变电站选型技术原则和检测技术规范</w:t>
      </w:r>
      <w:r/>
    </w:p>
    <w:p>
      <w:pPr>
        <w:pStyle w:val="896"/>
        <w:ind w:firstLine="420"/>
        <w:tabs>
          <w:tab w:val="center" w:pos="4201" w:leader="none"/>
          <w:tab w:val="right" w:pos="9298" w:leader="dot"/>
        </w:tabs>
        <w:rPr>
          <w:rFonts w:ascii="Times New Roman"/>
          <w:highlight w:val="none"/>
        </w:rPr>
      </w:pPr>
      <w:r>
        <w:rPr>
          <w:rFonts w:ascii="Times New Roman"/>
          <w:highlight w:val="none"/>
        </w:rPr>
        <w:t xml:space="preserve">Q/GDW13001</w:t>
      </w:r>
      <w:r>
        <w:rPr>
          <w:rFonts w:hint="eastAsia" w:ascii="Times New Roman"/>
          <w:highlight w:val="none"/>
        </w:rPr>
        <w:t xml:space="preserve">　高海拔外绝缘配置技术规范</w:t>
      </w:r>
      <w:r/>
    </w:p>
    <w:p>
      <w:pPr>
        <w:pStyle w:val="1149"/>
        <w:spacing w:line="480" w:lineRule="auto"/>
        <w:rPr>
          <w:szCs w:val="28"/>
          <w:highlight w:val="none"/>
        </w:rPr>
        <w:outlineLvl w:val="0"/>
      </w:pPr>
      <w:r/>
      <w:bookmarkStart w:id="39" w:name="_Toc27251"/>
      <w:r/>
      <w:bookmarkStart w:id="40" w:name="_Toc23819"/>
      <w:r/>
      <w:bookmarkStart w:id="41" w:name="_Toc18330"/>
      <w:r/>
      <w:bookmarkStart w:id="42" w:name="_Toc11070"/>
      <w:r/>
      <w:bookmarkStart w:id="43" w:name="_Toc25549"/>
      <w:r/>
      <w:bookmarkStart w:id="44" w:name="_Toc454978637"/>
      <w:r/>
      <w:bookmarkStart w:id="45" w:name="_Toc67"/>
      <w:r/>
      <w:bookmarkStart w:id="46" w:name="_Toc5995"/>
      <w:r/>
      <w:bookmarkStart w:id="47" w:name="_Toc27306"/>
      <w:r/>
      <w:bookmarkStart w:id="48" w:name="_Toc18692"/>
      <w:r>
        <w:rPr>
          <w:rFonts w:eastAsia="黑体"/>
          <w:sz w:val="21"/>
          <w:szCs w:val="21"/>
          <w:highlight w:val="none"/>
        </w:rPr>
        <w:t xml:space="preserve">3</w:t>
      </w:r>
      <w:r>
        <w:rPr>
          <w:rFonts w:hint="eastAsia" w:eastAsia="黑体"/>
          <w:sz w:val="21"/>
          <w:szCs w:val="21"/>
          <w:highlight w:val="none"/>
        </w:rPr>
        <w:t xml:space="preserve">　术语和定义</w:t>
      </w:r>
      <w:bookmarkEnd w:id="39"/>
      <w:r/>
      <w:bookmarkEnd w:id="40"/>
      <w:r/>
      <w:bookmarkEnd w:id="41"/>
      <w:r/>
      <w:bookmarkEnd w:id="42"/>
      <w:r/>
      <w:bookmarkEnd w:id="43"/>
      <w:r/>
      <w:bookmarkEnd w:id="44"/>
      <w:r/>
      <w:bookmarkEnd w:id="45"/>
      <w:r/>
      <w:bookmarkEnd w:id="46"/>
      <w:r/>
      <w:bookmarkEnd w:id="47"/>
      <w:r/>
      <w:bookmarkEnd w:id="48"/>
      <w:r/>
      <w:r/>
    </w:p>
    <w:p>
      <w:pPr>
        <w:ind w:firstLine="425"/>
        <w:rPr>
          <w:szCs w:val="21"/>
          <w:highlight w:val="none"/>
        </w:rPr>
      </w:pPr>
      <w:r>
        <w:rPr>
          <w:rFonts w:hint="eastAsia"/>
          <w:szCs w:val="21"/>
          <w:highlight w:val="none"/>
        </w:rPr>
        <w:t xml:space="preserve">下列术语和定义适用于本部分。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eastAsia="黑体"/>
          <w:szCs w:val="24"/>
          <w:highlight w:val="none"/>
        </w:rPr>
        <w:t xml:space="preserve">3.1</w:t>
      </w:r>
      <w:r>
        <w:rPr>
          <w:rFonts w:ascii="Times New Roman" w:hAnsi="Times New Roman" w:eastAsia="Times New Roman" w:cs="Times New Roman"/>
          <w:color w:val="000000"/>
          <w:sz w:val="21"/>
        </w:rPr>
      </w:r>
      <w:r/>
    </w:p>
    <w:p>
      <w:pPr>
        <w:ind w:left="0" w:right="0" w:firstLine="4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招标人</w:t>
      </w:r>
      <w:r>
        <w:rPr>
          <w:rFonts w:ascii="Times New Roman" w:hAnsi="Times New Roman" w:eastAsia="Times New Roman" w:cs="Times New Roman"/>
          <w:b/>
          <w:color w:val="000000"/>
          <w:sz w:val="21"/>
        </w:rPr>
        <w:t xml:space="preserve">bidder</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依照《中华人民共和国政府采购法》的规定，提出招标项目，进行招标的法人或其他组织。</w:t>
      </w:r>
      <w:r/>
    </w:p>
    <w:p>
      <w:pPr>
        <w:rPr>
          <w:highlight w:val="none"/>
        </w:rPr>
      </w:pPr>
      <w:r>
        <w:rPr>
          <w:rFonts w:eastAsia="黑体"/>
          <w:szCs w:val="24"/>
          <w:highlight w:val="none"/>
        </w:rPr>
      </w:r>
      <w:r/>
    </w:p>
    <w:p>
      <w:pPr>
        <w:rPr>
          <w:highlight w:val="none"/>
        </w:rPr>
      </w:pPr>
      <w:r>
        <w:rPr>
          <w:rFonts w:eastAsia="黑体"/>
          <w:szCs w:val="24"/>
          <w:highlight w:val="none"/>
        </w:rPr>
        <w:t xml:space="preserve">3.2</w:t>
      </w:r>
      <w:r>
        <w:rPr>
          <w:rFonts w:hint="eastAsia"/>
          <w:highlight w:val="none"/>
        </w:rPr>
        <w:t xml:space="preserve">　</w:t>
      </w:r>
      <w:r/>
    </w:p>
    <w:p>
      <w:pPr>
        <w:ind w:firstLine="425"/>
        <w:rPr>
          <w:szCs w:val="21"/>
          <w:highlight w:val="none"/>
        </w:rPr>
      </w:pPr>
      <w:r>
        <w:rPr>
          <w:rFonts w:hint="eastAsia"/>
          <w:szCs w:val="21"/>
          <w:highlight w:val="none"/>
        </w:rPr>
        <w:t xml:space="preserve">投标人</w:t>
      </w:r>
      <w:r>
        <w:rPr>
          <w:b/>
          <w:szCs w:val="21"/>
          <w:highlight w:val="none"/>
        </w:rPr>
        <w:t xml:space="preserve"> tenderer</w:t>
      </w:r>
      <w:r/>
    </w:p>
    <w:p>
      <w:pPr>
        <w:ind w:firstLine="425"/>
        <w:rPr>
          <w:szCs w:val="21"/>
          <w:highlight w:val="none"/>
        </w:rPr>
      </w:pPr>
      <w:r>
        <w:rPr>
          <w:rFonts w:hint="eastAsia"/>
          <w:szCs w:val="21"/>
          <w:highlight w:val="none"/>
        </w:rPr>
        <w:t xml:space="preserve">响应招标、参加投标竞争的法人或者其他组织。</w:t>
      </w:r>
      <w:r/>
    </w:p>
    <w:p>
      <w:pPr>
        <w:rPr>
          <w:highlight w:val="none"/>
        </w:rPr>
      </w:pPr>
      <w:r>
        <w:rPr>
          <w:highlight w:val="none"/>
        </w:rPr>
        <w:t xml:space="preserve">3.3</w:t>
      </w:r>
      <w:r>
        <w:rPr>
          <w:rFonts w:hint="eastAsia"/>
          <w:highlight w:val="none"/>
        </w:rPr>
        <w:t xml:space="preserve">　</w:t>
      </w:r>
      <w:r/>
    </w:p>
    <w:p>
      <w:pPr>
        <w:ind w:firstLine="425"/>
        <w:rPr>
          <w:szCs w:val="21"/>
          <w:highlight w:val="none"/>
        </w:rPr>
      </w:pPr>
      <w:r>
        <w:rPr>
          <w:rFonts w:hint="eastAsia"/>
          <w:szCs w:val="21"/>
          <w:highlight w:val="none"/>
        </w:rPr>
        <w:t xml:space="preserve">卖方</w:t>
      </w:r>
      <w:r>
        <w:rPr>
          <w:b/>
          <w:szCs w:val="21"/>
          <w:highlight w:val="none"/>
        </w:rPr>
        <w:t xml:space="preserve">seller</w:t>
      </w:r>
      <w:r/>
    </w:p>
    <w:p>
      <w:pPr>
        <w:ind w:firstLine="425"/>
        <w:rPr>
          <w:szCs w:val="21"/>
          <w:highlight w:val="none"/>
        </w:rPr>
      </w:pPr>
      <w:r>
        <w:rPr>
          <w:rFonts w:hint="eastAsia"/>
          <w:szCs w:val="21"/>
          <w:highlight w:val="none"/>
        </w:rPr>
        <w:t xml:space="preserve">提供本部分货物和技术服务的法人或其他组织，包括其法定的承继者。</w:t>
      </w:r>
      <w:r/>
    </w:p>
    <w:p>
      <w:pPr>
        <w:rPr>
          <w:highlight w:val="none"/>
        </w:rPr>
      </w:pPr>
      <w:r>
        <w:rPr>
          <w:highlight w:val="none"/>
        </w:rPr>
        <w:t xml:space="preserve">3.4</w:t>
      </w:r>
      <w:r/>
    </w:p>
    <w:p>
      <w:pPr>
        <w:ind w:firstLine="425"/>
        <w:rPr>
          <w:szCs w:val="21"/>
          <w:highlight w:val="none"/>
        </w:rPr>
      </w:pPr>
      <w:r>
        <w:rPr>
          <w:rFonts w:hint="eastAsia"/>
          <w:szCs w:val="21"/>
          <w:highlight w:val="none"/>
        </w:rPr>
        <w:t xml:space="preserve">买方</w:t>
      </w:r>
      <w:r>
        <w:rPr>
          <w:b/>
          <w:szCs w:val="21"/>
          <w:highlight w:val="none"/>
        </w:rPr>
        <w:t xml:space="preserve">buyer </w:t>
      </w:r>
      <w:r/>
    </w:p>
    <w:p>
      <w:pPr>
        <w:ind w:firstLine="425"/>
        <w:rPr>
          <w:szCs w:val="21"/>
          <w:highlight w:val="none"/>
        </w:rPr>
      </w:pPr>
      <w:r>
        <w:rPr>
          <w:rFonts w:hint="eastAsia"/>
          <w:szCs w:val="21"/>
          <w:highlight w:val="none"/>
        </w:rPr>
        <w:t xml:space="preserve">购买本部分货物和技术服务的法人或其他组织，包括其法定的承继者和经许可的受让人。</w:t>
      </w:r>
      <w:r/>
    </w:p>
    <w:p>
      <w:pPr>
        <w:pStyle w:val="1149"/>
        <w:spacing w:line="480" w:lineRule="auto"/>
        <w:rPr>
          <w:rFonts w:eastAsia="黑体"/>
          <w:sz w:val="21"/>
          <w:szCs w:val="21"/>
          <w:highlight w:val="none"/>
        </w:rPr>
        <w:outlineLvl w:val="0"/>
      </w:pPr>
      <w:r/>
      <w:bookmarkStart w:id="49" w:name="_Toc32120"/>
      <w:r/>
      <w:bookmarkStart w:id="50" w:name="_Toc25316"/>
      <w:r/>
      <w:bookmarkStart w:id="51" w:name="_Toc22401"/>
      <w:r/>
      <w:bookmarkStart w:id="52" w:name="_Toc10493"/>
      <w:r/>
      <w:bookmarkStart w:id="53" w:name="_Toc454978638"/>
      <w:r/>
      <w:bookmarkStart w:id="54" w:name="_Toc23865"/>
      <w:r/>
      <w:bookmarkStart w:id="55" w:name="_Toc18092"/>
      <w:r/>
      <w:bookmarkStart w:id="56" w:name="_Toc7611"/>
      <w:r/>
      <w:bookmarkStart w:id="57" w:name="_Toc26127"/>
      <w:r/>
      <w:bookmarkStart w:id="58" w:name="_Toc16115"/>
      <w:r>
        <w:rPr>
          <w:rFonts w:eastAsia="黑体"/>
          <w:sz w:val="21"/>
          <w:szCs w:val="21"/>
          <w:highlight w:val="none"/>
        </w:rPr>
        <w:t xml:space="preserve">4</w:t>
      </w:r>
      <w:r>
        <w:rPr>
          <w:rFonts w:hint="eastAsia" w:eastAsia="黑体"/>
          <w:sz w:val="21"/>
          <w:szCs w:val="21"/>
          <w:highlight w:val="none"/>
        </w:rPr>
        <w:t xml:space="preserve">　总则</w:t>
      </w:r>
      <w:bookmarkEnd w:id="49"/>
      <w:r/>
      <w:bookmarkEnd w:id="50"/>
      <w:r/>
      <w:bookmarkEnd w:id="51"/>
      <w:r/>
      <w:bookmarkEnd w:id="52"/>
      <w:r/>
      <w:bookmarkEnd w:id="53"/>
      <w:r/>
      <w:bookmarkEnd w:id="54"/>
      <w:r/>
      <w:bookmarkEnd w:id="55"/>
      <w:r/>
      <w:bookmarkEnd w:id="56"/>
      <w:r/>
      <w:bookmarkEnd w:id="57"/>
      <w:r/>
      <w:bookmarkEnd w:id="58"/>
      <w:r/>
      <w:r/>
    </w:p>
    <w:p>
      <w:pPr>
        <w:rPr>
          <w:highlight w:val="none"/>
        </w:rPr>
        <w:outlineLvl w:val="1"/>
      </w:pPr>
      <w:r/>
      <w:bookmarkStart w:id="59" w:name="_Toc6800"/>
      <w:r/>
      <w:bookmarkStart w:id="60" w:name="_Toc14451"/>
      <w:r/>
      <w:bookmarkStart w:id="61" w:name="_Toc16342"/>
      <w:r>
        <w:rPr>
          <w:rFonts w:eastAsia="黑体"/>
          <w:szCs w:val="24"/>
          <w:highlight w:val="none"/>
        </w:rPr>
        <w:t xml:space="preserve">4.</w:t>
      </w:r>
      <w:bookmarkStart w:id="62" w:name="_Toc156016632"/>
      <w:r/>
      <w:bookmarkStart w:id="63" w:name="_Toc257408687"/>
      <w:r/>
      <w:bookmarkStart w:id="64" w:name="_Toc165125318"/>
      <w:r/>
      <w:bookmarkStart w:id="65" w:name="_Toc252017372"/>
      <w:r>
        <w:rPr>
          <w:rFonts w:eastAsia="黑体"/>
          <w:szCs w:val="24"/>
          <w:highlight w:val="none"/>
        </w:rPr>
        <w:t xml:space="preserve">1　</w:t>
      </w:r>
      <w:bookmarkEnd w:id="62"/>
      <w:r/>
      <w:bookmarkEnd w:id="63"/>
      <w:r/>
      <w:bookmarkEnd w:id="64"/>
      <w:r/>
      <w:bookmarkEnd w:id="65"/>
      <w:r/>
      <w:bookmarkStart w:id="66" w:name="_Toc250810491"/>
      <w:r/>
      <w:bookmarkStart w:id="67" w:name="_Toc155151895"/>
      <w:r>
        <w:rPr>
          <w:rFonts w:eastAsia="黑体"/>
          <w:szCs w:val="24"/>
          <w:highlight w:val="none"/>
        </w:rPr>
        <w:t xml:space="preserve">一般规定</w:t>
      </w:r>
      <w:bookmarkEnd w:id="59"/>
      <w:r/>
      <w:bookmarkEnd w:id="60"/>
      <w:r/>
      <w:bookmarkEnd w:id="61"/>
      <w:r/>
      <w:bookmarkEnd w:id="66"/>
      <w:r/>
      <w:bookmarkEnd w:id="67"/>
      <w:r/>
      <w:r/>
    </w:p>
    <w:p>
      <w:pPr>
        <w:spacing w:line="312" w:lineRule="exact"/>
        <w:rPr>
          <w:szCs w:val="21"/>
          <w:highlight w:val="none"/>
        </w:rPr>
      </w:pPr>
      <w:r/>
      <w:bookmarkStart w:id="68" w:name="_Toc155151896"/>
      <w:r>
        <w:rPr>
          <w:szCs w:val="21"/>
          <w:highlight w:val="none"/>
        </w:rPr>
        <w:t xml:space="preserve">4.1.1　投标人应具备招标公告所要求的资质，具体资质要求详见招标文件的商务部分。</w:t>
      </w:r>
      <w:r/>
    </w:p>
    <w:p>
      <w:pPr>
        <w:spacing w:line="312" w:lineRule="exact"/>
        <w:rPr>
          <w:szCs w:val="21"/>
          <w:highlight w:val="none"/>
        </w:rPr>
      </w:pPr>
      <w:r>
        <w:rPr>
          <w:szCs w:val="21"/>
          <w:highlight w:val="none"/>
        </w:rPr>
        <w:t xml:space="preserve">4.1.2　投标人须仔细阅读包括本技术规范（技术规范通用和专用部分）在内的招标文件阐述的全部条款。</w:t>
      </w:r>
      <w:r>
        <w:rPr>
          <w:rFonts w:hint="eastAsia" w:ascii="宋体" w:hAnsi="宋体" w:cs="宋体"/>
          <w:szCs w:val="21"/>
          <w:highlight w:val="none"/>
        </w:rPr>
        <w:t xml:space="preserve">投标人提供的10kV箱式变电站应符合招标文件所规定的要求</w:t>
      </w:r>
      <w:r>
        <w:rPr>
          <w:szCs w:val="21"/>
          <w:highlight w:val="none"/>
        </w:rPr>
        <w:t xml:space="preserve">，投标人也可以推荐符合本技术规范要求的类似定型产品，但必须提供详细的技术偏差。</w:t>
      </w:r>
      <w:r/>
    </w:p>
    <w:p>
      <w:pPr>
        <w:spacing w:line="312" w:lineRule="exact"/>
        <w:rPr>
          <w:szCs w:val="21"/>
          <w:highlight w:val="none"/>
        </w:rPr>
      </w:pPr>
      <w:r>
        <w:rPr>
          <w:szCs w:val="21"/>
          <w:highlight w:val="none"/>
        </w:rPr>
        <w:t xml:space="preserve">4.1.3　本技术规范提出了对</w:t>
      </w:r>
      <w:r>
        <w:rPr>
          <w:rFonts w:hint="eastAsia" w:ascii="宋体" w:hAnsi="宋体" w:cs="宋体"/>
          <w:szCs w:val="21"/>
          <w:highlight w:val="none"/>
        </w:rPr>
        <w:t xml:space="preserve">10kV箱式变电站</w:t>
      </w:r>
      <w:r>
        <w:rPr>
          <w:szCs w:val="21"/>
          <w:highlight w:val="none"/>
        </w:rPr>
        <w:t xml:space="preserve">的技术参数、性能、结构、试验等方面的技术要求。有关变压器的包装、标志、运输和保管的要求见商务部分的规定。</w:t>
      </w:r>
      <w:r/>
    </w:p>
    <w:p>
      <w:pPr>
        <w:spacing w:line="312" w:lineRule="exact"/>
        <w:rPr>
          <w:szCs w:val="21"/>
          <w:highlight w:val="none"/>
        </w:rPr>
      </w:pPr>
      <w:r>
        <w:rPr>
          <w:szCs w:val="21"/>
          <w:highlight w:val="none"/>
        </w:rPr>
        <w:t xml:space="preserve">4.1.4　本技术规范提出的是最低限度的技术要求，并未对一切技术细节作出规定，也未充分引述有关标准和规范的条文，投标人应提供符合本技术规范引用标准的最新版本和本技术规范技术要求的全新产品，如果所引用的标准之间不一致或本技术规范所使用的标准如与投标人所执行的标准不一致时，按要求较高的标准执行。</w:t>
      </w:r>
      <w:r/>
    </w:p>
    <w:p>
      <w:pPr>
        <w:spacing w:line="312" w:lineRule="exact"/>
        <w:rPr>
          <w:szCs w:val="21"/>
          <w:highlight w:val="none"/>
        </w:rPr>
      </w:pPr>
      <w:r>
        <w:rPr>
          <w:szCs w:val="21"/>
          <w:highlight w:val="none"/>
        </w:rPr>
        <w:t xml:space="preserve">4.1.5　如果投标人没有以书面形式对本技术规范的条文提出差异，则意味着投标人提供的设备完全符合本技术规范的要求。</w:t>
      </w:r>
      <w:r/>
    </w:p>
    <w:p>
      <w:pPr>
        <w:spacing w:line="312" w:lineRule="exact"/>
        <w:rPr>
          <w:szCs w:val="21"/>
          <w:highlight w:val="none"/>
        </w:rPr>
      </w:pPr>
      <w:r>
        <w:rPr>
          <w:szCs w:val="21"/>
          <w:highlight w:val="none"/>
        </w:rPr>
        <w:t xml:space="preserve">4.1.6　本技术规范将作为订货合同的附件，与合同具有同等的法律效力。本技术规范未尽事宜，由合同签约双方在合同谈判时协商确定。</w:t>
      </w:r>
      <w:r/>
    </w:p>
    <w:p>
      <w:pPr>
        <w:spacing w:line="312" w:lineRule="exact"/>
        <w:rPr>
          <w:szCs w:val="21"/>
          <w:highlight w:val="none"/>
        </w:rPr>
      </w:pPr>
      <w:r>
        <w:rPr>
          <w:szCs w:val="21"/>
          <w:highlight w:val="none"/>
        </w:rPr>
        <w:t xml:space="preserve">4.1.7　本技术规范中涉及有关商务方面的内容，如与招标文件的商务部分有矛盾时，以商务部分为准。</w:t>
      </w:r>
      <w:r/>
    </w:p>
    <w:p>
      <w:pPr>
        <w:spacing w:line="312" w:lineRule="exact"/>
        <w:rPr>
          <w:szCs w:val="21"/>
          <w:highlight w:val="none"/>
        </w:rPr>
      </w:pPr>
      <w:r>
        <w:rPr>
          <w:szCs w:val="21"/>
          <w:highlight w:val="none"/>
        </w:rPr>
        <w:t xml:space="preserve">4.1.8　本部分各条款如与专用部分有冲突，以专用部分为准。</w:t>
      </w:r>
      <w:bookmarkEnd w:id="68"/>
      <w:r/>
      <w:r/>
    </w:p>
    <w:p>
      <w:pPr>
        <w:pStyle w:val="881"/>
        <w:ind w:left="0"/>
        <w:jc w:val="left"/>
        <w:tabs>
          <w:tab w:val="left" w:pos="-1080" w:leader="none"/>
          <w:tab w:val="clear" w:pos="810" w:leader="none"/>
          <w:tab w:val="clear" w:pos="907" w:leader="none"/>
          <w:tab w:val="clear" w:pos="1265" w:leader="none"/>
        </w:tabs>
        <w:rPr>
          <w:rFonts w:ascii="Times New Roman"/>
          <w:highlight w:val="none"/>
        </w:rPr>
        <w:outlineLvl w:val="1"/>
      </w:pPr>
      <w:r/>
      <w:bookmarkStart w:id="69" w:name="_Toc155151897"/>
      <w:r/>
      <w:bookmarkStart w:id="70" w:name="_Toc250810493"/>
      <w:r>
        <w:rPr>
          <w:rFonts w:ascii="Times New Roman" w:eastAsia="宋体"/>
          <w:highlight w:val="none"/>
        </w:rPr>
        <w:t xml:space="preserve">    </w:t>
      </w:r>
      <w:bookmarkStart w:id="71" w:name="_Toc22692"/>
      <w:r/>
      <w:bookmarkStart w:id="72" w:name="_Toc23470"/>
      <w:r/>
      <w:bookmarkStart w:id="73" w:name="_Toc26268"/>
      <w:r/>
      <w:bookmarkStart w:id="74" w:name="_Toc14616"/>
      <w:r>
        <w:rPr>
          <w:rFonts w:ascii="Times New Roman" w:eastAsia="宋体"/>
          <w:highlight w:val="none"/>
        </w:rPr>
        <w:t xml:space="preserve">4.2  </w:t>
      </w:r>
      <w:r>
        <w:rPr>
          <w:rFonts w:hint="eastAsia" w:ascii="Times New Roman" w:eastAsia="宋体"/>
          <w:highlight w:val="none"/>
        </w:rPr>
        <w:t xml:space="preserve">投标人应提供的资质文件</w:t>
      </w:r>
      <w:bookmarkEnd w:id="71"/>
      <w:r/>
      <w:bookmarkEnd w:id="72"/>
      <w:r/>
      <w:bookmarkEnd w:id="73"/>
      <w:r/>
      <w:bookmarkEnd w:id="74"/>
      <w:r/>
      <w:r/>
    </w:p>
    <w:p>
      <w:pPr>
        <w:pStyle w:val="896"/>
        <w:ind w:firstLine="420"/>
        <w:tabs>
          <w:tab w:val="center" w:pos="4201" w:leader="none"/>
          <w:tab w:val="right" w:pos="9298" w:leader="dot"/>
        </w:tabs>
        <w:rPr>
          <w:rFonts w:ascii="Times New Roman"/>
          <w:highlight w:val="none"/>
        </w:rPr>
      </w:pPr>
      <w:r>
        <w:rPr>
          <w:rFonts w:hint="eastAsia" w:ascii="Times New Roman"/>
          <w:highlight w:val="none"/>
        </w:rPr>
        <w:t xml:space="preserve">投标人在投标文件中应提供下列合格的资质文件，否则视为非响应性投标。</w:t>
      </w:r>
      <w:r/>
    </w:p>
    <w:p>
      <w:pPr>
        <w:pStyle w:val="1150"/>
        <w:numPr>
          <w:ilvl w:val="3"/>
          <w:numId w:val="0"/>
        </w:numPr>
        <w:rPr>
          <w:rFonts w:ascii="Times New Roman"/>
          <w:highlight w:val="none"/>
        </w:rPr>
        <w:outlineLvl w:val="9"/>
      </w:pPr>
      <w:r/>
      <w:bookmarkStart w:id="75" w:name="_Toc13986"/>
      <w:r>
        <w:rPr>
          <w:rFonts w:ascii="Times New Roman"/>
          <w:highlight w:val="none"/>
        </w:rPr>
        <w:t xml:space="preserve">4.2.1 </w:t>
      </w:r>
      <w:bookmarkEnd w:id="75"/>
      <w:r/>
      <w:bookmarkStart w:id="76" w:name="_Toc9871"/>
      <w:r>
        <w:rPr>
          <w:rFonts w:hint="eastAsia" w:ascii="Times New Roman"/>
          <w:highlight w:val="none"/>
        </w:rPr>
        <w:t xml:space="preserve">投标人或制造商应提供履行合同所需的技术和主要设备等生产能力的文件资料。</w:t>
      </w:r>
      <w:bookmarkEnd w:id="76"/>
      <w:r/>
      <w:r/>
    </w:p>
    <w:p>
      <w:pPr>
        <w:pStyle w:val="1150"/>
        <w:numPr>
          <w:ilvl w:val="3"/>
          <w:numId w:val="0"/>
        </w:numPr>
        <w:rPr>
          <w:rFonts w:ascii="Times New Roman"/>
          <w:highlight w:val="none"/>
        </w:rPr>
        <w:outlineLvl w:val="9"/>
      </w:pPr>
      <w:r/>
      <w:bookmarkStart w:id="77" w:name="_Toc23777"/>
      <w:r>
        <w:rPr>
          <w:rFonts w:ascii="Times New Roman"/>
          <w:highlight w:val="none"/>
        </w:rPr>
        <w:t xml:space="preserve">4.2.</w:t>
      </w:r>
      <w:r>
        <w:rPr>
          <w:rFonts w:hint="eastAsia" w:ascii="Times New Roman"/>
          <w:highlight w:val="none"/>
        </w:rPr>
        <w:t xml:space="preserve">2</w:t>
      </w:r>
      <w:r>
        <w:rPr>
          <w:rFonts w:ascii="Times New Roman"/>
          <w:highlight w:val="none"/>
        </w:rPr>
        <w:t xml:space="preserve"> </w:t>
      </w:r>
      <w:r>
        <w:rPr>
          <w:rFonts w:hint="eastAsia" w:ascii="Times New Roman"/>
          <w:highlight w:val="none"/>
        </w:rPr>
        <w:t xml:space="preserve">投标人应提供有能力履行合同设备维护保养、修理及其他服务义务的文件。</w:t>
      </w:r>
      <w:bookmarkEnd w:id="77"/>
      <w:r/>
      <w:r/>
    </w:p>
    <w:p>
      <w:pPr>
        <w:pStyle w:val="1150"/>
        <w:numPr>
          <w:ilvl w:val="3"/>
          <w:numId w:val="0"/>
        </w:numPr>
        <w:rPr>
          <w:rFonts w:ascii="Times New Roman"/>
          <w:highlight w:val="none"/>
        </w:rPr>
        <w:outlineLvl w:val="9"/>
      </w:pPr>
      <w:r/>
      <w:bookmarkStart w:id="78" w:name="_Toc20043"/>
      <w:r>
        <w:rPr>
          <w:rFonts w:ascii="Times New Roman"/>
          <w:highlight w:val="none"/>
        </w:rPr>
        <w:t xml:space="preserve">4.2.</w:t>
      </w:r>
      <w:r>
        <w:rPr>
          <w:rFonts w:hint="eastAsia" w:ascii="Times New Roman"/>
          <w:highlight w:val="none"/>
        </w:rPr>
        <w:t xml:space="preserve">3</w:t>
      </w:r>
      <w:r>
        <w:rPr>
          <w:rFonts w:ascii="Times New Roman"/>
          <w:highlight w:val="none"/>
        </w:rPr>
        <w:t xml:space="preserve"> </w:t>
      </w:r>
      <w:r>
        <w:rPr>
          <w:rFonts w:hint="eastAsia" w:ascii="Times New Roman"/>
          <w:highlight w:val="none"/>
        </w:rPr>
        <w:t xml:space="preserve">投标人或制造商应提供投标产品全部有效的型式试验报告。</w:t>
      </w:r>
      <w:bookmarkEnd w:id="78"/>
      <w:r/>
      <w:r/>
    </w:p>
    <w:p>
      <w:pPr>
        <w:pStyle w:val="1150"/>
        <w:numPr>
          <w:ilvl w:val="3"/>
          <w:numId w:val="0"/>
        </w:numPr>
        <w:rPr>
          <w:rFonts w:ascii="Times New Roman"/>
          <w:highlight w:val="none"/>
        </w:rPr>
        <w:outlineLvl w:val="9"/>
      </w:pPr>
      <w:r/>
      <w:bookmarkStart w:id="79" w:name="_Toc2263"/>
      <w:r>
        <w:rPr>
          <w:rFonts w:ascii="Times New Roman"/>
          <w:highlight w:val="none"/>
        </w:rPr>
        <w:t xml:space="preserve">4.2.</w:t>
      </w:r>
      <w:r>
        <w:rPr>
          <w:rFonts w:hint="eastAsia" w:ascii="Times New Roman"/>
          <w:highlight w:val="none"/>
        </w:rPr>
        <w:t xml:space="preserve">4</w:t>
      </w:r>
      <w:r>
        <w:rPr>
          <w:rFonts w:ascii="Times New Roman"/>
          <w:highlight w:val="none"/>
        </w:rPr>
        <w:t xml:space="preserve"> </w:t>
      </w:r>
      <w:r>
        <w:rPr>
          <w:rFonts w:hint="eastAsia" w:ascii="Times New Roman"/>
          <w:highlight w:val="none"/>
        </w:rPr>
        <w:t xml:space="preserve">投标人或制造商应提供一份详细的投标产品中重要外购或配套部件供应商清单及检验报告。</w:t>
      </w:r>
      <w:bookmarkEnd w:id="79"/>
      <w:r/>
      <w:r/>
    </w:p>
    <w:p>
      <w:pPr>
        <w:pStyle w:val="1150"/>
        <w:numPr>
          <w:ilvl w:val="3"/>
          <w:numId w:val="0"/>
        </w:numPr>
        <w:rPr>
          <w:rFonts w:ascii="Times New Roman"/>
          <w:highlight w:val="none"/>
        </w:rPr>
        <w:outlineLvl w:val="9"/>
      </w:pPr>
      <w:r/>
      <w:bookmarkStart w:id="80" w:name="_Toc2311"/>
      <w:r>
        <w:rPr>
          <w:rFonts w:ascii="Times New Roman"/>
          <w:highlight w:val="none"/>
        </w:rPr>
        <w:t xml:space="preserve">4.2.</w:t>
      </w:r>
      <w:r>
        <w:rPr>
          <w:rFonts w:hint="eastAsia" w:ascii="Times New Roman"/>
          <w:highlight w:val="none"/>
        </w:rPr>
        <w:t xml:space="preserve">5</w:t>
      </w:r>
      <w:r>
        <w:rPr>
          <w:rFonts w:ascii="Times New Roman"/>
          <w:highlight w:val="none"/>
        </w:rPr>
        <w:t xml:space="preserve"> </w:t>
      </w:r>
      <w:r>
        <w:rPr>
          <w:rFonts w:hint="eastAsia" w:ascii="Times New Roman"/>
          <w:highlight w:val="none"/>
        </w:rPr>
        <w:t xml:space="preserve">投标人或制造商应提供投标产品中进口关键元件供应商的供货承诺函。</w:t>
      </w:r>
      <w:bookmarkEnd w:id="80"/>
      <w:r/>
      <w:r/>
    </w:p>
    <w:p>
      <w:pPr>
        <w:rPr>
          <w:highlight w:val="none"/>
        </w:rPr>
      </w:pPr>
      <w:r>
        <w:rPr>
          <w:rFonts w:eastAsia="黑体"/>
          <w:szCs w:val="24"/>
          <w:highlight w:val="none"/>
        </w:rPr>
        <w:t xml:space="preserve">4.3　工作范围和进度要求</w:t>
      </w:r>
      <w:bookmarkEnd w:id="69"/>
      <w:r/>
      <w:bookmarkEnd w:id="70"/>
      <w:r/>
      <w:r/>
    </w:p>
    <w:p>
      <w:pPr>
        <w:spacing w:line="312" w:lineRule="exact"/>
        <w:rPr>
          <w:szCs w:val="21"/>
          <w:highlight w:val="none"/>
        </w:rPr>
      </w:pPr>
      <w:r>
        <w:rPr>
          <w:szCs w:val="21"/>
          <w:highlight w:val="none"/>
        </w:rPr>
        <w:t xml:space="preserve">4</w:t>
      </w:r>
      <w:r>
        <w:rPr>
          <w:spacing w:val="20"/>
          <w:szCs w:val="21"/>
          <w:highlight w:val="none"/>
        </w:rPr>
        <w:t xml:space="preserve">.</w:t>
      </w:r>
      <w:r>
        <w:rPr>
          <w:szCs w:val="21"/>
          <w:highlight w:val="none"/>
        </w:rPr>
        <w:t xml:space="preserve">3</w:t>
      </w:r>
      <w:r>
        <w:rPr>
          <w:spacing w:val="20"/>
          <w:szCs w:val="21"/>
          <w:highlight w:val="none"/>
        </w:rPr>
        <w:t xml:space="preserve">.</w:t>
      </w:r>
      <w:r>
        <w:rPr>
          <w:szCs w:val="21"/>
          <w:highlight w:val="none"/>
        </w:rPr>
        <w:t xml:space="preserve">1　本技术规范的适用范围仅限于本工程的投标产品，内容包括设计、结构、性能、安装、试验、调试及现场服务和技术服务。</w:t>
      </w:r>
      <w:r/>
    </w:p>
    <w:p>
      <w:pPr>
        <w:spacing w:line="312" w:lineRule="exact"/>
        <w:rPr>
          <w:szCs w:val="21"/>
          <w:highlight w:val="none"/>
        </w:rPr>
      </w:pPr>
      <w:r>
        <w:rPr>
          <w:szCs w:val="21"/>
          <w:highlight w:val="none"/>
        </w:rPr>
        <w:t xml:space="preserve">4</w:t>
      </w:r>
      <w:r>
        <w:rPr>
          <w:spacing w:val="20"/>
          <w:szCs w:val="21"/>
          <w:highlight w:val="none"/>
        </w:rPr>
        <w:t xml:space="preserve">.</w:t>
      </w:r>
      <w:r>
        <w:rPr>
          <w:szCs w:val="21"/>
          <w:highlight w:val="none"/>
        </w:rPr>
        <w:t xml:space="preserve">3</w:t>
      </w:r>
      <w:r>
        <w:rPr>
          <w:spacing w:val="20"/>
          <w:szCs w:val="21"/>
          <w:highlight w:val="none"/>
        </w:rPr>
        <w:t xml:space="preserve">.</w:t>
      </w:r>
      <w:r>
        <w:rPr>
          <w:szCs w:val="21"/>
          <w:highlight w:val="none"/>
        </w:rPr>
        <w:t xml:space="preserve">2　中标人应不晚于签约后2周内，向招标人提出一个详尽的生产进度计划表（见表1），包括产品设计、材料采购、产品制造、厂内测试以及运输等项的详情，以确定每部分工作及其进度。</w:t>
      </w:r>
      <w:r/>
    </w:p>
    <w:p>
      <w:pPr>
        <w:pStyle w:val="1152"/>
        <w:rPr>
          <w:highlight w:val="none"/>
        </w:rPr>
      </w:pPr>
      <w:r>
        <w:rPr>
          <w:highlight w:val="none"/>
        </w:rPr>
        <w:t xml:space="preserve">表1　</w:t>
      </w:r>
      <w:r>
        <w:rPr>
          <w:spacing w:val="30"/>
          <w:highlight w:val="none"/>
        </w:rPr>
        <w:t xml:space="preserve">生产进度计划</w:t>
      </w:r>
      <w:r>
        <w:rPr>
          <w:highlight w:val="none"/>
        </w:rPr>
        <w:t xml:space="preserve">表</w:t>
      </w:r>
      <w:r/>
    </w:p>
    <w:p>
      <w:pPr>
        <w:ind w:firstLine="425"/>
        <w:rPr>
          <w:sz w:val="18"/>
          <w:szCs w:val="18"/>
          <w:highlight w:val="none"/>
          <w:u w:val="single"/>
        </w:rPr>
      </w:pPr>
      <w:r>
        <w:rPr>
          <w:sz w:val="18"/>
          <w:szCs w:val="18"/>
          <w:highlight w:val="none"/>
        </w:rPr>
        <w:t xml:space="preserve">合同号：</w:t>
      </w:r>
      <w:r>
        <w:rPr>
          <w:sz w:val="18"/>
          <w:szCs w:val="18"/>
          <w:highlight w:val="none"/>
          <w:u w:val="single"/>
        </w:rPr>
        <w:t xml:space="preserve">　　　　　　　</w:t>
      </w:r>
      <w:r>
        <w:rPr>
          <w:sz w:val="18"/>
          <w:szCs w:val="18"/>
          <w:highlight w:val="none"/>
        </w:rPr>
        <w:tab/>
      </w:r>
      <w:r>
        <w:rPr>
          <w:sz w:val="18"/>
          <w:szCs w:val="18"/>
          <w:highlight w:val="none"/>
        </w:rPr>
        <w:tab/>
      </w:r>
      <w:r>
        <w:rPr>
          <w:sz w:val="18"/>
          <w:szCs w:val="18"/>
          <w:highlight w:val="none"/>
        </w:rPr>
        <w:t xml:space="preserve">项目名称：</w:t>
      </w:r>
      <w:r>
        <w:rPr>
          <w:sz w:val="18"/>
          <w:szCs w:val="18"/>
          <w:highlight w:val="none"/>
          <w:u w:val="single"/>
        </w:rPr>
        <w:t xml:space="preserve">　　　　　　　　</w:t>
      </w:r>
      <w:r>
        <w:rPr>
          <w:sz w:val="18"/>
          <w:szCs w:val="18"/>
          <w:highlight w:val="none"/>
        </w:rPr>
        <w:tab/>
      </w:r>
      <w:r>
        <w:rPr>
          <w:sz w:val="18"/>
          <w:szCs w:val="18"/>
          <w:highlight w:val="none"/>
        </w:rPr>
        <w:tab/>
      </w:r>
      <w:r>
        <w:rPr>
          <w:sz w:val="18"/>
          <w:szCs w:val="18"/>
          <w:highlight w:val="none"/>
        </w:rPr>
        <w:t xml:space="preserve">设备名称：</w:t>
      </w:r>
      <w:r>
        <w:rPr>
          <w:sz w:val="18"/>
          <w:szCs w:val="18"/>
          <w:highlight w:val="none"/>
          <w:u w:val="single"/>
        </w:rPr>
        <w:t xml:space="preserve">　　　　　　　　　</w:t>
      </w:r>
      <w:r/>
    </w:p>
    <w:p>
      <w:pPr>
        <w:ind w:firstLine="425"/>
        <w:rPr>
          <w:sz w:val="18"/>
          <w:szCs w:val="18"/>
          <w:highlight w:val="none"/>
        </w:rPr>
      </w:pPr>
      <w:r>
        <w:rPr>
          <w:sz w:val="18"/>
          <w:szCs w:val="18"/>
          <w:highlight w:val="none"/>
        </w:rPr>
        <w:t xml:space="preserve">型号规格：</w:t>
      </w:r>
      <w:r>
        <w:rPr>
          <w:sz w:val="18"/>
          <w:szCs w:val="18"/>
          <w:highlight w:val="none"/>
          <w:u w:val="single"/>
        </w:rPr>
        <w:t xml:space="preserve">　　　　　　</w:t>
      </w:r>
      <w:r>
        <w:rPr>
          <w:sz w:val="18"/>
          <w:szCs w:val="18"/>
          <w:highlight w:val="none"/>
        </w:rPr>
        <w:tab/>
      </w:r>
      <w:r>
        <w:rPr>
          <w:sz w:val="18"/>
          <w:szCs w:val="18"/>
          <w:highlight w:val="none"/>
        </w:rPr>
        <w:tab/>
      </w:r>
      <w:r>
        <w:rPr>
          <w:sz w:val="18"/>
          <w:szCs w:val="18"/>
          <w:highlight w:val="none"/>
        </w:rPr>
        <w:t xml:space="preserve">工作日期：</w:t>
      </w:r>
      <w:r>
        <w:rPr>
          <w:sz w:val="18"/>
          <w:szCs w:val="18"/>
          <w:highlight w:val="none"/>
          <w:u w:val="single"/>
        </w:rPr>
        <w:t xml:space="preserve">　　　</w:t>
      </w:r>
      <w:r>
        <w:rPr>
          <w:sz w:val="18"/>
          <w:szCs w:val="18"/>
          <w:highlight w:val="none"/>
        </w:rPr>
        <w:t xml:space="preserve">至</w:t>
      </w:r>
      <w:r>
        <w:rPr>
          <w:sz w:val="18"/>
          <w:szCs w:val="18"/>
          <w:highlight w:val="none"/>
          <w:u w:val="single"/>
        </w:rPr>
        <w:t xml:space="preserve">　　　　</w:t>
      </w:r>
      <w:r>
        <w:rPr>
          <w:sz w:val="18"/>
          <w:szCs w:val="18"/>
          <w:highlight w:val="none"/>
        </w:rPr>
        <w:tab/>
      </w:r>
      <w:r>
        <w:rPr>
          <w:sz w:val="18"/>
          <w:szCs w:val="18"/>
          <w:highlight w:val="none"/>
        </w:rPr>
        <w:tab/>
      </w:r>
      <w:r>
        <w:rPr>
          <w:sz w:val="18"/>
          <w:szCs w:val="18"/>
          <w:highlight w:val="none"/>
        </w:rPr>
        <w:t xml:space="preserve">制造商名称及地址：__________</w:t>
      </w:r>
      <w:r/>
    </w:p>
    <w:p>
      <w:pPr>
        <w:ind w:firstLine="425"/>
        <w:rPr>
          <w:sz w:val="18"/>
          <w:szCs w:val="18"/>
          <w:highlight w:val="none"/>
        </w:rPr>
      </w:pPr>
      <w:r>
        <w:rPr>
          <w:sz w:val="18"/>
          <w:szCs w:val="18"/>
          <w:highlight w:val="none"/>
        </w:rPr>
        <w:t xml:space="preserve">技术规范号：___________</w:t>
      </w:r>
      <w:r>
        <w:rPr>
          <w:sz w:val="18"/>
          <w:szCs w:val="18"/>
          <w:highlight w:val="none"/>
        </w:rPr>
        <w:tab/>
      </w:r>
      <w:r>
        <w:rPr>
          <w:sz w:val="18"/>
          <w:szCs w:val="18"/>
          <w:highlight w:val="none"/>
        </w:rPr>
        <w:tab/>
      </w:r>
      <w:r>
        <w:rPr>
          <w:sz w:val="18"/>
          <w:szCs w:val="18"/>
          <w:highlight w:val="none"/>
        </w:rPr>
        <w:t xml:space="preserve">工作号：___________________</w:t>
      </w:r>
      <w:r>
        <w:rPr>
          <w:sz w:val="18"/>
          <w:szCs w:val="18"/>
          <w:highlight w:val="none"/>
        </w:rPr>
        <w:tab/>
      </w:r>
      <w:r>
        <w:rPr>
          <w:sz w:val="18"/>
          <w:szCs w:val="18"/>
          <w:highlight w:val="none"/>
        </w:rPr>
        <w:tab/>
      </w:r>
      <w:r>
        <w:rPr>
          <w:sz w:val="18"/>
          <w:szCs w:val="18"/>
          <w:highlight w:val="none"/>
        </w:rPr>
        <w:t xml:space="preserve">离岸日期：__________________</w:t>
      </w:r>
      <w:r/>
    </w:p>
    <w:p>
      <w:pPr>
        <w:ind w:firstLine="425"/>
        <w:rPr>
          <w:sz w:val="18"/>
          <w:szCs w:val="18"/>
          <w:highlight w:val="none"/>
        </w:rPr>
      </w:pPr>
      <w:r>
        <w:rPr>
          <w:sz w:val="18"/>
          <w:szCs w:val="18"/>
          <w:highlight w:val="none"/>
        </w:rPr>
        <w:t xml:space="preserve">到岸日期：_____________</w:t>
      </w:r>
      <w:r>
        <w:rPr>
          <w:sz w:val="18"/>
          <w:szCs w:val="18"/>
          <w:highlight w:val="none"/>
        </w:rPr>
        <w:tab/>
      </w:r>
      <w:r>
        <w:rPr>
          <w:sz w:val="18"/>
          <w:szCs w:val="18"/>
          <w:highlight w:val="none"/>
        </w:rPr>
        <w:tab/>
      </w:r>
      <w:r>
        <w:rPr>
          <w:sz w:val="18"/>
          <w:szCs w:val="18"/>
          <w:highlight w:val="none"/>
        </w:rPr>
        <w:t xml:space="preserve">到达交货地点日期：</w:t>
      </w:r>
      <w:r>
        <w:rPr>
          <w:sz w:val="18"/>
          <w:szCs w:val="18"/>
          <w:highlight w:val="none"/>
          <w:u w:val="single"/>
        </w:rPr>
        <w:t xml:space="preserve">　　　　</w:t>
      </w:r>
      <w:r/>
    </w:p>
    <w:tbl>
      <w:tblPr>
        <w:tblStyle w:val="827"/>
        <w:tblW w:w="941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1579"/>
        <w:gridCol w:w="1594"/>
        <w:gridCol w:w="1594"/>
        <w:gridCol w:w="1589"/>
      </w:tblGrid>
      <w:tr>
        <w:trPr>
          <w:jc w:val="center"/>
          <w:tblHeader/>
        </w:trPr>
        <w:tc>
          <w:tcPr>
            <w:tcW w:w="3055" w:type="dxa"/>
            <w:vAlign w:val="center"/>
            <w:textDirection w:val="lrTb"/>
            <w:noWrap w:val="false"/>
          </w:tcPr>
          <w:p>
            <w:pPr>
              <w:jc w:val="center"/>
              <w:spacing w:before="60" w:after="60"/>
              <w:rPr>
                <w:b/>
                <w:sz w:val="18"/>
                <w:szCs w:val="21"/>
                <w:highlight w:val="none"/>
              </w:rPr>
            </w:pPr>
            <w:r>
              <w:rPr>
                <w:b/>
                <w:sz w:val="18"/>
                <w:szCs w:val="21"/>
                <w:highlight w:val="none"/>
              </w:rPr>
              <w:t xml:space="preserve">时间（年月日）</w:t>
            </w:r>
            <w:r/>
          </w:p>
          <w:p>
            <w:pPr>
              <w:jc w:val="left"/>
              <w:spacing w:before="60" w:after="60"/>
              <w:rPr>
                <w:b/>
                <w:sz w:val="18"/>
                <w:szCs w:val="21"/>
                <w:highlight w:val="none"/>
              </w:rPr>
            </w:pPr>
            <w:r>
              <w:rPr>
                <w:b/>
                <w:sz w:val="18"/>
                <w:szCs w:val="21"/>
                <w:highlight w:val="none"/>
              </w:rPr>
              <w:t xml:space="preserve">项　　目</w:t>
            </w:r>
            <w:r/>
          </w:p>
        </w:tc>
        <w:tc>
          <w:tcPr>
            <w:tcW w:w="1579" w:type="dxa"/>
            <w:vAlign w:val="center"/>
            <w:textDirection w:val="lrTb"/>
            <w:noWrap w:val="false"/>
          </w:tcPr>
          <w:p>
            <w:pPr>
              <w:jc w:val="center"/>
              <w:spacing w:before="60" w:after="60"/>
              <w:rPr>
                <w:b/>
                <w:sz w:val="18"/>
                <w:szCs w:val="21"/>
                <w:highlight w:val="none"/>
              </w:rPr>
            </w:pPr>
            <w:r>
              <w:rPr>
                <w:b/>
                <w:sz w:val="18"/>
                <w:szCs w:val="21"/>
                <w:highlight w:val="none"/>
              </w:rPr>
            </w:r>
            <w:r/>
          </w:p>
        </w:tc>
        <w:tc>
          <w:tcPr>
            <w:tcW w:w="1594" w:type="dxa"/>
            <w:vAlign w:val="center"/>
            <w:textDirection w:val="lrTb"/>
            <w:noWrap w:val="false"/>
          </w:tcPr>
          <w:p>
            <w:pPr>
              <w:jc w:val="center"/>
              <w:spacing w:before="60" w:after="60"/>
              <w:rPr>
                <w:b/>
                <w:sz w:val="18"/>
                <w:szCs w:val="21"/>
                <w:highlight w:val="none"/>
              </w:rPr>
            </w:pPr>
            <w:r>
              <w:rPr>
                <w:b/>
                <w:sz w:val="18"/>
                <w:szCs w:val="21"/>
                <w:highlight w:val="none"/>
              </w:rPr>
            </w:r>
            <w:r/>
          </w:p>
        </w:tc>
        <w:tc>
          <w:tcPr>
            <w:tcW w:w="1594" w:type="dxa"/>
            <w:vAlign w:val="center"/>
            <w:textDirection w:val="lrTb"/>
            <w:noWrap w:val="false"/>
          </w:tcPr>
          <w:p>
            <w:pPr>
              <w:jc w:val="center"/>
              <w:spacing w:before="60" w:after="60"/>
              <w:rPr>
                <w:b/>
                <w:sz w:val="18"/>
                <w:szCs w:val="21"/>
                <w:highlight w:val="none"/>
              </w:rPr>
            </w:pPr>
            <w:r>
              <w:rPr>
                <w:b/>
                <w:sz w:val="18"/>
                <w:szCs w:val="21"/>
                <w:highlight w:val="none"/>
              </w:rPr>
            </w:r>
            <w:r/>
          </w:p>
        </w:tc>
        <w:tc>
          <w:tcPr>
            <w:tcW w:w="1589" w:type="dxa"/>
            <w:vAlign w:val="center"/>
            <w:textDirection w:val="lrTb"/>
            <w:noWrap w:val="false"/>
          </w:tcPr>
          <w:p>
            <w:pPr>
              <w:jc w:val="center"/>
              <w:spacing w:before="60" w:after="60"/>
              <w:rPr>
                <w:b/>
                <w:sz w:val="18"/>
                <w:szCs w:val="21"/>
                <w:highlight w:val="none"/>
              </w:rPr>
            </w:pPr>
            <w:r>
              <w:rPr>
                <w:b/>
                <w:sz w:val="18"/>
                <w:szCs w:val="21"/>
                <w:highlight w:val="none"/>
              </w:rPr>
            </w:r>
            <w:r/>
          </w:p>
        </w:tc>
      </w:tr>
      <w:tr>
        <w:trPr>
          <w:jc w:val="center"/>
        </w:trPr>
        <w:tc>
          <w:tcPr>
            <w:tcW w:w="3055" w:type="dxa"/>
            <w:vAlign w:val="center"/>
            <w:textDirection w:val="lrTb"/>
            <w:noWrap w:val="false"/>
          </w:tcPr>
          <w:p>
            <w:pPr>
              <w:jc w:val="center"/>
              <w:spacing w:before="60" w:after="60"/>
              <w:rPr>
                <w:sz w:val="18"/>
                <w:szCs w:val="21"/>
                <w:highlight w:val="none"/>
              </w:rPr>
            </w:pPr>
            <w:r>
              <w:rPr>
                <w:sz w:val="18"/>
                <w:szCs w:val="21"/>
                <w:highlight w:val="none"/>
              </w:rPr>
              <w:t xml:space="preserve">工程制图</w:t>
            </w:r>
            <w:r/>
          </w:p>
        </w:tc>
        <w:tc>
          <w:tcPr>
            <w:tcW w:w="1579" w:type="dxa"/>
            <w:vAlign w:val="center"/>
            <w:textDirection w:val="lrTb"/>
            <w:noWrap w:val="false"/>
          </w:tcPr>
          <w:p>
            <w:pPr>
              <w:jc w:val="center"/>
              <w:spacing w:before="60" w:after="60"/>
              <w:rPr>
                <w:sz w:val="18"/>
                <w:szCs w:val="21"/>
                <w:highlight w:val="none"/>
              </w:rPr>
            </w:pPr>
            <w:r>
              <w:rPr>
                <w:sz w:val="18"/>
                <w:szCs w:val="21"/>
                <w:highlight w:val="none"/>
              </w:rPr>
            </w:r>
            <w:r/>
          </w:p>
        </w:tc>
        <w:tc>
          <w:tcPr>
            <w:tcW w:w="1594" w:type="dxa"/>
            <w:vAlign w:val="center"/>
            <w:textDirection w:val="lrTb"/>
            <w:noWrap w:val="false"/>
          </w:tcPr>
          <w:p>
            <w:pPr>
              <w:jc w:val="center"/>
              <w:spacing w:before="60" w:after="60"/>
              <w:rPr>
                <w:sz w:val="18"/>
                <w:szCs w:val="21"/>
                <w:highlight w:val="none"/>
              </w:rPr>
            </w:pPr>
            <w:r>
              <w:rPr>
                <w:sz w:val="18"/>
                <w:szCs w:val="21"/>
                <w:highlight w:val="none"/>
              </w:rPr>
            </w:r>
            <w:r/>
          </w:p>
        </w:tc>
        <w:tc>
          <w:tcPr>
            <w:tcW w:w="1594" w:type="dxa"/>
            <w:vAlign w:val="center"/>
            <w:textDirection w:val="lrTb"/>
            <w:noWrap w:val="false"/>
          </w:tcPr>
          <w:p>
            <w:pPr>
              <w:jc w:val="center"/>
              <w:spacing w:before="60" w:after="60"/>
              <w:rPr>
                <w:sz w:val="18"/>
                <w:szCs w:val="21"/>
                <w:highlight w:val="none"/>
              </w:rPr>
            </w:pPr>
            <w:r>
              <w:rPr>
                <w:sz w:val="18"/>
                <w:szCs w:val="21"/>
                <w:highlight w:val="none"/>
              </w:rPr>
            </w:r>
            <w:r/>
          </w:p>
        </w:tc>
        <w:tc>
          <w:tcPr>
            <w:tcW w:w="1589" w:type="dxa"/>
            <w:vAlign w:val="center"/>
            <w:textDirection w:val="lrTb"/>
            <w:noWrap w:val="false"/>
          </w:tcPr>
          <w:p>
            <w:pPr>
              <w:jc w:val="center"/>
              <w:spacing w:before="60" w:after="60"/>
              <w:rPr>
                <w:sz w:val="18"/>
                <w:szCs w:val="21"/>
                <w:highlight w:val="none"/>
              </w:rPr>
            </w:pPr>
            <w:r>
              <w:rPr>
                <w:sz w:val="18"/>
                <w:szCs w:val="21"/>
                <w:highlight w:val="none"/>
              </w:rPr>
            </w:r>
            <w:r/>
          </w:p>
        </w:tc>
      </w:tr>
      <w:tr>
        <w:trPr>
          <w:jc w:val="center"/>
        </w:trPr>
        <w:tc>
          <w:tcPr>
            <w:tcW w:w="3055" w:type="dxa"/>
            <w:vAlign w:val="center"/>
            <w:textDirection w:val="lrTb"/>
            <w:noWrap w:val="false"/>
          </w:tcPr>
          <w:p>
            <w:pPr>
              <w:jc w:val="center"/>
              <w:spacing w:before="60" w:after="60"/>
              <w:rPr>
                <w:sz w:val="18"/>
                <w:szCs w:val="21"/>
                <w:highlight w:val="none"/>
              </w:rPr>
            </w:pPr>
            <w:r>
              <w:rPr>
                <w:sz w:val="18"/>
                <w:szCs w:val="21"/>
                <w:highlight w:val="none"/>
              </w:rPr>
              <w:t xml:space="preserve">图纸寄出</w:t>
            </w:r>
            <w:r/>
          </w:p>
        </w:tc>
        <w:tc>
          <w:tcPr>
            <w:tcW w:w="1579" w:type="dxa"/>
            <w:vAlign w:val="center"/>
            <w:textDirection w:val="lrTb"/>
            <w:noWrap w:val="false"/>
          </w:tcPr>
          <w:p>
            <w:pPr>
              <w:jc w:val="center"/>
              <w:spacing w:before="60" w:after="60"/>
              <w:rPr>
                <w:sz w:val="18"/>
                <w:szCs w:val="21"/>
                <w:highlight w:val="none"/>
              </w:rPr>
            </w:pPr>
            <w:r>
              <w:rPr>
                <w:sz w:val="18"/>
                <w:szCs w:val="21"/>
                <w:highlight w:val="none"/>
              </w:rPr>
            </w:r>
            <w:r/>
          </w:p>
        </w:tc>
        <w:tc>
          <w:tcPr>
            <w:tcW w:w="1594" w:type="dxa"/>
            <w:vAlign w:val="center"/>
            <w:textDirection w:val="lrTb"/>
            <w:noWrap w:val="false"/>
          </w:tcPr>
          <w:p>
            <w:pPr>
              <w:jc w:val="center"/>
              <w:spacing w:before="60" w:after="60"/>
              <w:rPr>
                <w:sz w:val="18"/>
                <w:szCs w:val="21"/>
                <w:highlight w:val="none"/>
              </w:rPr>
            </w:pPr>
            <w:r>
              <w:rPr>
                <w:sz w:val="18"/>
                <w:szCs w:val="21"/>
                <w:highlight w:val="none"/>
              </w:rPr>
            </w:r>
            <w:r/>
          </w:p>
        </w:tc>
        <w:tc>
          <w:tcPr>
            <w:tcW w:w="1594" w:type="dxa"/>
            <w:vAlign w:val="center"/>
            <w:textDirection w:val="lrTb"/>
            <w:noWrap w:val="false"/>
          </w:tcPr>
          <w:p>
            <w:pPr>
              <w:jc w:val="center"/>
              <w:spacing w:before="60" w:after="60"/>
              <w:rPr>
                <w:sz w:val="18"/>
                <w:szCs w:val="21"/>
                <w:highlight w:val="none"/>
              </w:rPr>
            </w:pPr>
            <w:r>
              <w:rPr>
                <w:sz w:val="18"/>
                <w:szCs w:val="21"/>
                <w:highlight w:val="none"/>
              </w:rPr>
            </w:r>
            <w:r/>
          </w:p>
        </w:tc>
        <w:tc>
          <w:tcPr>
            <w:tcW w:w="1589" w:type="dxa"/>
            <w:vAlign w:val="center"/>
            <w:textDirection w:val="lrTb"/>
            <w:noWrap w:val="false"/>
          </w:tcPr>
          <w:p>
            <w:pPr>
              <w:jc w:val="center"/>
              <w:spacing w:before="60" w:after="60"/>
              <w:rPr>
                <w:sz w:val="18"/>
                <w:szCs w:val="21"/>
                <w:highlight w:val="none"/>
              </w:rPr>
            </w:pPr>
            <w:r>
              <w:rPr>
                <w:sz w:val="18"/>
                <w:szCs w:val="21"/>
                <w:highlight w:val="none"/>
              </w:rPr>
            </w:r>
            <w:r/>
          </w:p>
        </w:tc>
      </w:tr>
      <w:tr>
        <w:trPr>
          <w:jc w:val="center"/>
        </w:trPr>
        <w:tc>
          <w:tcPr>
            <w:tcW w:w="3055" w:type="dxa"/>
            <w:vAlign w:val="center"/>
            <w:textDirection w:val="lrTb"/>
            <w:noWrap w:val="false"/>
          </w:tcPr>
          <w:p>
            <w:pPr>
              <w:jc w:val="center"/>
              <w:spacing w:before="50" w:after="50"/>
              <w:rPr>
                <w:sz w:val="18"/>
                <w:szCs w:val="21"/>
                <w:highlight w:val="none"/>
              </w:rPr>
            </w:pPr>
            <w:r>
              <w:rPr>
                <w:sz w:val="18"/>
                <w:szCs w:val="21"/>
                <w:highlight w:val="none"/>
              </w:rPr>
              <w:t xml:space="preserve">图纸认可时间</w:t>
            </w:r>
            <w:r/>
          </w:p>
        </w:tc>
        <w:tc>
          <w:tcPr>
            <w:tcW w:w="1579" w:type="dxa"/>
            <w:vAlign w:val="center"/>
            <w:textDirection w:val="lrTb"/>
            <w:noWrap w:val="false"/>
          </w:tcPr>
          <w:p>
            <w:pPr>
              <w:jc w:val="center"/>
              <w:spacing w:before="50" w:after="50"/>
              <w:rPr>
                <w:sz w:val="18"/>
                <w:szCs w:val="21"/>
                <w:highlight w:val="none"/>
              </w:rPr>
            </w:pPr>
            <w:r>
              <w:rPr>
                <w:sz w:val="18"/>
                <w:szCs w:val="21"/>
                <w:highlight w:val="none"/>
              </w:rPr>
            </w:r>
            <w:r/>
          </w:p>
        </w:tc>
        <w:tc>
          <w:tcPr>
            <w:tcW w:w="1594" w:type="dxa"/>
            <w:vAlign w:val="center"/>
            <w:textDirection w:val="lrTb"/>
            <w:noWrap w:val="false"/>
          </w:tcPr>
          <w:p>
            <w:pPr>
              <w:jc w:val="center"/>
              <w:spacing w:before="50" w:after="50"/>
              <w:rPr>
                <w:sz w:val="18"/>
                <w:szCs w:val="21"/>
                <w:highlight w:val="none"/>
              </w:rPr>
            </w:pPr>
            <w:r>
              <w:rPr>
                <w:sz w:val="18"/>
                <w:szCs w:val="21"/>
                <w:highlight w:val="none"/>
              </w:rPr>
            </w:r>
            <w:r/>
          </w:p>
        </w:tc>
        <w:tc>
          <w:tcPr>
            <w:tcW w:w="1594" w:type="dxa"/>
            <w:vAlign w:val="center"/>
            <w:textDirection w:val="lrTb"/>
            <w:noWrap w:val="false"/>
          </w:tcPr>
          <w:p>
            <w:pPr>
              <w:jc w:val="center"/>
              <w:spacing w:before="50" w:after="50"/>
              <w:rPr>
                <w:sz w:val="18"/>
                <w:szCs w:val="21"/>
                <w:highlight w:val="none"/>
              </w:rPr>
            </w:pPr>
            <w:r>
              <w:rPr>
                <w:sz w:val="18"/>
                <w:szCs w:val="21"/>
                <w:highlight w:val="none"/>
              </w:rPr>
            </w:r>
            <w:r/>
          </w:p>
        </w:tc>
        <w:tc>
          <w:tcPr>
            <w:tcW w:w="1589" w:type="dxa"/>
            <w:vAlign w:val="center"/>
            <w:textDirection w:val="lrTb"/>
            <w:noWrap w:val="false"/>
          </w:tcPr>
          <w:p>
            <w:pPr>
              <w:jc w:val="center"/>
              <w:spacing w:before="50" w:after="50"/>
              <w:rPr>
                <w:sz w:val="18"/>
                <w:szCs w:val="21"/>
                <w:highlight w:val="none"/>
              </w:rPr>
            </w:pPr>
            <w:r>
              <w:rPr>
                <w:sz w:val="18"/>
                <w:szCs w:val="21"/>
                <w:highlight w:val="none"/>
              </w:rPr>
            </w:r>
            <w:r/>
          </w:p>
        </w:tc>
      </w:tr>
      <w:tr>
        <w:trPr>
          <w:jc w:val="center"/>
        </w:trPr>
        <w:tc>
          <w:tcPr>
            <w:tcW w:w="3055" w:type="dxa"/>
            <w:vAlign w:val="center"/>
            <w:textDirection w:val="lrTb"/>
            <w:noWrap w:val="false"/>
          </w:tcPr>
          <w:p>
            <w:pPr>
              <w:jc w:val="center"/>
              <w:spacing w:before="50" w:after="50"/>
              <w:rPr>
                <w:sz w:val="18"/>
                <w:szCs w:val="21"/>
                <w:highlight w:val="none"/>
              </w:rPr>
            </w:pPr>
            <w:r>
              <w:rPr>
                <w:sz w:val="18"/>
                <w:szCs w:val="21"/>
                <w:highlight w:val="none"/>
              </w:rPr>
              <w:t xml:space="preserve">材料及配套件采购</w:t>
            </w:r>
            <w:r/>
          </w:p>
        </w:tc>
        <w:tc>
          <w:tcPr>
            <w:tcW w:w="1579" w:type="dxa"/>
            <w:vAlign w:val="center"/>
            <w:textDirection w:val="lrTb"/>
            <w:noWrap w:val="false"/>
          </w:tcPr>
          <w:p>
            <w:pPr>
              <w:jc w:val="center"/>
              <w:spacing w:before="50" w:after="50"/>
              <w:rPr>
                <w:sz w:val="18"/>
                <w:szCs w:val="21"/>
                <w:highlight w:val="none"/>
              </w:rPr>
            </w:pPr>
            <w:r>
              <w:rPr>
                <w:sz w:val="18"/>
                <w:szCs w:val="21"/>
                <w:highlight w:val="none"/>
              </w:rPr>
            </w:r>
            <w:r/>
          </w:p>
        </w:tc>
        <w:tc>
          <w:tcPr>
            <w:tcW w:w="1594" w:type="dxa"/>
            <w:vAlign w:val="center"/>
            <w:textDirection w:val="lrTb"/>
            <w:noWrap w:val="false"/>
          </w:tcPr>
          <w:p>
            <w:pPr>
              <w:jc w:val="center"/>
              <w:spacing w:before="50" w:after="50"/>
              <w:rPr>
                <w:sz w:val="18"/>
                <w:szCs w:val="21"/>
                <w:highlight w:val="none"/>
              </w:rPr>
            </w:pPr>
            <w:r>
              <w:rPr>
                <w:sz w:val="18"/>
                <w:szCs w:val="21"/>
                <w:highlight w:val="none"/>
              </w:rPr>
            </w:r>
            <w:r/>
          </w:p>
        </w:tc>
        <w:tc>
          <w:tcPr>
            <w:tcW w:w="1594" w:type="dxa"/>
            <w:vAlign w:val="center"/>
            <w:textDirection w:val="lrTb"/>
            <w:noWrap w:val="false"/>
          </w:tcPr>
          <w:p>
            <w:pPr>
              <w:jc w:val="center"/>
              <w:spacing w:before="50" w:after="50"/>
              <w:rPr>
                <w:sz w:val="18"/>
                <w:szCs w:val="21"/>
                <w:highlight w:val="none"/>
              </w:rPr>
            </w:pPr>
            <w:r>
              <w:rPr>
                <w:sz w:val="18"/>
                <w:szCs w:val="21"/>
                <w:highlight w:val="none"/>
              </w:rPr>
            </w:r>
            <w:r/>
          </w:p>
        </w:tc>
        <w:tc>
          <w:tcPr>
            <w:tcW w:w="1589" w:type="dxa"/>
            <w:vAlign w:val="center"/>
            <w:textDirection w:val="lrTb"/>
            <w:noWrap w:val="false"/>
          </w:tcPr>
          <w:p>
            <w:pPr>
              <w:jc w:val="center"/>
              <w:spacing w:before="50" w:after="50"/>
              <w:rPr>
                <w:sz w:val="18"/>
                <w:szCs w:val="21"/>
                <w:highlight w:val="none"/>
              </w:rPr>
            </w:pPr>
            <w:r>
              <w:rPr>
                <w:sz w:val="18"/>
                <w:szCs w:val="21"/>
                <w:highlight w:val="none"/>
              </w:rPr>
            </w:r>
            <w:r/>
          </w:p>
        </w:tc>
      </w:tr>
      <w:tr>
        <w:trPr>
          <w:jc w:val="center"/>
        </w:trPr>
        <w:tc>
          <w:tcPr>
            <w:tcW w:w="3055" w:type="dxa"/>
            <w:vAlign w:val="center"/>
            <w:textDirection w:val="lrTb"/>
            <w:noWrap w:val="false"/>
          </w:tcPr>
          <w:p>
            <w:pPr>
              <w:jc w:val="center"/>
              <w:spacing w:before="50" w:after="50"/>
              <w:rPr>
                <w:sz w:val="18"/>
                <w:szCs w:val="21"/>
                <w:highlight w:val="none"/>
              </w:rPr>
            </w:pPr>
            <w:r>
              <w:rPr>
                <w:sz w:val="18"/>
                <w:szCs w:val="21"/>
                <w:highlight w:val="none"/>
              </w:rPr>
              <w:t xml:space="preserve">材料及配套件进厂</w:t>
            </w:r>
            <w:r/>
          </w:p>
        </w:tc>
        <w:tc>
          <w:tcPr>
            <w:tcW w:w="1579" w:type="dxa"/>
            <w:vAlign w:val="center"/>
            <w:textDirection w:val="lrTb"/>
            <w:noWrap w:val="false"/>
          </w:tcPr>
          <w:p>
            <w:pPr>
              <w:jc w:val="center"/>
              <w:spacing w:before="50" w:after="50"/>
              <w:rPr>
                <w:sz w:val="18"/>
                <w:szCs w:val="21"/>
                <w:highlight w:val="none"/>
              </w:rPr>
            </w:pPr>
            <w:r>
              <w:rPr>
                <w:sz w:val="18"/>
                <w:szCs w:val="21"/>
                <w:highlight w:val="none"/>
              </w:rPr>
            </w:r>
            <w:r/>
          </w:p>
        </w:tc>
        <w:tc>
          <w:tcPr>
            <w:tcW w:w="1594" w:type="dxa"/>
            <w:vAlign w:val="center"/>
            <w:textDirection w:val="lrTb"/>
            <w:noWrap w:val="false"/>
          </w:tcPr>
          <w:p>
            <w:pPr>
              <w:jc w:val="center"/>
              <w:spacing w:before="50" w:after="50"/>
              <w:rPr>
                <w:sz w:val="18"/>
                <w:szCs w:val="21"/>
                <w:highlight w:val="none"/>
              </w:rPr>
            </w:pPr>
            <w:r>
              <w:rPr>
                <w:sz w:val="18"/>
                <w:szCs w:val="21"/>
                <w:highlight w:val="none"/>
              </w:rPr>
            </w:r>
            <w:r/>
          </w:p>
        </w:tc>
        <w:tc>
          <w:tcPr>
            <w:tcW w:w="1594" w:type="dxa"/>
            <w:vAlign w:val="center"/>
            <w:textDirection w:val="lrTb"/>
            <w:noWrap w:val="false"/>
          </w:tcPr>
          <w:p>
            <w:pPr>
              <w:jc w:val="center"/>
              <w:spacing w:before="50" w:after="50"/>
              <w:rPr>
                <w:sz w:val="18"/>
                <w:szCs w:val="21"/>
                <w:highlight w:val="none"/>
              </w:rPr>
            </w:pPr>
            <w:r>
              <w:rPr>
                <w:sz w:val="18"/>
                <w:szCs w:val="21"/>
                <w:highlight w:val="none"/>
              </w:rPr>
            </w:r>
            <w:r/>
          </w:p>
        </w:tc>
        <w:tc>
          <w:tcPr>
            <w:tcW w:w="1589" w:type="dxa"/>
            <w:vAlign w:val="center"/>
            <w:textDirection w:val="lrTb"/>
            <w:noWrap w:val="false"/>
          </w:tcPr>
          <w:p>
            <w:pPr>
              <w:jc w:val="center"/>
              <w:spacing w:before="50" w:after="50"/>
              <w:rPr>
                <w:sz w:val="18"/>
                <w:szCs w:val="21"/>
                <w:highlight w:val="none"/>
              </w:rPr>
            </w:pPr>
            <w:r>
              <w:rPr>
                <w:sz w:val="18"/>
                <w:szCs w:val="21"/>
                <w:highlight w:val="none"/>
              </w:rPr>
            </w:r>
            <w:r/>
          </w:p>
        </w:tc>
      </w:tr>
      <w:tr>
        <w:trPr>
          <w:jc w:val="center"/>
        </w:trPr>
        <w:tc>
          <w:tcPr>
            <w:tcW w:w="3055" w:type="dxa"/>
            <w:vAlign w:val="center"/>
            <w:textDirection w:val="lrTb"/>
            <w:noWrap w:val="false"/>
          </w:tcPr>
          <w:p>
            <w:pPr>
              <w:jc w:val="center"/>
              <w:spacing w:before="50" w:after="50"/>
              <w:rPr>
                <w:sz w:val="18"/>
                <w:szCs w:val="21"/>
                <w:highlight w:val="none"/>
              </w:rPr>
            </w:pPr>
            <w:r>
              <w:rPr>
                <w:sz w:val="18"/>
                <w:szCs w:val="21"/>
                <w:highlight w:val="none"/>
              </w:rPr>
              <w:t xml:space="preserve">制造</w:t>
            </w:r>
            <w:r/>
          </w:p>
        </w:tc>
        <w:tc>
          <w:tcPr>
            <w:tcW w:w="1579" w:type="dxa"/>
            <w:vAlign w:val="center"/>
            <w:textDirection w:val="lrTb"/>
            <w:noWrap w:val="false"/>
          </w:tcPr>
          <w:p>
            <w:pPr>
              <w:jc w:val="center"/>
              <w:spacing w:before="50" w:after="50"/>
              <w:rPr>
                <w:sz w:val="18"/>
                <w:szCs w:val="21"/>
                <w:highlight w:val="none"/>
              </w:rPr>
            </w:pPr>
            <w:r>
              <w:rPr>
                <w:sz w:val="18"/>
                <w:szCs w:val="21"/>
                <w:highlight w:val="none"/>
              </w:rPr>
            </w:r>
            <w:r/>
          </w:p>
        </w:tc>
        <w:tc>
          <w:tcPr>
            <w:tcW w:w="1594" w:type="dxa"/>
            <w:vAlign w:val="center"/>
            <w:textDirection w:val="lrTb"/>
            <w:noWrap w:val="false"/>
          </w:tcPr>
          <w:p>
            <w:pPr>
              <w:jc w:val="center"/>
              <w:spacing w:before="50" w:after="50"/>
              <w:rPr>
                <w:sz w:val="18"/>
                <w:szCs w:val="21"/>
                <w:highlight w:val="none"/>
              </w:rPr>
            </w:pPr>
            <w:r>
              <w:rPr>
                <w:sz w:val="18"/>
                <w:szCs w:val="21"/>
                <w:highlight w:val="none"/>
              </w:rPr>
            </w:r>
            <w:r/>
          </w:p>
        </w:tc>
        <w:tc>
          <w:tcPr>
            <w:tcW w:w="1594" w:type="dxa"/>
            <w:vAlign w:val="center"/>
            <w:textDirection w:val="lrTb"/>
            <w:noWrap w:val="false"/>
          </w:tcPr>
          <w:p>
            <w:pPr>
              <w:jc w:val="center"/>
              <w:spacing w:before="50" w:after="50"/>
              <w:rPr>
                <w:sz w:val="18"/>
                <w:szCs w:val="21"/>
                <w:highlight w:val="none"/>
              </w:rPr>
            </w:pPr>
            <w:r>
              <w:rPr>
                <w:sz w:val="18"/>
                <w:szCs w:val="21"/>
                <w:highlight w:val="none"/>
              </w:rPr>
            </w:r>
            <w:r/>
          </w:p>
        </w:tc>
        <w:tc>
          <w:tcPr>
            <w:tcW w:w="1589" w:type="dxa"/>
            <w:vAlign w:val="center"/>
            <w:textDirection w:val="lrTb"/>
            <w:noWrap w:val="false"/>
          </w:tcPr>
          <w:p>
            <w:pPr>
              <w:jc w:val="center"/>
              <w:spacing w:before="50" w:after="50"/>
              <w:rPr>
                <w:sz w:val="18"/>
                <w:szCs w:val="21"/>
                <w:highlight w:val="none"/>
              </w:rPr>
            </w:pPr>
            <w:r>
              <w:rPr>
                <w:sz w:val="18"/>
                <w:szCs w:val="21"/>
                <w:highlight w:val="none"/>
              </w:rPr>
            </w:r>
            <w:r/>
          </w:p>
        </w:tc>
      </w:tr>
      <w:tr>
        <w:trPr>
          <w:jc w:val="center"/>
        </w:trPr>
        <w:tc>
          <w:tcPr>
            <w:tcW w:w="3055" w:type="dxa"/>
            <w:vAlign w:val="center"/>
            <w:textDirection w:val="lrTb"/>
            <w:noWrap w:val="false"/>
          </w:tcPr>
          <w:p>
            <w:pPr>
              <w:jc w:val="center"/>
              <w:spacing w:before="50" w:after="50"/>
              <w:rPr>
                <w:sz w:val="18"/>
                <w:szCs w:val="21"/>
                <w:highlight w:val="none"/>
              </w:rPr>
            </w:pPr>
            <w:r>
              <w:rPr>
                <w:sz w:val="18"/>
                <w:szCs w:val="21"/>
                <w:highlight w:val="none"/>
              </w:rPr>
              <w:t xml:space="preserve">工厂组装</w:t>
            </w:r>
            <w:r/>
          </w:p>
        </w:tc>
        <w:tc>
          <w:tcPr>
            <w:tcW w:w="1579" w:type="dxa"/>
            <w:vAlign w:val="center"/>
            <w:textDirection w:val="lrTb"/>
            <w:noWrap w:val="false"/>
          </w:tcPr>
          <w:p>
            <w:pPr>
              <w:jc w:val="center"/>
              <w:spacing w:before="50" w:after="50"/>
              <w:rPr>
                <w:sz w:val="18"/>
                <w:szCs w:val="21"/>
                <w:highlight w:val="none"/>
              </w:rPr>
            </w:pPr>
            <w:r>
              <w:rPr>
                <w:sz w:val="18"/>
                <w:szCs w:val="21"/>
                <w:highlight w:val="none"/>
              </w:rPr>
            </w:r>
            <w:r/>
          </w:p>
        </w:tc>
        <w:tc>
          <w:tcPr>
            <w:tcW w:w="1594" w:type="dxa"/>
            <w:vAlign w:val="center"/>
            <w:textDirection w:val="lrTb"/>
            <w:noWrap w:val="false"/>
          </w:tcPr>
          <w:p>
            <w:pPr>
              <w:jc w:val="center"/>
              <w:spacing w:before="50" w:after="50"/>
              <w:rPr>
                <w:sz w:val="18"/>
                <w:szCs w:val="21"/>
                <w:highlight w:val="none"/>
              </w:rPr>
            </w:pPr>
            <w:r>
              <w:rPr>
                <w:sz w:val="18"/>
                <w:szCs w:val="21"/>
                <w:highlight w:val="none"/>
              </w:rPr>
            </w:r>
            <w:r/>
          </w:p>
        </w:tc>
        <w:tc>
          <w:tcPr>
            <w:tcW w:w="1594" w:type="dxa"/>
            <w:vAlign w:val="center"/>
            <w:textDirection w:val="lrTb"/>
            <w:noWrap w:val="false"/>
          </w:tcPr>
          <w:p>
            <w:pPr>
              <w:jc w:val="center"/>
              <w:spacing w:before="50" w:after="50"/>
              <w:rPr>
                <w:sz w:val="18"/>
                <w:szCs w:val="21"/>
                <w:highlight w:val="none"/>
              </w:rPr>
            </w:pPr>
            <w:r>
              <w:rPr>
                <w:sz w:val="18"/>
                <w:szCs w:val="21"/>
                <w:highlight w:val="none"/>
              </w:rPr>
            </w:r>
            <w:r/>
          </w:p>
        </w:tc>
        <w:tc>
          <w:tcPr>
            <w:tcW w:w="1589" w:type="dxa"/>
            <w:vAlign w:val="center"/>
            <w:textDirection w:val="lrTb"/>
            <w:noWrap w:val="false"/>
          </w:tcPr>
          <w:p>
            <w:pPr>
              <w:jc w:val="center"/>
              <w:spacing w:before="50" w:after="50"/>
              <w:rPr>
                <w:sz w:val="18"/>
                <w:szCs w:val="21"/>
                <w:highlight w:val="none"/>
              </w:rPr>
            </w:pPr>
            <w:r>
              <w:rPr>
                <w:sz w:val="18"/>
                <w:szCs w:val="21"/>
                <w:highlight w:val="none"/>
              </w:rPr>
            </w:r>
            <w:r/>
          </w:p>
        </w:tc>
      </w:tr>
      <w:tr>
        <w:trPr>
          <w:jc w:val="center"/>
        </w:trPr>
        <w:tc>
          <w:tcPr>
            <w:tcW w:w="3055" w:type="dxa"/>
            <w:vAlign w:val="center"/>
            <w:textDirection w:val="lrTb"/>
            <w:noWrap w:val="false"/>
          </w:tcPr>
          <w:p>
            <w:pPr>
              <w:jc w:val="center"/>
              <w:spacing w:before="50" w:after="50"/>
              <w:rPr>
                <w:sz w:val="18"/>
                <w:szCs w:val="21"/>
                <w:highlight w:val="none"/>
              </w:rPr>
            </w:pPr>
            <w:r>
              <w:rPr>
                <w:sz w:val="18"/>
                <w:szCs w:val="21"/>
                <w:highlight w:val="none"/>
              </w:rPr>
              <w:t xml:space="preserve">工厂试验</w:t>
            </w:r>
            <w:r/>
          </w:p>
        </w:tc>
        <w:tc>
          <w:tcPr>
            <w:tcW w:w="1579" w:type="dxa"/>
            <w:vAlign w:val="center"/>
            <w:textDirection w:val="lrTb"/>
            <w:noWrap w:val="false"/>
          </w:tcPr>
          <w:p>
            <w:pPr>
              <w:jc w:val="center"/>
              <w:spacing w:before="50" w:after="50"/>
              <w:rPr>
                <w:sz w:val="18"/>
                <w:szCs w:val="21"/>
                <w:highlight w:val="none"/>
              </w:rPr>
            </w:pPr>
            <w:r>
              <w:rPr>
                <w:sz w:val="18"/>
                <w:szCs w:val="21"/>
                <w:highlight w:val="none"/>
              </w:rPr>
            </w:r>
            <w:r/>
          </w:p>
        </w:tc>
        <w:tc>
          <w:tcPr>
            <w:tcW w:w="1594" w:type="dxa"/>
            <w:vAlign w:val="center"/>
            <w:textDirection w:val="lrTb"/>
            <w:noWrap w:val="false"/>
          </w:tcPr>
          <w:p>
            <w:pPr>
              <w:jc w:val="center"/>
              <w:spacing w:before="50" w:after="50"/>
              <w:rPr>
                <w:sz w:val="18"/>
                <w:szCs w:val="21"/>
                <w:highlight w:val="none"/>
              </w:rPr>
            </w:pPr>
            <w:r>
              <w:rPr>
                <w:sz w:val="18"/>
                <w:szCs w:val="21"/>
                <w:highlight w:val="none"/>
              </w:rPr>
            </w:r>
            <w:r/>
          </w:p>
        </w:tc>
        <w:tc>
          <w:tcPr>
            <w:tcW w:w="1594" w:type="dxa"/>
            <w:vAlign w:val="center"/>
            <w:textDirection w:val="lrTb"/>
            <w:noWrap w:val="false"/>
          </w:tcPr>
          <w:p>
            <w:pPr>
              <w:jc w:val="center"/>
              <w:spacing w:before="50" w:after="50"/>
              <w:rPr>
                <w:sz w:val="18"/>
                <w:szCs w:val="21"/>
                <w:highlight w:val="none"/>
              </w:rPr>
            </w:pPr>
            <w:r>
              <w:rPr>
                <w:sz w:val="18"/>
                <w:szCs w:val="21"/>
                <w:highlight w:val="none"/>
              </w:rPr>
            </w:r>
            <w:r/>
          </w:p>
        </w:tc>
        <w:tc>
          <w:tcPr>
            <w:tcW w:w="1589" w:type="dxa"/>
            <w:vAlign w:val="center"/>
            <w:textDirection w:val="lrTb"/>
            <w:noWrap w:val="false"/>
          </w:tcPr>
          <w:p>
            <w:pPr>
              <w:jc w:val="center"/>
              <w:spacing w:before="50" w:after="50"/>
              <w:rPr>
                <w:sz w:val="18"/>
                <w:szCs w:val="21"/>
                <w:highlight w:val="none"/>
              </w:rPr>
            </w:pPr>
            <w:r>
              <w:rPr>
                <w:sz w:val="18"/>
                <w:szCs w:val="21"/>
                <w:highlight w:val="none"/>
              </w:rPr>
            </w:r>
            <w:r/>
          </w:p>
        </w:tc>
      </w:tr>
    </w:tbl>
    <w:p>
      <w:pPr>
        <w:spacing w:line="312" w:lineRule="exact"/>
        <w:rPr>
          <w:szCs w:val="21"/>
          <w:highlight w:val="none"/>
        </w:rPr>
      </w:pPr>
      <w:r>
        <w:rPr>
          <w:szCs w:val="21"/>
          <w:highlight w:val="none"/>
        </w:rPr>
        <w:t xml:space="preserve">4</w:t>
      </w:r>
      <w:r>
        <w:rPr>
          <w:spacing w:val="20"/>
          <w:szCs w:val="21"/>
          <w:highlight w:val="none"/>
        </w:rPr>
        <w:t xml:space="preserve">.</w:t>
      </w:r>
      <w:r>
        <w:rPr>
          <w:szCs w:val="21"/>
          <w:highlight w:val="none"/>
        </w:rPr>
        <w:t xml:space="preserve">3</w:t>
      </w:r>
      <w:r>
        <w:rPr>
          <w:spacing w:val="20"/>
          <w:szCs w:val="21"/>
          <w:highlight w:val="none"/>
        </w:rPr>
        <w:t xml:space="preserve">.</w:t>
      </w:r>
      <w:r>
        <w:rPr>
          <w:szCs w:val="21"/>
          <w:highlight w:val="none"/>
        </w:rPr>
        <w:t xml:space="preserve">3　工作进度如有延误，投标人应及时向招标人说明原因、后果及采取的补救措施等。</w:t>
      </w:r>
      <w:r/>
    </w:p>
    <w:p>
      <w:pPr>
        <w:pStyle w:val="1153"/>
        <w:rPr>
          <w:highlight w:val="none"/>
        </w:rPr>
      </w:pPr>
      <w:r/>
      <w:bookmarkStart w:id="81" w:name="_Toc250810494"/>
      <w:r/>
      <w:bookmarkStart w:id="82" w:name="_Toc155151898"/>
      <w:r>
        <w:rPr>
          <w:rFonts w:eastAsia="黑体"/>
          <w:sz w:val="21"/>
          <w:szCs w:val="20"/>
          <w:highlight w:val="none"/>
        </w:rPr>
        <w:t xml:space="preserve">4.4　对设计图纸、说明书和试验报告的要求</w:t>
      </w:r>
      <w:bookmarkEnd w:id="81"/>
      <w:r/>
      <w:bookmarkEnd w:id="82"/>
      <w:r/>
      <w:r/>
    </w:p>
    <w:p>
      <w:pPr>
        <w:rPr>
          <w:szCs w:val="24"/>
          <w:highlight w:val="none"/>
        </w:rPr>
      </w:pPr>
      <w:r>
        <w:rPr>
          <w:szCs w:val="24"/>
          <w:highlight w:val="none"/>
        </w:rPr>
        <w:t xml:space="preserve">4.4.1　图纸及图纸的认可和交付</w:t>
      </w:r>
      <w:r/>
    </w:p>
    <w:p>
      <w:pPr>
        <w:ind w:firstLine="425"/>
        <w:rPr>
          <w:szCs w:val="21"/>
          <w:highlight w:val="none"/>
        </w:rPr>
      </w:pPr>
      <w:r>
        <w:rPr>
          <w:szCs w:val="21"/>
          <w:highlight w:val="none"/>
        </w:rPr>
        <w:t xml:space="preserve">a）</w:t>
      </w:r>
      <w:r>
        <w:rPr>
          <w:szCs w:val="21"/>
          <w:highlight w:val="none"/>
        </w:rPr>
        <w:tab/>
      </w:r>
      <w:r>
        <w:rPr>
          <w:szCs w:val="21"/>
          <w:highlight w:val="none"/>
        </w:rPr>
        <w:t xml:space="preserve">所有需经招标人确认的图纸和说明文件，均应由投标人在合同生效后的4周内提交给招标人进</w:t>
      </w:r>
      <w:r>
        <w:rPr>
          <w:szCs w:val="21"/>
          <w:highlight w:val="none"/>
        </w:rPr>
        <w:tab/>
      </w:r>
      <w:r>
        <w:rPr>
          <w:szCs w:val="21"/>
          <w:highlight w:val="none"/>
        </w:rPr>
        <w:t xml:space="preserve">行审定认可。这些资料包括箱式变电站总装图、基础图、电气原理图等。招标人审定时有权提出修改意见。招标人在收到需认可图纸2周后，将一套确认的或签有招标人校定标记的图纸（招标人负责人签字）返还给投标人。凡招标人认为需要修改且经投标人认可的，不得对招标人增加费用。在未经招标人对图纸作最后认可前任何采购或加工的材料损失应由投标人单独承担。</w:t>
      </w:r>
      <w:r/>
    </w:p>
    <w:p>
      <w:pPr>
        <w:ind w:firstLine="425"/>
        <w:spacing w:line="240" w:lineRule="exact"/>
        <w:rPr>
          <w:szCs w:val="21"/>
          <w:highlight w:val="none"/>
        </w:rPr>
      </w:pPr>
      <w:r>
        <w:rPr>
          <w:szCs w:val="21"/>
          <w:highlight w:val="none"/>
        </w:rPr>
        <w:t xml:space="preserve">b）</w:t>
      </w:r>
      <w:r>
        <w:rPr>
          <w:szCs w:val="21"/>
          <w:highlight w:val="none"/>
        </w:rPr>
        <w:tab/>
      </w:r>
      <w:r>
        <w:rPr>
          <w:szCs w:val="21"/>
          <w:highlight w:val="none"/>
        </w:rPr>
        <w:t xml:space="preserve">投标人在收到招标人确认图纸（包括认可方修正意见）后，应于1周内向1.4.4中1）款所列有</w:t>
      </w:r>
      <w:r>
        <w:rPr>
          <w:szCs w:val="21"/>
          <w:highlight w:val="none"/>
        </w:rPr>
        <w:tab/>
      </w:r>
      <w:r>
        <w:rPr>
          <w:szCs w:val="21"/>
          <w:highlight w:val="none"/>
        </w:rPr>
        <w:t xml:space="preserve">关单位提供最终版的正式图纸和一套供复制用的底图及正式光盘，正式图纸必须加盖工厂公章或签字。</w:t>
      </w:r>
      <w:r/>
    </w:p>
    <w:p>
      <w:pPr>
        <w:ind w:firstLine="425"/>
        <w:rPr>
          <w:szCs w:val="21"/>
          <w:highlight w:val="none"/>
        </w:rPr>
      </w:pPr>
      <w:r>
        <w:rPr>
          <w:szCs w:val="21"/>
          <w:highlight w:val="none"/>
        </w:rPr>
        <w:t xml:space="preserve">c）</w:t>
      </w:r>
      <w:r>
        <w:rPr>
          <w:szCs w:val="21"/>
          <w:highlight w:val="none"/>
        </w:rPr>
        <w:tab/>
      </w:r>
      <w:r>
        <w:rPr>
          <w:szCs w:val="21"/>
          <w:highlight w:val="none"/>
        </w:rPr>
        <w:t xml:space="preserve">完工后的产品应与最后确认的图纸一致。招标人对图纸的认可并不减轻投标人关于其图纸的正</w:t>
      </w:r>
      <w:r>
        <w:rPr>
          <w:szCs w:val="21"/>
          <w:highlight w:val="none"/>
        </w:rPr>
        <w:tab/>
      </w:r>
      <w:r>
        <w:rPr>
          <w:szCs w:val="21"/>
          <w:highlight w:val="none"/>
        </w:rPr>
        <w:t xml:space="preserve">确性的责任。设备在现场安装时，如投标人技术人员进一步修改图纸，投标人应对图纸重新收编成册，正式递交招标人，并保证安装后的设备与图纸完全相符。</w:t>
      </w:r>
      <w:r/>
    </w:p>
    <w:p>
      <w:pPr>
        <w:ind w:firstLine="425"/>
        <w:rPr>
          <w:szCs w:val="21"/>
          <w:highlight w:val="none"/>
        </w:rPr>
      </w:pPr>
      <w:r>
        <w:rPr>
          <w:szCs w:val="21"/>
          <w:highlight w:val="none"/>
        </w:rPr>
        <w:t xml:space="preserve">d）</w:t>
      </w:r>
      <w:r>
        <w:rPr>
          <w:szCs w:val="21"/>
          <w:highlight w:val="none"/>
        </w:rPr>
        <w:tab/>
      </w:r>
      <w:r>
        <w:rPr>
          <w:szCs w:val="21"/>
          <w:highlight w:val="none"/>
        </w:rPr>
        <w:t xml:space="preserve">图纸的格式：所有图纸均应有标题栏、相应编号、全部符号和部件标志，文字均用中文，并使</w:t>
      </w:r>
      <w:r>
        <w:rPr>
          <w:szCs w:val="21"/>
          <w:highlight w:val="none"/>
        </w:rPr>
        <w:tab/>
      </w:r>
      <w:r>
        <w:rPr>
          <w:spacing w:val="2"/>
          <w:szCs w:val="21"/>
          <w:highlight w:val="none"/>
        </w:rPr>
        <w:t xml:space="preserve">用SI国际单位制。对于进口设备以中文为主，当招标人对英文局部有疑问时，投标人应</w:t>
      </w:r>
      <w:r>
        <w:rPr>
          <w:spacing w:val="3"/>
          <w:szCs w:val="21"/>
          <w:highlight w:val="none"/>
        </w:rPr>
        <w:t xml:space="preserve">进行</w:t>
      </w:r>
      <w:r>
        <w:rPr>
          <w:szCs w:val="21"/>
          <w:highlight w:val="none"/>
        </w:rPr>
        <w:t xml:space="preserve">书面解释。</w:t>
      </w:r>
      <w:r>
        <w:rPr>
          <w:rFonts w:hint="eastAsia"/>
          <w:spacing w:val="2"/>
          <w:szCs w:val="21"/>
          <w:highlight w:val="none"/>
        </w:rPr>
        <w:t xml:space="preserve">投标人免费提供给招标人全部最终版的图纸、资料及说明书。其中图纸应包括</w:t>
      </w:r>
      <w:r>
        <w:rPr>
          <w:spacing w:val="2"/>
          <w:szCs w:val="21"/>
          <w:highlight w:val="none"/>
        </w:rPr>
        <w:t xml:space="preserve">4.3.4中(1）款</w:t>
      </w:r>
      <w:r>
        <w:rPr>
          <w:rFonts w:hint="eastAsia"/>
          <w:szCs w:val="21"/>
          <w:highlight w:val="none"/>
        </w:rPr>
        <w:t xml:space="preserve">所涉及的图纸，并且应保证招标人可按最终版的图纸资料对所供设备进行维护和更换零部件。</w:t>
      </w:r>
      <w:r/>
    </w:p>
    <w:p>
      <w:pPr>
        <w:ind w:firstLine="425"/>
        <w:rPr>
          <w:szCs w:val="21"/>
          <w:highlight w:val="none"/>
        </w:rPr>
      </w:pPr>
      <w:r>
        <w:rPr>
          <w:szCs w:val="21"/>
          <w:highlight w:val="none"/>
        </w:rPr>
        <w:t xml:space="preserve">e）</w:t>
      </w:r>
      <w:r>
        <w:rPr>
          <w:szCs w:val="21"/>
          <w:highlight w:val="none"/>
        </w:rPr>
        <w:tab/>
      </w:r>
      <w:r>
        <w:rPr>
          <w:rFonts w:hint="eastAsia"/>
          <w:szCs w:val="21"/>
          <w:highlight w:val="none"/>
        </w:rPr>
        <w:t xml:space="preserve">箱式变电站所需图纸：</w:t>
      </w:r>
      <w:r/>
    </w:p>
    <w:p>
      <w:pPr>
        <w:ind w:firstLine="420"/>
        <w:rPr>
          <w:szCs w:val="21"/>
          <w:highlight w:val="none"/>
        </w:rPr>
      </w:pPr>
      <w:r>
        <w:rPr>
          <w:szCs w:val="21"/>
          <w:highlight w:val="none"/>
        </w:rPr>
        <w:t xml:space="preserve">总装图：应表示设备总的装配情况，包括外形尺寸、箱内设备布置、绝缘子的爬电距离、及其他附件的布置尺寸图、接线柱的位置、大小尺寸、材料及允许作用力。运输尺寸和质量，起吊位置，起吊高度和质量。</w:t>
      </w:r>
      <w:r/>
    </w:p>
    <w:p>
      <w:pPr>
        <w:ind w:firstLine="420"/>
        <w:rPr>
          <w:szCs w:val="21"/>
          <w:highlight w:val="none"/>
        </w:rPr>
      </w:pPr>
      <w:r>
        <w:rPr>
          <w:szCs w:val="21"/>
          <w:highlight w:val="none"/>
        </w:rPr>
        <w:t xml:space="preserve">基础图：应标明设备作用于基础上的静负荷及操作时的动负荷、基础螺栓的位置和尺寸等。</w:t>
      </w:r>
      <w:r/>
    </w:p>
    <w:p>
      <w:pPr>
        <w:ind w:firstLine="420"/>
        <w:rPr>
          <w:szCs w:val="21"/>
          <w:highlight w:val="none"/>
        </w:rPr>
      </w:pPr>
      <w:r>
        <w:rPr>
          <w:szCs w:val="21"/>
          <w:highlight w:val="none"/>
        </w:rPr>
        <w:t xml:space="preserve">铭牌图：应符合GB</w:t>
      </w:r>
      <w:r>
        <w:rPr>
          <w:rFonts w:hint="eastAsia"/>
          <w:szCs w:val="21"/>
          <w:highlight w:val="none"/>
        </w:rPr>
        <w:t xml:space="preserve">17467</w:t>
      </w:r>
      <w:r>
        <w:rPr>
          <w:szCs w:val="21"/>
          <w:highlight w:val="none"/>
        </w:rPr>
        <w:t xml:space="preserve">的规定，应表明全部设备额定数据（包括变压器、低压设备）、质量、出厂编号、产品代号。</w:t>
      </w:r>
      <w:r/>
    </w:p>
    <w:p>
      <w:pPr>
        <w:rPr>
          <w:highlight w:val="none"/>
        </w:rPr>
      </w:pPr>
      <w:r>
        <w:rPr>
          <w:szCs w:val="24"/>
          <w:highlight w:val="none"/>
        </w:rPr>
        <w:t xml:space="preserve">4.4.2　说明书的要求</w:t>
      </w:r>
      <w:r>
        <w:rPr>
          <w:szCs w:val="21"/>
          <w:highlight w:val="none"/>
        </w:rPr>
        <w:t xml:space="preserve">应包括以下内容（进口附件应提供中文说明书，中外文版本的以中文为准）：</w:t>
      </w:r>
      <w:r/>
    </w:p>
    <w:p>
      <w:pPr>
        <w:ind w:firstLine="425"/>
        <w:rPr>
          <w:szCs w:val="21"/>
          <w:highlight w:val="none"/>
        </w:rPr>
      </w:pPr>
      <w:r>
        <w:rPr>
          <w:szCs w:val="21"/>
          <w:highlight w:val="none"/>
        </w:rPr>
        <w:t xml:space="preserve">a</w:t>
      </w:r>
      <w:r>
        <w:rPr>
          <w:rFonts w:hint="eastAsia"/>
          <w:szCs w:val="21"/>
          <w:highlight w:val="none"/>
        </w:rPr>
        <w:t xml:space="preserve">）</w:t>
      </w:r>
      <w:r>
        <w:rPr>
          <w:szCs w:val="21"/>
          <w:highlight w:val="none"/>
        </w:rPr>
        <w:tab/>
      </w:r>
      <w:r>
        <w:rPr>
          <w:rFonts w:hint="eastAsia"/>
          <w:szCs w:val="21"/>
          <w:highlight w:val="none"/>
        </w:rPr>
        <w:t xml:space="preserve">箱式变电站概述：简述结构、接线、变压器型式和低压设备等。</w:t>
      </w:r>
      <w:r/>
    </w:p>
    <w:p>
      <w:pPr>
        <w:ind w:firstLine="425"/>
        <w:rPr>
          <w:szCs w:val="21"/>
          <w:highlight w:val="none"/>
        </w:rPr>
      </w:pPr>
      <w:r>
        <w:rPr>
          <w:szCs w:val="21"/>
          <w:highlight w:val="none"/>
        </w:rPr>
        <w:t xml:space="preserve">b</w:t>
      </w:r>
      <w:r>
        <w:rPr>
          <w:rFonts w:hint="eastAsia"/>
          <w:szCs w:val="21"/>
          <w:highlight w:val="none"/>
        </w:rPr>
        <w:t xml:space="preserve">）</w:t>
      </w:r>
      <w:r>
        <w:rPr>
          <w:szCs w:val="21"/>
          <w:highlight w:val="none"/>
        </w:rPr>
        <w:tab/>
      </w:r>
      <w:r>
        <w:rPr>
          <w:rFonts w:hint="eastAsia"/>
          <w:szCs w:val="21"/>
          <w:highlight w:val="none"/>
        </w:rPr>
        <w:t xml:space="preserve">箱式变电站安装维护与检查说明。</w:t>
      </w:r>
      <w:r/>
    </w:p>
    <w:p>
      <w:pPr>
        <w:ind w:firstLine="425"/>
        <w:rPr>
          <w:szCs w:val="21"/>
          <w:highlight w:val="none"/>
        </w:rPr>
      </w:pPr>
      <w:r>
        <w:rPr>
          <w:szCs w:val="21"/>
          <w:highlight w:val="none"/>
        </w:rPr>
        <w:t xml:space="preserve">c</w:t>
      </w:r>
      <w:r>
        <w:rPr>
          <w:rFonts w:hint="eastAsia"/>
          <w:szCs w:val="21"/>
          <w:highlight w:val="none"/>
        </w:rPr>
        <w:t xml:space="preserve">）</w:t>
      </w:r>
      <w:r>
        <w:rPr>
          <w:szCs w:val="21"/>
          <w:highlight w:val="none"/>
        </w:rPr>
        <w:tab/>
      </w:r>
      <w:r>
        <w:rPr>
          <w:rFonts w:hint="eastAsia"/>
          <w:szCs w:val="21"/>
          <w:highlight w:val="none"/>
        </w:rPr>
        <w:t xml:space="preserve">箱式变电站所有其他附件的说明。</w:t>
      </w:r>
      <w:r/>
    </w:p>
    <w:p>
      <w:pPr>
        <w:rPr>
          <w:highlight w:val="none"/>
        </w:rPr>
      </w:pPr>
      <w:r>
        <w:rPr>
          <w:szCs w:val="24"/>
          <w:highlight w:val="none"/>
        </w:rPr>
        <w:t xml:space="preserve">4.4.3　试验报告</w:t>
      </w:r>
      <w:r/>
    </w:p>
    <w:p>
      <w:pPr>
        <w:ind w:firstLine="425"/>
        <w:rPr>
          <w:szCs w:val="21"/>
          <w:highlight w:val="none"/>
        </w:rPr>
      </w:pPr>
      <w:r>
        <w:rPr>
          <w:rFonts w:hint="eastAsia"/>
          <w:szCs w:val="21"/>
          <w:highlight w:val="none"/>
        </w:rPr>
        <w:t xml:space="preserve">投标人应提供下列试验报告：</w:t>
      </w:r>
      <w:r/>
    </w:p>
    <w:p>
      <w:pPr>
        <w:ind w:firstLine="425"/>
        <w:rPr>
          <w:szCs w:val="21"/>
          <w:highlight w:val="none"/>
        </w:rPr>
      </w:pPr>
      <w:r>
        <w:rPr>
          <w:szCs w:val="21"/>
          <w:highlight w:val="none"/>
        </w:rPr>
        <w:t xml:space="preserve">a）</w:t>
      </w:r>
      <w:r>
        <w:rPr>
          <w:szCs w:val="21"/>
          <w:highlight w:val="none"/>
        </w:rPr>
        <w:tab/>
      </w:r>
      <w:r>
        <w:rPr>
          <w:rFonts w:hint="eastAsia"/>
          <w:szCs w:val="21"/>
          <w:highlight w:val="none"/>
        </w:rPr>
        <w:t xml:space="preserve">箱式变电站的例行和合同规定项目的试验报告。</w:t>
      </w:r>
      <w:r/>
    </w:p>
    <w:p>
      <w:pPr>
        <w:ind w:firstLine="425"/>
        <w:rPr>
          <w:szCs w:val="21"/>
          <w:highlight w:val="none"/>
        </w:rPr>
      </w:pPr>
      <w:r>
        <w:rPr>
          <w:szCs w:val="21"/>
          <w:highlight w:val="none"/>
        </w:rPr>
        <w:t xml:space="preserve">b）</w:t>
      </w:r>
      <w:r>
        <w:rPr>
          <w:szCs w:val="21"/>
          <w:highlight w:val="none"/>
        </w:rPr>
        <w:tab/>
      </w:r>
      <w:r>
        <w:rPr>
          <w:rFonts w:hint="eastAsia"/>
          <w:szCs w:val="21"/>
          <w:highlight w:val="none"/>
        </w:rPr>
        <w:t xml:space="preserve">箱式变电站制造厂的验收报告。</w:t>
      </w:r>
      <w:r/>
    </w:p>
    <w:p>
      <w:pPr>
        <w:ind w:firstLine="425"/>
        <w:rPr>
          <w:szCs w:val="21"/>
          <w:highlight w:val="none"/>
        </w:rPr>
      </w:pPr>
      <w:r>
        <w:rPr>
          <w:szCs w:val="21"/>
          <w:highlight w:val="none"/>
        </w:rPr>
        <w:t xml:space="preserve">c)  </w:t>
      </w:r>
      <w:r>
        <w:rPr>
          <w:rFonts w:hint="eastAsia"/>
          <w:szCs w:val="21"/>
          <w:highlight w:val="none"/>
        </w:rPr>
        <w:t xml:space="preserve">站内使用的配电变压器都应提供抗短路能力试验报告。</w:t>
      </w:r>
      <w:r/>
    </w:p>
    <w:p>
      <w:pPr>
        <w:rPr>
          <w:highlight w:val="none"/>
        </w:rPr>
      </w:pPr>
      <w:r/>
      <w:bookmarkStart w:id="83" w:name="_Toc340376531"/>
      <w:r>
        <w:rPr>
          <w:szCs w:val="24"/>
          <w:highlight w:val="none"/>
        </w:rPr>
        <w:t xml:space="preserve">4.4.4　图纸、说明书、试验报告等资料的交付时间、数量</w:t>
      </w:r>
      <w:bookmarkEnd w:id="83"/>
      <w:r/>
      <w:r/>
    </w:p>
    <w:p>
      <w:pPr>
        <w:ind w:firstLine="420"/>
        <w:spacing w:line="312" w:lineRule="exact"/>
        <w:rPr>
          <w:szCs w:val="21"/>
          <w:highlight w:val="none"/>
        </w:rPr>
      </w:pPr>
      <w:r>
        <w:rPr>
          <w:rFonts w:hint="eastAsia"/>
          <w:szCs w:val="21"/>
          <w:highlight w:val="none"/>
        </w:rPr>
        <w:t xml:space="preserve">投标人向招标人提供的资料、图纸和试验报告见表</w:t>
      </w:r>
      <w:r>
        <w:rPr>
          <w:szCs w:val="21"/>
          <w:highlight w:val="none"/>
        </w:rPr>
        <w:t xml:space="preserve">2，但不限于表2的内容。</w:t>
      </w:r>
      <w:r/>
    </w:p>
    <w:p>
      <w:pPr>
        <w:pStyle w:val="1152"/>
        <w:rPr>
          <w:highlight w:val="none"/>
        </w:rPr>
      </w:pPr>
      <w:r>
        <w:rPr>
          <w:highlight w:val="none"/>
        </w:rPr>
        <w:t xml:space="preserve">表2　投标人向招标人提供的资料、图纸和试验报告</w:t>
      </w:r>
      <w:r/>
    </w:p>
    <w:tbl>
      <w:tblPr>
        <w:tblStyle w:val="827"/>
        <w:tblW w:w="941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3923"/>
        <w:gridCol w:w="781"/>
        <w:gridCol w:w="3924"/>
      </w:tblGrid>
      <w:tr>
        <w:trPr>
          <w:cantSplit/>
          <w:jc w:val="center"/>
          <w:tblHeader/>
        </w:trPr>
        <w:tc>
          <w:tcPr>
            <w:tcW w:w="783" w:type="dxa"/>
            <w:vAlign w:val="center"/>
            <w:textDirection w:val="lrTb"/>
            <w:noWrap w:val="false"/>
          </w:tcPr>
          <w:p>
            <w:pPr>
              <w:jc w:val="center"/>
              <w:spacing w:before="100" w:after="100"/>
              <w:rPr>
                <w:b/>
                <w:sz w:val="18"/>
                <w:szCs w:val="21"/>
                <w:highlight w:val="none"/>
              </w:rPr>
            </w:pPr>
            <w:r>
              <w:rPr>
                <w:b/>
                <w:sz w:val="18"/>
                <w:szCs w:val="21"/>
                <w:highlight w:val="none"/>
              </w:rPr>
              <w:t xml:space="preserve">序号</w:t>
            </w:r>
            <w:r/>
          </w:p>
        </w:tc>
        <w:tc>
          <w:tcPr>
            <w:tcBorders>
              <w:right w:val="single" w:color="auto" w:sz="4" w:space="0"/>
            </w:tcBorders>
            <w:tcW w:w="3923" w:type="dxa"/>
            <w:vAlign w:val="center"/>
            <w:textDirection w:val="lrTb"/>
            <w:noWrap w:val="false"/>
          </w:tcPr>
          <w:p>
            <w:pPr>
              <w:jc w:val="center"/>
              <w:spacing w:before="100" w:after="100"/>
              <w:rPr>
                <w:b/>
                <w:sz w:val="18"/>
                <w:szCs w:val="21"/>
                <w:highlight w:val="none"/>
              </w:rPr>
            </w:pPr>
            <w:r>
              <w:rPr>
                <w:b/>
                <w:sz w:val="18"/>
                <w:szCs w:val="21"/>
                <w:highlight w:val="none"/>
              </w:rPr>
              <w:t xml:space="preserve">内　　容</w:t>
            </w:r>
            <w:r/>
          </w:p>
        </w:tc>
        <w:tc>
          <w:tcPr>
            <w:tcBorders>
              <w:top w:val="single" w:color="auto" w:sz="8" w:space="0"/>
              <w:left w:val="single" w:color="auto" w:sz="4" w:space="0"/>
              <w:bottom w:val="single" w:color="auto" w:sz="4" w:space="0"/>
            </w:tcBorders>
            <w:tcW w:w="781" w:type="dxa"/>
            <w:vAlign w:val="center"/>
            <w:textDirection w:val="lrTb"/>
            <w:noWrap w:val="false"/>
          </w:tcPr>
          <w:p>
            <w:pPr>
              <w:jc w:val="center"/>
              <w:spacing w:before="100" w:after="100"/>
              <w:rPr>
                <w:b/>
                <w:sz w:val="18"/>
                <w:szCs w:val="21"/>
                <w:highlight w:val="none"/>
              </w:rPr>
            </w:pPr>
            <w:r>
              <w:rPr>
                <w:b/>
                <w:sz w:val="18"/>
                <w:szCs w:val="21"/>
                <w:highlight w:val="none"/>
              </w:rPr>
              <w:t xml:space="preserve">序号</w:t>
            </w:r>
            <w:r/>
          </w:p>
        </w:tc>
        <w:tc>
          <w:tcPr>
            <w:tcW w:w="3924" w:type="dxa"/>
            <w:vAlign w:val="center"/>
            <w:textDirection w:val="lrTb"/>
            <w:noWrap w:val="false"/>
          </w:tcPr>
          <w:p>
            <w:pPr>
              <w:jc w:val="center"/>
              <w:spacing w:before="100" w:after="100"/>
              <w:rPr>
                <w:b/>
                <w:sz w:val="18"/>
                <w:szCs w:val="21"/>
                <w:highlight w:val="none"/>
              </w:rPr>
            </w:pPr>
            <w:r>
              <w:rPr>
                <w:b/>
                <w:sz w:val="18"/>
                <w:szCs w:val="21"/>
                <w:highlight w:val="none"/>
              </w:rPr>
              <w:t xml:space="preserve">内　　容</w:t>
            </w:r>
            <w:r/>
          </w:p>
        </w:tc>
      </w:tr>
      <w:tr>
        <w:trPr>
          <w:cantSplit/>
          <w:jc w:val="center"/>
        </w:trPr>
        <w:tc>
          <w:tcPr>
            <w:tcW w:w="783" w:type="dxa"/>
            <w:vAlign w:val="center"/>
            <w:textDirection w:val="lrTb"/>
            <w:noWrap w:val="false"/>
          </w:tcPr>
          <w:p>
            <w:pPr>
              <w:jc w:val="center"/>
              <w:spacing w:before="100" w:after="100"/>
              <w:rPr>
                <w:sz w:val="18"/>
                <w:szCs w:val="21"/>
                <w:highlight w:val="none"/>
              </w:rPr>
            </w:pPr>
            <w:r>
              <w:rPr>
                <w:rFonts w:hint="eastAsia"/>
                <w:sz w:val="18"/>
                <w:szCs w:val="21"/>
                <w:highlight w:val="none"/>
              </w:rPr>
              <w:t xml:space="preserve">（</w:t>
            </w:r>
            <w:r>
              <w:rPr>
                <w:sz w:val="18"/>
                <w:szCs w:val="21"/>
                <w:highlight w:val="none"/>
              </w:rPr>
              <w:t xml:space="preserve">1</w:t>
            </w:r>
            <w:r>
              <w:rPr>
                <w:rFonts w:hint="eastAsia"/>
                <w:sz w:val="18"/>
                <w:szCs w:val="21"/>
                <w:highlight w:val="none"/>
              </w:rPr>
              <w:t xml:space="preserve">）</w:t>
            </w:r>
            <w:r/>
          </w:p>
        </w:tc>
        <w:tc>
          <w:tcPr>
            <w:tcBorders>
              <w:right w:val="single" w:color="auto" w:sz="4" w:space="0"/>
            </w:tcBorders>
            <w:tcW w:w="3923" w:type="dxa"/>
            <w:vAlign w:val="center"/>
            <w:textDirection w:val="lrTb"/>
            <w:noWrap w:val="false"/>
          </w:tcPr>
          <w:p>
            <w:pPr>
              <w:ind w:firstLine="180"/>
              <w:spacing w:before="100" w:after="100"/>
              <w:rPr>
                <w:sz w:val="18"/>
                <w:szCs w:val="21"/>
                <w:highlight w:val="none"/>
              </w:rPr>
            </w:pPr>
            <w:r>
              <w:rPr>
                <w:sz w:val="18"/>
                <w:szCs w:val="21"/>
                <w:highlight w:val="none"/>
              </w:rPr>
              <w:t xml:space="preserve">图纸类</w:t>
            </w:r>
            <w:r/>
          </w:p>
        </w:tc>
        <w:tc>
          <w:tcPr>
            <w:tcBorders>
              <w:top w:val="single" w:color="auto" w:sz="4" w:space="0"/>
              <w:left w:val="single" w:color="auto" w:sz="4" w:space="0"/>
              <w:bottom w:val="single" w:color="auto" w:sz="4" w:space="0"/>
            </w:tcBorders>
            <w:tcW w:w="781" w:type="dxa"/>
            <w:vAlign w:val="center"/>
            <w:textDirection w:val="lrTb"/>
            <w:noWrap w:val="false"/>
          </w:tcPr>
          <w:p>
            <w:pPr>
              <w:jc w:val="center"/>
              <w:spacing w:before="100" w:after="100"/>
              <w:rPr>
                <w:sz w:val="18"/>
                <w:szCs w:val="21"/>
                <w:highlight w:val="none"/>
              </w:rPr>
            </w:pPr>
            <w:r>
              <w:rPr>
                <w:sz w:val="18"/>
                <w:szCs w:val="21"/>
                <w:highlight w:val="none"/>
              </w:rPr>
              <w:t xml:space="preserve">3</w:t>
            </w:r>
            <w:r>
              <w:rPr>
                <w:rFonts w:hint="eastAsia"/>
                <w:sz w:val="18"/>
                <w:szCs w:val="21"/>
                <w:highlight w:val="none"/>
              </w:rPr>
              <w:t xml:space="preserve">）</w:t>
            </w:r>
            <w:r/>
          </w:p>
        </w:tc>
        <w:tc>
          <w:tcPr>
            <w:tcW w:w="3924" w:type="dxa"/>
            <w:vAlign w:val="center"/>
            <w:textDirection w:val="lrTb"/>
            <w:noWrap w:val="false"/>
          </w:tcPr>
          <w:p>
            <w:pPr>
              <w:ind w:firstLine="180"/>
              <w:spacing w:before="100" w:after="100"/>
              <w:rPr>
                <w:sz w:val="18"/>
                <w:szCs w:val="21"/>
                <w:highlight w:val="none"/>
              </w:rPr>
            </w:pPr>
            <w:r>
              <w:rPr>
                <w:sz w:val="18"/>
                <w:szCs w:val="21"/>
                <w:highlight w:val="none"/>
              </w:rPr>
              <w:t xml:space="preserve">例行试验数据</w:t>
            </w:r>
            <w:r/>
          </w:p>
        </w:tc>
      </w:tr>
      <w:tr>
        <w:trPr>
          <w:cantSplit/>
          <w:jc w:val="center"/>
        </w:trPr>
        <w:tc>
          <w:tcPr>
            <w:tcW w:w="783" w:type="dxa"/>
            <w:vAlign w:val="center"/>
            <w:textDirection w:val="lrTb"/>
            <w:noWrap w:val="false"/>
          </w:tcPr>
          <w:p>
            <w:pPr>
              <w:jc w:val="center"/>
              <w:spacing w:before="100" w:after="100"/>
              <w:rPr>
                <w:sz w:val="18"/>
                <w:szCs w:val="21"/>
                <w:highlight w:val="none"/>
              </w:rPr>
            </w:pPr>
            <w:r>
              <w:rPr>
                <w:sz w:val="18"/>
                <w:szCs w:val="21"/>
                <w:highlight w:val="none"/>
              </w:rPr>
              <w:t xml:space="preserve">1</w:t>
            </w:r>
            <w:r>
              <w:rPr>
                <w:rFonts w:hint="eastAsia"/>
                <w:sz w:val="18"/>
                <w:szCs w:val="21"/>
                <w:highlight w:val="none"/>
              </w:rPr>
              <w:t xml:space="preserve">）</w:t>
            </w:r>
            <w:r/>
          </w:p>
        </w:tc>
        <w:tc>
          <w:tcPr>
            <w:tcBorders>
              <w:right w:val="single" w:color="auto" w:sz="4" w:space="0"/>
            </w:tcBorders>
            <w:tcW w:w="3923" w:type="dxa"/>
            <w:vAlign w:val="center"/>
            <w:textDirection w:val="lrTb"/>
            <w:noWrap w:val="false"/>
          </w:tcPr>
          <w:p>
            <w:pPr>
              <w:ind w:firstLine="180"/>
              <w:spacing w:before="100" w:after="100"/>
              <w:rPr>
                <w:sz w:val="18"/>
                <w:szCs w:val="21"/>
                <w:highlight w:val="none"/>
              </w:rPr>
            </w:pPr>
            <w:r>
              <w:rPr>
                <w:sz w:val="18"/>
                <w:szCs w:val="21"/>
                <w:highlight w:val="none"/>
              </w:rPr>
              <w:t xml:space="preserve">基础图</w:t>
            </w:r>
            <w:r/>
          </w:p>
        </w:tc>
        <w:tc>
          <w:tcPr>
            <w:tcBorders>
              <w:top w:val="single" w:color="auto" w:sz="4" w:space="0"/>
              <w:left w:val="single" w:color="auto" w:sz="4" w:space="0"/>
              <w:bottom w:val="single" w:color="auto" w:sz="4" w:space="0"/>
            </w:tcBorders>
            <w:tcW w:w="781" w:type="dxa"/>
            <w:vAlign w:val="center"/>
            <w:textDirection w:val="lrTb"/>
            <w:noWrap w:val="false"/>
          </w:tcPr>
          <w:p>
            <w:pPr>
              <w:jc w:val="center"/>
              <w:spacing w:before="100" w:after="100"/>
              <w:rPr>
                <w:sz w:val="18"/>
                <w:szCs w:val="21"/>
                <w:highlight w:val="none"/>
              </w:rPr>
            </w:pPr>
            <w:r>
              <w:rPr>
                <w:sz w:val="18"/>
                <w:szCs w:val="21"/>
                <w:highlight w:val="none"/>
              </w:rPr>
              <w:t xml:space="preserve">4</w:t>
            </w:r>
            <w:r>
              <w:rPr>
                <w:rFonts w:hint="eastAsia"/>
                <w:sz w:val="18"/>
                <w:szCs w:val="21"/>
                <w:highlight w:val="none"/>
              </w:rPr>
              <w:t xml:space="preserve">）</w:t>
            </w:r>
            <w:r/>
          </w:p>
        </w:tc>
        <w:tc>
          <w:tcPr>
            <w:tcW w:w="3924" w:type="dxa"/>
            <w:vAlign w:val="center"/>
            <w:textDirection w:val="lrTb"/>
            <w:noWrap w:val="false"/>
          </w:tcPr>
          <w:p>
            <w:pPr>
              <w:ind w:firstLine="180"/>
              <w:spacing w:before="100" w:after="100"/>
              <w:rPr>
                <w:sz w:val="18"/>
                <w:szCs w:val="21"/>
                <w:highlight w:val="none"/>
              </w:rPr>
            </w:pPr>
            <w:r>
              <w:rPr>
                <w:sz w:val="18"/>
                <w:szCs w:val="21"/>
                <w:highlight w:val="none"/>
              </w:rPr>
              <w:t xml:space="preserve">表示设备的结构图以及对基础的技术要求</w:t>
            </w:r>
            <w:r/>
          </w:p>
        </w:tc>
      </w:tr>
      <w:tr>
        <w:trPr>
          <w:cantSplit/>
          <w:jc w:val="center"/>
        </w:trPr>
        <w:tc>
          <w:tcPr>
            <w:tcW w:w="783" w:type="dxa"/>
            <w:vAlign w:val="center"/>
            <w:textDirection w:val="lrTb"/>
            <w:noWrap w:val="false"/>
          </w:tcPr>
          <w:p>
            <w:pPr>
              <w:jc w:val="center"/>
              <w:spacing w:before="100" w:after="100"/>
              <w:rPr>
                <w:sz w:val="18"/>
                <w:szCs w:val="21"/>
                <w:highlight w:val="none"/>
              </w:rPr>
            </w:pPr>
            <w:r>
              <w:rPr>
                <w:sz w:val="18"/>
                <w:szCs w:val="21"/>
                <w:highlight w:val="none"/>
              </w:rPr>
              <w:t xml:space="preserve">2</w:t>
            </w:r>
            <w:r>
              <w:rPr>
                <w:rFonts w:hint="eastAsia"/>
                <w:sz w:val="18"/>
                <w:szCs w:val="21"/>
                <w:highlight w:val="none"/>
              </w:rPr>
              <w:t xml:space="preserve">）</w:t>
            </w:r>
            <w:r/>
          </w:p>
        </w:tc>
        <w:tc>
          <w:tcPr>
            <w:tcBorders>
              <w:right w:val="single" w:color="auto" w:sz="4" w:space="0"/>
            </w:tcBorders>
            <w:tcW w:w="3923" w:type="dxa"/>
            <w:vAlign w:val="center"/>
            <w:textDirection w:val="lrTb"/>
            <w:noWrap w:val="false"/>
          </w:tcPr>
          <w:p>
            <w:pPr>
              <w:ind w:firstLine="180"/>
              <w:spacing w:before="100" w:after="100"/>
              <w:rPr>
                <w:sz w:val="18"/>
                <w:szCs w:val="21"/>
                <w:highlight w:val="none"/>
              </w:rPr>
            </w:pPr>
            <w:r>
              <w:rPr>
                <w:sz w:val="18"/>
                <w:szCs w:val="21"/>
                <w:highlight w:val="none"/>
              </w:rPr>
              <w:t xml:space="preserve">铭牌图</w:t>
            </w:r>
            <w:r/>
          </w:p>
        </w:tc>
        <w:tc>
          <w:tcPr>
            <w:tcBorders>
              <w:top w:val="single" w:color="auto" w:sz="4" w:space="0"/>
              <w:left w:val="single" w:color="auto" w:sz="4" w:space="0"/>
              <w:bottom w:val="single" w:color="auto" w:sz="4" w:space="0"/>
            </w:tcBorders>
            <w:tcW w:w="781" w:type="dxa"/>
            <w:vAlign w:val="center"/>
            <w:textDirection w:val="lrTb"/>
            <w:noWrap w:val="false"/>
          </w:tcPr>
          <w:p>
            <w:pPr>
              <w:jc w:val="center"/>
              <w:spacing w:before="100" w:after="100"/>
              <w:rPr>
                <w:sz w:val="18"/>
                <w:szCs w:val="21"/>
                <w:highlight w:val="none"/>
              </w:rPr>
            </w:pPr>
            <w:r>
              <w:rPr>
                <w:sz w:val="18"/>
                <w:szCs w:val="21"/>
                <w:highlight w:val="none"/>
              </w:rPr>
              <w:t xml:space="preserve">5</w:t>
            </w:r>
            <w:r>
              <w:rPr>
                <w:rFonts w:hint="eastAsia"/>
                <w:sz w:val="18"/>
                <w:szCs w:val="21"/>
                <w:highlight w:val="none"/>
              </w:rPr>
              <w:t xml:space="preserve">）</w:t>
            </w:r>
            <w:r/>
          </w:p>
        </w:tc>
        <w:tc>
          <w:tcPr>
            <w:tcW w:w="3924" w:type="dxa"/>
            <w:vAlign w:val="center"/>
            <w:textDirection w:val="lrTb"/>
            <w:noWrap w:val="false"/>
          </w:tcPr>
          <w:p>
            <w:pPr>
              <w:ind w:firstLine="180"/>
              <w:spacing w:before="100" w:after="100"/>
              <w:rPr>
                <w:sz w:val="18"/>
                <w:szCs w:val="21"/>
                <w:highlight w:val="none"/>
              </w:rPr>
            </w:pPr>
            <w:r>
              <w:rPr>
                <w:sz w:val="18"/>
                <w:szCs w:val="21"/>
                <w:highlight w:val="none"/>
              </w:rPr>
              <w:t xml:space="preserve">其他适用的资料和说明</w:t>
            </w:r>
            <w:r/>
          </w:p>
        </w:tc>
      </w:tr>
      <w:tr>
        <w:trPr>
          <w:cantSplit/>
          <w:jc w:val="center"/>
        </w:trPr>
        <w:tc>
          <w:tcPr>
            <w:tcW w:w="783" w:type="dxa"/>
            <w:vAlign w:val="center"/>
            <w:textDirection w:val="lrTb"/>
            <w:noWrap w:val="false"/>
          </w:tcPr>
          <w:p>
            <w:pPr>
              <w:jc w:val="center"/>
              <w:spacing w:before="100" w:after="100"/>
              <w:rPr>
                <w:sz w:val="18"/>
                <w:szCs w:val="21"/>
                <w:highlight w:val="none"/>
              </w:rPr>
            </w:pPr>
            <w:r>
              <w:rPr>
                <w:sz w:val="18"/>
                <w:szCs w:val="21"/>
                <w:highlight w:val="none"/>
              </w:rPr>
              <w:t xml:space="preserve">3</w:t>
            </w:r>
            <w:r>
              <w:rPr>
                <w:rFonts w:hint="eastAsia"/>
                <w:sz w:val="18"/>
                <w:szCs w:val="21"/>
                <w:highlight w:val="none"/>
              </w:rPr>
              <w:t xml:space="preserve">）</w:t>
            </w:r>
            <w:r/>
          </w:p>
        </w:tc>
        <w:tc>
          <w:tcPr>
            <w:tcBorders>
              <w:right w:val="single" w:color="auto" w:sz="4" w:space="0"/>
            </w:tcBorders>
            <w:tcW w:w="3923" w:type="dxa"/>
            <w:vAlign w:val="center"/>
            <w:textDirection w:val="lrTb"/>
            <w:noWrap w:val="false"/>
          </w:tcPr>
          <w:p>
            <w:pPr>
              <w:ind w:firstLine="180"/>
              <w:spacing w:before="100" w:after="100"/>
              <w:rPr>
                <w:sz w:val="18"/>
                <w:szCs w:val="21"/>
                <w:highlight w:val="none"/>
              </w:rPr>
            </w:pPr>
            <w:r>
              <w:rPr>
                <w:sz w:val="18"/>
                <w:szCs w:val="21"/>
                <w:highlight w:val="none"/>
              </w:rPr>
              <w:t xml:space="preserve">标明变压器、低压设备一次和二次所有端子的标志图</w:t>
            </w:r>
            <w:r/>
          </w:p>
        </w:tc>
        <w:tc>
          <w:tcPr>
            <w:tcBorders>
              <w:top w:val="single" w:color="auto" w:sz="4" w:space="0"/>
              <w:left w:val="single" w:color="auto" w:sz="4" w:space="0"/>
              <w:bottom w:val="single" w:color="auto" w:sz="4" w:space="0"/>
            </w:tcBorders>
            <w:tcW w:w="781" w:type="dxa"/>
            <w:vAlign w:val="center"/>
            <w:textDirection w:val="lrTb"/>
            <w:noWrap w:val="false"/>
          </w:tcPr>
          <w:p>
            <w:pPr>
              <w:jc w:val="center"/>
              <w:spacing w:before="100" w:after="100"/>
              <w:rPr>
                <w:sz w:val="18"/>
                <w:szCs w:val="21"/>
                <w:highlight w:val="none"/>
              </w:rPr>
            </w:pPr>
            <w:r>
              <w:rPr>
                <w:sz w:val="18"/>
                <w:szCs w:val="21"/>
                <w:highlight w:val="none"/>
              </w:rPr>
              <w:t xml:space="preserve">6</w:t>
            </w:r>
            <w:r>
              <w:rPr>
                <w:rFonts w:hint="eastAsia"/>
                <w:sz w:val="18"/>
                <w:szCs w:val="21"/>
                <w:highlight w:val="none"/>
              </w:rPr>
              <w:t xml:space="preserve">）</w:t>
            </w:r>
            <w:r/>
          </w:p>
        </w:tc>
        <w:tc>
          <w:tcPr>
            <w:tcW w:w="3924" w:type="dxa"/>
            <w:vAlign w:val="center"/>
            <w:textDirection w:val="lrTb"/>
            <w:noWrap w:val="false"/>
          </w:tcPr>
          <w:p>
            <w:pPr>
              <w:ind w:firstLine="180"/>
              <w:spacing w:before="100" w:after="100"/>
              <w:rPr>
                <w:sz w:val="18"/>
                <w:szCs w:val="21"/>
                <w:highlight w:val="none"/>
              </w:rPr>
            </w:pPr>
            <w:r>
              <w:rPr>
                <w:sz w:val="18"/>
                <w:szCs w:val="21"/>
                <w:highlight w:val="none"/>
              </w:rPr>
              <w:t xml:space="preserve">设备外购件结构、调试方法及说明</w:t>
            </w:r>
            <w:r/>
          </w:p>
        </w:tc>
      </w:tr>
      <w:tr>
        <w:trPr>
          <w:cantSplit/>
          <w:jc w:val="center"/>
        </w:trPr>
        <w:tc>
          <w:tcPr>
            <w:tcW w:w="783" w:type="dxa"/>
            <w:vAlign w:val="center"/>
            <w:textDirection w:val="lrTb"/>
            <w:noWrap w:val="false"/>
          </w:tcPr>
          <w:p>
            <w:pPr>
              <w:jc w:val="center"/>
              <w:spacing w:before="100" w:after="100"/>
              <w:rPr>
                <w:sz w:val="18"/>
                <w:szCs w:val="21"/>
                <w:highlight w:val="none"/>
              </w:rPr>
            </w:pPr>
            <w:r>
              <w:rPr>
                <w:rFonts w:hint="eastAsia"/>
                <w:sz w:val="18"/>
                <w:szCs w:val="21"/>
                <w:highlight w:val="none"/>
              </w:rPr>
              <w:t xml:space="preserve">（</w:t>
            </w:r>
            <w:r>
              <w:rPr>
                <w:sz w:val="18"/>
                <w:szCs w:val="21"/>
                <w:highlight w:val="none"/>
              </w:rPr>
              <w:t xml:space="preserve">2</w:t>
            </w:r>
            <w:r>
              <w:rPr>
                <w:rFonts w:hint="eastAsia"/>
                <w:sz w:val="18"/>
                <w:szCs w:val="21"/>
                <w:highlight w:val="none"/>
              </w:rPr>
              <w:t xml:space="preserve">）</w:t>
            </w:r>
            <w:r/>
          </w:p>
        </w:tc>
        <w:tc>
          <w:tcPr>
            <w:tcBorders>
              <w:right w:val="single" w:color="auto" w:sz="4" w:space="0"/>
            </w:tcBorders>
            <w:tcW w:w="3923" w:type="dxa"/>
            <w:vAlign w:val="center"/>
            <w:textDirection w:val="lrTb"/>
            <w:noWrap w:val="false"/>
          </w:tcPr>
          <w:p>
            <w:pPr>
              <w:ind w:firstLine="180"/>
              <w:spacing w:before="100" w:after="100"/>
              <w:rPr>
                <w:sz w:val="18"/>
                <w:szCs w:val="21"/>
                <w:highlight w:val="none"/>
              </w:rPr>
            </w:pPr>
            <w:r>
              <w:rPr>
                <w:sz w:val="18"/>
                <w:szCs w:val="21"/>
                <w:highlight w:val="none"/>
              </w:rPr>
              <w:t xml:space="preserve">安装使用说明书</w:t>
            </w:r>
            <w:r/>
          </w:p>
        </w:tc>
        <w:tc>
          <w:tcPr>
            <w:tcBorders>
              <w:top w:val="single" w:color="auto" w:sz="4" w:space="0"/>
              <w:left w:val="single" w:color="auto" w:sz="4" w:space="0"/>
              <w:bottom w:val="single" w:color="auto" w:sz="4" w:space="0"/>
            </w:tcBorders>
            <w:tcW w:w="781" w:type="dxa"/>
            <w:vAlign w:val="center"/>
            <w:textDirection w:val="lrTb"/>
            <w:noWrap w:val="false"/>
          </w:tcPr>
          <w:p>
            <w:pPr>
              <w:jc w:val="center"/>
              <w:spacing w:before="100" w:after="100"/>
              <w:rPr>
                <w:sz w:val="18"/>
                <w:szCs w:val="21"/>
                <w:highlight w:val="none"/>
              </w:rPr>
            </w:pPr>
            <w:r>
              <w:rPr>
                <w:rFonts w:hint="eastAsia"/>
                <w:sz w:val="18"/>
                <w:szCs w:val="21"/>
                <w:highlight w:val="none"/>
              </w:rPr>
              <w:t xml:space="preserve">（</w:t>
            </w:r>
            <w:r>
              <w:rPr>
                <w:sz w:val="18"/>
                <w:szCs w:val="21"/>
                <w:highlight w:val="none"/>
              </w:rPr>
              <w:t xml:space="preserve">3</w:t>
            </w:r>
            <w:r>
              <w:rPr>
                <w:rFonts w:hint="eastAsia"/>
                <w:sz w:val="18"/>
                <w:szCs w:val="21"/>
                <w:highlight w:val="none"/>
              </w:rPr>
              <w:t xml:space="preserve">）</w:t>
            </w:r>
            <w:r/>
          </w:p>
        </w:tc>
        <w:tc>
          <w:tcPr>
            <w:tcW w:w="3924" w:type="dxa"/>
            <w:vAlign w:val="center"/>
            <w:textDirection w:val="lrTb"/>
            <w:noWrap w:val="false"/>
          </w:tcPr>
          <w:p>
            <w:pPr>
              <w:ind w:firstLine="180"/>
              <w:spacing w:before="100" w:after="100"/>
              <w:rPr>
                <w:sz w:val="18"/>
                <w:szCs w:val="21"/>
                <w:highlight w:val="none"/>
              </w:rPr>
            </w:pPr>
            <w:r>
              <w:rPr>
                <w:rFonts w:hint="eastAsia"/>
                <w:sz w:val="18"/>
                <w:szCs w:val="21"/>
                <w:highlight w:val="none"/>
              </w:rPr>
              <w:t xml:space="preserve">主要元件（变压器、真空灭弧室、电容器、低压开关等）检验报告或合格证</w:t>
            </w:r>
            <w:r/>
          </w:p>
        </w:tc>
      </w:tr>
      <w:tr>
        <w:trPr>
          <w:cantSplit/>
          <w:jc w:val="center"/>
        </w:trPr>
        <w:tc>
          <w:tcPr>
            <w:tcW w:w="783" w:type="dxa"/>
            <w:vAlign w:val="center"/>
            <w:textDirection w:val="lrTb"/>
            <w:noWrap w:val="false"/>
          </w:tcPr>
          <w:p>
            <w:pPr>
              <w:jc w:val="center"/>
              <w:spacing w:before="100" w:after="100"/>
              <w:rPr>
                <w:sz w:val="18"/>
                <w:szCs w:val="21"/>
                <w:highlight w:val="none"/>
              </w:rPr>
            </w:pPr>
            <w:r>
              <w:rPr>
                <w:sz w:val="18"/>
                <w:szCs w:val="21"/>
                <w:highlight w:val="none"/>
              </w:rPr>
              <w:t xml:space="preserve">1</w:t>
            </w:r>
            <w:r>
              <w:rPr>
                <w:rFonts w:hint="eastAsia"/>
                <w:sz w:val="18"/>
                <w:szCs w:val="21"/>
                <w:highlight w:val="none"/>
              </w:rPr>
              <w:t xml:space="preserve">）</w:t>
            </w:r>
            <w:r/>
          </w:p>
        </w:tc>
        <w:tc>
          <w:tcPr>
            <w:tcBorders>
              <w:right w:val="single" w:color="auto" w:sz="4" w:space="0"/>
            </w:tcBorders>
            <w:tcW w:w="3923" w:type="dxa"/>
            <w:vAlign w:val="center"/>
            <w:textDirection w:val="lrTb"/>
            <w:noWrap w:val="false"/>
          </w:tcPr>
          <w:p>
            <w:pPr>
              <w:ind w:firstLine="180"/>
              <w:spacing w:before="100" w:after="100"/>
              <w:rPr>
                <w:sz w:val="18"/>
                <w:szCs w:val="21"/>
                <w:highlight w:val="none"/>
              </w:rPr>
            </w:pPr>
            <w:r>
              <w:rPr>
                <w:sz w:val="18"/>
                <w:szCs w:val="21"/>
                <w:highlight w:val="none"/>
              </w:rPr>
              <w:t xml:space="preserve">安装、运行、维护和全部附件的完整说明和数据</w:t>
            </w:r>
            <w:r/>
          </w:p>
        </w:tc>
        <w:tc>
          <w:tcPr>
            <w:tcBorders>
              <w:top w:val="single" w:color="auto" w:sz="4" w:space="0"/>
              <w:left w:val="single" w:color="auto" w:sz="4" w:space="0"/>
              <w:bottom w:val="single" w:color="auto" w:sz="4" w:space="0"/>
            </w:tcBorders>
            <w:tcW w:w="781" w:type="dxa"/>
            <w:vAlign w:val="center"/>
            <w:textDirection w:val="lrTb"/>
            <w:noWrap w:val="false"/>
          </w:tcPr>
          <w:p>
            <w:pPr>
              <w:jc w:val="center"/>
              <w:spacing w:before="100" w:after="100"/>
              <w:rPr>
                <w:sz w:val="18"/>
                <w:szCs w:val="21"/>
                <w:highlight w:val="none"/>
              </w:rPr>
            </w:pPr>
            <w:r>
              <w:rPr>
                <w:rFonts w:hint="eastAsia"/>
                <w:sz w:val="18"/>
                <w:szCs w:val="21"/>
                <w:highlight w:val="none"/>
              </w:rPr>
              <w:t xml:space="preserve">（</w:t>
            </w:r>
            <w:r>
              <w:rPr>
                <w:sz w:val="18"/>
                <w:szCs w:val="21"/>
                <w:highlight w:val="none"/>
              </w:rPr>
              <w:t xml:space="preserve">4</w:t>
            </w:r>
            <w:r>
              <w:rPr>
                <w:rFonts w:hint="eastAsia"/>
                <w:sz w:val="18"/>
                <w:szCs w:val="21"/>
                <w:highlight w:val="none"/>
              </w:rPr>
              <w:t xml:space="preserve">）</w:t>
            </w:r>
            <w:r/>
          </w:p>
        </w:tc>
        <w:tc>
          <w:tcPr>
            <w:tcW w:w="3924" w:type="dxa"/>
            <w:vAlign w:val="center"/>
            <w:textDirection w:val="lrTb"/>
            <w:noWrap w:val="false"/>
          </w:tcPr>
          <w:p>
            <w:pPr>
              <w:ind w:firstLine="180"/>
              <w:spacing w:before="100" w:after="100"/>
              <w:rPr>
                <w:sz w:val="18"/>
                <w:szCs w:val="21"/>
                <w:highlight w:val="none"/>
              </w:rPr>
            </w:pPr>
            <w:r>
              <w:rPr>
                <w:sz w:val="18"/>
                <w:szCs w:val="21"/>
                <w:highlight w:val="none"/>
              </w:rPr>
              <w:t xml:space="preserve">试验报告（已经获得资质认可证书可以不用提供）</w:t>
            </w:r>
            <w:r/>
          </w:p>
        </w:tc>
      </w:tr>
      <w:tr>
        <w:trPr>
          <w:cantSplit/>
          <w:jc w:val="center"/>
        </w:trPr>
        <w:tc>
          <w:tcPr>
            <w:tcW w:w="783" w:type="dxa"/>
            <w:vAlign w:val="center"/>
            <w:textDirection w:val="lrTb"/>
            <w:noWrap w:val="false"/>
          </w:tcPr>
          <w:p>
            <w:pPr>
              <w:jc w:val="center"/>
              <w:spacing w:before="100" w:after="100"/>
              <w:rPr>
                <w:sz w:val="18"/>
                <w:szCs w:val="21"/>
                <w:highlight w:val="none"/>
              </w:rPr>
            </w:pPr>
            <w:r>
              <w:rPr>
                <w:sz w:val="18"/>
                <w:szCs w:val="21"/>
                <w:highlight w:val="none"/>
              </w:rPr>
              <w:t xml:space="preserve">2</w:t>
            </w:r>
            <w:r>
              <w:rPr>
                <w:rFonts w:hint="eastAsia"/>
                <w:sz w:val="18"/>
                <w:szCs w:val="21"/>
                <w:highlight w:val="none"/>
              </w:rPr>
              <w:t xml:space="preserve">）</w:t>
            </w:r>
            <w:r/>
          </w:p>
        </w:tc>
        <w:tc>
          <w:tcPr>
            <w:tcBorders>
              <w:right w:val="single" w:color="auto" w:sz="4" w:space="0"/>
            </w:tcBorders>
            <w:tcW w:w="3923" w:type="dxa"/>
            <w:vAlign w:val="center"/>
            <w:textDirection w:val="lrTb"/>
            <w:noWrap w:val="false"/>
          </w:tcPr>
          <w:p>
            <w:pPr>
              <w:ind w:firstLine="180"/>
              <w:spacing w:before="100" w:after="100"/>
              <w:rPr>
                <w:sz w:val="18"/>
                <w:szCs w:val="21"/>
                <w:highlight w:val="none"/>
              </w:rPr>
            </w:pPr>
            <w:r>
              <w:rPr>
                <w:sz w:val="18"/>
                <w:szCs w:val="21"/>
                <w:highlight w:val="none"/>
              </w:rPr>
              <w:t xml:space="preserve">额定值和特性资料</w:t>
            </w:r>
            <w:r/>
          </w:p>
        </w:tc>
        <w:tc>
          <w:tcPr>
            <w:tcBorders>
              <w:top w:val="single" w:color="auto" w:sz="4" w:space="0"/>
              <w:left w:val="single" w:color="auto" w:sz="4" w:space="0"/>
              <w:bottom w:val="single" w:color="auto" w:sz="8" w:space="0"/>
            </w:tcBorders>
            <w:tcW w:w="781" w:type="dxa"/>
            <w:vAlign w:val="center"/>
            <w:textDirection w:val="lrTb"/>
            <w:noWrap w:val="false"/>
          </w:tcPr>
          <w:p>
            <w:pPr>
              <w:jc w:val="center"/>
              <w:spacing w:before="100" w:after="100"/>
              <w:rPr>
                <w:sz w:val="18"/>
                <w:szCs w:val="21"/>
                <w:highlight w:val="none"/>
              </w:rPr>
            </w:pPr>
            <w:r>
              <w:rPr>
                <w:sz w:val="18"/>
                <w:szCs w:val="21"/>
                <w:highlight w:val="none"/>
              </w:rPr>
            </w:r>
            <w:r/>
          </w:p>
        </w:tc>
        <w:tc>
          <w:tcPr>
            <w:tcW w:w="3924" w:type="dxa"/>
            <w:vAlign w:val="center"/>
            <w:textDirection w:val="lrTb"/>
            <w:noWrap w:val="false"/>
          </w:tcPr>
          <w:p>
            <w:pPr>
              <w:ind w:firstLine="180"/>
              <w:spacing w:before="100" w:after="100"/>
              <w:rPr>
                <w:sz w:val="18"/>
                <w:szCs w:val="21"/>
                <w:highlight w:val="none"/>
              </w:rPr>
            </w:pPr>
            <w:r>
              <w:rPr>
                <w:sz w:val="18"/>
                <w:szCs w:val="21"/>
                <w:highlight w:val="none"/>
              </w:rPr>
            </w:r>
            <w:r/>
          </w:p>
        </w:tc>
      </w:tr>
    </w:tbl>
    <w:p>
      <w:pPr>
        <w:rPr>
          <w:highlight w:val="none"/>
        </w:rPr>
      </w:pPr>
      <w:r/>
      <w:bookmarkStart w:id="84" w:name="_Toc156016637"/>
      <w:r/>
      <w:bookmarkStart w:id="85" w:name="_Toc252017377"/>
      <w:r/>
      <w:bookmarkStart w:id="86" w:name="_Toc257408696"/>
      <w:r/>
      <w:bookmarkStart w:id="87" w:name="_Toc165125323"/>
      <w:r>
        <w:rPr>
          <w:rFonts w:eastAsia="黑体"/>
          <w:szCs w:val="24"/>
          <w:highlight w:val="none"/>
        </w:rPr>
        <w:t xml:space="preserve">4.5　投标人必须提交的技术参数和信息</w:t>
      </w:r>
      <w:bookmarkEnd w:id="84"/>
      <w:r/>
      <w:bookmarkEnd w:id="85"/>
      <w:r/>
      <w:bookmarkEnd w:id="86"/>
      <w:r/>
      <w:bookmarkEnd w:id="87"/>
      <w:r/>
      <w:r/>
    </w:p>
    <w:p>
      <w:pPr>
        <w:spacing w:line="312" w:lineRule="exact"/>
        <w:rPr>
          <w:szCs w:val="21"/>
          <w:highlight w:val="none"/>
        </w:rPr>
      </w:pPr>
      <w:r/>
      <w:bookmarkStart w:id="88" w:name="_Toc156016640"/>
      <w:r/>
      <w:bookmarkStart w:id="89" w:name="_Toc466253667"/>
      <w:r/>
      <w:bookmarkStart w:id="90" w:name="_Toc252017380"/>
      <w:r/>
      <w:bookmarkStart w:id="91" w:name="_Toc257408699"/>
      <w:r/>
      <w:bookmarkStart w:id="92" w:name="_Toc466260118"/>
      <w:r/>
      <w:bookmarkStart w:id="93" w:name="_Toc466252998"/>
      <w:r/>
      <w:bookmarkStart w:id="94" w:name="_Toc165125326"/>
      <w:r>
        <w:rPr>
          <w:szCs w:val="21"/>
          <w:highlight w:val="none"/>
        </w:rPr>
        <w:t xml:space="preserve">4</w:t>
      </w:r>
      <w:r>
        <w:rPr>
          <w:spacing w:val="20"/>
          <w:szCs w:val="21"/>
          <w:highlight w:val="none"/>
        </w:rPr>
        <w:t xml:space="preserve">.</w:t>
      </w:r>
      <w:r>
        <w:rPr>
          <w:szCs w:val="21"/>
          <w:highlight w:val="none"/>
        </w:rPr>
        <w:t xml:space="preserve">5</w:t>
      </w:r>
      <w:r>
        <w:rPr>
          <w:spacing w:val="20"/>
          <w:szCs w:val="21"/>
          <w:highlight w:val="none"/>
        </w:rPr>
        <w:t xml:space="preserve">.</w:t>
      </w:r>
      <w:r>
        <w:rPr>
          <w:szCs w:val="21"/>
          <w:highlight w:val="none"/>
        </w:rPr>
        <w:t xml:space="preserve">1　技术参数特性表（见表1）及相关技术资料。</w:t>
      </w:r>
      <w:r/>
    </w:p>
    <w:p>
      <w:pPr>
        <w:spacing w:line="312" w:lineRule="exact"/>
        <w:rPr>
          <w:szCs w:val="21"/>
          <w:highlight w:val="none"/>
        </w:rPr>
      </w:pPr>
      <w:r>
        <w:rPr>
          <w:szCs w:val="21"/>
          <w:highlight w:val="none"/>
        </w:rPr>
        <w:t xml:space="preserve">4</w:t>
      </w:r>
      <w:r>
        <w:rPr>
          <w:spacing w:val="20"/>
          <w:szCs w:val="21"/>
          <w:highlight w:val="none"/>
        </w:rPr>
        <w:t xml:space="preserve">.</w:t>
      </w:r>
      <w:r>
        <w:rPr>
          <w:szCs w:val="21"/>
          <w:highlight w:val="none"/>
        </w:rPr>
        <w:t xml:space="preserve">5</w:t>
      </w:r>
      <w:r>
        <w:rPr>
          <w:spacing w:val="20"/>
          <w:szCs w:val="21"/>
          <w:highlight w:val="none"/>
        </w:rPr>
        <w:t xml:space="preserve">.</w:t>
      </w:r>
      <w:r>
        <w:rPr>
          <w:szCs w:val="21"/>
          <w:highlight w:val="none"/>
        </w:rPr>
        <w:t xml:space="preserve">2　投标产品的特性参数和特点。</w:t>
      </w:r>
      <w:r/>
    </w:p>
    <w:p>
      <w:pPr>
        <w:spacing w:line="312" w:lineRule="exact"/>
        <w:rPr>
          <w:szCs w:val="21"/>
          <w:highlight w:val="none"/>
        </w:rPr>
      </w:pPr>
      <w:r>
        <w:rPr>
          <w:szCs w:val="21"/>
          <w:highlight w:val="none"/>
        </w:rPr>
        <w:t xml:space="preserve">4</w:t>
      </w:r>
      <w:r>
        <w:rPr>
          <w:spacing w:val="20"/>
          <w:szCs w:val="21"/>
          <w:highlight w:val="none"/>
        </w:rPr>
        <w:t xml:space="preserve">.</w:t>
      </w:r>
      <w:r>
        <w:rPr>
          <w:szCs w:val="21"/>
          <w:highlight w:val="none"/>
        </w:rPr>
        <w:t xml:space="preserve">5</w:t>
      </w:r>
      <w:r>
        <w:rPr>
          <w:spacing w:val="20"/>
          <w:szCs w:val="21"/>
          <w:highlight w:val="none"/>
        </w:rPr>
        <w:t xml:space="preserve">.</w:t>
      </w:r>
      <w:r>
        <w:rPr>
          <w:szCs w:val="21"/>
          <w:highlight w:val="none"/>
        </w:rPr>
        <w:t xml:space="preserve">3　与其他设备配合所需的相关技术文件和信息。</w:t>
      </w:r>
      <w:r/>
    </w:p>
    <w:p>
      <w:pPr>
        <w:rPr>
          <w:highlight w:val="none"/>
        </w:rPr>
      </w:pPr>
      <w:r>
        <w:rPr>
          <w:rFonts w:eastAsia="黑体"/>
          <w:szCs w:val="24"/>
          <w:highlight w:val="none"/>
        </w:rPr>
        <w:t xml:space="preserve">4.6　安装、调试、性能试验、试运行和验收</w:t>
      </w:r>
      <w:bookmarkEnd w:id="88"/>
      <w:r/>
      <w:bookmarkEnd w:id="89"/>
      <w:r/>
      <w:bookmarkEnd w:id="90"/>
      <w:r/>
      <w:bookmarkEnd w:id="91"/>
      <w:r/>
      <w:bookmarkEnd w:id="92"/>
      <w:r/>
      <w:bookmarkEnd w:id="93"/>
      <w:r/>
      <w:bookmarkEnd w:id="94"/>
      <w:r/>
      <w:r/>
    </w:p>
    <w:p>
      <w:pPr>
        <w:spacing w:line="312" w:lineRule="exact"/>
        <w:rPr>
          <w:szCs w:val="21"/>
          <w:highlight w:val="none"/>
        </w:rPr>
      </w:pPr>
      <w:r>
        <w:rPr>
          <w:szCs w:val="21"/>
          <w:highlight w:val="none"/>
        </w:rPr>
        <w:t xml:space="preserve">4</w:t>
      </w:r>
      <w:r>
        <w:rPr>
          <w:spacing w:val="20"/>
          <w:szCs w:val="21"/>
          <w:highlight w:val="none"/>
        </w:rPr>
        <w:t xml:space="preserve">.</w:t>
      </w:r>
      <w:r>
        <w:rPr>
          <w:szCs w:val="21"/>
          <w:highlight w:val="none"/>
        </w:rPr>
        <w:t xml:space="preserve">6</w:t>
      </w:r>
      <w:r>
        <w:rPr>
          <w:spacing w:val="20"/>
          <w:szCs w:val="21"/>
          <w:highlight w:val="none"/>
        </w:rPr>
        <w:t xml:space="preserve">.</w:t>
      </w:r>
      <w:r>
        <w:rPr>
          <w:szCs w:val="21"/>
          <w:highlight w:val="none"/>
        </w:rPr>
        <w:t xml:space="preserve">1　合同设备的安装、调试将由招标人根据投标人提供的技术文件和说明书的规定在投标人技术人员指导下进行。</w:t>
      </w:r>
      <w:r/>
    </w:p>
    <w:p>
      <w:pPr>
        <w:spacing w:line="312" w:lineRule="exact"/>
        <w:rPr>
          <w:szCs w:val="21"/>
          <w:highlight w:val="none"/>
        </w:rPr>
      </w:pPr>
      <w:r>
        <w:rPr>
          <w:szCs w:val="21"/>
          <w:highlight w:val="none"/>
        </w:rPr>
        <w:t xml:space="preserve">4</w:t>
      </w:r>
      <w:r>
        <w:rPr>
          <w:spacing w:val="20"/>
          <w:szCs w:val="21"/>
          <w:highlight w:val="none"/>
        </w:rPr>
        <w:t xml:space="preserve">.</w:t>
      </w:r>
      <w:r>
        <w:rPr>
          <w:szCs w:val="21"/>
          <w:highlight w:val="none"/>
        </w:rPr>
        <w:t xml:space="preserve">6</w:t>
      </w:r>
      <w:r>
        <w:rPr>
          <w:spacing w:val="20"/>
          <w:szCs w:val="21"/>
          <w:highlight w:val="none"/>
        </w:rPr>
        <w:t xml:space="preserve">.</w:t>
      </w:r>
      <w:r>
        <w:rPr>
          <w:szCs w:val="21"/>
          <w:highlight w:val="none"/>
        </w:rPr>
        <w:t xml:space="preserve">2　合同设备的性能试验、试运行和验收根据本规范规定的标准、规程规范进行。</w:t>
      </w:r>
      <w:r/>
    </w:p>
    <w:p>
      <w:pPr>
        <w:spacing w:line="312" w:lineRule="exact"/>
        <w:rPr>
          <w:szCs w:val="21"/>
          <w:highlight w:val="none"/>
        </w:rPr>
      </w:pPr>
      <w:r>
        <w:rPr>
          <w:szCs w:val="21"/>
          <w:highlight w:val="none"/>
        </w:rPr>
        <w:t xml:space="preserve">4</w:t>
      </w:r>
      <w:r>
        <w:rPr>
          <w:spacing w:val="20"/>
          <w:szCs w:val="21"/>
          <w:highlight w:val="none"/>
        </w:rPr>
        <w:t xml:space="preserve">.</w:t>
      </w:r>
      <w:r>
        <w:rPr>
          <w:szCs w:val="21"/>
          <w:highlight w:val="none"/>
        </w:rPr>
        <w:t xml:space="preserve">6</w:t>
      </w:r>
      <w:r>
        <w:rPr>
          <w:spacing w:val="20"/>
          <w:szCs w:val="21"/>
          <w:highlight w:val="none"/>
        </w:rPr>
        <w:t xml:space="preserve">.</w:t>
      </w:r>
      <w:r>
        <w:rPr>
          <w:szCs w:val="21"/>
          <w:highlight w:val="none"/>
        </w:rPr>
        <w:t xml:space="preserve">3　完成合同设备安装后，招标人和投标人应检查和确认安装工作，并签署安装工作证明书，共两份，双方各执一份。</w:t>
      </w:r>
      <w:r/>
    </w:p>
    <w:p>
      <w:pPr>
        <w:spacing w:line="312" w:lineRule="exact"/>
        <w:rPr>
          <w:szCs w:val="21"/>
          <w:highlight w:val="none"/>
        </w:rPr>
      </w:pPr>
      <w:r>
        <w:rPr>
          <w:szCs w:val="21"/>
          <w:highlight w:val="none"/>
        </w:rPr>
        <w:t xml:space="preserve">4</w:t>
      </w:r>
      <w:r>
        <w:rPr>
          <w:spacing w:val="20"/>
          <w:szCs w:val="21"/>
          <w:highlight w:val="none"/>
        </w:rPr>
        <w:t xml:space="preserve">.</w:t>
      </w:r>
      <w:r>
        <w:rPr>
          <w:szCs w:val="21"/>
          <w:highlight w:val="none"/>
        </w:rPr>
        <w:t xml:space="preserve">6</w:t>
      </w:r>
      <w:r>
        <w:rPr>
          <w:spacing w:val="20"/>
          <w:szCs w:val="21"/>
          <w:highlight w:val="none"/>
        </w:rPr>
        <w:t xml:space="preserve">.</w:t>
      </w:r>
      <w:r>
        <w:rPr>
          <w:szCs w:val="21"/>
          <w:highlight w:val="none"/>
        </w:rPr>
        <w:t xml:space="preserve">4　设备安装、调试和性能试验合格后方可投入试运行。试运行后招投标双方应签署合同设备的验收证明书（试运行时间在合同谈判中商定），该证明书共两份，双方各执一份。</w:t>
      </w:r>
      <w:r/>
    </w:p>
    <w:p>
      <w:pPr>
        <w:spacing w:line="312" w:lineRule="exact"/>
        <w:rPr>
          <w:szCs w:val="21"/>
          <w:highlight w:val="none"/>
        </w:rPr>
      </w:pPr>
      <w:r>
        <w:rPr>
          <w:szCs w:val="21"/>
          <w:highlight w:val="none"/>
        </w:rPr>
        <w:t xml:space="preserve">4</w:t>
      </w:r>
      <w:r>
        <w:rPr>
          <w:spacing w:val="20"/>
          <w:szCs w:val="21"/>
          <w:highlight w:val="none"/>
        </w:rPr>
        <w:t xml:space="preserve">.</w:t>
      </w:r>
      <w:r>
        <w:rPr>
          <w:szCs w:val="21"/>
          <w:highlight w:val="none"/>
        </w:rPr>
        <w:t xml:space="preserve">6</w:t>
      </w:r>
      <w:r>
        <w:rPr>
          <w:spacing w:val="20"/>
          <w:szCs w:val="21"/>
          <w:highlight w:val="none"/>
        </w:rPr>
        <w:t xml:space="preserve">.</w:t>
      </w:r>
      <w:r>
        <w:rPr>
          <w:szCs w:val="21"/>
          <w:highlight w:val="none"/>
        </w:rPr>
        <w:t xml:space="preserve">5　如果安装、调试、性能试验、试运行及质保期内技术指标一项或多项不能满足合同技术部分要求，招投标双方共同分析原因，分清责任，如属制造方面的原因，或涉及索赔部分，按商务部分有关条款执行。</w:t>
      </w:r>
      <w:r/>
    </w:p>
    <w:p>
      <w:pPr>
        <w:rPr>
          <w:highlight w:val="none"/>
        </w:rPr>
      </w:pPr>
      <w:r>
        <w:rPr>
          <w:rFonts w:eastAsia="黑体"/>
          <w:szCs w:val="24"/>
          <w:highlight w:val="none"/>
        </w:rPr>
        <w:t xml:space="preserve">4.7</w:t>
      </w:r>
      <w:r>
        <w:rPr>
          <w:rFonts w:hint="eastAsia" w:eastAsia="黑体"/>
          <w:szCs w:val="24"/>
          <w:highlight w:val="none"/>
        </w:rPr>
        <w:t xml:space="preserve">　应满足的标准</w:t>
      </w:r>
      <w:r/>
    </w:p>
    <w:p>
      <w:pPr>
        <w:ind w:firstLine="425"/>
        <w:rPr>
          <w:szCs w:val="21"/>
          <w:highlight w:val="none"/>
        </w:rPr>
      </w:pPr>
      <w:r>
        <w:rPr>
          <w:rFonts w:hint="eastAsia"/>
          <w:szCs w:val="21"/>
          <w:highlight w:val="none"/>
        </w:rPr>
        <w:t xml:space="preserve">装置至少应满足</w:t>
      </w:r>
      <w:r>
        <w:rPr>
          <w:szCs w:val="21"/>
          <w:highlight w:val="none"/>
        </w:rPr>
        <w:t xml:space="preserve">GB/T 311.1</w:t>
      </w:r>
      <w:r>
        <w:rPr>
          <w:rFonts w:hint="eastAsia"/>
          <w:szCs w:val="21"/>
          <w:highlight w:val="none"/>
        </w:rPr>
        <w:t xml:space="preserve">、</w:t>
      </w:r>
      <w:r>
        <w:rPr>
          <w:szCs w:val="21"/>
          <w:highlight w:val="none"/>
        </w:rPr>
        <w:t xml:space="preserve">GB/T 1094.1、GB/T 1094.2、GB/T 1094.3、GB/T 1094.4、GB/T 1094.5、GB/T 1094.7、GB/T 1094.10、GB/T 1984、GB/T 1985、GB/T 2518、GB2536</w:t>
      </w:r>
      <w:r>
        <w:rPr>
          <w:rFonts w:hint="eastAsia"/>
          <w:szCs w:val="21"/>
          <w:highlight w:val="none"/>
        </w:rPr>
        <w:t xml:space="preserve">、</w:t>
      </w:r>
      <w:r>
        <w:rPr>
          <w:szCs w:val="21"/>
          <w:highlight w:val="none"/>
        </w:rPr>
        <w:t xml:space="preserve">GB/T 2900.15</w:t>
      </w:r>
      <w:r>
        <w:rPr>
          <w:rFonts w:hint="eastAsia"/>
          <w:szCs w:val="21"/>
          <w:highlight w:val="none"/>
        </w:rPr>
        <w:t xml:space="preserve">、</w:t>
      </w:r>
      <w:r>
        <w:rPr>
          <w:szCs w:val="21"/>
          <w:highlight w:val="none"/>
        </w:rPr>
        <w:t xml:space="preserve">GB 3096</w:t>
      </w:r>
      <w:r>
        <w:rPr>
          <w:rFonts w:hint="eastAsia"/>
          <w:szCs w:val="21"/>
          <w:highlight w:val="none"/>
        </w:rPr>
        <w:t xml:space="preserve">、</w:t>
      </w:r>
      <w:r>
        <w:rPr>
          <w:szCs w:val="21"/>
          <w:highlight w:val="none"/>
        </w:rPr>
        <w:t xml:space="preserve">GB/T 4109、GB/T 4208、GB/T 4585、GB</w:t>
      </w:r>
      <w:r>
        <w:rPr>
          <w:rFonts w:hint="eastAsia"/>
          <w:szCs w:val="21"/>
          <w:highlight w:val="none"/>
        </w:rPr>
        <w:t xml:space="preserve"> </w:t>
      </w:r>
      <w:r>
        <w:rPr>
          <w:szCs w:val="21"/>
          <w:highlight w:val="none"/>
        </w:rPr>
        <w:t xml:space="preserve">5273</w:t>
      </w:r>
      <w:r>
        <w:rPr>
          <w:rFonts w:hint="eastAsia"/>
          <w:szCs w:val="21"/>
          <w:highlight w:val="none"/>
        </w:rPr>
        <w:t xml:space="preserve">、</w:t>
      </w:r>
      <w:r>
        <w:rPr>
          <w:szCs w:val="21"/>
          <w:highlight w:val="none"/>
        </w:rPr>
        <w:t xml:space="preserve">GB/T 6451</w:t>
      </w:r>
      <w:r>
        <w:rPr>
          <w:rFonts w:hint="eastAsia"/>
          <w:szCs w:val="21"/>
          <w:highlight w:val="none"/>
        </w:rPr>
        <w:t xml:space="preserve">、</w:t>
      </w:r>
      <w:r>
        <w:rPr>
          <w:szCs w:val="21"/>
          <w:highlight w:val="none"/>
        </w:rPr>
        <w:t xml:space="preserve">GB 7251.1</w:t>
      </w:r>
      <w:r>
        <w:rPr>
          <w:rFonts w:hint="eastAsia"/>
          <w:szCs w:val="21"/>
          <w:highlight w:val="none"/>
        </w:rPr>
        <w:t xml:space="preserve">、</w:t>
      </w:r>
      <w:r>
        <w:rPr>
          <w:szCs w:val="21"/>
          <w:highlight w:val="none"/>
        </w:rPr>
        <w:t xml:space="preserve">GB/T 7252</w:t>
      </w:r>
      <w:r>
        <w:rPr>
          <w:rFonts w:hint="eastAsia"/>
          <w:szCs w:val="21"/>
          <w:highlight w:val="none"/>
        </w:rPr>
        <w:t xml:space="preserve">、</w:t>
      </w:r>
      <w:r>
        <w:rPr>
          <w:szCs w:val="21"/>
          <w:highlight w:val="none"/>
        </w:rPr>
        <w:t xml:space="preserve">GB/T 7354</w:t>
      </w:r>
      <w:r>
        <w:rPr>
          <w:rFonts w:hint="eastAsia"/>
          <w:szCs w:val="21"/>
          <w:highlight w:val="none"/>
        </w:rPr>
        <w:t xml:space="preserve">、</w:t>
      </w:r>
      <w:r>
        <w:rPr>
          <w:szCs w:val="21"/>
          <w:highlight w:val="none"/>
        </w:rPr>
        <w:t xml:space="preserve">GB/T 7595、GB/T 10230.1、GB/T 10230.2、GB/T 13499</w:t>
      </w:r>
      <w:r>
        <w:rPr>
          <w:rFonts w:hint="eastAsia"/>
          <w:szCs w:val="21"/>
          <w:highlight w:val="none"/>
        </w:rPr>
        <w:t xml:space="preserve">、</w:t>
      </w:r>
      <w:r>
        <w:rPr>
          <w:szCs w:val="21"/>
          <w:highlight w:val="none"/>
        </w:rPr>
        <w:t xml:space="preserve">GB/T 13729、GB/T 14048.1、GB/T 14048.2、</w:t>
      </w:r>
      <w:r>
        <w:rPr>
          <w:rFonts w:hint="eastAsia"/>
          <w:szCs w:val="21"/>
          <w:highlight w:val="none"/>
        </w:rPr>
        <w:t xml:space="preserve"> </w:t>
      </w:r>
      <w:r>
        <w:rPr>
          <w:szCs w:val="21"/>
          <w:highlight w:val="none"/>
        </w:rPr>
        <w:t xml:space="preserve">GB 16847</w:t>
      </w:r>
      <w:r>
        <w:rPr>
          <w:rFonts w:hint="eastAsia"/>
          <w:szCs w:val="21"/>
          <w:highlight w:val="none"/>
        </w:rPr>
        <w:t xml:space="preserve">、</w:t>
      </w:r>
      <w:r>
        <w:rPr>
          <w:szCs w:val="21"/>
          <w:highlight w:val="none"/>
        </w:rPr>
        <w:t xml:space="preserve">GB/T 16927.1、GB/T 16927.2、GB/T 16935.1</w:t>
      </w:r>
      <w:r>
        <w:rPr>
          <w:spacing w:val="-2"/>
          <w:szCs w:val="21"/>
          <w:highlight w:val="none"/>
        </w:rPr>
        <w:t xml:space="preserve">、GB/T 17467、GB/T 17468、</w:t>
      </w:r>
      <w:r>
        <w:rPr>
          <w:rFonts w:hint="eastAsia"/>
          <w:spacing w:val="-2"/>
          <w:szCs w:val="21"/>
          <w:highlight w:val="none"/>
        </w:rPr>
        <w:t xml:space="preserve">GB</w:t>
      </w:r>
      <w:r>
        <w:rPr>
          <w:spacing w:val="-2"/>
          <w:szCs w:val="21"/>
          <w:highlight w:val="none"/>
        </w:rPr>
        <w:t xml:space="preserve"> </w:t>
      </w:r>
      <w:r>
        <w:rPr>
          <w:rFonts w:hint="eastAsia"/>
          <w:spacing w:val="-2"/>
          <w:szCs w:val="21"/>
          <w:highlight w:val="none"/>
        </w:rPr>
        <w:t xml:space="preserve">20052、G</w:t>
      </w:r>
      <w:r>
        <w:rPr>
          <w:spacing w:val="-2"/>
          <w:szCs w:val="21"/>
          <w:highlight w:val="none"/>
        </w:rPr>
        <w:t xml:space="preserve">B 20840.2</w:t>
      </w:r>
      <w:r>
        <w:rPr>
          <w:rFonts w:hint="eastAsia"/>
          <w:spacing w:val="-2"/>
          <w:szCs w:val="21"/>
          <w:highlight w:val="none"/>
        </w:rPr>
        <w:t xml:space="preserve">、</w:t>
      </w:r>
      <w:r>
        <w:rPr>
          <w:spacing w:val="-2"/>
          <w:szCs w:val="21"/>
          <w:highlight w:val="none"/>
        </w:rPr>
        <w:t xml:space="preserve">GB/T 26218.1、GB/T 26218.2、GB 50148、GB 50150、DL/T 537、DL/T 572、DL/T 593、DL/T 596、DL/T 844、DL/T 911、DL/T 1093、DL/T 1094、DL/T 1811、DL 5027</w:t>
      </w:r>
      <w:r>
        <w:rPr>
          <w:rFonts w:hint="eastAsia"/>
          <w:spacing w:val="-2"/>
          <w:szCs w:val="21"/>
          <w:highlight w:val="none"/>
        </w:rPr>
        <w:t xml:space="preserve">、</w:t>
      </w:r>
      <w:r>
        <w:rPr>
          <w:szCs w:val="21"/>
          <w:highlight w:val="none"/>
        </w:rPr>
        <w:t xml:space="preserve">Q/GDW</w:t>
      </w:r>
      <w:r>
        <w:rPr>
          <w:rFonts w:hint="eastAsia"/>
          <w:szCs w:val="21"/>
          <w:highlight w:val="none"/>
        </w:rPr>
        <w:t xml:space="preserve"> </w:t>
      </w:r>
      <w:r>
        <w:rPr>
          <w:szCs w:val="21"/>
          <w:highlight w:val="none"/>
        </w:rPr>
        <w:t xml:space="preserve">11380</w:t>
      </w:r>
      <w:r>
        <w:rPr>
          <w:rFonts w:hint="eastAsia"/>
          <w:szCs w:val="21"/>
          <w:highlight w:val="none"/>
        </w:rPr>
        <w:t xml:space="preserve">、</w:t>
      </w:r>
      <w:r>
        <w:rPr>
          <w:highlight w:val="none"/>
        </w:rPr>
        <w:t xml:space="preserve">Q/GDW</w:t>
      </w:r>
      <w:r>
        <w:rPr>
          <w:rFonts w:hint="eastAsia"/>
          <w:highlight w:val="none"/>
        </w:rPr>
        <w:t xml:space="preserve"> </w:t>
      </w:r>
      <w:r>
        <w:rPr>
          <w:highlight w:val="none"/>
        </w:rPr>
        <w:t xml:space="preserve">13001</w:t>
      </w:r>
      <w:r>
        <w:rPr>
          <w:spacing w:val="-2"/>
          <w:szCs w:val="21"/>
          <w:highlight w:val="none"/>
        </w:rPr>
        <w:t xml:space="preserve">中所列规定、规范和标准的最新版本的要求，但不限于上述所列规范</w:t>
      </w:r>
      <w:r>
        <w:rPr>
          <w:rFonts w:hint="eastAsia"/>
          <w:szCs w:val="21"/>
          <w:highlight w:val="none"/>
        </w:rPr>
        <w:t xml:space="preserve">和标准。</w:t>
      </w:r>
      <w:r/>
    </w:p>
    <w:p>
      <w:pPr>
        <w:pStyle w:val="1149"/>
        <w:spacing w:line="480" w:lineRule="auto"/>
        <w:rPr>
          <w:szCs w:val="28"/>
          <w:highlight w:val="none"/>
        </w:rPr>
        <w:outlineLvl w:val="0"/>
      </w:pPr>
      <w:r/>
      <w:bookmarkStart w:id="95" w:name="_Toc452523860"/>
      <w:r/>
      <w:bookmarkStart w:id="96" w:name="_Toc466453617"/>
      <w:r/>
      <w:bookmarkStart w:id="97" w:name="_Toc466454017"/>
      <w:r/>
      <w:bookmarkStart w:id="98" w:name="_Toc459436608"/>
      <w:r/>
      <w:bookmarkStart w:id="99" w:name="_Toc466453799"/>
      <w:r/>
      <w:bookmarkStart w:id="100" w:name="_Toc482678581"/>
      <w:r/>
      <w:bookmarkStart w:id="101" w:name="_Toc454159842"/>
      <w:r/>
      <w:bookmarkStart w:id="102" w:name="_Toc25362"/>
      <w:r/>
      <w:bookmarkStart w:id="103" w:name="_Toc7437"/>
      <w:r/>
      <w:bookmarkStart w:id="104" w:name="_Toc4701"/>
      <w:r/>
      <w:bookmarkStart w:id="105" w:name="_Toc257408700"/>
      <w:r/>
      <w:bookmarkStart w:id="106" w:name="_Toc26953"/>
      <w:r/>
      <w:bookmarkStart w:id="107" w:name="_Toc252017381"/>
      <w:r/>
      <w:bookmarkStart w:id="108" w:name="_Toc12492"/>
      <w:r/>
      <w:bookmarkStart w:id="109" w:name="_Toc156016641"/>
      <w:r/>
      <w:bookmarkStart w:id="110" w:name="_Toc454978639"/>
      <w:r/>
      <w:bookmarkStart w:id="111" w:name="_Toc14325"/>
      <w:r/>
      <w:bookmarkStart w:id="112" w:name="_Toc1094"/>
      <w:r/>
      <w:bookmarkStart w:id="113" w:name="_Toc18828"/>
      <w:r/>
      <w:bookmarkStart w:id="114" w:name="_Toc8851"/>
      <w:r/>
      <w:bookmarkStart w:id="115" w:name="_Toc165125327"/>
      <w:r>
        <w:rPr>
          <w:rFonts w:eastAsia="黑体"/>
          <w:sz w:val="21"/>
          <w:szCs w:val="21"/>
          <w:highlight w:val="none"/>
        </w:rPr>
        <w:t xml:space="preserve">5</w:t>
      </w:r>
      <w:r>
        <w:rPr>
          <w:rFonts w:hint="eastAsia" w:eastAsia="黑体"/>
          <w:sz w:val="21"/>
          <w:szCs w:val="21"/>
          <w:highlight w:val="none"/>
        </w:rPr>
        <w:t xml:space="preserve">　</w:t>
      </w:r>
      <w:bookmarkEnd w:id="95"/>
      <w:r/>
      <w:bookmarkEnd w:id="96"/>
      <w:r/>
      <w:bookmarkEnd w:id="97"/>
      <w:r/>
      <w:bookmarkEnd w:id="98"/>
      <w:r/>
      <w:bookmarkEnd w:id="99"/>
      <w:r/>
      <w:bookmarkEnd w:id="100"/>
      <w:r/>
      <w:bookmarkEnd w:id="101"/>
      <w:r>
        <w:rPr>
          <w:rFonts w:hint="eastAsia" w:eastAsia="黑体"/>
          <w:sz w:val="21"/>
          <w:szCs w:val="21"/>
          <w:highlight w:val="none"/>
        </w:rPr>
        <w:t xml:space="preserve">结构及其他要求</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rPr>
          <w:highlight w:val="none"/>
        </w:rPr>
      </w:pPr>
      <w:r/>
      <w:bookmarkStart w:id="116" w:name="_Toc165125328"/>
      <w:r/>
      <w:bookmarkStart w:id="117" w:name="_Toc257408701"/>
      <w:r/>
      <w:bookmarkStart w:id="118" w:name="_Toc252017382"/>
      <w:r/>
      <w:bookmarkStart w:id="119" w:name="_Toc156016642"/>
      <w:r>
        <w:rPr>
          <w:rFonts w:eastAsia="黑体"/>
          <w:szCs w:val="24"/>
          <w:highlight w:val="none"/>
        </w:rPr>
        <w:t xml:space="preserve">5.1　</w:t>
      </w:r>
      <w:bookmarkEnd w:id="116"/>
      <w:r/>
      <w:bookmarkEnd w:id="117"/>
      <w:r/>
      <w:bookmarkEnd w:id="118"/>
      <w:r/>
      <w:bookmarkEnd w:id="119"/>
      <w:r>
        <w:rPr>
          <w:rFonts w:hint="eastAsia" w:eastAsia="黑体"/>
          <w:szCs w:val="24"/>
          <w:highlight w:val="none"/>
        </w:rPr>
        <w:t xml:space="preserve">结构要求</w:t>
      </w:r>
      <w:r/>
    </w:p>
    <w:p>
      <w:pPr>
        <w:ind w:firstLine="420"/>
        <w:jc w:val="left"/>
        <w:rPr>
          <w:szCs w:val="21"/>
          <w:highlight w:val="none"/>
        </w:rPr>
      </w:pPr>
      <w:r>
        <w:rPr>
          <w:rFonts w:hint="eastAsia"/>
          <w:szCs w:val="21"/>
          <w:highlight w:val="none"/>
        </w:rPr>
        <w:t xml:space="preserve">本次标准化方案都为10kV欧式箱变设计方案。</w:t>
      </w:r>
      <w:r/>
    </w:p>
    <w:p>
      <w:pPr>
        <w:ind w:firstLine="420"/>
        <w:jc w:val="left"/>
        <w:rPr>
          <w:szCs w:val="21"/>
          <w:highlight w:val="none"/>
        </w:rPr>
      </w:pPr>
      <w:r>
        <w:rPr>
          <w:szCs w:val="21"/>
          <w:highlight w:val="none"/>
        </w:rPr>
        <w:t xml:space="preserve">a）</w:t>
      </w:r>
      <w:r>
        <w:rPr>
          <w:rFonts w:hint="eastAsia"/>
          <w:szCs w:val="21"/>
          <w:highlight w:val="none"/>
        </w:rPr>
        <w:t xml:space="preserve">当需要操作人员从欧变内部操作元件时，应预留内部操作通道，该操作通道的宽度应为不小于</w:t>
      </w:r>
      <w:r>
        <w:rPr>
          <w:szCs w:val="21"/>
          <w:highlight w:val="none"/>
        </w:rPr>
        <w:t xml:space="preserve">800mm</w:t>
      </w:r>
      <w:r>
        <w:rPr>
          <w:rFonts w:hint="eastAsia"/>
          <w:szCs w:val="21"/>
          <w:highlight w:val="none"/>
        </w:rPr>
        <w:t xml:space="preserve">，且在任一设备开启位置、开关设备和控制设备突出的机械传动装置不应将通道的宽度减小到</w:t>
      </w:r>
      <w:r>
        <w:rPr>
          <w:szCs w:val="21"/>
          <w:highlight w:val="none"/>
        </w:rPr>
        <w:t xml:space="preserve">500mm</w:t>
      </w:r>
      <w:r>
        <w:rPr>
          <w:rFonts w:hint="eastAsia"/>
          <w:szCs w:val="21"/>
          <w:highlight w:val="none"/>
        </w:rPr>
        <w:t xml:space="preserve">以下。</w:t>
      </w:r>
      <w:r/>
    </w:p>
    <w:p>
      <w:pPr>
        <w:ind w:firstLine="420"/>
        <w:spacing w:line="312" w:lineRule="exact"/>
        <w:rPr>
          <w:szCs w:val="21"/>
          <w:highlight w:val="none"/>
        </w:rPr>
      </w:pPr>
      <w:r>
        <w:rPr>
          <w:szCs w:val="21"/>
          <w:highlight w:val="none"/>
        </w:rPr>
        <w:t xml:space="preserve">b）</w:t>
      </w:r>
      <w:r>
        <w:rPr>
          <w:rFonts w:hint="eastAsia"/>
          <w:szCs w:val="21"/>
          <w:highlight w:val="none"/>
        </w:rPr>
        <w:t xml:space="preserve">基座宜采用金属基座，应有足够的机械强度，以确保欧变在吊装、运输和使用过程中不发生变形和损坏。基座上需有至少</w:t>
      </w:r>
      <w:r>
        <w:rPr>
          <w:szCs w:val="21"/>
          <w:highlight w:val="none"/>
        </w:rPr>
        <w:t xml:space="preserve">4</w:t>
      </w:r>
      <w:r>
        <w:rPr>
          <w:rFonts w:hint="eastAsia"/>
          <w:szCs w:val="21"/>
          <w:highlight w:val="none"/>
        </w:rPr>
        <w:t xml:space="preserve">个以上可伸缩式起重销，确保安全运输。</w:t>
      </w:r>
      <w:r/>
    </w:p>
    <w:p>
      <w:pPr>
        <w:ind w:firstLine="425"/>
        <w:rPr>
          <w:szCs w:val="21"/>
          <w:highlight w:val="none"/>
        </w:rPr>
      </w:pPr>
      <w:r>
        <w:rPr>
          <w:szCs w:val="21"/>
          <w:highlight w:val="none"/>
        </w:rPr>
        <w:t xml:space="preserve">c</w:t>
      </w:r>
      <w:r>
        <w:rPr>
          <w:rFonts w:hint="eastAsia"/>
          <w:szCs w:val="21"/>
          <w:highlight w:val="none"/>
        </w:rPr>
        <w:t xml:space="preserve">）欧式箱式变电站由高压室、变压器室、低压室三个独立小室组成。</w:t>
      </w:r>
      <w:r>
        <w:rPr>
          <w:highlight w:val="none"/>
        </w:rPr>
        <w:t xml:space="preserve">隔室之间采用隔板分隔</w:t>
      </w:r>
      <w:r>
        <w:rPr>
          <w:rFonts w:hint="eastAsia"/>
          <w:highlight w:val="none"/>
        </w:rPr>
        <w:t xml:space="preserve">。</w:t>
      </w:r>
      <w:r>
        <w:rPr>
          <w:szCs w:val="21"/>
          <w:highlight w:val="none"/>
        </w:rPr>
        <w:t xml:space="preserve">其内部布置结构按标准设计</w:t>
      </w:r>
      <w:r>
        <w:rPr>
          <w:szCs w:val="21"/>
          <w:highlight w:val="none"/>
        </w:rPr>
        <w:tab/>
      </w:r>
      <w:r>
        <w:rPr>
          <w:rFonts w:hint="eastAsia"/>
          <w:szCs w:val="21"/>
          <w:highlight w:val="none"/>
        </w:rPr>
        <w:t xml:space="preserve">图纸要求设定。箱式变电站采用自然通风方式，变压器在箱变外壳内部的温升超过同一变压器在箱变外壳外部测得温升的数值，不应大于确定外壳级别的数值。箱式变电站内部应采取除湿、防爆和防凝露措施。站用电控制箱应具有照明、检修维护等功能。</w:t>
      </w:r>
      <w:r/>
    </w:p>
    <w:p>
      <w:pPr>
        <w:ind w:firstLine="425"/>
        <w:rPr>
          <w:szCs w:val="21"/>
          <w:highlight w:val="none"/>
        </w:rPr>
      </w:pPr>
      <w:r>
        <w:rPr>
          <w:szCs w:val="21"/>
          <w:highlight w:val="none"/>
        </w:rPr>
        <w:t xml:space="preserve">d</w:t>
      </w:r>
      <w:r>
        <w:rPr>
          <w:rFonts w:hint="eastAsia"/>
          <w:szCs w:val="21"/>
          <w:highlight w:val="none"/>
        </w:rPr>
        <w:t xml:space="preserve">）高压设备选用环网型或终端型环网柜；产品结构紧凑体积小、安装方便、性能可靠、少维护。</w:t>
      </w:r>
      <w:r>
        <w:rPr>
          <w:szCs w:val="21"/>
          <w:highlight w:val="none"/>
        </w:rPr>
        <w:t xml:space="preserve">环网柜</w:t>
      </w:r>
      <w:r>
        <w:rPr>
          <w:rFonts w:hint="eastAsia"/>
          <w:szCs w:val="21"/>
          <w:highlight w:val="none"/>
        </w:rPr>
        <w:t xml:space="preserve">具有完备的“五防”联锁功能，联锁装置强度满足操作的要求。环网柜内套管、隔板、绝缘件等所有附件应为耐火阻燃材料。环网柜的面板应安装带电显示及核相装置，提供核相装置的型号与参数。核相器及操作手柄作为必备附件应每站一套。</w:t>
      </w:r>
      <w:r/>
    </w:p>
    <w:p>
      <w:pPr>
        <w:ind w:firstLine="425"/>
        <w:rPr>
          <w:szCs w:val="21"/>
          <w:highlight w:val="none"/>
        </w:rPr>
      </w:pPr>
      <w:r>
        <w:rPr>
          <w:szCs w:val="21"/>
          <w:highlight w:val="none"/>
        </w:rPr>
        <w:t xml:space="preserve">e）</w:t>
      </w:r>
      <w:r>
        <w:rPr>
          <w:rFonts w:hint="eastAsia"/>
          <w:szCs w:val="21"/>
          <w:highlight w:val="none"/>
        </w:rPr>
        <w:t xml:space="preserve">环网柜柜体框架材质采用敷铝锌板（镀锌层厚度达到</w:t>
      </w:r>
      <w:r>
        <w:rPr>
          <w:szCs w:val="21"/>
          <w:highlight w:val="none"/>
        </w:rPr>
        <w:t xml:space="preserve">AZ150及以上，可按照GB/T </w:t>
      </w:r>
      <w:r>
        <w:rPr>
          <w:rFonts w:hint="eastAsia"/>
          <w:szCs w:val="21"/>
          <w:highlight w:val="none"/>
        </w:rPr>
        <w:t xml:space="preserve">2518</w:t>
      </w:r>
      <w:r>
        <w:rPr>
          <w:szCs w:val="21"/>
          <w:highlight w:val="none"/>
        </w:rPr>
        <w:t xml:space="preserve">的要求）或镀锌钢板（牌号为：DX51D+Z275，可按照GB/T 2518的要求）。</w:t>
      </w:r>
      <w:r/>
    </w:p>
    <w:p>
      <w:pPr>
        <w:ind w:firstLine="425"/>
        <w:rPr>
          <w:szCs w:val="21"/>
          <w:highlight w:val="none"/>
        </w:rPr>
      </w:pPr>
      <w:r>
        <w:rPr>
          <w:szCs w:val="21"/>
          <w:highlight w:val="none"/>
        </w:rPr>
        <w:t xml:space="preserve">f</w:t>
      </w:r>
      <w:r>
        <w:rPr>
          <w:rFonts w:hint="eastAsia"/>
          <w:szCs w:val="21"/>
          <w:highlight w:val="none"/>
        </w:rPr>
        <w:t xml:space="preserve">）</w:t>
      </w:r>
      <w:r>
        <w:rPr>
          <w:szCs w:val="21"/>
          <w:highlight w:val="none"/>
        </w:rPr>
        <w:t xml:space="preserve">低压开关设备具体配置按具体方案图。</w:t>
      </w:r>
      <w:r/>
    </w:p>
    <w:p>
      <w:pPr>
        <w:ind w:firstLine="420"/>
        <w:rPr>
          <w:szCs w:val="21"/>
          <w:highlight w:val="none"/>
        </w:rPr>
      </w:pPr>
      <w:r>
        <w:rPr>
          <w:rFonts w:hint="eastAsia"/>
          <w:szCs w:val="21"/>
          <w:highlight w:val="none"/>
        </w:rPr>
        <w:t xml:space="preserve">g）箱变基座为金属材料；箱变外壳采用不锈钢金属材质，公称厚度2mm及以上，尺寸允许偏差满足GB/T 3280-2015中的B级精度（公称宽度为1250~2100mm），应经防腐处理，并喷涂防护层，按照GB/T 2518-2019的要求，不锈钢达到S304及以上的防腐能力。防护层应喷涂均匀并有牢固的附着力，保证30年不锈蚀；箱变外部遮挡装饰层宜采用阻燃、耐老化、不易变形的复合材料制成的装饰条。箱体顶盖采用不锈钢达到S304及以上的防腐能力材料制成。壳体四个面增加“止步、高压危险”、“禁止触摸”等的安全警示牌</w:t>
      </w:r>
      <w:r>
        <w:rPr>
          <w:rFonts w:hint="eastAsia"/>
          <w:szCs w:val="21"/>
          <w:highlight w:val="none"/>
        </w:rPr>
        <w:t xml:space="preserve">。</w:t>
      </w:r>
      <w:r/>
    </w:p>
    <w:p>
      <w:pPr>
        <w:ind w:firstLine="420"/>
        <w:rPr>
          <w:szCs w:val="21"/>
          <w:highlight w:val="none"/>
        </w:rPr>
      </w:pPr>
      <w:r>
        <w:rPr>
          <w:szCs w:val="21"/>
          <w:highlight w:val="none"/>
        </w:rPr>
        <w:t xml:space="preserve">h</w:t>
      </w:r>
      <w:r>
        <w:rPr>
          <w:rFonts w:hint="eastAsia"/>
          <w:szCs w:val="21"/>
          <w:highlight w:val="none"/>
        </w:rPr>
        <w:t xml:space="preserve">）</w:t>
      </w:r>
      <w:r>
        <w:rPr>
          <w:rFonts w:hint="eastAsia"/>
          <w:szCs w:val="21"/>
          <w:highlight w:val="none"/>
        </w:rPr>
        <w:t xml:space="preserve">箱变外壳、嵌入计量箱颜色宜为国网绿，</w:t>
      </w:r>
      <w:r>
        <w:rPr>
          <w:szCs w:val="21"/>
          <w:highlight w:val="none"/>
        </w:rPr>
        <w:t xml:space="preserve">CMYK值为C100 M5 Y50 K40，PANTONG 3292C。如有特殊要求，应保持与周围人文、地理环境相协调。在明显位置悬挂（喷涂）“高压止步”、“有电危险”等警示标识。箱变内部柜体的面板颜色宜为RAL7035。</w:t>
      </w:r>
      <w:r/>
    </w:p>
    <w:p>
      <w:pPr>
        <w:ind w:firstLine="425"/>
        <w:rPr>
          <w:szCs w:val="21"/>
          <w:highlight w:val="none"/>
        </w:rPr>
      </w:pPr>
      <w:r>
        <w:rPr>
          <w:szCs w:val="21"/>
          <w:highlight w:val="none"/>
        </w:rPr>
        <w:t xml:space="preserve">i</w:t>
      </w:r>
      <w:r>
        <w:rPr>
          <w:rFonts w:hint="eastAsia"/>
          <w:szCs w:val="21"/>
          <w:highlight w:val="none"/>
        </w:rPr>
        <w:t xml:space="preserve">）</w:t>
      </w:r>
      <w:r>
        <w:rPr>
          <w:rFonts w:hint="eastAsia"/>
          <w:highlight w:val="none"/>
        </w:rPr>
        <w:t xml:space="preserve">顶盖宜采用双层、斜顶结构，有隔热作用，陡坡不应小于</w:t>
      </w:r>
      <w:r>
        <w:rPr>
          <w:highlight w:val="none"/>
        </w:rPr>
        <w:t xml:space="preserve">5</w:t>
      </w:r>
      <w:r>
        <w:rPr>
          <w:rFonts w:hint="eastAsia"/>
          <w:highlight w:val="none"/>
        </w:rPr>
        <w:t xml:space="preserve">°，减少日照引起的变电站室内温度升高，顶部承受不应小于</w:t>
      </w:r>
      <w:r>
        <w:rPr>
          <w:highlight w:val="none"/>
        </w:rPr>
        <w:t xml:space="preserve">2500N/m</w:t>
      </w:r>
      <w:r>
        <w:rPr>
          <w:highlight w:val="none"/>
          <w:vertAlign w:val="superscript"/>
        </w:rPr>
        <w:t xml:space="preserve">2</w:t>
      </w:r>
      <w:r>
        <w:rPr>
          <w:rFonts w:hint="eastAsia"/>
          <w:highlight w:val="none"/>
        </w:rPr>
        <w:t xml:space="preserve">负荷，并确保箱顶不渗水、滴漏</w:t>
      </w:r>
      <w:r>
        <w:rPr>
          <w:szCs w:val="21"/>
          <w:highlight w:val="none"/>
        </w:rPr>
        <w:t xml:space="preserve">。</w:t>
      </w:r>
      <w:r/>
    </w:p>
    <w:p>
      <w:pPr>
        <w:pStyle w:val="896"/>
        <w:ind w:firstLine="420"/>
        <w:tabs>
          <w:tab w:val="center" w:pos="4201" w:leader="none"/>
          <w:tab w:val="right" w:pos="9298" w:leader="dot"/>
        </w:tabs>
        <w:rPr>
          <w:rFonts w:ascii="Times New Roman"/>
          <w:szCs w:val="21"/>
          <w:highlight w:val="none"/>
        </w:rPr>
      </w:pPr>
      <w:r>
        <w:rPr>
          <w:rFonts w:ascii="Times New Roman"/>
          <w:szCs w:val="21"/>
          <w:highlight w:val="none"/>
        </w:rPr>
        <w:t xml:space="preserve">j</w:t>
      </w:r>
      <w:r>
        <w:rPr>
          <w:rFonts w:hint="eastAsia" w:ascii="Times New Roman"/>
          <w:szCs w:val="21"/>
          <w:highlight w:val="none"/>
        </w:rPr>
        <w:t xml:space="preserve">）</w:t>
      </w:r>
      <w:r>
        <w:rPr>
          <w:rFonts w:ascii="Times New Roman"/>
          <w:szCs w:val="21"/>
          <w:highlight w:val="none"/>
        </w:rPr>
        <w:tab/>
      </w:r>
      <w:r>
        <w:rPr>
          <w:rFonts w:hint="eastAsia" w:hAnsi="宋体" w:cs="宋体"/>
          <w:szCs w:val="21"/>
          <w:highlight w:val="none"/>
        </w:rPr>
        <w:t xml:space="preserve">外壳结构中使用的材料防火等级应保证箱变内部或外部着火时的基本性能水平</w:t>
      </w:r>
      <w:r>
        <w:rPr>
          <w:rFonts w:hint="eastAsia" w:ascii="Times New Roman"/>
          <w:highlight w:val="none"/>
        </w:rPr>
        <w:t xml:space="preserve">。</w:t>
      </w:r>
      <w:r/>
    </w:p>
    <w:p>
      <w:pPr>
        <w:ind w:firstLine="420"/>
        <w:jc w:val="left"/>
        <w:rPr>
          <w:szCs w:val="21"/>
          <w:highlight w:val="none"/>
        </w:rPr>
      </w:pPr>
      <w:r>
        <w:rPr>
          <w:szCs w:val="21"/>
          <w:highlight w:val="none"/>
        </w:rPr>
        <w:t xml:space="preserve">k</w:t>
      </w:r>
      <w:r>
        <w:rPr>
          <w:rFonts w:hint="eastAsia"/>
          <w:szCs w:val="21"/>
          <w:highlight w:val="none"/>
        </w:rPr>
        <w:t xml:space="preserve">）</w:t>
      </w:r>
      <w:r>
        <w:rPr>
          <w:rFonts w:hint="eastAsia"/>
          <w:szCs w:val="21"/>
          <w:highlight w:val="none"/>
        </w:rPr>
        <w:t xml:space="preserve">变压器室的防护等级不低于</w:t>
      </w:r>
      <w:r>
        <w:rPr>
          <w:szCs w:val="21"/>
          <w:highlight w:val="none"/>
        </w:rPr>
        <w:t xml:space="preserve">IP33D</w:t>
      </w:r>
      <w:r>
        <w:rPr>
          <w:rFonts w:hint="eastAsia"/>
          <w:szCs w:val="21"/>
          <w:highlight w:val="none"/>
        </w:rPr>
        <w:t xml:space="preserve">，其他隔室的防护等级不得低于</w:t>
      </w:r>
      <w:r>
        <w:rPr>
          <w:szCs w:val="21"/>
          <w:highlight w:val="none"/>
        </w:rPr>
        <w:t xml:space="preserve">IP43</w:t>
      </w:r>
      <w:r>
        <w:rPr>
          <w:rFonts w:hint="eastAsia"/>
          <w:szCs w:val="21"/>
          <w:highlight w:val="none"/>
        </w:rPr>
        <w:t xml:space="preserve">；当欧变内的设备是由操作人员从外部操作时，高压开关设备和控制设备的外壳的保护级不低于</w:t>
      </w:r>
      <w:r>
        <w:rPr>
          <w:szCs w:val="21"/>
          <w:highlight w:val="none"/>
        </w:rPr>
        <w:t xml:space="preserve">IP4X</w:t>
      </w:r>
      <w:r>
        <w:rPr>
          <w:rFonts w:hint="eastAsia"/>
          <w:szCs w:val="21"/>
          <w:highlight w:val="none"/>
        </w:rPr>
        <w:t xml:space="preserve">，内部隔室间的保护等级不低于</w:t>
      </w:r>
      <w:r>
        <w:rPr>
          <w:szCs w:val="21"/>
          <w:highlight w:val="none"/>
        </w:rPr>
        <w:t xml:space="preserve">IP2XC</w:t>
      </w:r>
      <w:r>
        <w:rPr>
          <w:rFonts w:hint="eastAsia"/>
          <w:szCs w:val="21"/>
          <w:highlight w:val="none"/>
        </w:rPr>
        <w:t xml:space="preserve">；</w:t>
      </w:r>
      <w:r>
        <w:rPr>
          <w:rFonts w:hint="eastAsia" w:ascii="宋体" w:hAnsi="宋体" w:cs="宋体"/>
          <w:szCs w:val="21"/>
          <w:highlight w:val="none"/>
        </w:rPr>
        <w:t xml:space="preserve">低压开关设备和控制设备的柜体顶部等不可触及部位的通风孔处的防护等级不应低于</w:t>
      </w:r>
      <w:r>
        <w:rPr>
          <w:rFonts w:ascii="宋体" w:hAnsi="宋体" w:cs="宋体"/>
          <w:szCs w:val="21"/>
          <w:highlight w:val="none"/>
        </w:rPr>
        <w:t xml:space="preserve">IP3X</w:t>
      </w:r>
      <w:r>
        <w:rPr>
          <w:rFonts w:hint="eastAsia" w:ascii="宋体" w:hAnsi="宋体" w:cs="宋体"/>
          <w:szCs w:val="21"/>
          <w:highlight w:val="none"/>
        </w:rPr>
        <w:t xml:space="preserve">，其他通风孔的防护等级不应低于</w:t>
      </w:r>
      <w:r>
        <w:rPr>
          <w:rFonts w:ascii="宋体" w:hAnsi="宋体" w:cs="宋体"/>
          <w:szCs w:val="21"/>
          <w:highlight w:val="none"/>
        </w:rPr>
        <w:t xml:space="preserve">IP3XD</w:t>
      </w:r>
      <w:r>
        <w:rPr>
          <w:rFonts w:hint="eastAsia" w:ascii="宋体" w:hAnsi="宋体" w:cs="宋体"/>
          <w:szCs w:val="21"/>
          <w:highlight w:val="none"/>
        </w:rPr>
        <w:t xml:space="preserve">，柜体其他部分的防护等级不应低于</w:t>
      </w:r>
      <w:r>
        <w:rPr>
          <w:rFonts w:ascii="宋体" w:hAnsi="宋体" w:cs="宋体"/>
          <w:szCs w:val="21"/>
          <w:highlight w:val="none"/>
        </w:rPr>
        <w:t xml:space="preserve">IP4X</w:t>
      </w:r>
      <w:r>
        <w:rPr>
          <w:rFonts w:hint="eastAsia" w:ascii="宋体" w:hAnsi="宋体" w:cs="宋体"/>
          <w:szCs w:val="21"/>
          <w:highlight w:val="none"/>
        </w:rPr>
        <w:t xml:space="preserve">，分隔应不低于</w:t>
      </w:r>
      <w:r>
        <w:rPr>
          <w:rFonts w:ascii="宋体" w:hAnsi="宋体" w:cs="宋体"/>
          <w:szCs w:val="21"/>
          <w:highlight w:val="none"/>
        </w:rPr>
        <w:t xml:space="preserve">IP3b</w:t>
      </w:r>
      <w:r>
        <w:rPr>
          <w:rFonts w:hint="eastAsia"/>
          <w:szCs w:val="21"/>
          <w:highlight w:val="none"/>
        </w:rPr>
        <w:t xml:space="preserve">。</w:t>
      </w:r>
      <w:r>
        <w:rPr>
          <w:rFonts w:hint="eastAsia"/>
          <w:szCs w:val="21"/>
          <w:highlight w:val="none"/>
        </w:rPr>
        <w:t xml:space="preserve">箱体整体防护等级不低于</w:t>
      </w:r>
      <w:r>
        <w:rPr>
          <w:szCs w:val="21"/>
          <w:highlight w:val="none"/>
        </w:rPr>
        <w:t xml:space="preserve">IP33D</w:t>
      </w:r>
      <w:r>
        <w:rPr>
          <w:rFonts w:hint="eastAsia"/>
          <w:szCs w:val="21"/>
          <w:highlight w:val="none"/>
        </w:rPr>
        <w:t xml:space="preserve">。</w:t>
      </w:r>
      <w:r/>
    </w:p>
    <w:p>
      <w:pPr>
        <w:ind w:firstLine="425"/>
        <w:rPr>
          <w:szCs w:val="21"/>
          <w:highlight w:val="none"/>
        </w:rPr>
      </w:pPr>
      <w:r>
        <w:rPr>
          <w:szCs w:val="21"/>
          <w:highlight w:val="none"/>
        </w:rPr>
        <w:t xml:space="preserve">l</w:t>
      </w:r>
      <w:r>
        <w:rPr>
          <w:rFonts w:hint="eastAsia"/>
          <w:szCs w:val="21"/>
          <w:highlight w:val="none"/>
        </w:rPr>
        <w:t xml:space="preserve">）电缆头：全绝缘全屏蔽、可触摸型冷缩肘型硅橡胶电力电缆头。</w:t>
      </w:r>
      <w:r/>
    </w:p>
    <w:p>
      <w:pPr>
        <w:ind w:firstLine="425"/>
        <w:rPr>
          <w:szCs w:val="21"/>
          <w:highlight w:val="none"/>
        </w:rPr>
      </w:pPr>
      <w:r>
        <w:rPr>
          <w:szCs w:val="21"/>
          <w:highlight w:val="none"/>
        </w:rPr>
        <w:t xml:space="preserve">m</w:t>
      </w:r>
      <w:r>
        <w:rPr>
          <w:rFonts w:hint="eastAsia"/>
          <w:szCs w:val="21"/>
          <w:highlight w:val="none"/>
        </w:rPr>
        <w:t xml:space="preserve">）环网柜上应配置嵌入式短路接地故障指示器,</w:t>
      </w:r>
      <w:r>
        <w:rPr>
          <w:rFonts w:hint="eastAsia" w:ascii="宋体" w:hAnsi="宋体" w:cs="宋体"/>
          <w:szCs w:val="21"/>
          <w:highlight w:val="none"/>
        </w:rPr>
        <w:t xml:space="preserve"> 故障指示器建议采用无源或电池供电型，电池供电型可以带电插拔</w:t>
      </w:r>
      <w:r>
        <w:rPr>
          <w:rFonts w:hint="eastAsia"/>
          <w:szCs w:val="21"/>
          <w:highlight w:val="none"/>
        </w:rPr>
        <w:t xml:space="preserve">。气体绝缘环网柜可根据需求配置带辅助接点的气压表。</w:t>
      </w:r>
      <w:r/>
    </w:p>
    <w:p>
      <w:pPr>
        <w:ind w:firstLine="425"/>
        <w:rPr>
          <w:szCs w:val="21"/>
          <w:highlight w:val="none"/>
        </w:rPr>
      </w:pPr>
      <w:r>
        <w:rPr>
          <w:szCs w:val="21"/>
          <w:highlight w:val="none"/>
        </w:rPr>
        <w:t xml:space="preserve">n</w:t>
      </w:r>
      <w:r>
        <w:rPr>
          <w:rFonts w:hint="eastAsia"/>
          <w:szCs w:val="21"/>
          <w:highlight w:val="none"/>
        </w:rPr>
        <w:t xml:space="preserve">）门不应高于</w:t>
      </w:r>
      <w:r>
        <w:rPr>
          <w:szCs w:val="21"/>
          <w:highlight w:val="none"/>
        </w:rPr>
        <w:t xml:space="preserve">2000mm，并应装有具有防盗、防锈、防堵功能的门锁</w:t>
      </w:r>
      <w:r>
        <w:rPr>
          <w:rFonts w:hint="eastAsia"/>
          <w:szCs w:val="21"/>
          <w:highlight w:val="none"/>
        </w:rPr>
        <w:t xml:space="preserve">；</w:t>
      </w:r>
      <w:r>
        <w:rPr>
          <w:highlight w:val="none"/>
        </w:rPr>
        <w:t xml:space="preserve">门应能向外开启，应有可靠装置锁定门防止其关闭</w:t>
      </w:r>
      <w:r>
        <w:rPr>
          <w:rFonts w:hint="eastAsia"/>
          <w:highlight w:val="none"/>
        </w:rPr>
        <w:t xml:space="preserve">；</w:t>
      </w:r>
      <w:r>
        <w:rPr>
          <w:highlight w:val="none"/>
        </w:rPr>
        <w:t xml:space="preserve">门与柜架连接的接地线应采用</w:t>
      </w:r>
      <w:r>
        <w:rPr>
          <w:rFonts w:hint="eastAsia"/>
          <w:highlight w:val="none"/>
        </w:rPr>
        <w:t xml:space="preserve">透明绝缘护套保护的</w:t>
      </w:r>
      <w:r>
        <w:rPr>
          <w:highlight w:val="none"/>
        </w:rPr>
        <w:t xml:space="preserve">不小于2.5mm</w:t>
      </w:r>
      <w:r>
        <w:rPr>
          <w:highlight w:val="none"/>
          <w:vertAlign w:val="superscript"/>
        </w:rPr>
        <w:t xml:space="preserve">2</w:t>
      </w:r>
      <w:r>
        <w:rPr>
          <w:rFonts w:hint="eastAsia"/>
          <w:highlight w:val="none"/>
        </w:rPr>
        <w:t xml:space="preserve">多股软铜线</w:t>
      </w:r>
      <w:r>
        <w:rPr>
          <w:rFonts w:hint="eastAsia"/>
          <w:szCs w:val="21"/>
          <w:highlight w:val="none"/>
        </w:rPr>
        <w:t xml:space="preserve">。。</w:t>
      </w:r>
      <w:r/>
    </w:p>
    <w:p>
      <w:pPr>
        <w:ind w:firstLine="425"/>
        <w:rPr>
          <w:szCs w:val="21"/>
          <w:highlight w:val="none"/>
        </w:rPr>
      </w:pPr>
      <w:r>
        <w:rPr>
          <w:szCs w:val="21"/>
          <w:highlight w:val="none"/>
        </w:rPr>
        <w:t xml:space="preserve">o</w:t>
      </w:r>
      <w:r>
        <w:rPr>
          <w:rFonts w:hint="eastAsia"/>
          <w:szCs w:val="21"/>
          <w:highlight w:val="none"/>
        </w:rPr>
        <w:t xml:space="preserve">）</w:t>
      </w:r>
      <w:r>
        <w:rPr>
          <w:highlight w:val="none"/>
        </w:rPr>
        <w:t xml:space="preserve">箱式变电站的外壳耐受机械应力为20J</w:t>
      </w:r>
      <w:r>
        <w:rPr>
          <w:rFonts w:hint="eastAsia"/>
          <w:highlight w:val="none"/>
        </w:rPr>
        <w:t xml:space="preserve">。</w:t>
      </w:r>
      <w:r/>
    </w:p>
    <w:p>
      <w:pPr>
        <w:spacing w:line="312" w:lineRule="exact"/>
        <w:rPr>
          <w:szCs w:val="21"/>
          <w:highlight w:val="none"/>
        </w:rPr>
      </w:pPr>
      <w:r>
        <w:rPr>
          <w:szCs w:val="21"/>
          <w:highlight w:val="none"/>
        </w:rPr>
        <w:t xml:space="preserve">5</w:t>
      </w:r>
      <w:r>
        <w:rPr>
          <w:spacing w:val="20"/>
          <w:szCs w:val="21"/>
          <w:highlight w:val="none"/>
        </w:rPr>
        <w:t xml:space="preserve">.</w:t>
      </w:r>
      <w:r>
        <w:rPr>
          <w:szCs w:val="21"/>
          <w:highlight w:val="none"/>
        </w:rPr>
        <w:t xml:space="preserve">2　全部设备应能持久耐用，应满足在实际运行工况下作为一个完整产品一般应能满足的全部要求。</w:t>
      </w:r>
      <w:r/>
    </w:p>
    <w:p>
      <w:pPr>
        <w:spacing w:line="312" w:lineRule="exact"/>
        <w:rPr>
          <w:szCs w:val="21"/>
          <w:highlight w:val="none"/>
        </w:rPr>
      </w:pPr>
      <w:r>
        <w:rPr>
          <w:szCs w:val="21"/>
          <w:highlight w:val="none"/>
        </w:rPr>
        <w:t xml:space="preserve">5.3</w:t>
      </w:r>
      <w:r>
        <w:rPr>
          <w:rFonts w:hint="eastAsia"/>
          <w:szCs w:val="21"/>
          <w:highlight w:val="none"/>
          <w:lang w:eastAsia="zh-CN"/>
        </w:rPr>
        <w:t xml:space="preserve"> </w:t>
      </w:r>
      <w:r>
        <w:rPr>
          <w:szCs w:val="21"/>
          <w:highlight w:val="none"/>
        </w:rPr>
        <w:t xml:space="preserve">低压配置低压无功自动补偿装置，按变压器容量</w:t>
      </w:r>
      <w:r>
        <w:rPr>
          <w:rFonts w:hint="eastAsia"/>
          <w:szCs w:val="21"/>
          <w:highlight w:val="none"/>
          <w:lang w:val="en-US" w:eastAsia="zh-CN"/>
        </w:rPr>
        <w:t xml:space="preserve">2</w:t>
      </w:r>
      <w:r>
        <w:rPr>
          <w:szCs w:val="21"/>
          <w:highlight w:val="none"/>
        </w:rPr>
        <w:t xml:space="preserve">0%</w:t>
      </w:r>
      <w:r>
        <w:rPr>
          <w:rFonts w:hint="eastAsia"/>
          <w:szCs w:val="21"/>
          <w:highlight w:val="none"/>
        </w:rPr>
        <w:t xml:space="preserve">～</w:t>
      </w:r>
      <w:r>
        <w:rPr>
          <w:szCs w:val="21"/>
          <w:highlight w:val="none"/>
        </w:rPr>
        <w:t xml:space="preserve">30%配置电容器补偿容量，电容器采用干式自愈型低压电容器，系统停电3min以后自放电电压残压低于50V。</w:t>
      </w:r>
      <w:r>
        <w:rPr>
          <w:rFonts w:hint="eastAsia"/>
          <w:szCs w:val="21"/>
          <w:highlight w:val="none"/>
        </w:rPr>
        <w:t xml:space="preserve">补偿方式为共补加分补，建议按照</w:t>
      </w:r>
      <w:r>
        <w:rPr>
          <w:szCs w:val="21"/>
          <w:highlight w:val="none"/>
        </w:rPr>
        <w:t xml:space="preserve">70%共补、30%分补配置电容器</w:t>
      </w:r>
      <w:r>
        <w:rPr>
          <w:rFonts w:hint="eastAsia"/>
          <w:szCs w:val="21"/>
          <w:highlight w:val="none"/>
        </w:rPr>
        <w:t xml:space="preserve">。电容器自动控制器具备保护、测量、显示、控制等功能。无功补偿投切控制器、投切开关的技术参数应符合</w:t>
      </w:r>
      <w:r>
        <w:rPr>
          <w:szCs w:val="21"/>
          <w:highlight w:val="none"/>
        </w:rPr>
        <w:t xml:space="preserve">GB/T 14048</w:t>
      </w:r>
      <w:r>
        <w:rPr>
          <w:rFonts w:hint="eastAsia"/>
          <w:szCs w:val="21"/>
          <w:highlight w:val="none"/>
        </w:rPr>
        <w:t xml:space="preserve">、</w:t>
      </w:r>
      <w:r>
        <w:rPr>
          <w:szCs w:val="21"/>
          <w:highlight w:val="none"/>
        </w:rPr>
        <w:t xml:space="preserve">GB/T 13729的规定等。</w:t>
      </w:r>
      <w:r>
        <w:rPr>
          <w:rFonts w:hint="eastAsia" w:ascii="宋体" w:hAnsi="宋体" w:cs="宋体"/>
          <w:szCs w:val="21"/>
          <w:highlight w:val="none"/>
        </w:rPr>
        <w:t xml:space="preserve">同时电容器应能支持与台区智能融合终端、智能配变终端进行数据交互。</w:t>
      </w:r>
      <w:r/>
    </w:p>
    <w:p>
      <w:pPr>
        <w:spacing w:line="312" w:lineRule="exact"/>
        <w:rPr>
          <w:szCs w:val="21"/>
          <w:highlight w:val="none"/>
        </w:rPr>
      </w:pPr>
      <w:r>
        <w:rPr>
          <w:szCs w:val="21"/>
          <w:highlight w:val="none"/>
        </w:rPr>
        <w:t xml:space="preserve">5</w:t>
      </w:r>
      <w:r>
        <w:rPr>
          <w:spacing w:val="20"/>
          <w:szCs w:val="21"/>
          <w:highlight w:val="none"/>
        </w:rPr>
        <w:t xml:space="preserve">.</w:t>
      </w:r>
      <w:r>
        <w:rPr>
          <w:szCs w:val="21"/>
          <w:highlight w:val="none"/>
        </w:rPr>
        <w:t xml:space="preserve">4</w:t>
      </w:r>
      <w:r>
        <w:rPr>
          <w:rFonts w:hint="eastAsia"/>
          <w:szCs w:val="21"/>
          <w:highlight w:val="none"/>
          <w:lang w:eastAsia="zh-CN"/>
        </w:rPr>
        <w:t xml:space="preserve"> </w:t>
      </w:r>
      <w:r>
        <w:rPr>
          <w:szCs w:val="21"/>
          <w:highlight w:val="none"/>
        </w:rPr>
        <w:t xml:space="preserve">设备接线端子</w:t>
      </w:r>
      <w:r/>
    </w:p>
    <w:p>
      <w:pPr>
        <w:spacing w:line="312" w:lineRule="exact"/>
        <w:rPr>
          <w:szCs w:val="21"/>
          <w:highlight w:val="none"/>
        </w:rPr>
      </w:pPr>
      <w:r>
        <w:rPr>
          <w:szCs w:val="21"/>
          <w:highlight w:val="none"/>
        </w:rPr>
      </w:r>
      <w:r/>
    </w:p>
    <w:p>
      <w:pPr>
        <w:spacing w:line="312" w:lineRule="exact"/>
        <w:rPr>
          <w:szCs w:val="21"/>
          <w:highlight w:val="none"/>
        </w:rPr>
      </w:pPr>
      <w:r>
        <w:rPr>
          <w:szCs w:val="21"/>
          <w:highlight w:val="none"/>
        </w:rPr>
        <w:t xml:space="preserve">5</w:t>
      </w:r>
      <w:r>
        <w:rPr>
          <w:spacing w:val="20"/>
          <w:szCs w:val="21"/>
          <w:highlight w:val="none"/>
        </w:rPr>
        <w:t xml:space="preserve">.</w:t>
      </w:r>
      <w:r>
        <w:rPr>
          <w:szCs w:val="21"/>
          <w:highlight w:val="none"/>
        </w:rPr>
        <w:t xml:space="preserve">4　设备接线端子</w:t>
      </w:r>
      <w:r/>
    </w:p>
    <w:p>
      <w:pPr>
        <w:ind w:firstLine="425"/>
        <w:rPr>
          <w:szCs w:val="21"/>
          <w:highlight w:val="none"/>
        </w:rPr>
      </w:pPr>
      <w:r>
        <w:rPr>
          <w:szCs w:val="21"/>
          <w:highlight w:val="none"/>
        </w:rPr>
        <w:t xml:space="preserve">a）</w:t>
      </w:r>
      <w:r>
        <w:rPr>
          <w:rFonts w:hint="eastAsia"/>
          <w:szCs w:val="21"/>
          <w:highlight w:val="none"/>
        </w:rPr>
        <w:t xml:space="preserve">设备应配备接线端子，其尺寸应以满足回路额定电流及连接要求，并应提供铜质或不锈钢制造</w:t>
      </w:r>
      <w:r>
        <w:rPr>
          <w:szCs w:val="21"/>
          <w:highlight w:val="none"/>
        </w:rPr>
        <w:t xml:space="preserve">的螺栓、螺帽及防松垫圈。</w:t>
      </w:r>
      <w:r/>
    </w:p>
    <w:p>
      <w:pPr>
        <w:ind w:firstLine="425"/>
        <w:rPr>
          <w:szCs w:val="21"/>
          <w:highlight w:val="none"/>
        </w:rPr>
      </w:pPr>
      <w:r>
        <w:rPr>
          <w:szCs w:val="21"/>
          <w:highlight w:val="none"/>
        </w:rPr>
        <w:t xml:space="preserve">b）</w:t>
      </w:r>
      <w:r>
        <w:rPr>
          <w:rFonts w:hint="eastAsia"/>
          <w:szCs w:val="21"/>
          <w:highlight w:val="none"/>
        </w:rPr>
        <w:t xml:space="preserve">接线端子的接触面应镀锡，</w:t>
      </w:r>
      <w:r>
        <w:rPr>
          <w:szCs w:val="21"/>
          <w:highlight w:val="none"/>
        </w:rPr>
        <w:t xml:space="preserve">160kVA及以上变压器套管端子要求配置旋入式接线端子并加装绝缘防护罩。</w:t>
      </w:r>
      <w:r/>
    </w:p>
    <w:p>
      <w:pPr>
        <w:ind w:firstLine="425"/>
        <w:rPr>
          <w:szCs w:val="21"/>
          <w:highlight w:val="none"/>
        </w:rPr>
      </w:pPr>
      <w:r>
        <w:rPr>
          <w:szCs w:val="21"/>
          <w:highlight w:val="none"/>
        </w:rPr>
        <w:t xml:space="preserve">c）</w:t>
      </w:r>
      <w:r>
        <w:rPr>
          <w:rFonts w:hint="eastAsia"/>
          <w:szCs w:val="21"/>
          <w:highlight w:val="none"/>
        </w:rPr>
        <w:t xml:space="preserve">设备应有专用接地端子，适合于连接。接地连接线应为铜质，其截面应与可能流过的短路电流相适应。</w:t>
      </w:r>
      <w:r/>
    </w:p>
    <w:p>
      <w:pPr>
        <w:spacing w:line="312" w:lineRule="exact"/>
        <w:rPr>
          <w:szCs w:val="21"/>
          <w:highlight w:val="none"/>
        </w:rPr>
      </w:pPr>
      <w:r>
        <w:rPr>
          <w:szCs w:val="21"/>
          <w:highlight w:val="none"/>
        </w:rPr>
        <w:t xml:space="preserve">5</w:t>
      </w:r>
      <w:r>
        <w:rPr>
          <w:spacing w:val="20"/>
          <w:szCs w:val="21"/>
          <w:highlight w:val="none"/>
        </w:rPr>
        <w:t xml:space="preserve">.</w:t>
      </w:r>
      <w:r>
        <w:rPr>
          <w:szCs w:val="21"/>
          <w:highlight w:val="none"/>
        </w:rPr>
        <w:t xml:space="preserve">5　接地</w:t>
      </w:r>
      <w:r/>
    </w:p>
    <w:p>
      <w:pPr>
        <w:pStyle w:val="896"/>
        <w:ind w:left="420" w:firstLine="0"/>
        <w:rPr>
          <w:rFonts w:ascii="Times New Roman"/>
          <w:highlight w:val="none"/>
        </w:rPr>
      </w:pPr>
      <w:r>
        <w:rPr>
          <w:rFonts w:ascii="Times New Roman"/>
          <w:szCs w:val="21"/>
          <w:highlight w:val="none"/>
        </w:rPr>
        <w:t xml:space="preserve">a</w:t>
      </w:r>
      <w:r>
        <w:rPr>
          <w:rFonts w:hint="eastAsia" w:ascii="Times New Roman"/>
          <w:szCs w:val="21"/>
          <w:highlight w:val="none"/>
        </w:rPr>
        <w:t xml:space="preserve">）</w:t>
      </w:r>
      <w:r>
        <w:rPr>
          <w:rFonts w:hint="eastAsia" w:ascii="Times New Roman"/>
          <w:highlight w:val="none"/>
        </w:rPr>
        <w:t xml:space="preserve">接地系统应符合</w:t>
      </w:r>
      <w:r>
        <w:rPr>
          <w:rFonts w:ascii="Times New Roman"/>
          <w:highlight w:val="none"/>
        </w:rPr>
        <w:t xml:space="preserve">GB</w:t>
      </w:r>
      <w:r>
        <w:rPr>
          <w:rFonts w:hint="eastAsia" w:ascii="Times New Roman"/>
          <w:highlight w:val="none"/>
        </w:rPr>
        <w:t xml:space="preserve">/T</w:t>
      </w:r>
      <w:r>
        <w:rPr>
          <w:rFonts w:ascii="Times New Roman"/>
          <w:highlight w:val="none"/>
        </w:rPr>
        <w:t xml:space="preserve"> 17467</w:t>
      </w:r>
      <w:r>
        <w:rPr>
          <w:rFonts w:hint="eastAsia" w:ascii="Times New Roman"/>
          <w:highlight w:val="none"/>
        </w:rPr>
        <w:t xml:space="preserve">的要求。</w:t>
      </w:r>
      <w:r/>
    </w:p>
    <w:p>
      <w:pPr>
        <w:pStyle w:val="896"/>
        <w:ind w:left="420" w:firstLine="0"/>
        <w:rPr>
          <w:rFonts w:ascii="Times New Roman"/>
          <w:highlight w:val="none"/>
        </w:rPr>
      </w:pPr>
      <w:r>
        <w:rPr>
          <w:rFonts w:ascii="Times New Roman"/>
          <w:highlight w:val="none"/>
        </w:rPr>
        <w:t xml:space="preserve">b</w:t>
      </w:r>
      <w:r>
        <w:rPr>
          <w:rFonts w:hint="eastAsia" w:ascii="Times New Roman"/>
          <w:highlight w:val="none"/>
        </w:rPr>
        <w:t xml:space="preserve">）接地系统应提供一个将不属于设备主回路和辅助回路的所有金属部件接地的铜质主接地导</w:t>
      </w:r>
      <w:r/>
    </w:p>
    <w:p>
      <w:pPr>
        <w:pStyle w:val="896"/>
        <w:ind w:firstLine="0"/>
        <w:rPr>
          <w:rFonts w:ascii="Times New Roman"/>
          <w:highlight w:val="none"/>
        </w:rPr>
      </w:pPr>
      <w:r>
        <w:rPr>
          <w:rFonts w:hint="eastAsia"/>
          <w:highlight w:val="none"/>
        </w:rPr>
        <w:t xml:space="preserve">体，</w:t>
      </w:r>
      <w:r>
        <w:rPr>
          <w:rFonts w:hint="eastAsia" w:ascii="Times New Roman"/>
          <w:highlight w:val="none"/>
        </w:rPr>
        <w:t xml:space="preserve">每个元件通过单独的连接线与之相连，该导体应包含在主接地系统中。</w:t>
      </w:r>
      <w:r/>
    </w:p>
    <w:p>
      <w:pPr>
        <w:pStyle w:val="896"/>
        <w:ind w:left="420" w:firstLine="0"/>
        <w:rPr>
          <w:rFonts w:ascii="Times New Roman"/>
          <w:highlight w:val="none"/>
        </w:rPr>
      </w:pPr>
      <w:r>
        <w:rPr>
          <w:highlight w:val="none"/>
        </w:rPr>
        <w:t xml:space="preserve">c</w:t>
      </w:r>
      <w:r>
        <w:rPr>
          <w:rFonts w:hint="eastAsia"/>
          <w:highlight w:val="none"/>
        </w:rPr>
        <w:t xml:space="preserve">）接地导体上应设有不应少于</w:t>
      </w:r>
      <w:r>
        <w:rPr>
          <w:highlight w:val="none"/>
        </w:rPr>
        <w:t xml:space="preserve">2</w:t>
      </w:r>
      <w:r>
        <w:rPr>
          <w:rFonts w:hint="eastAsia"/>
          <w:highlight w:val="none"/>
        </w:rPr>
        <w:t xml:space="preserve">个与接地网相连接的铜质接地端子，其电气接触面积不应小于</w:t>
      </w:r>
      <w:r/>
    </w:p>
    <w:p>
      <w:pPr>
        <w:pStyle w:val="896"/>
        <w:ind w:firstLine="0"/>
        <w:rPr>
          <w:rFonts w:ascii="Times New Roman"/>
          <w:highlight w:val="none"/>
        </w:rPr>
      </w:pPr>
      <w:r>
        <w:rPr>
          <w:rFonts w:ascii="Times New Roman"/>
          <w:highlight w:val="none"/>
        </w:rPr>
        <w:t xml:space="preserve">160mm</w:t>
      </w:r>
      <w:r>
        <w:rPr>
          <w:rFonts w:ascii="Times New Roman"/>
          <w:highlight w:val="none"/>
          <w:vertAlign w:val="superscript"/>
        </w:rPr>
        <w:t xml:space="preserve">2</w:t>
      </w:r>
      <w:r>
        <w:rPr>
          <w:rFonts w:hint="eastAsia" w:ascii="Times New Roman"/>
          <w:highlight w:val="none"/>
        </w:rPr>
        <w:t xml:space="preserve">。接地点应有明显的接地标志。</w:t>
      </w:r>
      <w:r/>
    </w:p>
    <w:p>
      <w:pPr>
        <w:ind w:firstLine="420"/>
        <w:spacing w:line="312" w:lineRule="exact"/>
        <w:rPr>
          <w:szCs w:val="21"/>
          <w:highlight w:val="none"/>
        </w:rPr>
      </w:pPr>
      <w:r>
        <w:rPr>
          <w:szCs w:val="21"/>
          <w:highlight w:val="none"/>
        </w:rPr>
        <w:t xml:space="preserve">d</w:t>
      </w:r>
      <w:r>
        <w:rPr>
          <w:rFonts w:hint="eastAsia"/>
          <w:szCs w:val="21"/>
          <w:highlight w:val="none"/>
        </w:rPr>
        <w:t xml:space="preserve">）设备的接地端子应是直径不小于12mm螺栓连接。接地连接线应为铜质，其截面应设计成能够在系统的中性点接地条件下耐受从箱式变电站的每个部件到外部接地连接的额定短时和峰值耐受电流。</w:t>
      </w:r>
      <w:r/>
    </w:p>
    <w:p>
      <w:pPr>
        <w:ind w:firstLine="420"/>
        <w:spacing w:line="312" w:lineRule="exact"/>
        <w:rPr>
          <w:szCs w:val="21"/>
          <w:highlight w:val="none"/>
        </w:rPr>
      </w:pPr>
      <w:r>
        <w:rPr>
          <w:szCs w:val="21"/>
          <w:highlight w:val="none"/>
        </w:rPr>
        <w:t xml:space="preserve">e</w:t>
      </w:r>
      <w:r>
        <w:rPr>
          <w:rFonts w:hint="eastAsia"/>
          <w:szCs w:val="21"/>
          <w:highlight w:val="none"/>
        </w:rPr>
        <w:t xml:space="preserve">）高压室、低压室的接地排穿过隔板后汇入变压器室，对于三相五线制（TN-S），应有两点接地引入，一点用于变压器中性点接地，另一点用于箱变外壳及高低压设备、电缆外壳接地。各隔室内的接地排应有接地标识。</w:t>
      </w:r>
      <w:r/>
    </w:p>
    <w:p>
      <w:pPr>
        <w:spacing w:line="312" w:lineRule="exact"/>
        <w:rPr>
          <w:szCs w:val="21"/>
          <w:highlight w:val="none"/>
        </w:rPr>
      </w:pPr>
      <w:r>
        <w:rPr>
          <w:szCs w:val="21"/>
          <w:highlight w:val="none"/>
        </w:rPr>
        <w:t xml:space="preserve">5</w:t>
      </w:r>
      <w:r>
        <w:rPr>
          <w:spacing w:val="20"/>
          <w:szCs w:val="21"/>
          <w:highlight w:val="none"/>
        </w:rPr>
        <w:t xml:space="preserve">.</w:t>
      </w:r>
      <w:r>
        <w:rPr>
          <w:szCs w:val="21"/>
          <w:highlight w:val="none"/>
        </w:rPr>
        <w:t xml:space="preserve">6　箱式变电站内所有接线，包括一次、二次、接地都由投标人完成。</w:t>
      </w:r>
      <w:r/>
    </w:p>
    <w:p>
      <w:pPr>
        <w:spacing w:line="312" w:lineRule="exact"/>
        <w:rPr>
          <w:szCs w:val="21"/>
          <w:highlight w:val="none"/>
        </w:rPr>
      </w:pPr>
      <w:r>
        <w:rPr>
          <w:szCs w:val="21"/>
          <w:highlight w:val="none"/>
        </w:rPr>
        <w:t xml:space="preserve">5</w:t>
      </w:r>
      <w:r>
        <w:rPr>
          <w:spacing w:val="20"/>
          <w:szCs w:val="21"/>
          <w:highlight w:val="none"/>
        </w:rPr>
        <w:t xml:space="preserve">.</w:t>
      </w:r>
      <w:r>
        <w:rPr>
          <w:szCs w:val="21"/>
          <w:highlight w:val="none"/>
        </w:rPr>
        <w:t xml:space="preserve">7　设备中所使用的全部材料应说明制定的品位和等级。</w:t>
      </w:r>
      <w:r/>
    </w:p>
    <w:p>
      <w:pPr>
        <w:spacing w:line="312" w:lineRule="exact"/>
        <w:rPr>
          <w:szCs w:val="21"/>
          <w:highlight w:val="none"/>
        </w:rPr>
      </w:pPr>
      <w:r>
        <w:rPr>
          <w:szCs w:val="21"/>
          <w:highlight w:val="none"/>
        </w:rPr>
        <w:t xml:space="preserve">5</w:t>
      </w:r>
      <w:r>
        <w:rPr>
          <w:spacing w:val="20"/>
          <w:szCs w:val="21"/>
          <w:highlight w:val="none"/>
        </w:rPr>
        <w:t xml:space="preserve">.</w:t>
      </w:r>
      <w:r>
        <w:rPr>
          <w:szCs w:val="21"/>
          <w:highlight w:val="none"/>
        </w:rPr>
        <w:t xml:space="preserve">8　焊接</w:t>
      </w:r>
      <w:r/>
    </w:p>
    <w:p>
      <w:pPr>
        <w:ind w:firstLine="525"/>
        <w:rPr>
          <w:szCs w:val="21"/>
          <w:highlight w:val="none"/>
        </w:rPr>
      </w:pPr>
      <w:r>
        <w:rPr>
          <w:szCs w:val="21"/>
          <w:highlight w:val="none"/>
        </w:rPr>
        <w:t xml:space="preserve">变压器内部焊接应由电弧焊完成，不得发生虚焊、裂缝及其他任何缺陷。</w:t>
      </w:r>
      <w:r/>
    </w:p>
    <w:p>
      <w:pPr>
        <w:spacing w:line="312" w:lineRule="exact"/>
        <w:rPr>
          <w:szCs w:val="21"/>
          <w:highlight w:val="none"/>
        </w:rPr>
      </w:pPr>
      <w:r>
        <w:rPr>
          <w:szCs w:val="21"/>
          <w:highlight w:val="none"/>
        </w:rPr>
        <w:t xml:space="preserve">5</w:t>
      </w:r>
      <w:r>
        <w:rPr>
          <w:spacing w:val="20"/>
          <w:szCs w:val="21"/>
          <w:highlight w:val="none"/>
        </w:rPr>
        <w:t xml:space="preserve">.</w:t>
      </w:r>
      <w:r>
        <w:rPr>
          <w:szCs w:val="21"/>
          <w:highlight w:val="none"/>
        </w:rPr>
        <w:t xml:space="preserve">9　</w:t>
      </w:r>
      <w:r>
        <w:rPr>
          <w:rFonts w:hint="eastAsia"/>
          <w:szCs w:val="21"/>
          <w:highlight w:val="none"/>
        </w:rPr>
        <w:t xml:space="preserve">箱体外（不含基础）无外露可拆卸的螺栓。外露紧固件和五金部件材质采用304不锈钢或防锈合金材料（铰链采用304不锈钢）。挂锁部件应采用内置式，并有防雨、防尘措施。所有的门应向外开，开启角度应不小于90°，并设定位装置，门的设计尺寸应与所装用的设备尺寸相配合。箱体外壳内钢构应使用不锈钢材质。箱式变电站外侧立面应设置明显的安全警告标识和标志，如带电危险、禁止触摸等。安全标识应符合国家标准要求。外壳有防贴小广告措施。环网柜进行防凝露侵害设计，二次电气控制部分及元件采用模块化封闭形式，二次小室顶部带倾斜角、导水槽</w:t>
      </w:r>
      <w:r>
        <w:rPr>
          <w:rFonts w:hint="eastAsia" w:ascii="宋体" w:hAnsi="宋体" w:cs="宋体"/>
          <w:szCs w:val="21"/>
          <w:highlight w:val="none"/>
        </w:rPr>
        <w:t xml:space="preserve">。</w:t>
      </w:r>
      <w:r/>
    </w:p>
    <w:p>
      <w:pPr>
        <w:spacing w:line="312" w:lineRule="exact"/>
        <w:rPr>
          <w:szCs w:val="21"/>
          <w:highlight w:val="none"/>
        </w:rPr>
      </w:pPr>
      <w:r>
        <w:rPr>
          <w:szCs w:val="21"/>
          <w:highlight w:val="none"/>
        </w:rPr>
        <w:t xml:space="preserve">5.10　耐地震要求</w:t>
      </w:r>
      <w:r/>
    </w:p>
    <w:p>
      <w:pPr>
        <w:ind w:firstLine="425"/>
        <w:rPr>
          <w:szCs w:val="21"/>
          <w:highlight w:val="none"/>
        </w:rPr>
      </w:pPr>
      <w:r>
        <w:rPr>
          <w:rFonts w:hint="eastAsia"/>
          <w:szCs w:val="21"/>
          <w:highlight w:val="none"/>
        </w:rPr>
        <w:t xml:space="preserve">设备及设备支座必须按承受地震荷载时能保持结构完整来设计。</w:t>
      </w:r>
      <w:r/>
    </w:p>
    <w:p>
      <w:pPr>
        <w:spacing w:line="312" w:lineRule="exact"/>
        <w:rPr>
          <w:szCs w:val="21"/>
          <w:highlight w:val="none"/>
        </w:rPr>
      </w:pPr>
      <w:r>
        <w:rPr>
          <w:szCs w:val="21"/>
          <w:highlight w:val="none"/>
        </w:rPr>
        <w:t xml:space="preserve">5.11　铭牌</w:t>
      </w:r>
      <w:r/>
    </w:p>
    <w:p>
      <w:pPr>
        <w:ind w:firstLine="425"/>
        <w:rPr>
          <w:szCs w:val="21"/>
          <w:highlight w:val="none"/>
        </w:rPr>
      </w:pPr>
      <w:r>
        <w:rPr>
          <w:szCs w:val="21"/>
          <w:highlight w:val="none"/>
        </w:rPr>
        <w:t xml:space="preserve">a）</w:t>
      </w:r>
      <w:r>
        <w:rPr>
          <w:rFonts w:hint="eastAsia"/>
          <w:szCs w:val="21"/>
          <w:highlight w:val="none"/>
        </w:rPr>
        <w:t xml:space="preserve">箱式变电站的铭牌应清晰，其内容应符合</w:t>
      </w:r>
      <w:r>
        <w:rPr>
          <w:szCs w:val="21"/>
          <w:highlight w:val="none"/>
        </w:rPr>
        <w:t xml:space="preserve">GB/T 17467</w:t>
      </w:r>
      <w:r>
        <w:rPr>
          <w:rFonts w:hint="eastAsia"/>
          <w:szCs w:val="21"/>
          <w:highlight w:val="none"/>
        </w:rPr>
        <w:t xml:space="preserve">的规定。</w:t>
      </w:r>
      <w:r/>
    </w:p>
    <w:p>
      <w:pPr>
        <w:ind w:firstLine="425"/>
        <w:rPr>
          <w:szCs w:val="21"/>
          <w:highlight w:val="none"/>
        </w:rPr>
      </w:pPr>
      <w:r>
        <w:rPr>
          <w:szCs w:val="21"/>
          <w:highlight w:val="none"/>
        </w:rPr>
        <w:t xml:space="preserve">b）铭牌应为不锈钢材料，设备零件及其附件上的指示牌、警告牌应标识清晰。</w:t>
      </w:r>
      <w:r/>
    </w:p>
    <w:p>
      <w:pPr>
        <w:spacing w:line="312" w:lineRule="exact"/>
        <w:rPr>
          <w:szCs w:val="21"/>
          <w:highlight w:val="none"/>
        </w:rPr>
      </w:pPr>
      <w:r>
        <w:rPr>
          <w:szCs w:val="21"/>
          <w:highlight w:val="none"/>
        </w:rPr>
        <w:t xml:space="preserve">5.12  </w:t>
      </w:r>
      <w:r>
        <w:rPr>
          <w:rFonts w:hint="eastAsia"/>
          <w:szCs w:val="21"/>
          <w:highlight w:val="none"/>
        </w:rPr>
        <w:t xml:space="preserve">进出线规模</w:t>
      </w:r>
      <w:r/>
    </w:p>
    <w:p>
      <w:pPr>
        <w:ind w:firstLine="420"/>
        <w:rPr>
          <w:szCs w:val="21"/>
          <w:highlight w:val="none"/>
        </w:rPr>
      </w:pPr>
      <w:r>
        <w:rPr>
          <w:rFonts w:hint="eastAsia"/>
          <w:szCs w:val="21"/>
          <w:highlight w:val="none"/>
          <w:lang w:val="en-US" w:eastAsia="zh-CN"/>
        </w:rPr>
        <w:t xml:space="preserve">根据招标方需求进行</w:t>
      </w:r>
      <w:r>
        <w:rPr>
          <w:szCs w:val="21"/>
          <w:highlight w:val="none"/>
        </w:rPr>
        <w:t xml:space="preserve">设计。</w:t>
      </w:r>
      <w:r/>
    </w:p>
    <w:p>
      <w:pPr>
        <w:rPr>
          <w:szCs w:val="21"/>
          <w:highlight w:val="none"/>
        </w:rPr>
      </w:pPr>
      <w:r>
        <w:rPr>
          <w:szCs w:val="21"/>
          <w:highlight w:val="none"/>
        </w:rPr>
        <w:t xml:space="preserve">5.13</w:t>
      </w:r>
      <w:r>
        <w:rPr>
          <w:rFonts w:hint="eastAsia"/>
          <w:szCs w:val="21"/>
          <w:highlight w:val="none"/>
        </w:rPr>
        <w:t xml:space="preserve">　设备短路电流水平</w:t>
      </w:r>
      <w:r/>
    </w:p>
    <w:p>
      <w:pPr>
        <w:ind w:firstLine="420"/>
        <w:rPr>
          <w:szCs w:val="21"/>
          <w:highlight w:val="none"/>
        </w:rPr>
      </w:pPr>
      <w:r>
        <w:rPr>
          <w:szCs w:val="21"/>
          <w:highlight w:val="none"/>
        </w:rPr>
        <w:t xml:space="preserve">10kV电压等级设备短路电流水平不小于20kA。</w:t>
      </w:r>
      <w:r/>
    </w:p>
    <w:p>
      <w:pPr>
        <w:ind w:firstLine="420"/>
        <w:rPr>
          <w:szCs w:val="21"/>
          <w:highlight w:val="none"/>
        </w:rPr>
      </w:pPr>
      <w:r>
        <w:rPr>
          <w:szCs w:val="21"/>
          <w:highlight w:val="none"/>
        </w:rPr>
        <w:t xml:space="preserve">0.4kV电压等级设备短路电流水平不小于30kA。</w:t>
      </w:r>
      <w:r/>
    </w:p>
    <w:p>
      <w:pPr>
        <w:rPr>
          <w:szCs w:val="21"/>
          <w:highlight w:val="none"/>
        </w:rPr>
      </w:pPr>
      <w:r>
        <w:rPr>
          <w:szCs w:val="21"/>
          <w:highlight w:val="none"/>
        </w:rPr>
        <w:t xml:space="preserve">5.14</w:t>
      </w:r>
      <w:r>
        <w:rPr>
          <w:rFonts w:hint="eastAsia"/>
          <w:szCs w:val="21"/>
          <w:highlight w:val="none"/>
        </w:rPr>
        <w:t xml:space="preserve">　箱变外壳级别</w:t>
      </w:r>
      <w:r/>
    </w:p>
    <w:p>
      <w:pPr>
        <w:ind w:firstLine="420"/>
        <w:rPr>
          <w:szCs w:val="21"/>
          <w:highlight w:val="none"/>
        </w:rPr>
      </w:pPr>
      <w:r>
        <w:rPr>
          <w:szCs w:val="21"/>
          <w:highlight w:val="none"/>
        </w:rPr>
        <w:t xml:space="preserve">箱变外壳级别推荐10。</w:t>
      </w:r>
      <w:r/>
    </w:p>
    <w:p>
      <w:pPr>
        <w:rPr>
          <w:szCs w:val="21"/>
          <w:highlight w:val="none"/>
        </w:rPr>
      </w:pPr>
      <w:r>
        <w:rPr>
          <w:szCs w:val="21"/>
          <w:highlight w:val="none"/>
        </w:rPr>
        <w:t xml:space="preserve">5.15</w:t>
      </w:r>
      <w:r>
        <w:rPr>
          <w:rFonts w:hint="eastAsia"/>
          <w:szCs w:val="21"/>
          <w:highlight w:val="none"/>
        </w:rPr>
        <w:t xml:space="preserve">　噪声</w:t>
      </w:r>
      <w:r/>
    </w:p>
    <w:p>
      <w:pPr>
        <w:ind w:firstLine="420"/>
        <w:rPr>
          <w:szCs w:val="21"/>
          <w:highlight w:val="none"/>
        </w:rPr>
      </w:pPr>
      <w:r>
        <w:rPr>
          <w:szCs w:val="21"/>
          <w:highlight w:val="none"/>
        </w:rPr>
        <w:t xml:space="preserve">在箱变外部距变压器隔室0.3m，离地面1.5m处所测得的最大声发射水平（声压级）不得大于55dB</w:t>
      </w:r>
      <w:r>
        <w:rPr>
          <w:rFonts w:hint="eastAsia"/>
          <w:szCs w:val="21"/>
          <w:highlight w:val="none"/>
        </w:rPr>
        <w:t xml:space="preserve">（A）</w:t>
      </w:r>
      <w:r>
        <w:rPr>
          <w:szCs w:val="21"/>
          <w:highlight w:val="none"/>
        </w:rPr>
        <w:t xml:space="preserve">。</w:t>
      </w:r>
      <w:r>
        <w:rPr>
          <w:rFonts w:hint="eastAsia" w:ascii="宋体" w:hAnsi="宋体" w:cs="宋体"/>
          <w:szCs w:val="21"/>
          <w:highlight w:val="none"/>
        </w:rPr>
        <w:t xml:space="preserve">变压器的噪声应符合JB/T 10088、GB/T 1094.10等标准要求。</w:t>
      </w:r>
      <w:r/>
    </w:p>
    <w:p>
      <w:pPr>
        <w:rPr>
          <w:szCs w:val="21"/>
          <w:highlight w:val="none"/>
        </w:rPr>
      </w:pPr>
      <w:r>
        <w:rPr>
          <w:szCs w:val="21"/>
          <w:highlight w:val="none"/>
        </w:rPr>
        <w:t xml:space="preserve">5.16</w:t>
      </w:r>
      <w:r>
        <w:rPr>
          <w:rFonts w:hint="eastAsia"/>
          <w:szCs w:val="21"/>
          <w:highlight w:val="none"/>
        </w:rPr>
        <w:t xml:space="preserve">　内部电弧级别</w:t>
      </w:r>
      <w:r/>
    </w:p>
    <w:p>
      <w:pPr>
        <w:ind w:firstLine="420"/>
        <w:rPr>
          <w:szCs w:val="21"/>
          <w:highlight w:val="none"/>
        </w:rPr>
      </w:pPr>
      <w:r>
        <w:rPr>
          <w:rFonts w:hint="eastAsia"/>
          <w:szCs w:val="21"/>
          <w:highlight w:val="none"/>
        </w:rPr>
        <w:t xml:space="preserve">箱式变电站高压侧额定电弧故障电流≥</w:t>
      </w:r>
      <w:r>
        <w:rPr>
          <w:szCs w:val="21"/>
          <w:highlight w:val="none"/>
        </w:rPr>
        <w:t xml:space="preserve">20kA，额定电弧故障持续时间≥0.5s，内部电弧等级应满足IAC-AB级。低压侧在电弧情况下的保护等级应满足GB/T 17467的要求。</w:t>
      </w:r>
      <w:r/>
    </w:p>
    <w:p>
      <w:pPr>
        <w:ind w:firstLine="420"/>
        <w:rPr>
          <w:szCs w:val="21"/>
          <w:highlight w:val="none"/>
        </w:rPr>
      </w:pPr>
      <w:r>
        <w:rPr>
          <w:szCs w:val="21"/>
          <w:highlight w:val="none"/>
        </w:rPr>
        <w:t xml:space="preserve">压力释放通道方向朝向电缆沟。</w:t>
      </w:r>
      <w:r/>
    </w:p>
    <w:p>
      <w:pPr>
        <w:rPr>
          <w:szCs w:val="21"/>
          <w:highlight w:val="none"/>
        </w:rPr>
      </w:pPr>
      <w:r>
        <w:rPr>
          <w:szCs w:val="21"/>
          <w:highlight w:val="none"/>
        </w:rPr>
        <w:t xml:space="preserve">5.17</w:t>
      </w:r>
      <w:r>
        <w:rPr>
          <w:rFonts w:hint="eastAsia"/>
          <w:szCs w:val="21"/>
          <w:highlight w:val="none"/>
        </w:rPr>
        <w:t xml:space="preserve">　防凝露推荐</w:t>
      </w:r>
      <w:r>
        <w:rPr>
          <w:szCs w:val="21"/>
          <w:highlight w:val="none"/>
        </w:rPr>
        <w:t xml:space="preserve">措施</w:t>
      </w:r>
      <w:r/>
    </w:p>
    <w:p>
      <w:pPr>
        <w:ind w:firstLine="420"/>
        <w:rPr>
          <w:szCs w:val="21"/>
          <w:highlight w:val="none"/>
        </w:rPr>
      </w:pPr>
      <w:r>
        <w:rPr>
          <w:rFonts w:hint="eastAsia"/>
          <w:szCs w:val="21"/>
          <w:highlight w:val="none"/>
        </w:rPr>
        <w:t xml:space="preserve">箱变整体设计应考虑变压器室的通风散热，基础通风孔的设置应满足内部电弧释放要求，避免伤及人员。高压室、低压室应进行密封设计，底部电缆采用封堵措施。箱变的底板应进行防腐蚀处理。内部环网柜的机构箱、仪表箱整体以及按钮、指示灯、继电器等二次元件应进行密封处理，并配合采用无源型除湿措施，减少后期运维工作量。环网柜仪表箱顶盖也可采用倾斜角度设计，提高防凝露能力。以下为典型的措施：</w:t>
      </w:r>
      <w:r/>
    </w:p>
    <w:p>
      <w:pPr>
        <w:ind w:firstLine="420"/>
        <w:rPr>
          <w:szCs w:val="21"/>
          <w:highlight w:val="none"/>
        </w:rPr>
      </w:pPr>
      <w:r>
        <w:rPr>
          <w:rFonts w:hint="eastAsia"/>
          <w:szCs w:val="21"/>
          <w:highlight w:val="none"/>
        </w:rPr>
        <w:t xml:space="preserve">（</w:t>
      </w:r>
      <w:r>
        <w:rPr>
          <w:szCs w:val="21"/>
          <w:highlight w:val="none"/>
        </w:rPr>
        <w:t xml:space="preserve">1</w:t>
      </w:r>
      <w:r>
        <w:rPr>
          <w:rFonts w:hint="eastAsia"/>
          <w:szCs w:val="21"/>
          <w:highlight w:val="none"/>
        </w:rPr>
        <w:t xml:space="preserve">）土建基础设置通风窗</w:t>
      </w:r>
      <w:r/>
    </w:p>
    <w:p>
      <w:pPr>
        <w:ind w:firstLine="420"/>
        <w:rPr>
          <w:szCs w:val="21"/>
          <w:highlight w:val="none"/>
        </w:rPr>
      </w:pPr>
      <w:r>
        <w:rPr>
          <w:rFonts w:hint="eastAsia"/>
          <w:szCs w:val="21"/>
          <w:highlight w:val="none"/>
        </w:rPr>
        <w:t xml:space="preserve">土建基础应侧板开可双侧对流的通风窗，通风窗内侧设置燃弧导向板，同时设置防小动物隔网。根据安装位置环境，可考虑适当增加通风窗数量。</w:t>
      </w:r>
      <w:r/>
    </w:p>
    <w:p>
      <w:pPr>
        <w:ind w:firstLine="420"/>
        <w:rPr>
          <w:szCs w:val="21"/>
          <w:highlight w:val="none"/>
        </w:rPr>
      </w:pPr>
      <w:r>
        <w:rPr>
          <w:rFonts w:hint="eastAsia"/>
          <w:szCs w:val="21"/>
          <w:highlight w:val="none"/>
        </w:rPr>
        <w:t xml:space="preserve">（</w:t>
      </w:r>
      <w:r>
        <w:rPr>
          <w:szCs w:val="21"/>
          <w:highlight w:val="none"/>
        </w:rPr>
        <w:t xml:space="preserve">2</w:t>
      </w:r>
      <w:r>
        <w:rPr>
          <w:rFonts w:hint="eastAsia"/>
          <w:szCs w:val="21"/>
          <w:highlight w:val="none"/>
        </w:rPr>
        <w:t xml:space="preserve">）箱变顶盖夹层通道差异化设计</w:t>
      </w:r>
      <w:r/>
    </w:p>
    <w:p>
      <w:pPr>
        <w:ind w:firstLine="420"/>
        <w:rPr>
          <w:szCs w:val="21"/>
          <w:highlight w:val="none"/>
        </w:rPr>
      </w:pPr>
      <w:r>
        <w:rPr>
          <w:rFonts w:hint="eastAsia"/>
          <w:szCs w:val="21"/>
          <w:highlight w:val="none"/>
        </w:rPr>
        <w:t xml:space="preserve">顶盖内设置防凝露板，同时做斜坡导水设计，防止顶板凝露，水珠滴入设备。</w:t>
      </w:r>
      <w:r/>
    </w:p>
    <w:p>
      <w:pPr>
        <w:ind w:firstLine="420"/>
        <w:rPr>
          <w:szCs w:val="21"/>
          <w:highlight w:val="none"/>
        </w:rPr>
      </w:pPr>
      <w:r>
        <w:rPr>
          <w:szCs w:val="21"/>
          <w:highlight w:val="none"/>
        </w:rPr>
        <w:t xml:space="preserve">（3</w:t>
      </w:r>
      <w:r>
        <w:rPr>
          <w:rFonts w:hint="eastAsia"/>
          <w:szCs w:val="21"/>
          <w:highlight w:val="none"/>
        </w:rPr>
        <w:t xml:space="preserve">）泄压孔防水膜设计</w:t>
      </w:r>
      <w:r/>
    </w:p>
    <w:p>
      <w:pPr>
        <w:ind w:firstLine="420"/>
        <w:rPr>
          <w:szCs w:val="21"/>
          <w:highlight w:val="none"/>
        </w:rPr>
      </w:pPr>
      <w:r>
        <w:rPr>
          <w:rFonts w:hint="eastAsia"/>
          <w:szCs w:val="21"/>
          <w:highlight w:val="none"/>
        </w:rPr>
        <w:t xml:space="preserve">在箱式变电站高压室底板泄压孔设置防水措施，避免电缆井内潮气通过泄压孔进入环网开关设备内部，起到了底板防凝露的作用。</w:t>
      </w:r>
      <w:r/>
    </w:p>
    <w:p>
      <w:pPr>
        <w:rPr>
          <w:szCs w:val="21"/>
          <w:highlight w:val="none"/>
        </w:rPr>
      </w:pPr>
      <w:r>
        <w:rPr>
          <w:szCs w:val="21"/>
          <w:highlight w:val="none"/>
        </w:rPr>
        <w:t xml:space="preserve">5.18</w:t>
      </w:r>
      <w:r>
        <w:rPr>
          <w:rFonts w:hint="eastAsia"/>
          <w:szCs w:val="21"/>
          <w:highlight w:val="none"/>
        </w:rPr>
        <w:t xml:space="preserve">　外壳防腐推荐</w:t>
      </w:r>
      <w:r>
        <w:rPr>
          <w:szCs w:val="21"/>
          <w:highlight w:val="none"/>
        </w:rPr>
        <w:t xml:space="preserve">措施</w:t>
      </w:r>
      <w:r/>
    </w:p>
    <w:p>
      <w:pPr>
        <w:pStyle w:val="896"/>
        <w:ind w:firstLine="420"/>
        <w:tabs>
          <w:tab w:val="center" w:pos="4201" w:leader="none"/>
          <w:tab w:val="right" w:pos="9298" w:leader="dot"/>
        </w:tabs>
        <w:rPr>
          <w:szCs w:val="21"/>
          <w:highlight w:val="none"/>
        </w:rPr>
      </w:pPr>
      <w:r>
        <w:rPr>
          <w:rFonts w:hint="eastAsia" w:ascii="Times New Roman"/>
          <w:szCs w:val="21"/>
          <w:highlight w:val="none"/>
        </w:rPr>
        <w:t xml:space="preserve">箱变金属外壳可采用脱脂</w:t>
      </w:r>
      <w:r>
        <w:rPr>
          <w:rFonts w:ascii="Times New Roman"/>
          <w:szCs w:val="21"/>
          <w:highlight w:val="none"/>
        </w:rPr>
        <w:t xml:space="preserve">+</w:t>
      </w:r>
      <w:r>
        <w:rPr>
          <w:rFonts w:hint="eastAsia" w:ascii="Times New Roman"/>
          <w:szCs w:val="21"/>
          <w:highlight w:val="none"/>
        </w:rPr>
        <w:t xml:space="preserve">喷塑或喷漆工艺。基础槽钢可采用喷砂</w:t>
      </w:r>
      <w:r>
        <w:rPr>
          <w:rFonts w:ascii="Times New Roman"/>
          <w:szCs w:val="21"/>
          <w:highlight w:val="none"/>
        </w:rPr>
        <w:t xml:space="preserve">+</w:t>
      </w:r>
      <w:r>
        <w:rPr>
          <w:rFonts w:hint="eastAsia" w:ascii="Times New Roman"/>
          <w:szCs w:val="21"/>
          <w:highlight w:val="none"/>
        </w:rPr>
        <w:t xml:space="preserve">喷漆。</w:t>
      </w:r>
      <w:r>
        <w:rPr>
          <w:rFonts w:hint="eastAsia" w:ascii="Times New Roman"/>
          <w:highlight w:val="none"/>
        </w:rPr>
        <w:t xml:space="preserve">外壳的所有螺栓和螺钉部件都应易于拆卸，特别是因为可能导致丧失密封性，接触的不同材料间的电腐蚀应予以考虑。考虑到螺栓和螺钉的腐蚀，应保证接地回路的电气连续性。</w:t>
      </w:r>
      <w:r/>
    </w:p>
    <w:p>
      <w:pPr>
        <w:rPr>
          <w:szCs w:val="21"/>
          <w:highlight w:val="none"/>
        </w:rPr>
      </w:pPr>
      <w:r>
        <w:rPr>
          <w:szCs w:val="21"/>
          <w:highlight w:val="none"/>
        </w:rPr>
        <w:t xml:space="preserve">5.19</w:t>
      </w:r>
      <w:r>
        <w:rPr>
          <w:rFonts w:hint="eastAsia"/>
          <w:szCs w:val="21"/>
          <w:highlight w:val="none"/>
        </w:rPr>
        <w:t xml:space="preserve">　外壳防尘推荐</w:t>
      </w:r>
      <w:r>
        <w:rPr>
          <w:szCs w:val="21"/>
          <w:highlight w:val="none"/>
        </w:rPr>
        <w:t xml:space="preserve">措施</w:t>
      </w:r>
      <w:r/>
    </w:p>
    <w:p>
      <w:pPr>
        <w:ind w:firstLine="420"/>
        <w:rPr>
          <w:szCs w:val="21"/>
          <w:highlight w:val="none"/>
        </w:rPr>
      </w:pPr>
      <w:r>
        <w:rPr>
          <w:rFonts w:hint="eastAsia"/>
          <w:szCs w:val="21"/>
          <w:highlight w:val="none"/>
        </w:rPr>
        <w:t xml:space="preserve">外壳可采用迷宫防尘结构，缝隙处加装密封条等防尘措施。</w:t>
      </w:r>
      <w:r/>
    </w:p>
    <w:p>
      <w:pPr>
        <w:rPr>
          <w:szCs w:val="21"/>
          <w:highlight w:val="none"/>
        </w:rPr>
      </w:pPr>
      <w:r>
        <w:rPr>
          <w:szCs w:val="21"/>
          <w:highlight w:val="none"/>
        </w:rPr>
        <w:t xml:space="preserve">5.20</w:t>
      </w:r>
      <w:r>
        <w:rPr>
          <w:rFonts w:hint="eastAsia"/>
          <w:szCs w:val="21"/>
          <w:highlight w:val="none"/>
        </w:rPr>
        <w:t xml:space="preserve">　外壳隔热推荐</w:t>
      </w:r>
      <w:r>
        <w:rPr>
          <w:szCs w:val="21"/>
          <w:highlight w:val="none"/>
        </w:rPr>
        <w:t xml:space="preserve">措施</w:t>
      </w:r>
      <w:r/>
    </w:p>
    <w:p>
      <w:pPr>
        <w:ind w:firstLine="420"/>
        <w:rPr>
          <w:szCs w:val="21"/>
          <w:highlight w:val="none"/>
        </w:rPr>
      </w:pPr>
      <w:r>
        <w:rPr>
          <w:rFonts w:hint="eastAsia"/>
          <w:szCs w:val="21"/>
          <w:highlight w:val="none"/>
        </w:rPr>
        <w:t xml:space="preserve">金属外壳（除变压器室门）可设计双层箱体，中间采用阻燃的隔热材料填充。</w:t>
      </w:r>
      <w:r/>
    </w:p>
    <w:p>
      <w:pPr>
        <w:spacing w:line="312" w:lineRule="exact"/>
        <w:rPr>
          <w:szCs w:val="21"/>
          <w:highlight w:val="none"/>
        </w:rPr>
      </w:pPr>
      <w:r>
        <w:rPr>
          <w:szCs w:val="21"/>
          <w:highlight w:val="none"/>
        </w:rPr>
        <w:t xml:space="preserve">5</w:t>
      </w:r>
      <w:r>
        <w:rPr>
          <w:spacing w:val="20"/>
          <w:szCs w:val="21"/>
          <w:highlight w:val="none"/>
        </w:rPr>
        <w:t xml:space="preserve">.</w:t>
      </w:r>
      <w:r>
        <w:rPr>
          <w:szCs w:val="21"/>
          <w:highlight w:val="none"/>
        </w:rPr>
        <w:t xml:space="preserve">21</w:t>
      </w:r>
      <w:r>
        <w:rPr>
          <w:rFonts w:hint="eastAsia"/>
          <w:szCs w:val="21"/>
          <w:highlight w:val="none"/>
        </w:rPr>
        <w:t xml:space="preserve">　运输和存放</w:t>
      </w:r>
      <w:r/>
    </w:p>
    <w:p>
      <w:pPr>
        <w:ind w:firstLine="425"/>
        <w:rPr>
          <w:szCs w:val="21"/>
          <w:highlight w:val="none"/>
        </w:rPr>
      </w:pPr>
      <w:r>
        <w:rPr>
          <w:szCs w:val="21"/>
          <w:highlight w:val="none"/>
        </w:rPr>
        <w:t xml:space="preserve">a</w:t>
      </w:r>
      <w:r>
        <w:rPr>
          <w:rFonts w:hint="eastAsia"/>
          <w:szCs w:val="21"/>
          <w:highlight w:val="none"/>
        </w:rPr>
        <w:t xml:space="preserve">）应避免在运输过程中受损，应可存放两年（如未另外说明存放期）。</w:t>
      </w:r>
      <w:r/>
    </w:p>
    <w:p>
      <w:pPr>
        <w:ind w:firstLine="425"/>
        <w:rPr>
          <w:szCs w:val="21"/>
          <w:highlight w:val="none"/>
        </w:rPr>
      </w:pPr>
      <w:r>
        <w:rPr>
          <w:szCs w:val="21"/>
          <w:highlight w:val="none"/>
        </w:rPr>
        <w:t xml:space="preserve">b</w:t>
      </w:r>
      <w:r>
        <w:rPr>
          <w:rFonts w:hint="eastAsia"/>
          <w:szCs w:val="21"/>
          <w:highlight w:val="none"/>
        </w:rPr>
        <w:t xml:space="preserve">）运输限制，长、宽、高等参见技术数据表。</w:t>
      </w:r>
      <w:r/>
    </w:p>
    <w:p>
      <w:pPr>
        <w:ind w:firstLine="425"/>
        <w:rPr>
          <w:szCs w:val="21"/>
          <w:highlight w:val="none"/>
        </w:rPr>
      </w:pPr>
      <w:r>
        <w:rPr>
          <w:szCs w:val="21"/>
          <w:highlight w:val="none"/>
        </w:rPr>
        <w:t xml:space="preserve">c</w:t>
      </w:r>
      <w:r>
        <w:rPr>
          <w:rFonts w:hint="eastAsia"/>
          <w:szCs w:val="21"/>
          <w:highlight w:val="none"/>
        </w:rPr>
        <w:t xml:space="preserve">）如因投标人措施不当，导致运输过程中设备受损，投标人应负责修复或替换，费用自负。</w:t>
      </w:r>
      <w:r/>
    </w:p>
    <w:p>
      <w:pPr>
        <w:ind w:firstLine="425"/>
        <w:rPr>
          <w:szCs w:val="21"/>
          <w:highlight w:val="none"/>
        </w:rPr>
      </w:pPr>
      <w:r>
        <w:rPr>
          <w:szCs w:val="21"/>
          <w:highlight w:val="none"/>
        </w:rPr>
        <w:t xml:space="preserve">d</w:t>
      </w:r>
      <w:r>
        <w:rPr>
          <w:rFonts w:hint="eastAsia"/>
          <w:szCs w:val="21"/>
          <w:highlight w:val="none"/>
        </w:rPr>
        <w:t xml:space="preserve">）箱式变电站运输包装应满足运输方的要求。</w:t>
      </w:r>
      <w:r/>
    </w:p>
    <w:p>
      <w:pPr>
        <w:ind w:firstLine="425"/>
        <w:rPr>
          <w:szCs w:val="21"/>
          <w:highlight w:val="none"/>
        </w:rPr>
      </w:pPr>
      <w:r>
        <w:rPr>
          <w:szCs w:val="21"/>
          <w:highlight w:val="none"/>
        </w:rPr>
        <w:t xml:space="preserve">e</w:t>
      </w:r>
      <w:r>
        <w:rPr>
          <w:rFonts w:hint="eastAsia"/>
          <w:szCs w:val="21"/>
          <w:highlight w:val="none"/>
        </w:rPr>
        <w:t xml:space="preserve">）</w:t>
      </w:r>
      <w:r>
        <w:rPr>
          <w:szCs w:val="21"/>
          <w:highlight w:val="none"/>
        </w:rPr>
        <w:t xml:space="preserve">在运输过程中需保持设备内部和外部的清洁。</w:t>
      </w:r>
      <w:r/>
    </w:p>
    <w:p>
      <w:pPr>
        <w:spacing w:line="312" w:lineRule="exact"/>
        <w:rPr>
          <w:szCs w:val="21"/>
          <w:highlight w:val="none"/>
        </w:rPr>
      </w:pPr>
      <w:r>
        <w:rPr>
          <w:szCs w:val="21"/>
          <w:highlight w:val="none"/>
        </w:rPr>
        <w:t xml:space="preserve">5</w:t>
      </w:r>
      <w:r>
        <w:rPr>
          <w:spacing w:val="20"/>
          <w:szCs w:val="21"/>
          <w:highlight w:val="none"/>
        </w:rPr>
        <w:t xml:space="preserve">.</w:t>
      </w:r>
      <w:r>
        <w:rPr>
          <w:szCs w:val="21"/>
          <w:highlight w:val="none"/>
        </w:rPr>
        <w:t xml:space="preserve">22</w:t>
      </w:r>
      <w:r>
        <w:rPr>
          <w:rFonts w:hint="eastAsia"/>
          <w:szCs w:val="21"/>
          <w:highlight w:val="none"/>
        </w:rPr>
        <w:t xml:space="preserve">　其他要求</w:t>
      </w:r>
      <w:r/>
    </w:p>
    <w:p>
      <w:pPr>
        <w:ind w:firstLine="425"/>
        <w:rPr>
          <w:szCs w:val="21"/>
          <w:highlight w:val="none"/>
        </w:rPr>
      </w:pPr>
      <w:r>
        <w:rPr>
          <w:szCs w:val="21"/>
          <w:highlight w:val="none"/>
        </w:rPr>
        <w:t xml:space="preserve">a）</w:t>
      </w:r>
      <w:r>
        <w:rPr>
          <w:rFonts w:hint="eastAsia"/>
          <w:szCs w:val="21"/>
          <w:highlight w:val="none"/>
        </w:rPr>
        <w:t xml:space="preserve">箱式变电站在使用寿命期内，用户按正常条件使用产品，产品不会因温度变化导致设备出现任何损伤。</w:t>
      </w:r>
      <w:r/>
    </w:p>
    <w:p>
      <w:pPr>
        <w:ind w:firstLine="425"/>
        <w:rPr>
          <w:szCs w:val="21"/>
          <w:highlight w:val="none"/>
        </w:rPr>
      </w:pPr>
      <w:r>
        <w:rPr>
          <w:szCs w:val="21"/>
          <w:highlight w:val="none"/>
        </w:rPr>
        <w:t xml:space="preserve">b）产品阻燃性好，绝缘材料具有自动熄火的特性，遇到火源时不产生有害气体。</w:t>
      </w:r>
      <w:r/>
    </w:p>
    <w:p>
      <w:pPr>
        <w:pStyle w:val="1154"/>
        <w:tabs>
          <w:tab w:val="left" w:pos="987" w:leader="none"/>
        </w:tabs>
        <w:rPr>
          <w:rFonts w:ascii="Times New Roman"/>
          <w:highlight w:val="none"/>
        </w:rPr>
      </w:pPr>
      <w:r>
        <w:rPr>
          <w:rFonts w:ascii="Times New Roman"/>
          <w:highlight w:val="none"/>
        </w:rPr>
        <w:t xml:space="preserve">c</w:t>
      </w:r>
      <w:r>
        <w:rPr>
          <w:rFonts w:hint="eastAsia" w:ascii="Times New Roman"/>
          <w:highlight w:val="none"/>
        </w:rPr>
        <w:t xml:space="preserve">）当采用油浸式变压器时，宜采用满足</w:t>
      </w:r>
      <w:r>
        <w:rPr>
          <w:rFonts w:ascii="Times New Roman"/>
          <w:highlight w:val="none"/>
        </w:rPr>
        <w:t xml:space="preserve">DL/T1811</w:t>
      </w:r>
      <w:r>
        <w:rPr>
          <w:rFonts w:hint="eastAsia" w:ascii="Times New Roman"/>
          <w:highlight w:val="none"/>
        </w:rPr>
        <w:t xml:space="preserve">要求的天然酯绝缘油或其他难燃油（燃点</w:t>
      </w:r>
      <w:r/>
    </w:p>
    <w:p>
      <w:pPr>
        <w:pStyle w:val="1154"/>
        <w:ind w:left="0" w:firstLine="0"/>
        <w:tabs>
          <w:tab w:val="left" w:pos="987" w:leader="none"/>
        </w:tabs>
        <w:rPr>
          <w:rFonts w:ascii="Times New Roman"/>
          <w:szCs w:val="21"/>
          <w:highlight w:val="none"/>
        </w:rPr>
      </w:pPr>
      <w:r>
        <w:rPr>
          <w:rFonts w:hint="eastAsia" w:ascii="Times New Roman"/>
          <w:highlight w:val="none"/>
        </w:rPr>
        <w:t xml:space="preserve">≥</w:t>
      </w:r>
      <w:r>
        <w:rPr>
          <w:rFonts w:ascii="Times New Roman"/>
          <w:highlight w:val="none"/>
        </w:rPr>
        <w:t xml:space="preserve">300</w:t>
      </w:r>
      <w:r>
        <w:rPr>
          <w:rFonts w:hint="eastAsia" w:ascii="Times New Roman"/>
          <w:highlight w:val="none"/>
        </w:rPr>
        <w:t xml:space="preserve">℃）。</w:t>
      </w:r>
      <w:r/>
    </w:p>
    <w:p>
      <w:pPr>
        <w:pStyle w:val="1155"/>
        <w:jc w:val="left"/>
        <w:rPr>
          <w:rFonts w:eastAsia="黑体"/>
          <w:szCs w:val="21"/>
          <w:highlight w:val="none"/>
        </w:rPr>
        <w:outlineLvl w:val="0"/>
      </w:pPr>
      <w:r/>
      <w:bookmarkStart w:id="120" w:name="_Toc18639"/>
      <w:r/>
      <w:bookmarkStart w:id="121" w:name="_Toc6595"/>
      <w:r/>
      <w:bookmarkStart w:id="122" w:name="_Toc11368"/>
      <w:r/>
      <w:bookmarkStart w:id="123" w:name="_Toc26762"/>
      <w:r/>
      <w:bookmarkStart w:id="124" w:name="_Toc17624"/>
      <w:r/>
      <w:bookmarkStart w:id="125" w:name="_Toc4376"/>
      <w:r/>
      <w:bookmarkStart w:id="126" w:name="_Toc6168"/>
      <w:r/>
      <w:bookmarkStart w:id="127" w:name="_Toc3879"/>
      <w:r/>
      <w:bookmarkStart w:id="128" w:name="_Toc24582"/>
      <w:r/>
      <w:bookmarkStart w:id="129" w:name="_Toc340376540"/>
      <w:r/>
      <w:bookmarkStart w:id="130" w:name="_Toc252017588"/>
      <w:r>
        <w:rPr>
          <w:rFonts w:eastAsia="黑体"/>
          <w:sz w:val="21"/>
          <w:szCs w:val="21"/>
          <w:highlight w:val="none"/>
        </w:rPr>
        <w:t xml:space="preserve">6</w:t>
      </w:r>
      <w:r>
        <w:rPr>
          <w:rFonts w:hint="eastAsia" w:eastAsia="黑体"/>
          <w:sz w:val="21"/>
          <w:szCs w:val="21"/>
          <w:highlight w:val="none"/>
        </w:rPr>
        <w:t xml:space="preserve">　箱式变电站</w:t>
      </w:r>
      <w:bookmarkEnd w:id="120"/>
      <w:r/>
      <w:bookmarkEnd w:id="121"/>
      <w:r/>
      <w:bookmarkEnd w:id="122"/>
      <w:r/>
      <w:bookmarkEnd w:id="123"/>
      <w:r/>
      <w:bookmarkEnd w:id="124"/>
      <w:r/>
      <w:bookmarkEnd w:id="125"/>
      <w:r/>
      <w:bookmarkEnd w:id="126"/>
      <w:r/>
      <w:bookmarkEnd w:id="127"/>
      <w:r/>
      <w:bookmarkEnd w:id="128"/>
      <w:r/>
      <w:r/>
    </w:p>
    <w:p>
      <w:pPr>
        <w:spacing w:line="312" w:lineRule="exact"/>
        <w:rPr>
          <w:szCs w:val="21"/>
          <w:highlight w:val="none"/>
        </w:rPr>
        <w:outlineLvl w:val="1"/>
      </w:pPr>
      <w:r/>
      <w:bookmarkStart w:id="131" w:name="_Toc9681"/>
      <w:r/>
      <w:bookmarkStart w:id="132" w:name="_Toc386"/>
      <w:r/>
      <w:bookmarkStart w:id="133" w:name="_Toc15944"/>
      <w:r>
        <w:rPr>
          <w:szCs w:val="21"/>
          <w:highlight w:val="none"/>
        </w:rPr>
        <w:t xml:space="preserve">6.1</w:t>
      </w:r>
      <w:r>
        <w:rPr>
          <w:rFonts w:hint="eastAsia"/>
          <w:szCs w:val="21"/>
          <w:highlight w:val="none"/>
        </w:rPr>
        <w:t xml:space="preserve">　布置类型</w:t>
      </w:r>
      <w:bookmarkEnd w:id="131"/>
      <w:r/>
      <w:bookmarkEnd w:id="132"/>
      <w:r/>
      <w:bookmarkEnd w:id="133"/>
      <w:r/>
      <w:r/>
    </w:p>
    <w:p>
      <w:pPr>
        <w:ind w:firstLine="420"/>
        <w:rPr>
          <w:szCs w:val="21"/>
          <w:highlight w:val="none"/>
        </w:rPr>
      </w:pPr>
      <w:r>
        <w:rPr>
          <w:rFonts w:hint="eastAsia"/>
          <w:szCs w:val="21"/>
          <w:highlight w:val="none"/>
        </w:rPr>
        <w:t xml:space="preserve">采用目字型布置，如图</w:t>
      </w:r>
      <w:r>
        <w:rPr>
          <w:szCs w:val="21"/>
          <w:highlight w:val="none"/>
        </w:rPr>
        <w:t xml:space="preserve">1</w:t>
      </w:r>
      <w:r>
        <w:rPr>
          <w:rFonts w:hint="eastAsia"/>
          <w:szCs w:val="21"/>
          <w:highlight w:val="none"/>
        </w:rPr>
        <w:t xml:space="preserve">所示。</w:t>
      </w:r>
      <w:r/>
    </w:p>
    <w:p>
      <w:pPr>
        <w:jc w:val="center"/>
        <w:spacing w:line="360" w:lineRule="auto"/>
        <w:rPr>
          <w:szCs w:val="21"/>
          <w:highlight w:val="none"/>
        </w:rPr>
      </w:pPr>
      <w:r>
        <w:rPr>
          <w:szCs w:val="21"/>
          <w:highlight w:val="none"/>
        </w:rPr>
        <mc:AlternateContent>
          <mc:Choice Requires="wpg">
            <w:drawing>
              <wp:inline xmlns:wp="http://schemas.openxmlformats.org/drawingml/2006/wordprocessingDrawing" distT="0" distB="0" distL="0" distR="0">
                <wp:extent cx="3733165" cy="2474595"/>
                <wp:effectExtent l="0" t="0" r="635" b="1905"/>
                <wp:docPr id="4" name="图片框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框 1025"/>
                        <pic:cNvPicPr>
                          <a:picLocks noChangeAspect="1"/>
                        </pic:cNvPicPr>
                        <pic:nvPr/>
                      </pic:nvPicPr>
                      <pic:blipFill>
                        <a:blip r:embed="rId17"/>
                        <a:stretch/>
                      </pic:blipFill>
                      <pic:spPr bwMode="auto">
                        <a:xfrm>
                          <a:off x="0" y="0"/>
                          <a:ext cx="3733165" cy="2474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93.9pt;height:194.8pt;mso-wrap-distance-left:0.0pt;mso-wrap-distance-top:0.0pt;mso-wrap-distance-right:0.0pt;mso-wrap-distance-bottom:0.0pt;" stroked="f">
                <v:path textboxrect="0,0,0,0"/>
                <v:imagedata r:id="rId17" o:title=""/>
              </v:shape>
            </w:pict>
          </mc:Fallback>
        </mc:AlternateContent>
      </w:r>
      <w:r/>
    </w:p>
    <w:p>
      <w:pPr>
        <w:ind w:firstLine="420"/>
        <w:jc w:val="center"/>
        <w:spacing w:line="360" w:lineRule="auto"/>
        <w:rPr>
          <w:rFonts w:eastAsia="黑体"/>
          <w:szCs w:val="21"/>
          <w:highlight w:val="none"/>
        </w:rPr>
      </w:pPr>
      <w:r>
        <w:rPr>
          <w:rFonts w:hint="eastAsia" w:eastAsia="黑体"/>
          <w:szCs w:val="21"/>
          <w:highlight w:val="none"/>
        </w:rPr>
        <w:t xml:space="preserve">图</w:t>
      </w:r>
      <w:r>
        <w:rPr>
          <w:rFonts w:eastAsia="黑体"/>
          <w:szCs w:val="21"/>
          <w:highlight w:val="none"/>
        </w:rPr>
        <w:t xml:space="preserve">1</w:t>
      </w:r>
      <w:r>
        <w:rPr>
          <w:rFonts w:hint="eastAsia" w:eastAsia="黑体"/>
          <w:szCs w:val="21"/>
          <w:highlight w:val="none"/>
        </w:rPr>
        <w:t xml:space="preserve">欧变布置方案示意图</w:t>
      </w:r>
      <w:r/>
    </w:p>
    <w:p>
      <w:pPr>
        <w:spacing w:line="312" w:lineRule="exact"/>
        <w:rPr>
          <w:szCs w:val="21"/>
          <w:highlight w:val="none"/>
        </w:rPr>
        <w:outlineLvl w:val="1"/>
      </w:pPr>
      <w:r/>
      <w:bookmarkStart w:id="134" w:name="_Toc22364"/>
      <w:r/>
      <w:bookmarkStart w:id="135" w:name="_Toc22170"/>
      <w:r/>
      <w:bookmarkStart w:id="136" w:name="_Toc11441"/>
      <w:r>
        <w:rPr>
          <w:szCs w:val="21"/>
          <w:highlight w:val="none"/>
        </w:rPr>
        <w:t xml:space="preserve">6.2</w:t>
      </w:r>
      <w:r>
        <w:rPr>
          <w:rFonts w:hint="eastAsia"/>
          <w:szCs w:val="21"/>
          <w:highlight w:val="none"/>
        </w:rPr>
        <w:t xml:space="preserve">　高压柜</w:t>
      </w:r>
      <w:bookmarkEnd w:id="134"/>
      <w:r/>
      <w:bookmarkEnd w:id="135"/>
      <w:r/>
      <w:bookmarkEnd w:id="136"/>
      <w:r/>
      <w:r/>
    </w:p>
    <w:p>
      <w:pPr>
        <w:ind w:firstLine="420"/>
        <w:rPr>
          <w:szCs w:val="21"/>
          <w:highlight w:val="none"/>
        </w:rPr>
      </w:pPr>
      <w:r>
        <w:rPr>
          <w:rFonts w:hint="eastAsia"/>
          <w:szCs w:val="21"/>
          <w:highlight w:val="none"/>
        </w:rPr>
        <w:t xml:space="preserve">高压柜可采用</w:t>
      </w:r>
      <w:r>
        <w:rPr>
          <w:szCs w:val="21"/>
          <w:highlight w:val="none"/>
        </w:rPr>
        <w:t xml:space="preserve">SF</w:t>
      </w:r>
      <w:r>
        <w:rPr>
          <w:szCs w:val="21"/>
          <w:highlight w:val="none"/>
          <w:vertAlign w:val="subscript"/>
        </w:rPr>
        <w:t xml:space="preserve">6</w:t>
      </w:r>
      <w:r>
        <w:rPr>
          <w:rFonts w:hint="eastAsia"/>
          <w:szCs w:val="21"/>
          <w:highlight w:val="none"/>
        </w:rPr>
        <w:t xml:space="preserve">气体绝缘、环保气体绝缘、固体绝缘环网柜、常压密封空气绝缘环网柜。高压柜的泄压通道方向应朝向电缆沟。</w:t>
      </w:r>
      <w:r/>
    </w:p>
    <w:p>
      <w:pPr>
        <w:jc w:val="left"/>
        <w:widowControl/>
        <w:rPr>
          <w:bCs/>
          <w:szCs w:val="21"/>
          <w:highlight w:val="none"/>
        </w:rPr>
        <w:outlineLvl w:val="2"/>
      </w:pPr>
      <w:r/>
      <w:bookmarkStart w:id="137" w:name="_Toc32053"/>
      <w:r/>
      <w:bookmarkStart w:id="138" w:name="_Toc25809"/>
      <w:r/>
      <w:bookmarkStart w:id="139" w:name="_Toc2786"/>
      <w:r>
        <w:rPr>
          <w:bCs/>
          <w:szCs w:val="21"/>
          <w:highlight w:val="none"/>
        </w:rPr>
        <w:t xml:space="preserve">6.2.1</w:t>
      </w:r>
      <w:r>
        <w:rPr>
          <w:rFonts w:hint="eastAsia"/>
          <w:bCs/>
          <w:szCs w:val="21"/>
          <w:highlight w:val="none"/>
        </w:rPr>
        <w:t xml:space="preserve">箱式变电站中环网柜组合方案</w:t>
      </w:r>
      <w:bookmarkEnd w:id="137"/>
      <w:r/>
      <w:bookmarkEnd w:id="138"/>
      <w:r/>
      <w:bookmarkEnd w:id="139"/>
      <w:r/>
      <w:r/>
    </w:p>
    <w:p>
      <w:pPr>
        <w:ind w:firstLine="420"/>
        <w:rPr>
          <w:szCs w:val="21"/>
          <w:highlight w:val="none"/>
        </w:rPr>
      </w:pPr>
      <w:r>
        <w:rPr>
          <w:rFonts w:hint="eastAsia"/>
          <w:szCs w:val="21"/>
          <w:highlight w:val="none"/>
        </w:rPr>
        <w:t xml:space="preserve">环网柜进线</w:t>
      </w:r>
      <w:r>
        <w:rPr>
          <w:rFonts w:hint="eastAsia"/>
          <w:szCs w:val="21"/>
          <w:highlight w:val="none"/>
          <w:lang w:val="en-US" w:eastAsia="zh-CN"/>
        </w:rPr>
        <w:t xml:space="preserve">可采用</w:t>
      </w:r>
      <w:r>
        <w:rPr>
          <w:rFonts w:hint="eastAsia"/>
          <w:szCs w:val="21"/>
          <w:highlight w:val="none"/>
        </w:rPr>
        <w:t xml:space="preserve">负荷开关单元</w:t>
      </w:r>
      <w:r>
        <w:rPr>
          <w:rFonts w:hint="eastAsia"/>
          <w:szCs w:val="21"/>
          <w:highlight w:val="none"/>
          <w:lang w:val="en-US" w:eastAsia="zh-CN"/>
        </w:rPr>
        <w:t xml:space="preserve">或</w:t>
      </w:r>
      <w:r>
        <w:rPr>
          <w:rFonts w:hint="eastAsia"/>
          <w:szCs w:val="21"/>
          <w:highlight w:val="none"/>
        </w:rPr>
        <w:t xml:space="preserve">断路器单元方案，断路器单元的综保装置可根据实际应用需求选配；出线可选用断路器单元或组合电器单元方案。</w:t>
      </w:r>
      <w:r/>
    </w:p>
    <w:p>
      <w:pPr>
        <w:jc w:val="left"/>
        <w:widowControl/>
        <w:rPr>
          <w:bCs/>
          <w:szCs w:val="21"/>
          <w:highlight w:val="none"/>
        </w:rPr>
        <w:outlineLvl w:val="2"/>
      </w:pPr>
      <w:r/>
      <w:bookmarkStart w:id="140" w:name="_Toc24629"/>
      <w:r/>
      <w:bookmarkStart w:id="141" w:name="_Toc31641"/>
      <w:r/>
      <w:bookmarkStart w:id="142" w:name="_Toc31742"/>
      <w:r>
        <w:rPr>
          <w:bCs/>
          <w:szCs w:val="21"/>
          <w:highlight w:val="none"/>
        </w:rPr>
        <w:t xml:space="preserve">6.2.2</w:t>
      </w:r>
      <w:r>
        <w:rPr>
          <w:rFonts w:hint="eastAsia"/>
          <w:bCs/>
          <w:szCs w:val="21"/>
          <w:highlight w:val="none"/>
        </w:rPr>
        <w:t xml:space="preserve">标准化要求</w:t>
      </w:r>
      <w:bookmarkEnd w:id="140"/>
      <w:r/>
      <w:bookmarkEnd w:id="141"/>
      <w:r/>
      <w:bookmarkEnd w:id="142"/>
      <w:r/>
      <w:r/>
    </w:p>
    <w:p>
      <w:pPr>
        <w:ind w:firstLine="420"/>
        <w:rPr>
          <w:szCs w:val="21"/>
          <w:highlight w:val="none"/>
        </w:rPr>
      </w:pPr>
      <w:r>
        <w:rPr>
          <w:rFonts w:hint="eastAsia"/>
          <w:szCs w:val="21"/>
          <w:highlight w:val="none"/>
        </w:rPr>
        <w:t xml:space="preserve">箱式变电站中环网柜的典型结构方案、一次接口及土建接口、二次接口、关键元件应满足《</w:t>
      </w:r>
      <w:r>
        <w:rPr>
          <w:szCs w:val="21"/>
          <w:highlight w:val="none"/>
        </w:rPr>
        <w:t xml:space="preserve">10</w:t>
      </w:r>
      <w:r>
        <w:rPr>
          <w:rFonts w:hint="eastAsia"/>
          <w:szCs w:val="21"/>
          <w:highlight w:val="none"/>
        </w:rPr>
        <w:t xml:space="preserve">千伏环网柜（箱）标准化设计方案》的要求。</w:t>
      </w:r>
      <w:r/>
    </w:p>
    <w:p>
      <w:pPr>
        <w:spacing w:line="312" w:lineRule="exact"/>
        <w:rPr>
          <w:szCs w:val="21"/>
          <w:highlight w:val="none"/>
        </w:rPr>
      </w:pPr>
      <w:r>
        <w:rPr>
          <w:szCs w:val="21"/>
          <w:highlight w:val="none"/>
        </w:rPr>
        <w:t xml:space="preserve">6.3</w:t>
      </w:r>
      <w:r>
        <w:rPr>
          <w:rFonts w:hint="eastAsia"/>
          <w:szCs w:val="21"/>
          <w:highlight w:val="none"/>
        </w:rPr>
        <w:t xml:space="preserve">　变压器</w:t>
      </w:r>
      <w:r/>
    </w:p>
    <w:p>
      <w:pPr>
        <w:jc w:val="left"/>
        <w:widowControl/>
        <w:rPr>
          <w:bCs/>
          <w:szCs w:val="21"/>
          <w:highlight w:val="none"/>
        </w:rPr>
        <w:outlineLvl w:val="2"/>
      </w:pPr>
      <w:r/>
      <w:bookmarkStart w:id="143" w:name="_Toc11734"/>
      <w:r/>
      <w:bookmarkStart w:id="144" w:name="_Toc28078"/>
      <w:r/>
      <w:bookmarkStart w:id="145" w:name="_Toc30009"/>
      <w:r>
        <w:rPr>
          <w:bCs/>
          <w:szCs w:val="21"/>
          <w:highlight w:val="none"/>
        </w:rPr>
        <w:t xml:space="preserve">6.3</w:t>
      </w:r>
      <w:r>
        <w:rPr>
          <w:bCs/>
          <w:szCs w:val="21"/>
          <w:highlight w:val="none"/>
        </w:rPr>
        <w:t xml:space="preserve">.1 </w:t>
      </w:r>
      <w:r>
        <w:rPr>
          <w:rFonts w:hint="eastAsia"/>
          <w:bCs/>
          <w:szCs w:val="21"/>
          <w:highlight w:val="none"/>
        </w:rPr>
        <w:t xml:space="preserve">变压器形式</w:t>
      </w:r>
      <w:bookmarkEnd w:id="143"/>
      <w:r/>
      <w:bookmarkEnd w:id="144"/>
      <w:r/>
      <w:bookmarkEnd w:id="145"/>
      <w:r/>
      <w:r/>
    </w:p>
    <w:p>
      <w:pPr>
        <w:ind w:firstLine="420"/>
        <w:rPr>
          <w:szCs w:val="21"/>
          <w:highlight w:val="none"/>
        </w:rPr>
      </w:pPr>
      <w:r>
        <w:rPr>
          <w:rFonts w:hint="eastAsia"/>
          <w:szCs w:val="21"/>
          <w:highlight w:val="none"/>
        </w:rPr>
        <w:t xml:space="preserve">建议选用高效节能环保型、全密封、油浸式变压器</w:t>
      </w:r>
      <w:r>
        <w:rPr>
          <w:rFonts w:hint="eastAsia"/>
          <w:szCs w:val="21"/>
          <w:highlight w:val="none"/>
        </w:rPr>
        <w:t xml:space="preserve">，能效等级满足</w:t>
      </w:r>
      <w:r>
        <w:rPr>
          <w:szCs w:val="21"/>
          <w:highlight w:val="none"/>
        </w:rPr>
        <w:t xml:space="preserve">GB 20052</w:t>
      </w:r>
      <w:r>
        <w:rPr>
          <w:rFonts w:hint="eastAsia"/>
          <w:szCs w:val="21"/>
          <w:highlight w:val="none"/>
        </w:rPr>
        <w:t xml:space="preserve">中2级及以上标准。</w:t>
      </w:r>
      <w:r>
        <w:rPr>
          <w:rFonts w:hint="eastAsia"/>
          <w:szCs w:val="21"/>
          <w:highlight w:val="none"/>
        </w:rPr>
        <w:t xml:space="preserve">具体性能及参数应满足GB/T 1094.1、GB/T 1094.2、GB/T 1094.3、GB/T 1094.4、GB/T 1094.5、GB/T 6451、GB 20052的要求。</w:t>
      </w:r>
      <w:r/>
    </w:p>
    <w:p>
      <w:pPr>
        <w:jc w:val="left"/>
        <w:widowControl/>
        <w:rPr>
          <w:bCs/>
          <w:szCs w:val="21"/>
          <w:highlight w:val="none"/>
        </w:rPr>
        <w:outlineLvl w:val="2"/>
      </w:pPr>
      <w:r/>
      <w:bookmarkStart w:id="146" w:name="_Toc7202"/>
      <w:r/>
      <w:bookmarkStart w:id="147" w:name="_Toc12549"/>
      <w:r/>
      <w:bookmarkStart w:id="148" w:name="_Toc20540"/>
      <w:r>
        <w:rPr>
          <w:bCs/>
          <w:szCs w:val="21"/>
          <w:highlight w:val="none"/>
        </w:rPr>
        <w:t xml:space="preserve">6.3</w:t>
      </w:r>
      <w:r>
        <w:rPr>
          <w:bCs/>
          <w:szCs w:val="21"/>
          <w:highlight w:val="none"/>
        </w:rPr>
        <w:t xml:space="preserve">.2 </w:t>
      </w:r>
      <w:r>
        <w:rPr>
          <w:rFonts w:hint="eastAsia"/>
          <w:bCs/>
          <w:szCs w:val="21"/>
          <w:highlight w:val="none"/>
        </w:rPr>
        <w:t xml:space="preserve">额定容量</w:t>
      </w:r>
      <w:bookmarkEnd w:id="146"/>
      <w:r/>
      <w:bookmarkEnd w:id="147"/>
      <w:r/>
      <w:bookmarkEnd w:id="148"/>
      <w:r/>
      <w:r/>
    </w:p>
    <w:p>
      <w:pPr>
        <w:ind w:firstLine="420"/>
        <w:rPr>
          <w:szCs w:val="21"/>
          <w:highlight w:val="none"/>
        </w:rPr>
      </w:pPr>
      <w:r>
        <w:rPr>
          <w:rFonts w:hint="eastAsia"/>
          <w:szCs w:val="21"/>
          <w:highlight w:val="none"/>
          <w:lang w:val="en-US" w:eastAsia="zh-CN"/>
        </w:rPr>
        <w:t xml:space="preserve">250kVA、315kVA、</w:t>
      </w:r>
      <w:r>
        <w:rPr>
          <w:szCs w:val="21"/>
          <w:highlight w:val="none"/>
        </w:rPr>
        <w:t xml:space="preserve">400kVA</w:t>
      </w:r>
      <w:r>
        <w:rPr>
          <w:rFonts w:hint="eastAsia"/>
          <w:szCs w:val="21"/>
          <w:highlight w:val="none"/>
        </w:rPr>
        <w:t xml:space="preserve">、</w:t>
      </w:r>
      <w:r>
        <w:rPr>
          <w:szCs w:val="21"/>
          <w:highlight w:val="none"/>
        </w:rPr>
        <w:t xml:space="preserve">500kVA</w:t>
      </w:r>
      <w:r>
        <w:rPr>
          <w:rFonts w:hint="eastAsia"/>
          <w:szCs w:val="21"/>
          <w:highlight w:val="none"/>
        </w:rPr>
        <w:t xml:space="preserve">。</w:t>
      </w:r>
      <w:r/>
    </w:p>
    <w:p>
      <w:pPr>
        <w:spacing w:line="312" w:lineRule="exact"/>
        <w:rPr>
          <w:szCs w:val="21"/>
          <w:highlight w:val="none"/>
        </w:rPr>
      </w:pPr>
      <w:r>
        <w:rPr>
          <w:szCs w:val="21"/>
          <w:highlight w:val="none"/>
        </w:rPr>
        <w:t xml:space="preserve">6.4</w:t>
      </w:r>
      <w:r>
        <w:rPr>
          <w:rFonts w:hint="eastAsia"/>
          <w:szCs w:val="21"/>
          <w:highlight w:val="none"/>
        </w:rPr>
        <w:t xml:space="preserve">　低压部分</w:t>
      </w:r>
      <w:r/>
    </w:p>
    <w:p>
      <w:pPr>
        <w:jc w:val="left"/>
        <w:widowControl/>
        <w:rPr>
          <w:bCs/>
          <w:szCs w:val="21"/>
          <w:highlight w:val="none"/>
        </w:rPr>
        <w:outlineLvl w:val="2"/>
      </w:pPr>
      <w:r/>
      <w:bookmarkStart w:id="149" w:name="_Toc17148"/>
      <w:r/>
      <w:bookmarkStart w:id="150" w:name="_Toc13866"/>
      <w:r/>
      <w:bookmarkStart w:id="151" w:name="_Toc10988"/>
      <w:r>
        <w:rPr>
          <w:bCs/>
          <w:szCs w:val="21"/>
          <w:highlight w:val="none"/>
        </w:rPr>
        <w:t xml:space="preserve">6.4</w:t>
      </w:r>
      <w:r>
        <w:rPr>
          <w:bCs/>
          <w:szCs w:val="21"/>
          <w:highlight w:val="none"/>
        </w:rPr>
        <w:t xml:space="preserve">.1 </w:t>
      </w:r>
      <w:r>
        <w:rPr>
          <w:rFonts w:hint="eastAsia"/>
          <w:bCs/>
          <w:szCs w:val="21"/>
          <w:highlight w:val="none"/>
        </w:rPr>
        <w:t xml:space="preserve">自动化终端（如有）类型及安装方式</w:t>
      </w:r>
      <w:bookmarkEnd w:id="149"/>
      <w:r/>
      <w:bookmarkEnd w:id="150"/>
      <w:r/>
      <w:bookmarkEnd w:id="151"/>
      <w:r/>
      <w:r/>
    </w:p>
    <w:p>
      <w:pPr>
        <w:ind w:firstLine="420"/>
        <w:rPr>
          <w:szCs w:val="21"/>
          <w:highlight w:val="none"/>
        </w:rPr>
      </w:pPr>
      <w:r>
        <w:rPr>
          <w:rFonts w:hint="eastAsia"/>
          <w:szCs w:val="21"/>
          <w:highlight w:val="none"/>
        </w:rPr>
        <w:t xml:space="preserve">如配置自动化终端，箱变内部空间应满足可安装</w:t>
      </w:r>
      <w:r>
        <w:rPr>
          <w:szCs w:val="21"/>
          <w:highlight w:val="none"/>
        </w:rPr>
        <w:t xml:space="preserve">DTU</w:t>
      </w:r>
      <w:r>
        <w:rPr>
          <w:rFonts w:hint="eastAsia"/>
          <w:szCs w:val="21"/>
          <w:highlight w:val="none"/>
        </w:rPr>
        <w:t xml:space="preserve">公共单元独立二次柜。</w:t>
      </w:r>
      <w:r/>
    </w:p>
    <w:p>
      <w:pPr>
        <w:jc w:val="left"/>
        <w:widowControl/>
        <w:rPr>
          <w:bCs/>
          <w:szCs w:val="21"/>
          <w:highlight w:val="none"/>
        </w:rPr>
        <w:outlineLvl w:val="2"/>
      </w:pPr>
      <w:r/>
      <w:bookmarkStart w:id="152" w:name="_Toc14046"/>
      <w:r/>
      <w:bookmarkStart w:id="153" w:name="_Toc16875"/>
      <w:r/>
      <w:bookmarkStart w:id="154" w:name="_Toc22561"/>
      <w:r>
        <w:rPr>
          <w:bCs/>
          <w:szCs w:val="21"/>
          <w:highlight w:val="none"/>
        </w:rPr>
        <w:t xml:space="preserve">6.4</w:t>
      </w:r>
      <w:r>
        <w:rPr>
          <w:bCs/>
          <w:szCs w:val="21"/>
          <w:highlight w:val="none"/>
        </w:rPr>
        <w:t xml:space="preserve">.2 </w:t>
      </w:r>
      <w:r>
        <w:rPr>
          <w:rFonts w:hint="eastAsia"/>
          <w:bCs/>
          <w:szCs w:val="21"/>
          <w:highlight w:val="none"/>
        </w:rPr>
        <w:t xml:space="preserve">低压元件安装方式</w:t>
      </w:r>
      <w:bookmarkEnd w:id="152"/>
      <w:r/>
      <w:bookmarkEnd w:id="153"/>
      <w:r/>
      <w:bookmarkEnd w:id="154"/>
      <w:r/>
      <w:r/>
    </w:p>
    <w:p>
      <w:pPr>
        <w:ind w:firstLine="420"/>
        <w:rPr>
          <w:szCs w:val="21"/>
          <w:highlight w:val="none"/>
        </w:rPr>
      </w:pPr>
      <w:r>
        <w:rPr>
          <w:rFonts w:hint="eastAsia"/>
          <w:szCs w:val="21"/>
          <w:highlight w:val="none"/>
        </w:rPr>
        <w:t xml:space="preserve">建议统一采用柜式组屏安装。</w:t>
      </w:r>
      <w:r/>
    </w:p>
    <w:p>
      <w:pPr>
        <w:jc w:val="left"/>
        <w:widowControl/>
        <w:rPr>
          <w:bCs/>
          <w:szCs w:val="21"/>
          <w:highlight w:val="none"/>
        </w:rPr>
        <w:outlineLvl w:val="2"/>
      </w:pPr>
      <w:r/>
      <w:bookmarkStart w:id="155" w:name="_Toc12374"/>
      <w:r/>
      <w:bookmarkStart w:id="156" w:name="_Toc29446"/>
      <w:r/>
      <w:bookmarkStart w:id="157" w:name="_Toc20453"/>
      <w:r>
        <w:rPr>
          <w:bCs/>
          <w:szCs w:val="21"/>
          <w:highlight w:val="none"/>
        </w:rPr>
        <w:t xml:space="preserve">6.4</w:t>
      </w:r>
      <w:r>
        <w:rPr>
          <w:bCs/>
          <w:szCs w:val="21"/>
          <w:highlight w:val="none"/>
        </w:rPr>
        <w:t xml:space="preserve">.3 </w:t>
      </w:r>
      <w:r>
        <w:rPr>
          <w:rFonts w:hint="eastAsia"/>
          <w:bCs/>
          <w:szCs w:val="21"/>
          <w:highlight w:val="none"/>
        </w:rPr>
        <w:t xml:space="preserve">低压侧电流电压表</w:t>
      </w:r>
      <w:bookmarkEnd w:id="155"/>
      <w:r/>
      <w:bookmarkEnd w:id="156"/>
      <w:r/>
      <w:bookmarkEnd w:id="157"/>
      <w:r/>
      <w:r/>
    </w:p>
    <w:p>
      <w:pPr>
        <w:ind w:firstLine="420"/>
        <w:rPr>
          <w:szCs w:val="21"/>
          <w:highlight w:val="none"/>
        </w:rPr>
      </w:pPr>
      <w:r>
        <w:rPr>
          <w:rFonts w:hint="eastAsia"/>
          <w:szCs w:val="21"/>
          <w:highlight w:val="none"/>
        </w:rPr>
        <w:t xml:space="preserve">低压进线侧应设置电流电压表。</w:t>
      </w:r>
      <w:r/>
    </w:p>
    <w:p>
      <w:pPr>
        <w:jc w:val="left"/>
        <w:widowControl/>
        <w:rPr>
          <w:bCs/>
          <w:szCs w:val="21"/>
          <w:highlight w:val="none"/>
        </w:rPr>
        <w:outlineLvl w:val="2"/>
      </w:pPr>
      <w:r/>
      <w:bookmarkStart w:id="158" w:name="_Toc1247"/>
      <w:r/>
      <w:bookmarkStart w:id="159" w:name="_Toc22949"/>
      <w:r/>
      <w:bookmarkStart w:id="160" w:name="_Toc22855"/>
      <w:r>
        <w:rPr>
          <w:bCs/>
          <w:szCs w:val="21"/>
          <w:highlight w:val="none"/>
        </w:rPr>
        <w:t xml:space="preserve">6.4</w:t>
      </w:r>
      <w:r>
        <w:rPr>
          <w:bCs/>
          <w:szCs w:val="21"/>
          <w:highlight w:val="none"/>
        </w:rPr>
        <w:t xml:space="preserve">.4 </w:t>
      </w:r>
      <w:r>
        <w:rPr>
          <w:rFonts w:hint="eastAsia"/>
          <w:bCs/>
          <w:szCs w:val="21"/>
          <w:highlight w:val="none"/>
        </w:rPr>
        <w:t xml:space="preserve">低压侧主母线</w:t>
      </w:r>
      <w:bookmarkEnd w:id="158"/>
      <w:r/>
      <w:bookmarkEnd w:id="159"/>
      <w:r/>
      <w:bookmarkEnd w:id="160"/>
      <w:r/>
      <w:r/>
    </w:p>
    <w:p>
      <w:pPr>
        <w:ind w:firstLine="420"/>
        <w:rPr>
          <w:szCs w:val="21"/>
          <w:highlight w:val="none"/>
        </w:rPr>
      </w:pPr>
      <w:r>
        <w:rPr>
          <w:rFonts w:hint="eastAsia"/>
          <w:szCs w:val="21"/>
          <w:highlight w:val="none"/>
        </w:rPr>
        <w:t xml:space="preserve">容量为</w:t>
      </w:r>
      <w:r>
        <w:rPr>
          <w:rFonts w:hint="eastAsia"/>
          <w:szCs w:val="21"/>
          <w:highlight w:val="none"/>
          <w:lang w:val="en-US" w:eastAsia="zh-CN"/>
        </w:rPr>
        <w:t xml:space="preserve">25</w:t>
      </w:r>
      <w:r>
        <w:rPr>
          <w:szCs w:val="21"/>
          <w:highlight w:val="none"/>
        </w:rPr>
        <w:t xml:space="preserve">0kVA</w:t>
      </w:r>
      <w:r>
        <w:rPr>
          <w:rFonts w:hint="eastAsia"/>
          <w:szCs w:val="21"/>
          <w:highlight w:val="none"/>
          <w:lang w:eastAsia="zh-CN"/>
        </w:rPr>
        <w:t xml:space="preserve">、</w:t>
      </w:r>
      <w:r>
        <w:rPr>
          <w:rFonts w:hint="eastAsia"/>
          <w:szCs w:val="21"/>
          <w:highlight w:val="none"/>
          <w:lang w:val="en-US" w:eastAsia="zh-CN"/>
        </w:rPr>
        <w:t xml:space="preserve">315kVA</w:t>
      </w:r>
      <w:r>
        <w:rPr>
          <w:rFonts w:hint="eastAsia"/>
          <w:szCs w:val="21"/>
          <w:highlight w:val="none"/>
        </w:rPr>
        <w:t xml:space="preserve">时，低压侧主母线额定电流建议采用</w:t>
      </w:r>
      <w:r>
        <w:rPr>
          <w:rFonts w:hint="eastAsia"/>
          <w:szCs w:val="21"/>
          <w:highlight w:val="none"/>
          <w:lang w:val="en-US" w:eastAsia="zh-CN"/>
        </w:rPr>
        <w:t xml:space="preserve">63</w:t>
      </w:r>
      <w:r>
        <w:rPr>
          <w:szCs w:val="21"/>
          <w:highlight w:val="none"/>
        </w:rPr>
        <w:t xml:space="preserve">0A</w:t>
      </w:r>
      <w:r>
        <w:rPr>
          <w:rFonts w:hint="eastAsia"/>
          <w:szCs w:val="21"/>
          <w:highlight w:val="none"/>
        </w:rPr>
        <w:t xml:space="preserve">，规格为</w:t>
      </w:r>
      <w:r>
        <w:rPr>
          <w:szCs w:val="21"/>
          <w:highlight w:val="none"/>
        </w:rPr>
        <w:t xml:space="preserve">TMY-</w:t>
      </w:r>
      <w:r>
        <w:rPr>
          <w:rFonts w:hint="eastAsia"/>
          <w:szCs w:val="21"/>
          <w:highlight w:val="none"/>
          <w:lang w:val="en-US" w:eastAsia="zh-CN"/>
        </w:rPr>
        <w:t xml:space="preserve">6</w:t>
      </w:r>
      <w:r>
        <w:rPr>
          <w:szCs w:val="21"/>
          <w:highlight w:val="none"/>
        </w:rPr>
        <w:t xml:space="preserve">0×6mm</w:t>
      </w:r>
      <w:r>
        <w:rPr>
          <w:rFonts w:hint="eastAsia"/>
          <w:szCs w:val="21"/>
          <w:highlight w:val="none"/>
        </w:rPr>
        <w:t xml:space="preserve">。</w:t>
      </w:r>
      <w:r/>
    </w:p>
    <w:p>
      <w:pPr>
        <w:ind w:firstLine="420"/>
        <w:rPr>
          <w:szCs w:val="21"/>
          <w:highlight w:val="none"/>
        </w:rPr>
      </w:pPr>
      <w:r>
        <w:rPr>
          <w:rFonts w:hint="eastAsia"/>
          <w:szCs w:val="21"/>
          <w:highlight w:val="none"/>
        </w:rPr>
        <w:t xml:space="preserve">容量为</w:t>
      </w:r>
      <w:r>
        <w:rPr>
          <w:szCs w:val="21"/>
          <w:highlight w:val="none"/>
        </w:rPr>
        <w:t xml:space="preserve">400kVA</w:t>
      </w:r>
      <w:r>
        <w:rPr>
          <w:rFonts w:hint="eastAsia"/>
          <w:szCs w:val="21"/>
          <w:highlight w:val="none"/>
        </w:rPr>
        <w:t xml:space="preserve">时，低压侧主母线额定电流建议采用</w:t>
      </w:r>
      <w:r>
        <w:rPr>
          <w:szCs w:val="21"/>
          <w:highlight w:val="none"/>
        </w:rPr>
        <w:t xml:space="preserve">800A</w:t>
      </w:r>
      <w:r>
        <w:rPr>
          <w:rFonts w:hint="eastAsia"/>
          <w:szCs w:val="21"/>
          <w:highlight w:val="none"/>
        </w:rPr>
        <w:t xml:space="preserve">，规格为</w:t>
      </w:r>
      <w:r>
        <w:rPr>
          <w:szCs w:val="21"/>
          <w:highlight w:val="none"/>
        </w:rPr>
        <w:t xml:space="preserve">TMY-80×6mm</w:t>
      </w:r>
      <w:r>
        <w:rPr>
          <w:rFonts w:hint="eastAsia"/>
          <w:szCs w:val="21"/>
          <w:highlight w:val="none"/>
        </w:rPr>
        <w:t xml:space="preserve">。</w:t>
      </w:r>
      <w:r/>
    </w:p>
    <w:p>
      <w:pPr>
        <w:ind w:firstLine="420"/>
        <w:rPr>
          <w:szCs w:val="21"/>
          <w:highlight w:val="none"/>
        </w:rPr>
      </w:pPr>
      <w:r>
        <w:rPr>
          <w:rFonts w:hint="eastAsia"/>
          <w:szCs w:val="21"/>
          <w:highlight w:val="none"/>
        </w:rPr>
        <w:t xml:space="preserve">容量为</w:t>
      </w:r>
      <w:r>
        <w:rPr>
          <w:szCs w:val="21"/>
          <w:highlight w:val="none"/>
        </w:rPr>
        <w:t xml:space="preserve">500kVA</w:t>
      </w:r>
      <w:r>
        <w:rPr>
          <w:rFonts w:hint="eastAsia"/>
          <w:szCs w:val="21"/>
          <w:highlight w:val="none"/>
        </w:rPr>
        <w:t xml:space="preserve">时，低压侧主母线额定电流建议采用</w:t>
      </w:r>
      <w:r>
        <w:rPr>
          <w:szCs w:val="21"/>
          <w:highlight w:val="none"/>
        </w:rPr>
        <w:t xml:space="preserve">1000A</w:t>
      </w:r>
      <w:r>
        <w:rPr>
          <w:rFonts w:hint="eastAsia"/>
          <w:szCs w:val="21"/>
          <w:highlight w:val="none"/>
        </w:rPr>
        <w:t xml:space="preserve">，规格为</w:t>
      </w:r>
      <w:r>
        <w:rPr>
          <w:szCs w:val="21"/>
          <w:highlight w:val="none"/>
        </w:rPr>
        <w:t xml:space="preserve">TMY-80×8mm</w:t>
      </w:r>
      <w:r>
        <w:rPr>
          <w:rFonts w:hint="eastAsia"/>
          <w:szCs w:val="21"/>
          <w:highlight w:val="none"/>
        </w:rPr>
        <w:t xml:space="preserve">。</w:t>
      </w:r>
      <w:r/>
    </w:p>
    <w:p>
      <w:pPr>
        <w:jc w:val="left"/>
        <w:widowControl/>
        <w:rPr>
          <w:bCs/>
          <w:szCs w:val="21"/>
          <w:highlight w:val="none"/>
        </w:rPr>
        <w:outlineLvl w:val="2"/>
      </w:pPr>
      <w:r/>
      <w:bookmarkStart w:id="161" w:name="_Toc8285"/>
      <w:r/>
      <w:bookmarkStart w:id="162" w:name="_Toc468"/>
      <w:r/>
      <w:bookmarkStart w:id="163" w:name="_Toc30790"/>
      <w:r>
        <w:rPr>
          <w:bCs/>
          <w:szCs w:val="21"/>
          <w:highlight w:val="none"/>
        </w:rPr>
        <w:t xml:space="preserve">6.4</w:t>
      </w:r>
      <w:r>
        <w:rPr>
          <w:bCs/>
          <w:szCs w:val="21"/>
          <w:highlight w:val="none"/>
        </w:rPr>
        <w:t xml:space="preserve">.5 </w:t>
      </w:r>
      <w:r>
        <w:rPr>
          <w:rFonts w:hint="eastAsia"/>
          <w:bCs/>
          <w:szCs w:val="21"/>
          <w:highlight w:val="none"/>
        </w:rPr>
        <w:t xml:space="preserve">低压侧主进断路器</w:t>
      </w:r>
      <w:bookmarkEnd w:id="161"/>
      <w:r/>
      <w:bookmarkEnd w:id="162"/>
      <w:r/>
      <w:bookmarkEnd w:id="163"/>
      <w:r/>
      <w:r/>
    </w:p>
    <w:p>
      <w:pPr>
        <w:ind w:firstLine="420"/>
        <w:rPr>
          <w:szCs w:val="21"/>
          <w:highlight w:val="none"/>
        </w:rPr>
      </w:pPr>
      <w:r>
        <w:rPr>
          <w:rFonts w:hint="eastAsia"/>
          <w:szCs w:val="21"/>
          <w:highlight w:val="none"/>
        </w:rPr>
        <w:t xml:space="preserve">采用抽出式框架断路器。</w:t>
      </w:r>
      <w:r/>
    </w:p>
    <w:p>
      <w:pPr>
        <w:jc w:val="left"/>
        <w:widowControl/>
        <w:rPr>
          <w:bCs/>
          <w:szCs w:val="21"/>
          <w:highlight w:val="none"/>
        </w:rPr>
        <w:outlineLvl w:val="2"/>
      </w:pPr>
      <w:r/>
      <w:bookmarkStart w:id="164" w:name="_Toc9531"/>
      <w:r/>
      <w:bookmarkStart w:id="165" w:name="_Toc16272"/>
      <w:r/>
      <w:bookmarkStart w:id="166" w:name="_Toc20946"/>
      <w:r>
        <w:rPr>
          <w:bCs/>
          <w:szCs w:val="21"/>
          <w:highlight w:val="none"/>
        </w:rPr>
        <w:t xml:space="preserve">6.4</w:t>
      </w:r>
      <w:r>
        <w:rPr>
          <w:bCs/>
          <w:szCs w:val="21"/>
          <w:highlight w:val="none"/>
        </w:rPr>
        <w:t xml:space="preserve">.6 </w:t>
      </w:r>
      <w:r>
        <w:rPr>
          <w:rFonts w:hint="eastAsia"/>
          <w:bCs/>
          <w:szCs w:val="21"/>
          <w:highlight w:val="none"/>
        </w:rPr>
        <w:t xml:space="preserve">计量方式</w:t>
      </w:r>
      <w:bookmarkEnd w:id="164"/>
      <w:r/>
      <w:bookmarkEnd w:id="165"/>
      <w:r/>
      <w:bookmarkEnd w:id="166"/>
      <w:r/>
      <w:r/>
    </w:p>
    <w:p>
      <w:pPr>
        <w:ind w:firstLine="420"/>
        <w:rPr>
          <w:szCs w:val="21"/>
          <w:highlight w:val="none"/>
        </w:rPr>
      </w:pPr>
      <w:r>
        <w:rPr>
          <w:rFonts w:hint="eastAsia"/>
          <w:szCs w:val="21"/>
          <w:highlight w:val="none"/>
          <w:lang w:val="en-US" w:eastAsia="zh-CN"/>
        </w:rPr>
        <w:t xml:space="preserve">根据招标方需求</w:t>
      </w:r>
      <w:r>
        <w:rPr>
          <w:rFonts w:hint="eastAsia"/>
          <w:szCs w:val="21"/>
          <w:highlight w:val="none"/>
        </w:rPr>
        <w:t xml:space="preserve">。</w:t>
      </w:r>
      <w:r/>
    </w:p>
    <w:p>
      <w:pPr>
        <w:jc w:val="left"/>
        <w:widowControl/>
        <w:rPr>
          <w:bCs/>
          <w:szCs w:val="21"/>
          <w:highlight w:val="none"/>
        </w:rPr>
        <w:outlineLvl w:val="2"/>
      </w:pPr>
      <w:r/>
      <w:bookmarkStart w:id="167" w:name="_Toc25182"/>
      <w:r/>
      <w:bookmarkStart w:id="168" w:name="_Toc25109"/>
      <w:r/>
      <w:bookmarkStart w:id="169" w:name="_Toc5637"/>
      <w:r>
        <w:rPr>
          <w:bCs/>
          <w:szCs w:val="21"/>
          <w:highlight w:val="none"/>
        </w:rPr>
        <w:t xml:space="preserve">6.4</w:t>
      </w:r>
      <w:r>
        <w:rPr>
          <w:bCs/>
          <w:szCs w:val="21"/>
          <w:highlight w:val="none"/>
        </w:rPr>
        <w:t xml:space="preserve">.7 </w:t>
      </w:r>
      <w:r>
        <w:rPr>
          <w:rFonts w:hint="eastAsia"/>
          <w:bCs/>
          <w:szCs w:val="21"/>
          <w:highlight w:val="none"/>
        </w:rPr>
        <w:t xml:space="preserve">低压侧</w:t>
      </w:r>
      <w:r>
        <w:rPr>
          <w:bCs/>
          <w:szCs w:val="21"/>
          <w:highlight w:val="none"/>
        </w:rPr>
        <w:t xml:space="preserve">CT</w:t>
      </w:r>
      <w:bookmarkEnd w:id="167"/>
      <w:r/>
      <w:bookmarkEnd w:id="168"/>
      <w:r/>
      <w:bookmarkEnd w:id="169"/>
      <w:r/>
      <w:r/>
    </w:p>
    <w:p>
      <w:pPr>
        <w:ind w:firstLine="420"/>
        <w:rPr>
          <w:szCs w:val="21"/>
          <w:highlight w:val="none"/>
        </w:rPr>
      </w:pPr>
      <w:r>
        <w:rPr>
          <w:rFonts w:hint="eastAsia"/>
          <w:szCs w:val="21"/>
          <w:highlight w:val="none"/>
        </w:rPr>
        <w:t xml:space="preserve">测量、采样CT安装在主进断路器下侧，低压侧</w:t>
      </w:r>
      <w:r>
        <w:rPr>
          <w:szCs w:val="21"/>
          <w:highlight w:val="none"/>
        </w:rPr>
        <w:t xml:space="preserve">CT</w:t>
      </w:r>
      <w:r>
        <w:rPr>
          <w:rFonts w:hint="eastAsia"/>
          <w:szCs w:val="21"/>
          <w:highlight w:val="none"/>
        </w:rPr>
        <w:t xml:space="preserve">参数如表</w:t>
      </w:r>
      <w:r>
        <w:rPr>
          <w:szCs w:val="21"/>
          <w:highlight w:val="none"/>
        </w:rPr>
        <w:t xml:space="preserve">3</w:t>
      </w:r>
      <w:r>
        <w:rPr>
          <w:rFonts w:hint="eastAsia"/>
          <w:szCs w:val="21"/>
          <w:highlight w:val="none"/>
        </w:rPr>
        <w:t xml:space="preserve">所示。</w:t>
      </w:r>
      <w:r/>
    </w:p>
    <w:p>
      <w:pPr>
        <w:ind w:firstLine="420"/>
        <w:jc w:val="center"/>
        <w:spacing w:line="360" w:lineRule="auto"/>
        <w:rPr>
          <w:rFonts w:eastAsia="黑体"/>
          <w:szCs w:val="21"/>
          <w:highlight w:val="none"/>
        </w:rPr>
      </w:pPr>
      <w:r>
        <w:rPr>
          <w:rFonts w:hint="eastAsia" w:eastAsia="黑体"/>
          <w:szCs w:val="21"/>
          <w:highlight w:val="none"/>
        </w:rPr>
        <w:t xml:space="preserve">表</w:t>
      </w:r>
      <w:r>
        <w:rPr>
          <w:rFonts w:eastAsia="黑体"/>
          <w:szCs w:val="21"/>
          <w:highlight w:val="none"/>
        </w:rPr>
        <w:t xml:space="preserve">3</w:t>
      </w:r>
      <w:r>
        <w:rPr>
          <w:rFonts w:hint="eastAsia" w:eastAsia="黑体"/>
          <w:szCs w:val="21"/>
          <w:highlight w:val="none"/>
        </w:rPr>
        <w:t xml:space="preserve">低压侧</w:t>
      </w:r>
      <w:r>
        <w:rPr>
          <w:rFonts w:eastAsia="黑体"/>
          <w:szCs w:val="21"/>
          <w:highlight w:val="none"/>
        </w:rPr>
        <w:t xml:space="preserve">CT</w:t>
      </w:r>
      <w:r>
        <w:rPr>
          <w:rFonts w:hint="eastAsia" w:eastAsia="黑体"/>
          <w:szCs w:val="21"/>
          <w:highlight w:val="none"/>
        </w:rPr>
        <w:t xml:space="preserve">参数表</w:t>
      </w:r>
      <w:r/>
    </w:p>
    <w:tbl>
      <w:tblPr>
        <w:tblStyle w:val="827"/>
        <w:tblW w:w="7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94"/>
        <w:gridCol w:w="2263"/>
        <w:gridCol w:w="2425"/>
        <w:gridCol w:w="1045"/>
        <w:gridCol w:w="1050"/>
      </w:tblGrid>
      <w:tr>
        <w:trPr>
          <w:jc w:val="center"/>
        </w:trPr>
        <w:tc>
          <w:tcPr>
            <w:tcW w:w="694" w:type="dxa"/>
            <w:vAlign w:val="center"/>
            <w:textDirection w:val="lrTb"/>
            <w:noWrap w:val="false"/>
          </w:tcPr>
          <w:p>
            <w:pPr>
              <w:jc w:val="center"/>
              <w:rPr>
                <w:szCs w:val="21"/>
                <w:highlight w:val="none"/>
              </w:rPr>
            </w:pPr>
            <w:r>
              <w:rPr>
                <w:szCs w:val="21"/>
                <w:highlight w:val="none"/>
              </w:rPr>
              <w:t xml:space="preserve">序号</w:t>
            </w:r>
            <w:r/>
          </w:p>
        </w:tc>
        <w:tc>
          <w:tcPr>
            <w:tcW w:w="2263" w:type="dxa"/>
            <w:vAlign w:val="center"/>
            <w:textDirection w:val="lrTb"/>
            <w:noWrap w:val="false"/>
          </w:tcPr>
          <w:p>
            <w:pPr>
              <w:jc w:val="center"/>
              <w:rPr>
                <w:szCs w:val="21"/>
                <w:highlight w:val="none"/>
              </w:rPr>
            </w:pPr>
            <w:r>
              <w:rPr>
                <w:szCs w:val="21"/>
                <w:highlight w:val="none"/>
              </w:rPr>
              <w:t xml:space="preserve">变压器容量（kVA）</w:t>
            </w:r>
            <w:r/>
          </w:p>
        </w:tc>
        <w:tc>
          <w:tcPr>
            <w:tcW w:w="2425" w:type="dxa"/>
            <w:vAlign w:val="center"/>
            <w:textDirection w:val="lrTb"/>
            <w:noWrap w:val="false"/>
          </w:tcPr>
          <w:p>
            <w:pPr>
              <w:jc w:val="center"/>
              <w:rPr>
                <w:szCs w:val="21"/>
                <w:highlight w:val="none"/>
              </w:rPr>
            </w:pPr>
            <w:r>
              <w:rPr>
                <w:szCs w:val="21"/>
                <w:highlight w:val="none"/>
              </w:rPr>
              <w:t xml:space="preserve">测量</w:t>
            </w:r>
            <w:r>
              <w:rPr>
                <w:rFonts w:hint="eastAsia"/>
                <w:szCs w:val="21"/>
                <w:highlight w:val="none"/>
              </w:rPr>
              <w:t xml:space="preserve">、采样</w:t>
            </w:r>
            <w:r>
              <w:rPr>
                <w:szCs w:val="21"/>
                <w:highlight w:val="none"/>
              </w:rPr>
              <w:t xml:space="preserve">CT</w:t>
            </w:r>
            <w:r/>
          </w:p>
          <w:p>
            <w:pPr>
              <w:jc w:val="center"/>
              <w:rPr>
                <w:szCs w:val="21"/>
                <w:highlight w:val="none"/>
              </w:rPr>
            </w:pPr>
            <w:r>
              <w:rPr>
                <w:szCs w:val="21"/>
                <w:highlight w:val="none"/>
              </w:rPr>
              <w:t xml:space="preserve">变比</w:t>
            </w:r>
            <w:r/>
          </w:p>
        </w:tc>
        <w:tc>
          <w:tcPr>
            <w:tcW w:w="1045" w:type="dxa"/>
            <w:vAlign w:val="center"/>
            <w:textDirection w:val="lrTb"/>
            <w:noWrap w:val="false"/>
          </w:tcPr>
          <w:p>
            <w:pPr>
              <w:jc w:val="center"/>
              <w:rPr>
                <w:szCs w:val="21"/>
                <w:highlight w:val="none"/>
              </w:rPr>
            </w:pPr>
            <w:r>
              <w:rPr>
                <w:szCs w:val="21"/>
                <w:highlight w:val="none"/>
              </w:rPr>
              <w:t xml:space="preserve">测量CT</w:t>
            </w:r>
            <w:r/>
          </w:p>
          <w:p>
            <w:pPr>
              <w:jc w:val="center"/>
              <w:rPr>
                <w:szCs w:val="21"/>
                <w:highlight w:val="none"/>
              </w:rPr>
            </w:pPr>
            <w:r>
              <w:rPr>
                <w:szCs w:val="21"/>
                <w:highlight w:val="none"/>
              </w:rPr>
              <w:t xml:space="preserve">准确级</w:t>
            </w:r>
            <w:r/>
          </w:p>
        </w:tc>
        <w:tc>
          <w:tcPr>
            <w:tcW w:w="1050" w:type="dxa"/>
            <w:vAlign w:val="center"/>
            <w:textDirection w:val="lrTb"/>
            <w:noWrap w:val="false"/>
          </w:tcPr>
          <w:p>
            <w:pPr>
              <w:jc w:val="center"/>
              <w:rPr>
                <w:szCs w:val="21"/>
                <w:highlight w:val="none"/>
              </w:rPr>
            </w:pPr>
            <w:r>
              <w:rPr>
                <w:rFonts w:hint="eastAsia"/>
                <w:szCs w:val="21"/>
                <w:highlight w:val="none"/>
              </w:rPr>
              <w:t xml:space="preserve">采样</w:t>
            </w:r>
            <w:r>
              <w:rPr>
                <w:szCs w:val="21"/>
                <w:highlight w:val="none"/>
              </w:rPr>
              <w:t xml:space="preserve">CT</w:t>
            </w:r>
            <w:r/>
          </w:p>
          <w:p>
            <w:pPr>
              <w:jc w:val="center"/>
              <w:rPr>
                <w:szCs w:val="21"/>
                <w:highlight w:val="none"/>
              </w:rPr>
            </w:pPr>
            <w:r>
              <w:rPr>
                <w:szCs w:val="21"/>
                <w:highlight w:val="none"/>
              </w:rPr>
              <w:t xml:space="preserve">准确级</w:t>
            </w:r>
            <w:r/>
          </w:p>
        </w:tc>
      </w:tr>
      <w:tr>
        <w:trPr>
          <w:jc w:val="center"/>
          <w:trHeight w:val="201"/>
        </w:trPr>
        <w:tc>
          <w:tcPr>
            <w:tcW w:w="694" w:type="dxa"/>
            <w:vAlign w:val="center"/>
            <w:textDirection w:val="lrTb"/>
            <w:noWrap w:val="false"/>
          </w:tcPr>
          <w:p>
            <w:pPr>
              <w:jc w:val="center"/>
              <w:rPr>
                <w:rFonts w:hint="eastAsia" w:eastAsia="宋体"/>
                <w:szCs w:val="21"/>
                <w:highlight w:val="none"/>
                <w:lang w:eastAsia="zh-CN"/>
              </w:rPr>
            </w:pPr>
            <w:r>
              <w:rPr>
                <w:rFonts w:hint="eastAsia"/>
                <w:szCs w:val="21"/>
                <w:highlight w:val="none"/>
                <w:lang w:val="en-US" w:eastAsia="zh-CN"/>
              </w:rPr>
              <w:t xml:space="preserve">1</w:t>
            </w:r>
            <w:r/>
          </w:p>
        </w:tc>
        <w:tc>
          <w:tcPr>
            <w:tcW w:w="2263" w:type="dxa"/>
            <w:vAlign w:val="center"/>
            <w:textDirection w:val="lrTb"/>
            <w:noWrap w:val="false"/>
          </w:tcPr>
          <w:p>
            <w:pPr>
              <w:jc w:val="center"/>
              <w:rPr>
                <w:szCs w:val="21"/>
                <w:highlight w:val="none"/>
              </w:rPr>
            </w:pPr>
            <w:r>
              <w:rPr>
                <w:szCs w:val="21"/>
                <w:highlight w:val="none"/>
              </w:rPr>
              <w:t xml:space="preserve">500</w:t>
            </w:r>
            <w:r/>
          </w:p>
        </w:tc>
        <w:tc>
          <w:tcPr>
            <w:tcW w:w="2425" w:type="dxa"/>
            <w:vAlign w:val="center"/>
            <w:textDirection w:val="lrTb"/>
            <w:noWrap w:val="false"/>
          </w:tcPr>
          <w:p>
            <w:pPr>
              <w:jc w:val="center"/>
              <w:rPr>
                <w:szCs w:val="21"/>
                <w:highlight w:val="none"/>
              </w:rPr>
            </w:pPr>
            <w:r>
              <w:rPr>
                <w:szCs w:val="21"/>
                <w:highlight w:val="none"/>
              </w:rPr>
              <w:t xml:space="preserve">1000/5</w:t>
            </w:r>
            <w:r/>
          </w:p>
        </w:tc>
        <w:tc>
          <w:tcPr>
            <w:tcW w:w="1045" w:type="dxa"/>
            <w:vAlign w:val="center"/>
            <w:textDirection w:val="lrTb"/>
            <w:noWrap w:val="false"/>
          </w:tcPr>
          <w:p>
            <w:pPr>
              <w:jc w:val="center"/>
              <w:rPr>
                <w:szCs w:val="21"/>
                <w:highlight w:val="none"/>
              </w:rPr>
            </w:pPr>
            <w:r>
              <w:rPr>
                <w:szCs w:val="21"/>
                <w:highlight w:val="none"/>
              </w:rPr>
              <w:t xml:space="preserve">0.5</w:t>
            </w:r>
            <w:r/>
          </w:p>
        </w:tc>
        <w:tc>
          <w:tcPr>
            <w:tcW w:w="1050" w:type="dxa"/>
            <w:vAlign w:val="center"/>
            <w:textDirection w:val="lrTb"/>
            <w:noWrap w:val="false"/>
          </w:tcPr>
          <w:p>
            <w:pPr>
              <w:jc w:val="center"/>
              <w:rPr>
                <w:szCs w:val="21"/>
                <w:highlight w:val="none"/>
              </w:rPr>
            </w:pPr>
            <w:r>
              <w:rPr>
                <w:szCs w:val="21"/>
                <w:highlight w:val="none"/>
              </w:rPr>
              <w:t xml:space="preserve">0.5</w:t>
            </w:r>
            <w:r/>
          </w:p>
        </w:tc>
      </w:tr>
      <w:tr>
        <w:trPr>
          <w:jc w:val="center"/>
        </w:trPr>
        <w:tc>
          <w:tcPr>
            <w:tcW w:w="694" w:type="dxa"/>
            <w:vAlign w:val="center"/>
            <w:textDirection w:val="lrTb"/>
            <w:noWrap w:val="false"/>
          </w:tcPr>
          <w:p>
            <w:pPr>
              <w:jc w:val="center"/>
              <w:rPr>
                <w:rFonts w:hint="eastAsia" w:eastAsia="宋体"/>
                <w:szCs w:val="21"/>
                <w:highlight w:val="none"/>
                <w:lang w:eastAsia="zh-CN"/>
              </w:rPr>
            </w:pPr>
            <w:r>
              <w:rPr>
                <w:rFonts w:hint="eastAsia"/>
                <w:szCs w:val="21"/>
                <w:highlight w:val="none"/>
                <w:lang w:val="en-US" w:eastAsia="zh-CN"/>
              </w:rPr>
              <w:t xml:space="preserve">2</w:t>
            </w:r>
            <w:r/>
          </w:p>
        </w:tc>
        <w:tc>
          <w:tcPr>
            <w:tcW w:w="2263" w:type="dxa"/>
            <w:vAlign w:val="center"/>
            <w:textDirection w:val="lrTb"/>
            <w:noWrap w:val="false"/>
          </w:tcPr>
          <w:p>
            <w:pPr>
              <w:jc w:val="center"/>
              <w:rPr>
                <w:szCs w:val="21"/>
                <w:highlight w:val="none"/>
              </w:rPr>
            </w:pPr>
            <w:r>
              <w:rPr>
                <w:szCs w:val="21"/>
                <w:highlight w:val="none"/>
              </w:rPr>
              <w:t xml:space="preserve">400</w:t>
            </w:r>
            <w:r/>
          </w:p>
        </w:tc>
        <w:tc>
          <w:tcPr>
            <w:tcW w:w="2425" w:type="dxa"/>
            <w:vAlign w:val="center"/>
            <w:textDirection w:val="lrTb"/>
            <w:noWrap w:val="false"/>
          </w:tcPr>
          <w:p>
            <w:pPr>
              <w:jc w:val="center"/>
              <w:rPr>
                <w:szCs w:val="21"/>
                <w:highlight w:val="none"/>
              </w:rPr>
            </w:pPr>
            <w:r>
              <w:rPr>
                <w:szCs w:val="21"/>
                <w:highlight w:val="none"/>
              </w:rPr>
              <w:t xml:space="preserve">800/5</w:t>
            </w:r>
            <w:r/>
          </w:p>
        </w:tc>
        <w:tc>
          <w:tcPr>
            <w:tcW w:w="1045" w:type="dxa"/>
            <w:vAlign w:val="center"/>
            <w:textDirection w:val="lrTb"/>
            <w:noWrap w:val="false"/>
          </w:tcPr>
          <w:p>
            <w:pPr>
              <w:jc w:val="center"/>
              <w:rPr>
                <w:szCs w:val="21"/>
                <w:highlight w:val="none"/>
              </w:rPr>
            </w:pPr>
            <w:r>
              <w:rPr>
                <w:szCs w:val="21"/>
                <w:highlight w:val="none"/>
              </w:rPr>
              <w:t xml:space="preserve">0.5</w:t>
            </w:r>
            <w:r/>
          </w:p>
        </w:tc>
        <w:tc>
          <w:tcPr>
            <w:tcW w:w="1050" w:type="dxa"/>
            <w:vAlign w:val="center"/>
            <w:textDirection w:val="lrTb"/>
            <w:noWrap w:val="false"/>
          </w:tcPr>
          <w:p>
            <w:pPr>
              <w:jc w:val="center"/>
              <w:rPr>
                <w:szCs w:val="21"/>
                <w:highlight w:val="none"/>
              </w:rPr>
            </w:pPr>
            <w:r>
              <w:rPr>
                <w:szCs w:val="21"/>
                <w:highlight w:val="none"/>
              </w:rPr>
              <w:t xml:space="preserve">0.5</w:t>
            </w:r>
            <w:r/>
          </w:p>
        </w:tc>
      </w:tr>
      <w:tr>
        <w:trPr>
          <w:jc w:val="center"/>
        </w:trPr>
        <w:tc>
          <w:tcPr>
            <w:tcW w:w="694" w:type="dxa"/>
            <w:vAlign w:val="center"/>
            <w:textDirection w:val="lrTb"/>
            <w:noWrap w:val="false"/>
          </w:tcPr>
          <w:p>
            <w:pPr>
              <w:jc w:val="center"/>
              <w:rPr>
                <w:rFonts w:hint="eastAsia" w:eastAsia="宋体"/>
                <w:szCs w:val="21"/>
                <w:highlight w:val="none"/>
                <w:lang w:val="en-US" w:eastAsia="zh-CN"/>
              </w:rPr>
            </w:pPr>
            <w:r/>
            <w:bookmarkStart w:id="170" w:name="_Toc553"/>
            <w:r/>
            <w:bookmarkStart w:id="171" w:name="_Toc25349"/>
            <w:r/>
            <w:bookmarkStart w:id="172" w:name="_Toc29662"/>
            <w:r>
              <w:rPr>
                <w:rFonts w:hint="eastAsia"/>
                <w:szCs w:val="21"/>
                <w:highlight w:val="none"/>
                <w:lang w:val="en-US" w:eastAsia="zh-CN"/>
              </w:rPr>
              <w:t xml:space="preserve">3</w:t>
            </w:r>
            <w:r/>
          </w:p>
        </w:tc>
        <w:tc>
          <w:tcPr>
            <w:tcW w:w="2263" w:type="dxa"/>
            <w:vAlign w:val="center"/>
            <w:textDirection w:val="lrTb"/>
            <w:noWrap w:val="false"/>
          </w:tcPr>
          <w:p>
            <w:pPr>
              <w:jc w:val="center"/>
              <w:rPr>
                <w:rFonts w:hint="default" w:eastAsia="宋体"/>
                <w:szCs w:val="21"/>
                <w:highlight w:val="none"/>
                <w:lang w:val="en-US" w:eastAsia="zh-CN"/>
              </w:rPr>
            </w:pPr>
            <w:r>
              <w:rPr>
                <w:rFonts w:hint="eastAsia"/>
                <w:szCs w:val="21"/>
                <w:highlight w:val="none"/>
                <w:lang w:val="en-US" w:eastAsia="zh-CN"/>
              </w:rPr>
              <w:t xml:space="preserve">351/250</w:t>
            </w:r>
            <w:r/>
          </w:p>
        </w:tc>
        <w:tc>
          <w:tcPr>
            <w:tcW w:w="2425" w:type="dxa"/>
            <w:vAlign w:val="center"/>
            <w:textDirection w:val="lrTb"/>
            <w:noWrap w:val="false"/>
          </w:tcPr>
          <w:p>
            <w:pPr>
              <w:jc w:val="center"/>
              <w:rPr>
                <w:rFonts w:hint="default" w:eastAsia="宋体"/>
                <w:szCs w:val="21"/>
                <w:highlight w:val="none"/>
                <w:lang w:val="en-US" w:eastAsia="zh-CN"/>
              </w:rPr>
            </w:pPr>
            <w:r>
              <w:rPr>
                <w:rFonts w:hint="eastAsia"/>
                <w:szCs w:val="21"/>
                <w:highlight w:val="none"/>
                <w:lang w:val="en-US" w:eastAsia="zh-CN"/>
              </w:rPr>
              <w:t xml:space="preserve">600/5</w:t>
            </w:r>
            <w:r/>
          </w:p>
        </w:tc>
        <w:tc>
          <w:tcPr>
            <w:shd w:val="clear" w:color="auto" w:fill="auto"/>
            <w:tcW w:w="1045" w:type="dxa"/>
            <w:vAlign w:val="center"/>
            <w:textDirection w:val="lrTb"/>
            <w:noWrap w:val="false"/>
          </w:tcPr>
          <w:p>
            <w:pPr>
              <w:jc w:val="center"/>
              <w:rPr>
                <w:rFonts w:ascii="Times New Roman" w:hAnsi="Times New Roman" w:eastAsia="宋体" w:cs="Times New Roman"/>
                <w:sz w:val="21"/>
                <w:szCs w:val="21"/>
                <w:highlight w:val="none"/>
                <w:lang w:val="en-US" w:eastAsia="zh-CN" w:bidi="ar-SA"/>
              </w:rPr>
            </w:pPr>
            <w:r>
              <w:rPr>
                <w:szCs w:val="21"/>
                <w:highlight w:val="none"/>
              </w:rPr>
              <w:t xml:space="preserve">0.5</w:t>
            </w:r>
            <w:r/>
          </w:p>
        </w:tc>
        <w:tc>
          <w:tcPr>
            <w:shd w:val="clear" w:color="auto" w:fill="auto"/>
            <w:tcW w:w="1050" w:type="dxa"/>
            <w:vAlign w:val="center"/>
            <w:textDirection w:val="lrTb"/>
            <w:noWrap w:val="false"/>
          </w:tcPr>
          <w:p>
            <w:pPr>
              <w:jc w:val="center"/>
              <w:rPr>
                <w:rFonts w:ascii="Times New Roman" w:hAnsi="Times New Roman" w:eastAsia="宋体" w:cs="Times New Roman"/>
                <w:sz w:val="21"/>
                <w:szCs w:val="21"/>
                <w:highlight w:val="none"/>
                <w:lang w:val="en-US" w:eastAsia="zh-CN" w:bidi="ar-SA"/>
              </w:rPr>
            </w:pPr>
            <w:r>
              <w:rPr>
                <w:szCs w:val="21"/>
                <w:highlight w:val="none"/>
              </w:rPr>
              <w:t xml:space="preserve">0.5</w:t>
            </w:r>
            <w:r/>
          </w:p>
        </w:tc>
      </w:tr>
    </w:tbl>
    <w:p>
      <w:pPr>
        <w:jc w:val="left"/>
        <w:widowControl/>
        <w:rPr>
          <w:bCs/>
          <w:szCs w:val="21"/>
          <w:highlight w:val="none"/>
        </w:rPr>
        <w:outlineLvl w:val="2"/>
      </w:pPr>
      <w:r>
        <w:rPr>
          <w:bCs/>
          <w:szCs w:val="21"/>
          <w:highlight w:val="none"/>
        </w:rPr>
        <w:t xml:space="preserve">6.4</w:t>
      </w:r>
      <w:r>
        <w:rPr>
          <w:bCs/>
          <w:szCs w:val="21"/>
          <w:highlight w:val="none"/>
        </w:rPr>
        <w:t xml:space="preserve">.8 </w:t>
      </w:r>
      <w:r>
        <w:rPr>
          <w:rFonts w:hint="eastAsia"/>
          <w:bCs/>
          <w:szCs w:val="21"/>
          <w:highlight w:val="none"/>
        </w:rPr>
        <w:t xml:space="preserve">计量表安装位置</w:t>
      </w:r>
      <w:bookmarkEnd w:id="170"/>
      <w:r/>
      <w:bookmarkEnd w:id="171"/>
      <w:r/>
      <w:bookmarkEnd w:id="172"/>
      <w:r/>
      <w:r/>
    </w:p>
    <w:p>
      <w:pPr>
        <w:ind w:firstLine="420"/>
        <w:rPr>
          <w:szCs w:val="21"/>
          <w:highlight w:val="none"/>
        </w:rPr>
      </w:pPr>
      <w:r>
        <w:rPr>
          <w:rFonts w:hint="eastAsia"/>
          <w:szCs w:val="21"/>
          <w:highlight w:val="none"/>
        </w:rPr>
        <w:t xml:space="preserve">推荐箱体内嵌式或低压室安装，不允许外挂。内部含计量表、集中器、智能配变终端。</w:t>
      </w:r>
      <w:r/>
    </w:p>
    <w:p>
      <w:pPr>
        <w:jc w:val="left"/>
        <w:widowControl/>
        <w:rPr>
          <w:bCs/>
          <w:szCs w:val="21"/>
          <w:highlight w:val="none"/>
        </w:rPr>
        <w:outlineLvl w:val="2"/>
      </w:pPr>
      <w:r/>
      <w:bookmarkStart w:id="173" w:name="_Toc17363"/>
      <w:r/>
      <w:bookmarkStart w:id="174" w:name="_Toc29112"/>
      <w:r/>
      <w:bookmarkStart w:id="175" w:name="_Toc3108"/>
      <w:r>
        <w:rPr>
          <w:bCs/>
          <w:szCs w:val="21"/>
          <w:highlight w:val="none"/>
        </w:rPr>
        <w:t xml:space="preserve">6.4</w:t>
      </w:r>
      <w:r>
        <w:rPr>
          <w:bCs/>
          <w:szCs w:val="21"/>
          <w:highlight w:val="none"/>
        </w:rPr>
        <w:t xml:space="preserve">.9 </w:t>
      </w:r>
      <w:r>
        <w:rPr>
          <w:rFonts w:hint="eastAsia"/>
          <w:bCs/>
          <w:szCs w:val="21"/>
          <w:highlight w:val="none"/>
        </w:rPr>
        <w:t xml:space="preserve">低压出线路数及额定电流</w:t>
      </w:r>
      <w:bookmarkEnd w:id="173"/>
      <w:r/>
      <w:bookmarkEnd w:id="174"/>
      <w:r/>
      <w:bookmarkEnd w:id="175"/>
      <w:r/>
      <w:r/>
    </w:p>
    <w:p>
      <w:pPr>
        <w:ind w:firstLine="420"/>
        <w:rPr>
          <w:szCs w:val="21"/>
          <w:highlight w:val="none"/>
        </w:rPr>
      </w:pPr>
      <w:r>
        <w:rPr>
          <w:rFonts w:hint="eastAsia"/>
          <w:szCs w:val="21"/>
          <w:highlight w:val="none"/>
          <w:lang w:val="en-US" w:eastAsia="zh-CN"/>
        </w:rPr>
        <w:t xml:space="preserve">根据招标方需求配置</w:t>
      </w:r>
      <w:r>
        <w:rPr>
          <w:rFonts w:hint="eastAsia"/>
          <w:szCs w:val="21"/>
          <w:highlight w:val="none"/>
        </w:rPr>
        <w:t xml:space="preserve">。</w:t>
      </w:r>
      <w:r/>
    </w:p>
    <w:p>
      <w:pPr>
        <w:jc w:val="left"/>
        <w:widowControl/>
        <w:rPr>
          <w:bCs/>
          <w:szCs w:val="21"/>
          <w:highlight w:val="none"/>
        </w:rPr>
        <w:outlineLvl w:val="2"/>
      </w:pPr>
      <w:r/>
      <w:bookmarkStart w:id="176" w:name="_Toc27690"/>
      <w:r/>
      <w:bookmarkStart w:id="177" w:name="_Toc23816"/>
      <w:r/>
      <w:bookmarkStart w:id="178" w:name="_Toc23484"/>
      <w:r>
        <w:rPr>
          <w:bCs/>
          <w:szCs w:val="21"/>
          <w:highlight w:val="none"/>
        </w:rPr>
        <w:t xml:space="preserve">6.4</w:t>
      </w:r>
      <w:r>
        <w:rPr>
          <w:bCs/>
          <w:szCs w:val="21"/>
          <w:highlight w:val="none"/>
        </w:rPr>
        <w:t xml:space="preserve">.10 </w:t>
      </w:r>
      <w:r>
        <w:rPr>
          <w:rFonts w:hint="eastAsia"/>
          <w:bCs/>
          <w:szCs w:val="21"/>
          <w:highlight w:val="none"/>
        </w:rPr>
        <w:t xml:space="preserve">低压侧出线断路器</w:t>
      </w:r>
      <w:bookmarkEnd w:id="176"/>
      <w:r/>
      <w:bookmarkEnd w:id="177"/>
      <w:r/>
      <w:bookmarkEnd w:id="178"/>
      <w:r/>
      <w:r/>
    </w:p>
    <w:p>
      <w:pPr>
        <w:ind w:firstLine="420"/>
        <w:rPr>
          <w:szCs w:val="21"/>
          <w:highlight w:val="none"/>
        </w:rPr>
      </w:pPr>
      <w:r>
        <w:rPr>
          <w:rFonts w:hint="eastAsia"/>
          <w:szCs w:val="21"/>
          <w:highlight w:val="none"/>
        </w:rPr>
        <w:t xml:space="preserve">低压侧出线断路器为塑壳断路器，采用固定式板前接线方式，并对电缆搭接点等裸露带电部位进行遮挡。</w:t>
      </w:r>
      <w:r/>
    </w:p>
    <w:p>
      <w:pPr>
        <w:jc w:val="left"/>
        <w:widowControl/>
        <w:rPr>
          <w:bCs/>
          <w:szCs w:val="21"/>
          <w:highlight w:val="none"/>
        </w:rPr>
        <w:outlineLvl w:val="2"/>
      </w:pPr>
      <w:r/>
      <w:bookmarkStart w:id="179" w:name="_Toc3348"/>
      <w:r/>
      <w:bookmarkStart w:id="180" w:name="_Toc12558"/>
      <w:r/>
      <w:bookmarkStart w:id="181" w:name="_Toc22182"/>
      <w:r>
        <w:rPr>
          <w:bCs/>
          <w:szCs w:val="21"/>
          <w:highlight w:val="none"/>
        </w:rPr>
        <w:t xml:space="preserve">6.4</w:t>
      </w:r>
      <w:r>
        <w:rPr>
          <w:bCs/>
          <w:szCs w:val="21"/>
          <w:highlight w:val="none"/>
        </w:rPr>
        <w:t xml:space="preserve">.11 </w:t>
      </w:r>
      <w:r>
        <w:rPr>
          <w:rFonts w:hint="eastAsia"/>
          <w:bCs/>
          <w:szCs w:val="21"/>
          <w:highlight w:val="none"/>
        </w:rPr>
        <w:t xml:space="preserve">低压侧中性线和保护线</w:t>
      </w:r>
      <w:bookmarkEnd w:id="179"/>
      <w:r/>
      <w:bookmarkEnd w:id="180"/>
      <w:r/>
      <w:bookmarkEnd w:id="181"/>
      <w:r/>
      <w:r/>
    </w:p>
    <w:p>
      <w:pPr>
        <w:ind w:firstLine="420"/>
        <w:rPr>
          <w:szCs w:val="21"/>
          <w:highlight w:val="none"/>
        </w:rPr>
      </w:pPr>
      <w:r>
        <w:rPr>
          <w:szCs w:val="21"/>
          <w:highlight w:val="none"/>
        </w:rPr>
        <w:t xml:space="preserve">0.4kV</w:t>
      </w:r>
      <w:r>
        <w:rPr>
          <w:rFonts w:hint="eastAsia"/>
          <w:szCs w:val="21"/>
          <w:highlight w:val="none"/>
        </w:rPr>
        <w:t xml:space="preserve">低压侧为三相五线制接线（TN-S），包括单独设置中性线（</w:t>
      </w:r>
      <w:r>
        <w:rPr>
          <w:szCs w:val="21"/>
          <w:highlight w:val="none"/>
        </w:rPr>
        <w:t xml:space="preserve">N</w:t>
      </w:r>
      <w:r>
        <w:rPr>
          <w:rFonts w:hint="eastAsia"/>
          <w:szCs w:val="21"/>
          <w:highlight w:val="none"/>
        </w:rPr>
        <w:t xml:space="preserve">）、保护线（</w:t>
      </w:r>
      <w:r>
        <w:rPr>
          <w:szCs w:val="21"/>
          <w:highlight w:val="none"/>
        </w:rPr>
        <w:t xml:space="preserve">PE</w:t>
      </w:r>
      <w:r>
        <w:rPr>
          <w:rFonts w:hint="eastAsia"/>
          <w:szCs w:val="21"/>
          <w:highlight w:val="none"/>
        </w:rPr>
        <w:t xml:space="preserve">）。</w:t>
      </w:r>
      <w:r/>
    </w:p>
    <w:p>
      <w:pPr>
        <w:ind w:firstLine="420"/>
        <w:rPr>
          <w:szCs w:val="21"/>
          <w:highlight w:val="none"/>
        </w:rPr>
      </w:pPr>
      <w:r>
        <w:rPr>
          <w:rFonts w:hint="eastAsia"/>
          <w:szCs w:val="21"/>
          <w:highlight w:val="none"/>
        </w:rPr>
        <w:t xml:space="preserve">低压侧中性线、保护线布置在低压柜前下侧。</w:t>
      </w:r>
      <w:r/>
    </w:p>
    <w:p>
      <w:pPr>
        <w:ind w:firstLine="420"/>
        <w:rPr>
          <w:szCs w:val="21"/>
          <w:highlight w:val="none"/>
        </w:rPr>
      </w:pPr>
      <w:r>
        <w:rPr>
          <w:rFonts w:hint="eastAsia"/>
          <w:szCs w:val="21"/>
          <w:highlight w:val="none"/>
        </w:rPr>
        <w:t xml:space="preserve">低压侧中性线与低压侧主母线的规格相同。</w:t>
      </w:r>
      <w:r/>
    </w:p>
    <w:p>
      <w:pPr>
        <w:ind w:firstLine="420"/>
        <w:rPr>
          <w:szCs w:val="21"/>
          <w:highlight w:val="none"/>
        </w:rPr>
      </w:pPr>
      <w:r>
        <w:rPr>
          <w:rFonts w:hint="eastAsia"/>
          <w:szCs w:val="21"/>
          <w:highlight w:val="none"/>
        </w:rPr>
        <w:t xml:space="preserve">低压侧保护线的截面面积不小于</w:t>
      </w:r>
      <w:r>
        <w:rPr>
          <w:szCs w:val="21"/>
          <w:highlight w:val="none"/>
        </w:rPr>
        <w:t xml:space="preserve">TMY-40×5mm</w:t>
      </w:r>
      <w:r>
        <w:rPr>
          <w:rFonts w:hint="eastAsia"/>
          <w:szCs w:val="21"/>
          <w:highlight w:val="none"/>
        </w:rPr>
        <w:t xml:space="preserve">。</w:t>
      </w:r>
      <w:r/>
    </w:p>
    <w:p>
      <w:pPr>
        <w:jc w:val="left"/>
        <w:widowControl/>
        <w:rPr>
          <w:bCs/>
          <w:szCs w:val="21"/>
          <w:highlight w:val="none"/>
        </w:rPr>
        <w:outlineLvl w:val="2"/>
      </w:pPr>
      <w:r/>
      <w:bookmarkStart w:id="182" w:name="_Toc7298"/>
      <w:r/>
      <w:bookmarkStart w:id="183" w:name="_Toc7823"/>
      <w:r/>
      <w:bookmarkStart w:id="184" w:name="_Toc10810"/>
      <w:r>
        <w:rPr>
          <w:bCs/>
          <w:szCs w:val="21"/>
          <w:highlight w:val="none"/>
        </w:rPr>
        <w:t xml:space="preserve">6.4</w:t>
      </w:r>
      <w:r>
        <w:rPr>
          <w:bCs/>
          <w:szCs w:val="21"/>
          <w:highlight w:val="none"/>
        </w:rPr>
        <w:t xml:space="preserve">.12 </w:t>
      </w:r>
      <w:r>
        <w:rPr>
          <w:rFonts w:hint="eastAsia"/>
          <w:bCs/>
          <w:szCs w:val="21"/>
          <w:highlight w:val="none"/>
        </w:rPr>
        <w:t xml:space="preserve">无功补偿总开关</w:t>
      </w:r>
      <w:bookmarkEnd w:id="182"/>
      <w:r/>
      <w:bookmarkEnd w:id="183"/>
      <w:r/>
      <w:bookmarkEnd w:id="184"/>
      <w:r/>
      <w:r/>
    </w:p>
    <w:p>
      <w:pPr>
        <w:ind w:firstLine="420"/>
        <w:rPr>
          <w:szCs w:val="21"/>
          <w:highlight w:val="none"/>
        </w:rPr>
      </w:pPr>
      <w:r>
        <w:rPr>
          <w:rFonts w:hint="eastAsia"/>
          <w:szCs w:val="21"/>
          <w:highlight w:val="none"/>
        </w:rPr>
        <w:t xml:space="preserve">采用刀熔开关。其中：</w:t>
      </w:r>
      <w:r/>
    </w:p>
    <w:p>
      <w:pPr>
        <w:ind w:firstLine="420"/>
        <w:rPr>
          <w:szCs w:val="21"/>
          <w:highlight w:val="none"/>
        </w:rPr>
      </w:pPr>
      <w:r>
        <w:rPr>
          <w:rFonts w:hint="eastAsia"/>
          <w:szCs w:val="21"/>
          <w:highlight w:val="none"/>
        </w:rPr>
        <w:t xml:space="preserve">容量为</w:t>
      </w:r>
      <w:r>
        <w:rPr>
          <w:rFonts w:hint="eastAsia"/>
          <w:szCs w:val="21"/>
          <w:highlight w:val="none"/>
          <w:lang w:val="en-US" w:eastAsia="zh-CN"/>
        </w:rPr>
        <w:t xml:space="preserve">25</w:t>
      </w:r>
      <w:r>
        <w:rPr>
          <w:szCs w:val="21"/>
          <w:highlight w:val="none"/>
        </w:rPr>
        <w:t xml:space="preserve">0kVA</w:t>
      </w:r>
      <w:r>
        <w:rPr>
          <w:rFonts w:hint="eastAsia"/>
          <w:szCs w:val="21"/>
          <w:highlight w:val="none"/>
        </w:rPr>
        <w:t xml:space="preserve">时，熔芯额定电流采用</w:t>
      </w:r>
      <w:r>
        <w:rPr>
          <w:rFonts w:hint="eastAsia"/>
          <w:szCs w:val="21"/>
          <w:highlight w:val="none"/>
          <w:lang w:val="en-US" w:eastAsia="zh-CN"/>
        </w:rPr>
        <w:t xml:space="preserve">16</w:t>
      </w:r>
      <w:r>
        <w:rPr>
          <w:szCs w:val="21"/>
          <w:highlight w:val="none"/>
        </w:rPr>
        <w:t xml:space="preserve">0A</w:t>
      </w:r>
      <w:r>
        <w:rPr>
          <w:rFonts w:hint="eastAsia"/>
          <w:szCs w:val="21"/>
          <w:highlight w:val="none"/>
        </w:rPr>
        <w:t xml:space="preserve">。</w:t>
      </w:r>
      <w:r/>
    </w:p>
    <w:p>
      <w:pPr>
        <w:ind w:firstLine="420"/>
        <w:rPr>
          <w:szCs w:val="21"/>
          <w:highlight w:val="none"/>
        </w:rPr>
      </w:pPr>
      <w:r>
        <w:rPr>
          <w:rFonts w:hint="eastAsia"/>
          <w:szCs w:val="21"/>
          <w:highlight w:val="none"/>
        </w:rPr>
        <w:t xml:space="preserve">容量为</w:t>
      </w:r>
      <w:r>
        <w:rPr>
          <w:rFonts w:hint="eastAsia"/>
          <w:szCs w:val="21"/>
          <w:highlight w:val="none"/>
          <w:lang w:val="en-US" w:eastAsia="zh-CN"/>
        </w:rPr>
        <w:t xml:space="preserve">315</w:t>
      </w:r>
      <w:r>
        <w:rPr>
          <w:szCs w:val="21"/>
          <w:highlight w:val="none"/>
        </w:rPr>
        <w:t xml:space="preserve">kVA</w:t>
      </w:r>
      <w:r>
        <w:rPr>
          <w:rFonts w:hint="eastAsia"/>
          <w:szCs w:val="21"/>
          <w:highlight w:val="none"/>
        </w:rPr>
        <w:t xml:space="preserve">时，熔芯额定电流采用</w:t>
      </w:r>
      <w:r>
        <w:rPr>
          <w:szCs w:val="21"/>
          <w:highlight w:val="none"/>
        </w:rPr>
        <w:t xml:space="preserve">250A</w:t>
      </w:r>
      <w:r>
        <w:rPr>
          <w:rFonts w:hint="eastAsia"/>
          <w:szCs w:val="21"/>
          <w:highlight w:val="none"/>
        </w:rPr>
        <w:t xml:space="preserve">。</w:t>
      </w:r>
      <w:r/>
    </w:p>
    <w:p>
      <w:pPr>
        <w:ind w:firstLine="420"/>
        <w:rPr>
          <w:szCs w:val="21"/>
          <w:highlight w:val="none"/>
        </w:rPr>
      </w:pPr>
      <w:r>
        <w:rPr>
          <w:rFonts w:hint="eastAsia"/>
          <w:szCs w:val="21"/>
          <w:highlight w:val="none"/>
        </w:rPr>
        <w:t xml:space="preserve">容量为</w:t>
      </w:r>
      <w:r>
        <w:rPr>
          <w:szCs w:val="21"/>
          <w:highlight w:val="none"/>
        </w:rPr>
        <w:t xml:space="preserve">400kVA</w:t>
      </w:r>
      <w:r>
        <w:rPr>
          <w:rFonts w:hint="eastAsia"/>
          <w:szCs w:val="21"/>
          <w:highlight w:val="none"/>
        </w:rPr>
        <w:t xml:space="preserve">时，熔芯额定电流采用</w:t>
      </w:r>
      <w:r>
        <w:rPr>
          <w:szCs w:val="21"/>
          <w:highlight w:val="none"/>
        </w:rPr>
        <w:t xml:space="preserve">250A</w:t>
      </w:r>
      <w:r>
        <w:rPr>
          <w:rFonts w:hint="eastAsia"/>
          <w:szCs w:val="21"/>
          <w:highlight w:val="none"/>
        </w:rPr>
        <w:t xml:space="preserve">。</w:t>
      </w:r>
      <w:r/>
    </w:p>
    <w:p>
      <w:pPr>
        <w:ind w:firstLine="420"/>
        <w:rPr>
          <w:szCs w:val="21"/>
          <w:highlight w:val="none"/>
        </w:rPr>
      </w:pPr>
      <w:r>
        <w:rPr>
          <w:rFonts w:hint="eastAsia"/>
          <w:szCs w:val="21"/>
          <w:highlight w:val="none"/>
        </w:rPr>
        <w:t xml:space="preserve">容量为</w:t>
      </w:r>
      <w:r>
        <w:rPr>
          <w:szCs w:val="21"/>
          <w:highlight w:val="none"/>
        </w:rPr>
        <w:t xml:space="preserve">500kVA</w:t>
      </w:r>
      <w:r>
        <w:rPr>
          <w:rFonts w:hint="eastAsia"/>
          <w:szCs w:val="21"/>
          <w:highlight w:val="none"/>
        </w:rPr>
        <w:t xml:space="preserve">时，熔芯额定电流采用</w:t>
      </w:r>
      <w:r>
        <w:rPr>
          <w:szCs w:val="21"/>
          <w:highlight w:val="none"/>
        </w:rPr>
        <w:t xml:space="preserve">315A</w:t>
      </w:r>
      <w:r>
        <w:rPr>
          <w:rFonts w:hint="eastAsia"/>
          <w:szCs w:val="21"/>
          <w:highlight w:val="none"/>
        </w:rPr>
        <w:t xml:space="preserve">。</w:t>
      </w:r>
      <w:r/>
    </w:p>
    <w:p>
      <w:pPr>
        <w:jc w:val="left"/>
        <w:widowControl/>
        <w:rPr>
          <w:bCs/>
          <w:szCs w:val="21"/>
          <w:highlight w:val="none"/>
        </w:rPr>
        <w:outlineLvl w:val="2"/>
      </w:pPr>
      <w:r/>
      <w:bookmarkStart w:id="185" w:name="_Toc7762"/>
      <w:r/>
      <w:bookmarkStart w:id="186" w:name="_Toc22272"/>
      <w:r/>
      <w:bookmarkStart w:id="187" w:name="_Toc6091"/>
      <w:r>
        <w:rPr>
          <w:bCs/>
          <w:szCs w:val="21"/>
          <w:highlight w:val="none"/>
        </w:rPr>
        <w:t xml:space="preserve">6.4</w:t>
      </w:r>
      <w:r>
        <w:rPr>
          <w:bCs/>
          <w:szCs w:val="21"/>
          <w:highlight w:val="none"/>
        </w:rPr>
        <w:t xml:space="preserve">.13 </w:t>
      </w:r>
      <w:r>
        <w:rPr>
          <w:rFonts w:hint="eastAsia"/>
          <w:bCs/>
          <w:szCs w:val="21"/>
          <w:highlight w:val="none"/>
        </w:rPr>
        <w:t xml:space="preserve">无功补偿装置及补偿容量</w:t>
      </w:r>
      <w:bookmarkEnd w:id="185"/>
      <w:r/>
      <w:bookmarkEnd w:id="186"/>
      <w:r/>
      <w:bookmarkEnd w:id="187"/>
      <w:r/>
      <w:r/>
    </w:p>
    <w:p>
      <w:pPr>
        <w:ind w:firstLine="420"/>
        <w:rPr>
          <w:szCs w:val="21"/>
          <w:highlight w:val="none"/>
        </w:rPr>
      </w:pPr>
      <w:r>
        <w:rPr>
          <w:rFonts w:hint="eastAsia"/>
          <w:szCs w:val="21"/>
          <w:highlight w:val="none"/>
        </w:rPr>
        <w:t xml:space="preserve">无功补偿装置采用智能电容，推荐按照补偿容量为额定容量的</w:t>
      </w:r>
      <w:r>
        <w:rPr>
          <w:rFonts w:hint="eastAsia"/>
          <w:szCs w:val="21"/>
          <w:highlight w:val="none"/>
          <w:lang w:val="en-US" w:eastAsia="zh-CN"/>
        </w:rPr>
        <w:t xml:space="preserve">30</w:t>
      </w:r>
      <w:r>
        <w:rPr>
          <w:szCs w:val="21"/>
          <w:highlight w:val="none"/>
        </w:rPr>
        <w:t xml:space="preserve">%</w:t>
      </w:r>
      <w:r>
        <w:rPr>
          <w:rFonts w:hint="eastAsia"/>
          <w:szCs w:val="21"/>
          <w:highlight w:val="none"/>
        </w:rPr>
        <w:t xml:space="preserve">进行配置。</w:t>
      </w:r>
      <w:r/>
    </w:p>
    <w:p>
      <w:pPr>
        <w:ind w:firstLine="420"/>
        <w:rPr>
          <w:szCs w:val="21"/>
          <w:highlight w:val="none"/>
        </w:rPr>
      </w:pPr>
      <w:r>
        <w:rPr>
          <w:rFonts w:hint="eastAsia"/>
          <w:szCs w:val="21"/>
          <w:highlight w:val="none"/>
        </w:rPr>
        <w:t xml:space="preserve">补偿方式为共补加分补，建议按照</w:t>
      </w:r>
      <w:r>
        <w:rPr>
          <w:szCs w:val="21"/>
          <w:highlight w:val="none"/>
        </w:rPr>
        <w:t xml:space="preserve">70%</w:t>
      </w:r>
      <w:r>
        <w:rPr>
          <w:rFonts w:hint="eastAsia"/>
          <w:szCs w:val="21"/>
          <w:highlight w:val="none"/>
        </w:rPr>
        <w:t xml:space="preserve">共补、</w:t>
      </w:r>
      <w:r>
        <w:rPr>
          <w:szCs w:val="21"/>
          <w:highlight w:val="none"/>
        </w:rPr>
        <w:t xml:space="preserve">30%</w:t>
      </w:r>
      <w:r>
        <w:rPr>
          <w:rFonts w:hint="eastAsia"/>
          <w:szCs w:val="21"/>
          <w:highlight w:val="none"/>
        </w:rPr>
        <w:t xml:space="preserve">分补配置电容器。</w:t>
      </w:r>
      <w:r/>
    </w:p>
    <w:p>
      <w:pPr>
        <w:spacing w:line="312" w:lineRule="exact"/>
        <w:rPr>
          <w:szCs w:val="21"/>
          <w:highlight w:val="none"/>
        </w:rPr>
      </w:pPr>
      <w:r>
        <w:rPr>
          <w:szCs w:val="21"/>
          <w:highlight w:val="none"/>
        </w:rPr>
        <w:t xml:space="preserve">6.5</w:t>
      </w:r>
      <w:r>
        <w:rPr>
          <w:rFonts w:hint="eastAsia"/>
          <w:szCs w:val="21"/>
          <w:highlight w:val="none"/>
        </w:rPr>
        <w:t xml:space="preserve">　变压器至高低压柜连接形式</w:t>
      </w:r>
      <w:r/>
    </w:p>
    <w:p>
      <w:pPr>
        <w:ind w:firstLine="420"/>
        <w:rPr>
          <w:szCs w:val="21"/>
          <w:highlight w:val="none"/>
        </w:rPr>
      </w:pPr>
      <w:r>
        <w:rPr>
          <w:rFonts w:hint="eastAsia" w:ascii="宋体" w:hAnsi="宋体" w:cs="宋体"/>
          <w:szCs w:val="21"/>
          <w:highlight w:val="none"/>
        </w:rPr>
        <w:t xml:space="preserve">高压柜至变压器采用电缆连接，穿过高压室隔板至变压器室，变压器的高压侧采用预制式可插拔电缆头。</w:t>
      </w:r>
      <w:r>
        <w:rPr>
          <w:rFonts w:hint="eastAsia"/>
          <w:szCs w:val="21"/>
          <w:highlight w:val="none"/>
        </w:rPr>
        <w:t xml:space="preserve">变压器至低压柜采用铜母排连接，并设置热缩套，并在变压器出口增加软连接，同时裸露部分增加防护盒。</w:t>
      </w:r>
      <w:r/>
    </w:p>
    <w:p>
      <w:pPr>
        <w:spacing w:line="312" w:lineRule="exact"/>
        <w:rPr>
          <w:szCs w:val="21"/>
          <w:highlight w:val="none"/>
        </w:rPr>
      </w:pPr>
      <w:r>
        <w:rPr>
          <w:szCs w:val="21"/>
          <w:highlight w:val="none"/>
        </w:rPr>
        <w:t xml:space="preserve">6.6</w:t>
      </w:r>
      <w:r>
        <w:rPr>
          <w:rFonts w:hint="eastAsia"/>
          <w:szCs w:val="21"/>
          <w:highlight w:val="none"/>
        </w:rPr>
        <w:t xml:space="preserve">　箱变外形</w:t>
      </w:r>
      <w:r/>
    </w:p>
    <w:p>
      <w:pPr>
        <w:jc w:val="left"/>
        <w:widowControl/>
        <w:rPr>
          <w:bCs/>
          <w:szCs w:val="21"/>
          <w:highlight w:val="none"/>
        </w:rPr>
        <w:outlineLvl w:val="2"/>
      </w:pPr>
      <w:r/>
      <w:bookmarkStart w:id="188" w:name="_Toc12735"/>
      <w:r/>
      <w:bookmarkStart w:id="189" w:name="_Toc15806"/>
      <w:r/>
      <w:bookmarkStart w:id="190" w:name="_Toc11620"/>
      <w:r>
        <w:rPr>
          <w:bCs/>
          <w:szCs w:val="21"/>
          <w:highlight w:val="none"/>
        </w:rPr>
        <w:t xml:space="preserve">6.6</w:t>
      </w:r>
      <w:r>
        <w:rPr>
          <w:bCs/>
          <w:szCs w:val="21"/>
          <w:highlight w:val="none"/>
        </w:rPr>
        <w:t xml:space="preserve">.1 </w:t>
      </w:r>
      <w:r>
        <w:rPr>
          <w:rFonts w:hint="eastAsia"/>
          <w:bCs/>
          <w:szCs w:val="21"/>
          <w:highlight w:val="none"/>
        </w:rPr>
        <w:t xml:space="preserve">箱体外形</w:t>
      </w:r>
      <w:bookmarkEnd w:id="188"/>
      <w:r/>
      <w:bookmarkEnd w:id="189"/>
      <w:r/>
      <w:bookmarkEnd w:id="190"/>
      <w:r/>
      <w:r/>
    </w:p>
    <w:p>
      <w:pPr>
        <w:ind w:firstLine="420"/>
        <w:rPr>
          <w:szCs w:val="21"/>
          <w:highlight w:val="none"/>
        </w:rPr>
      </w:pPr>
      <w:r>
        <w:rPr>
          <w:rFonts w:hint="eastAsia"/>
          <w:szCs w:val="21"/>
          <w:highlight w:val="none"/>
        </w:rPr>
        <w:t xml:space="preserve">箱式变电站的典型结构设计及尺寸要求如下：</w:t>
      </w:r>
      <w:r/>
    </w:p>
    <w:p>
      <w:pPr>
        <w:ind w:firstLine="420"/>
        <w:rPr>
          <w:szCs w:val="21"/>
          <w:highlight w:val="none"/>
        </w:rPr>
      </w:pPr>
      <w:r>
        <w:rPr>
          <w:rFonts w:hint="eastAsia"/>
          <w:szCs w:val="21"/>
          <w:highlight w:val="none"/>
        </w:rPr>
        <w:t xml:space="preserve">（</w:t>
      </w:r>
      <w:r>
        <w:rPr>
          <w:szCs w:val="21"/>
          <w:highlight w:val="none"/>
        </w:rPr>
        <w:t xml:space="preserve">1</w:t>
      </w:r>
      <w:r>
        <w:rPr>
          <w:rFonts w:hint="eastAsia"/>
          <w:szCs w:val="21"/>
          <w:highlight w:val="none"/>
        </w:rPr>
        <w:t xml:space="preserve">）</w:t>
      </w:r>
      <w:r>
        <w:rPr>
          <w:rFonts w:hint="eastAsia"/>
          <w:szCs w:val="21"/>
          <w:highlight w:val="none"/>
          <w:lang w:val="en-US" w:eastAsia="zh-CN"/>
        </w:rPr>
        <w:t xml:space="preserve">箱体外壳尺寸在满足内部元器件安全距离和散热条件下尽可能小</w:t>
      </w:r>
      <w:r>
        <w:rPr>
          <w:rFonts w:hint="eastAsia"/>
          <w:szCs w:val="21"/>
          <w:highlight w:val="none"/>
        </w:rPr>
        <w:t xml:space="preserve">。</w:t>
      </w:r>
      <w:r/>
    </w:p>
    <w:p>
      <w:pPr>
        <w:ind w:firstLine="420"/>
        <w:rPr>
          <w:szCs w:val="21"/>
          <w:highlight w:val="none"/>
        </w:rPr>
      </w:pPr>
      <w:r>
        <w:rPr>
          <w:rFonts w:hint="eastAsia"/>
          <w:szCs w:val="21"/>
          <w:highlight w:val="none"/>
        </w:rPr>
        <w:t xml:space="preserve">（</w:t>
      </w:r>
      <w:r>
        <w:rPr>
          <w:rFonts w:hint="eastAsia"/>
          <w:szCs w:val="21"/>
          <w:highlight w:val="none"/>
          <w:lang w:val="en-US" w:eastAsia="zh-CN"/>
        </w:rPr>
        <w:t xml:space="preserve">2</w:t>
      </w:r>
      <w:r>
        <w:rPr>
          <w:rFonts w:hint="eastAsia"/>
          <w:szCs w:val="21"/>
          <w:highlight w:val="none"/>
        </w:rPr>
        <w:t xml:space="preserve">）高压室、变压器室、低压室应加装照明，照明开关应与箱变门配合开启。</w:t>
      </w:r>
      <w:r/>
    </w:p>
    <w:p>
      <w:pPr>
        <w:ind w:firstLine="420"/>
        <w:rPr>
          <w:szCs w:val="21"/>
          <w:highlight w:val="none"/>
        </w:rPr>
      </w:pPr>
      <w:r>
        <w:rPr>
          <w:rFonts w:hint="eastAsia"/>
          <w:szCs w:val="21"/>
          <w:highlight w:val="none"/>
        </w:rPr>
        <w:t xml:space="preserve">（</w:t>
      </w:r>
      <w:r>
        <w:rPr>
          <w:rFonts w:hint="eastAsia"/>
          <w:szCs w:val="21"/>
          <w:highlight w:val="none"/>
          <w:lang w:val="en-US" w:eastAsia="zh-CN"/>
        </w:rPr>
        <w:t xml:space="preserve">3</w:t>
      </w:r>
      <w:r>
        <w:rPr>
          <w:rFonts w:hint="eastAsia"/>
          <w:szCs w:val="21"/>
          <w:highlight w:val="none"/>
        </w:rPr>
        <w:t xml:space="preserve">）箱变门应有防风钩设计。</w:t>
      </w:r>
      <w:r/>
    </w:p>
    <w:p>
      <w:pPr>
        <w:jc w:val="left"/>
        <w:widowControl/>
        <w:rPr>
          <w:bCs/>
          <w:szCs w:val="21"/>
          <w:highlight w:val="none"/>
        </w:rPr>
        <w:outlineLvl w:val="2"/>
      </w:pPr>
      <w:r/>
      <w:bookmarkStart w:id="191" w:name="_Toc21457"/>
      <w:r/>
      <w:bookmarkStart w:id="192" w:name="_Toc16512"/>
      <w:r/>
      <w:bookmarkStart w:id="193" w:name="_Toc2472"/>
      <w:r>
        <w:rPr>
          <w:bCs/>
          <w:szCs w:val="21"/>
          <w:highlight w:val="none"/>
        </w:rPr>
        <w:t xml:space="preserve">6.6</w:t>
      </w:r>
      <w:r>
        <w:rPr>
          <w:bCs/>
          <w:szCs w:val="21"/>
          <w:highlight w:val="none"/>
        </w:rPr>
        <w:t xml:space="preserve">.2 </w:t>
      </w:r>
      <w:r>
        <w:rPr>
          <w:rFonts w:hint="eastAsia"/>
          <w:bCs/>
          <w:szCs w:val="21"/>
          <w:highlight w:val="none"/>
        </w:rPr>
        <w:t xml:space="preserve">低压柜</w:t>
      </w:r>
      <w:bookmarkEnd w:id="191"/>
      <w:r/>
      <w:bookmarkEnd w:id="192"/>
      <w:r/>
      <w:bookmarkEnd w:id="193"/>
      <w:r/>
      <w:r/>
    </w:p>
    <w:p>
      <w:pPr>
        <w:ind w:firstLine="420"/>
        <w:rPr>
          <w:szCs w:val="21"/>
          <w:highlight w:val="none"/>
        </w:rPr>
      </w:pPr>
      <w:r>
        <w:rPr>
          <w:rFonts w:hint="eastAsia"/>
          <w:szCs w:val="21"/>
          <w:highlight w:val="none"/>
        </w:rPr>
        <w:t xml:space="preserve">箱式变电站的低压柜典型设计如下：</w:t>
      </w:r>
      <w:r/>
    </w:p>
    <w:p>
      <w:pPr>
        <w:ind w:firstLine="420"/>
        <w:rPr>
          <w:szCs w:val="21"/>
          <w:highlight w:val="none"/>
        </w:rPr>
      </w:pPr>
      <w:r>
        <w:rPr>
          <w:rFonts w:hint="eastAsia"/>
          <w:szCs w:val="21"/>
          <w:highlight w:val="none"/>
        </w:rPr>
        <w:t xml:space="preserve">（</w:t>
      </w:r>
      <w:r>
        <w:rPr>
          <w:szCs w:val="21"/>
          <w:highlight w:val="none"/>
        </w:rPr>
        <w:t xml:space="preserve">1</w:t>
      </w:r>
      <w:r>
        <w:rPr>
          <w:rFonts w:hint="eastAsia"/>
          <w:szCs w:val="21"/>
          <w:highlight w:val="none"/>
        </w:rPr>
        <w:t xml:space="preserve">）低压柜应实现关门操作隔离开关、出线断路器。</w:t>
      </w:r>
      <w:r/>
    </w:p>
    <w:p>
      <w:pPr>
        <w:ind w:firstLine="420"/>
        <w:rPr>
          <w:szCs w:val="21"/>
          <w:highlight w:val="none"/>
        </w:rPr>
      </w:pPr>
      <w:r>
        <w:rPr>
          <w:rFonts w:hint="eastAsia"/>
          <w:szCs w:val="21"/>
          <w:highlight w:val="none"/>
        </w:rPr>
        <w:t xml:space="preserve">（</w:t>
      </w:r>
      <w:r>
        <w:rPr>
          <w:rFonts w:hint="eastAsia"/>
          <w:szCs w:val="21"/>
          <w:highlight w:val="none"/>
          <w:lang w:val="en-US" w:eastAsia="zh-CN"/>
        </w:rPr>
        <w:t xml:space="preserve">2</w:t>
      </w:r>
      <w:r>
        <w:rPr>
          <w:rFonts w:hint="eastAsia"/>
          <w:szCs w:val="21"/>
          <w:highlight w:val="none"/>
        </w:rPr>
        <w:t xml:space="preserve">）计量互感器安装可以铅封，各个接点可视。测量、采样互感器不铅封。计量表及采集器均安装在箱变外壳的内嵌计量箱内。</w:t>
      </w:r>
      <w:r/>
    </w:p>
    <w:p>
      <w:pPr>
        <w:ind w:firstLine="420"/>
        <w:rPr>
          <w:szCs w:val="21"/>
          <w:highlight w:val="none"/>
        </w:rPr>
      </w:pPr>
      <w:r>
        <w:rPr>
          <w:rFonts w:hint="eastAsia"/>
          <w:szCs w:val="21"/>
          <w:highlight w:val="none"/>
        </w:rPr>
        <w:t xml:space="preserve">（</w:t>
      </w:r>
      <w:r>
        <w:rPr>
          <w:rFonts w:hint="eastAsia"/>
          <w:szCs w:val="21"/>
          <w:highlight w:val="none"/>
          <w:lang w:val="en-US" w:eastAsia="zh-CN"/>
        </w:rPr>
        <w:t xml:space="preserve">3</w:t>
      </w:r>
      <w:r>
        <w:rPr>
          <w:rFonts w:hint="eastAsia"/>
          <w:szCs w:val="21"/>
          <w:highlight w:val="none"/>
        </w:rPr>
        <w:t xml:space="preserve">）进线母排从中间单元柜后进线，并且在变压器室内实现换相，在低压室内符合左中右、后中前的顺序排布</w:t>
      </w:r>
      <w:r>
        <w:rPr>
          <w:szCs w:val="21"/>
          <w:highlight w:val="none"/>
        </w:rPr>
        <w:t xml:space="preserve">ABC</w:t>
      </w:r>
      <w:r>
        <w:rPr>
          <w:rFonts w:hint="eastAsia"/>
          <w:szCs w:val="21"/>
          <w:highlight w:val="none"/>
        </w:rPr>
        <w:t xml:space="preserve">三相。母排应有相色标识。互感器与主进断路器平行布置，降低了总体的布置高度，并且方便现场拆卸或安装互感器。</w:t>
      </w:r>
      <w:r/>
    </w:p>
    <w:p>
      <w:pPr>
        <w:ind w:firstLine="420"/>
        <w:rPr>
          <w:szCs w:val="21"/>
          <w:highlight w:val="none"/>
        </w:rPr>
      </w:pPr>
      <w:r>
        <w:rPr>
          <w:rFonts w:hint="eastAsia"/>
          <w:szCs w:val="21"/>
          <w:highlight w:val="none"/>
        </w:rPr>
        <w:t xml:space="preserve">（</w:t>
      </w:r>
      <w:r>
        <w:rPr>
          <w:rFonts w:hint="eastAsia"/>
          <w:szCs w:val="21"/>
          <w:highlight w:val="none"/>
          <w:lang w:val="en-US" w:eastAsia="zh-CN"/>
        </w:rPr>
        <w:t xml:space="preserve">4</w:t>
      </w:r>
      <w:r>
        <w:rPr>
          <w:rFonts w:hint="eastAsia"/>
          <w:szCs w:val="21"/>
          <w:highlight w:val="none"/>
        </w:rPr>
        <w:t xml:space="preserve">）主进断路器连接至隔离开关的汇流排，采用后中前的布置方式，方便安装操作。</w:t>
      </w:r>
      <w:r/>
    </w:p>
    <w:p>
      <w:pPr>
        <w:ind w:firstLine="420"/>
        <w:rPr>
          <w:szCs w:val="21"/>
          <w:highlight w:val="none"/>
        </w:rPr>
      </w:pPr>
      <w:r>
        <w:rPr>
          <w:rFonts w:hint="eastAsia"/>
          <w:szCs w:val="21"/>
          <w:highlight w:val="none"/>
        </w:rPr>
        <w:t xml:space="preserve">（</w:t>
      </w:r>
      <w:r>
        <w:rPr>
          <w:rFonts w:hint="eastAsia"/>
          <w:szCs w:val="21"/>
          <w:highlight w:val="none"/>
          <w:lang w:val="en-US" w:eastAsia="zh-CN"/>
        </w:rPr>
        <w:t xml:space="preserve">5</w:t>
      </w:r>
      <w:r>
        <w:rPr>
          <w:rFonts w:hint="eastAsia"/>
          <w:szCs w:val="21"/>
          <w:highlight w:val="none"/>
        </w:rPr>
        <w:t xml:space="preserve">）进线主断路器采用垂直接线端子或水平接线端子，方便转接母排。</w:t>
      </w:r>
      <w:r/>
    </w:p>
    <w:p>
      <w:pPr>
        <w:ind w:firstLine="420"/>
        <w:rPr>
          <w:szCs w:val="21"/>
          <w:highlight w:val="none"/>
        </w:rPr>
      </w:pPr>
      <w:r>
        <w:rPr>
          <w:rFonts w:hint="eastAsia"/>
          <w:szCs w:val="21"/>
          <w:highlight w:val="none"/>
        </w:rPr>
        <w:t xml:space="preserve">（</w:t>
      </w:r>
      <w:r>
        <w:rPr>
          <w:rFonts w:hint="eastAsia"/>
          <w:szCs w:val="21"/>
          <w:highlight w:val="none"/>
          <w:lang w:val="en-US" w:eastAsia="zh-CN"/>
        </w:rPr>
        <w:t xml:space="preserve">6</w:t>
      </w:r>
      <w:r>
        <w:rPr>
          <w:rFonts w:hint="eastAsia"/>
          <w:szCs w:val="21"/>
          <w:highlight w:val="none"/>
        </w:rPr>
        <w:t xml:space="preserve">）两路出线断路器共用一个隔离开关。</w:t>
      </w:r>
      <w:r/>
    </w:p>
    <w:p>
      <w:pPr>
        <w:ind w:firstLine="420"/>
        <w:rPr>
          <w:szCs w:val="21"/>
          <w:highlight w:val="none"/>
        </w:rPr>
      </w:pPr>
      <w:r>
        <w:rPr>
          <w:rFonts w:hint="eastAsia"/>
          <w:szCs w:val="21"/>
          <w:highlight w:val="none"/>
        </w:rPr>
        <w:t xml:space="preserve">（</w:t>
      </w:r>
      <w:r>
        <w:rPr>
          <w:rFonts w:hint="eastAsia"/>
          <w:szCs w:val="21"/>
          <w:highlight w:val="none"/>
          <w:lang w:val="en-US" w:eastAsia="zh-CN"/>
        </w:rPr>
        <w:t xml:space="preserve">7</w:t>
      </w:r>
      <w:r>
        <w:rPr>
          <w:rFonts w:hint="eastAsia"/>
          <w:szCs w:val="21"/>
          <w:highlight w:val="none"/>
        </w:rPr>
        <w:t xml:space="preserve">）每</w:t>
      </w:r>
      <w:r>
        <w:rPr>
          <w:szCs w:val="21"/>
          <w:highlight w:val="none"/>
        </w:rPr>
        <w:t xml:space="preserve">2</w:t>
      </w:r>
      <w:r>
        <w:rPr>
          <w:rFonts w:hint="eastAsia"/>
          <w:szCs w:val="21"/>
          <w:highlight w:val="none"/>
        </w:rPr>
        <w:t xml:space="preserve">路出线断路器至出线电缆桩头间应设置绝缘隔板。</w:t>
      </w:r>
      <w:r/>
    </w:p>
    <w:p>
      <w:pPr>
        <w:ind w:firstLine="420"/>
        <w:rPr>
          <w:szCs w:val="21"/>
          <w:highlight w:val="none"/>
        </w:rPr>
      </w:pPr>
      <w:r>
        <w:rPr>
          <w:rFonts w:hint="eastAsia"/>
          <w:szCs w:val="21"/>
          <w:highlight w:val="none"/>
        </w:rPr>
        <w:t xml:space="preserve">（</w:t>
      </w:r>
      <w:r>
        <w:rPr>
          <w:rFonts w:hint="eastAsia"/>
          <w:szCs w:val="21"/>
          <w:highlight w:val="none"/>
          <w:lang w:val="en-US" w:eastAsia="zh-CN"/>
        </w:rPr>
        <w:t xml:space="preserve">8</w:t>
      </w:r>
      <w:r>
        <w:rPr>
          <w:rFonts w:hint="eastAsia"/>
          <w:szCs w:val="21"/>
          <w:highlight w:val="none"/>
        </w:rPr>
        <w:t xml:space="preserve">）补偿总开关上下口采用母排连接，电源取自主进断路器与隔离之间的汇流排。</w:t>
      </w:r>
      <w:r/>
    </w:p>
    <w:p>
      <w:pPr>
        <w:ind w:firstLine="420"/>
        <w:rPr>
          <w:szCs w:val="21"/>
          <w:highlight w:val="none"/>
        </w:rPr>
      </w:pPr>
      <w:r>
        <w:rPr>
          <w:rFonts w:hint="eastAsia"/>
          <w:szCs w:val="21"/>
          <w:highlight w:val="none"/>
        </w:rPr>
        <w:t xml:space="preserve">（</w:t>
      </w:r>
      <w:r>
        <w:rPr>
          <w:rFonts w:hint="eastAsia"/>
          <w:szCs w:val="21"/>
          <w:highlight w:val="none"/>
          <w:lang w:val="en-US" w:eastAsia="zh-CN"/>
        </w:rPr>
        <w:t xml:space="preserve">9</w:t>
      </w:r>
      <w:r>
        <w:rPr>
          <w:rFonts w:hint="eastAsia"/>
          <w:szCs w:val="21"/>
          <w:highlight w:val="none"/>
        </w:rPr>
        <w:t xml:space="preserve">）出线断路器的电缆接线高度不低于</w:t>
      </w:r>
      <w:r>
        <w:rPr>
          <w:szCs w:val="21"/>
          <w:highlight w:val="none"/>
        </w:rPr>
        <w:t xml:space="preserve">400mm</w:t>
      </w:r>
      <w:r>
        <w:rPr>
          <w:rFonts w:hint="eastAsia"/>
          <w:szCs w:val="21"/>
          <w:highlight w:val="none"/>
        </w:rPr>
        <w:t xml:space="preserve">（不含箱变基座</w:t>
      </w:r>
      <w:r>
        <w:rPr>
          <w:szCs w:val="21"/>
          <w:highlight w:val="none"/>
        </w:rPr>
        <w:t xml:space="preserve">120mm</w:t>
      </w:r>
      <w:r>
        <w:rPr>
          <w:rFonts w:hint="eastAsia"/>
          <w:szCs w:val="21"/>
          <w:highlight w:val="none"/>
        </w:rPr>
        <w:t xml:space="preserve">）。</w:t>
      </w:r>
      <w:r/>
    </w:p>
    <w:p>
      <w:pPr>
        <w:jc w:val="left"/>
        <w:widowControl/>
        <w:rPr>
          <w:bCs/>
          <w:szCs w:val="21"/>
          <w:highlight w:val="none"/>
        </w:rPr>
        <w:outlineLvl w:val="2"/>
      </w:pPr>
      <w:r/>
      <w:bookmarkStart w:id="194" w:name="_Toc15940"/>
      <w:r/>
      <w:bookmarkStart w:id="195" w:name="_Toc17252"/>
      <w:r/>
      <w:bookmarkStart w:id="196" w:name="_Toc30133"/>
      <w:r>
        <w:rPr>
          <w:bCs/>
          <w:szCs w:val="21"/>
          <w:highlight w:val="none"/>
        </w:rPr>
        <w:t xml:space="preserve">6.6</w:t>
      </w:r>
      <w:r>
        <w:rPr>
          <w:bCs/>
          <w:szCs w:val="21"/>
          <w:highlight w:val="none"/>
        </w:rPr>
        <w:t xml:space="preserve">.3 </w:t>
      </w:r>
      <w:r>
        <w:rPr>
          <w:rFonts w:hint="eastAsia"/>
          <w:bCs/>
          <w:szCs w:val="21"/>
          <w:highlight w:val="none"/>
        </w:rPr>
        <w:t xml:space="preserve">顶盖外形</w:t>
      </w:r>
      <w:bookmarkEnd w:id="194"/>
      <w:r/>
      <w:bookmarkEnd w:id="195"/>
      <w:r/>
      <w:bookmarkEnd w:id="196"/>
      <w:r/>
      <w:r/>
    </w:p>
    <w:p>
      <w:pPr>
        <w:ind w:firstLine="420"/>
        <w:rPr>
          <w:szCs w:val="21"/>
          <w:highlight w:val="none"/>
        </w:rPr>
      </w:pPr>
      <w:r>
        <w:rPr>
          <w:rFonts w:hint="eastAsia"/>
          <w:szCs w:val="21"/>
          <w:highlight w:val="none"/>
        </w:rPr>
        <w:t xml:space="preserve">顶盖长度、宽度方向分别超出箱体外形</w:t>
      </w:r>
      <w:r>
        <w:rPr>
          <w:szCs w:val="21"/>
          <w:highlight w:val="none"/>
        </w:rPr>
        <w:t xml:space="preserve">100mm</w:t>
      </w:r>
      <w:r>
        <w:rPr>
          <w:rFonts w:hint="eastAsia"/>
          <w:szCs w:val="21"/>
          <w:highlight w:val="none"/>
        </w:rPr>
        <w:t xml:space="preserve">。</w:t>
      </w:r>
      <w:r/>
    </w:p>
    <w:p>
      <w:pPr>
        <w:ind w:firstLine="420"/>
        <w:rPr>
          <w:szCs w:val="21"/>
          <w:highlight w:val="none"/>
        </w:rPr>
      </w:pPr>
      <w:r>
        <w:rPr>
          <w:rFonts w:hint="eastAsia"/>
          <w:szCs w:val="21"/>
          <w:highlight w:val="none"/>
        </w:rPr>
        <w:t xml:space="preserve">顶盖外沿高度</w:t>
      </w:r>
      <w:r>
        <w:rPr>
          <w:szCs w:val="21"/>
          <w:highlight w:val="none"/>
        </w:rPr>
        <w:t xml:space="preserve">80mm</w:t>
      </w:r>
      <w:r>
        <w:rPr>
          <w:rFonts w:hint="eastAsia"/>
          <w:szCs w:val="21"/>
          <w:highlight w:val="none"/>
        </w:rPr>
        <w:t xml:space="preserve">。</w:t>
      </w:r>
      <w:r/>
    </w:p>
    <w:p>
      <w:pPr>
        <w:ind w:firstLine="420"/>
        <w:rPr>
          <w:szCs w:val="21"/>
          <w:highlight w:val="none"/>
        </w:rPr>
      </w:pPr>
      <w:r>
        <w:rPr>
          <w:rFonts w:hint="eastAsia"/>
          <w:szCs w:val="21"/>
          <w:highlight w:val="none"/>
        </w:rPr>
        <w:t xml:space="preserve">顶盖倾斜度不小于</w:t>
      </w:r>
      <w:r>
        <w:rPr>
          <w:szCs w:val="21"/>
          <w:highlight w:val="none"/>
        </w:rPr>
        <w:t xml:space="preserve">5°</w:t>
      </w:r>
      <w:r>
        <w:rPr>
          <w:rFonts w:hint="eastAsia"/>
          <w:szCs w:val="21"/>
          <w:highlight w:val="none"/>
        </w:rPr>
        <w:t xml:space="preserve">。</w:t>
      </w:r>
      <w:r/>
    </w:p>
    <w:p>
      <w:pPr>
        <w:jc w:val="left"/>
        <w:widowControl/>
        <w:rPr>
          <w:bCs/>
          <w:szCs w:val="21"/>
          <w:highlight w:val="none"/>
        </w:rPr>
        <w:outlineLvl w:val="2"/>
      </w:pPr>
      <w:r/>
      <w:bookmarkStart w:id="197" w:name="_Toc31115"/>
      <w:r/>
      <w:bookmarkStart w:id="198" w:name="_Toc7126"/>
      <w:r/>
      <w:bookmarkStart w:id="199" w:name="_Toc13913"/>
      <w:r>
        <w:rPr>
          <w:bCs/>
          <w:szCs w:val="21"/>
          <w:highlight w:val="none"/>
        </w:rPr>
        <w:t xml:space="preserve">6.6</w:t>
      </w:r>
      <w:r>
        <w:rPr>
          <w:bCs/>
          <w:szCs w:val="21"/>
          <w:highlight w:val="none"/>
        </w:rPr>
        <w:t xml:space="preserve">.4 </w:t>
      </w:r>
      <w:r>
        <w:rPr>
          <w:rFonts w:hint="eastAsia"/>
          <w:bCs/>
          <w:szCs w:val="21"/>
          <w:highlight w:val="none"/>
        </w:rPr>
        <w:t xml:space="preserve">开门所需空间</w:t>
      </w:r>
      <w:bookmarkEnd w:id="197"/>
      <w:r/>
      <w:bookmarkEnd w:id="198"/>
      <w:r/>
      <w:bookmarkEnd w:id="199"/>
      <w:r/>
      <w:r/>
    </w:p>
    <w:p>
      <w:pPr>
        <w:ind w:firstLine="420"/>
        <w:rPr>
          <w:szCs w:val="21"/>
          <w:highlight w:val="none"/>
        </w:rPr>
      </w:pPr>
      <w:r>
        <w:rPr>
          <w:rFonts w:hint="eastAsia"/>
          <w:szCs w:val="21"/>
          <w:highlight w:val="none"/>
        </w:rPr>
        <w:t xml:space="preserve">开门空间应大于</w:t>
      </w:r>
      <w:r>
        <w:rPr>
          <w:szCs w:val="21"/>
          <w:highlight w:val="none"/>
        </w:rPr>
        <w:t xml:space="preserve">1000mm</w:t>
      </w:r>
      <w:r>
        <w:rPr>
          <w:rFonts w:hint="eastAsia"/>
          <w:szCs w:val="21"/>
          <w:highlight w:val="none"/>
        </w:rPr>
        <w:t xml:space="preserve">，且开门角度不小于</w:t>
      </w:r>
      <w:r>
        <w:rPr>
          <w:szCs w:val="21"/>
          <w:highlight w:val="none"/>
        </w:rPr>
        <w:t xml:space="preserve">105°</w:t>
      </w:r>
      <w:r>
        <w:rPr>
          <w:rFonts w:hint="eastAsia"/>
          <w:szCs w:val="21"/>
          <w:highlight w:val="none"/>
        </w:rPr>
        <w:t xml:space="preserve">。</w:t>
      </w:r>
      <w:r/>
    </w:p>
    <w:p>
      <w:pPr>
        <w:jc w:val="left"/>
        <w:widowControl/>
        <w:rPr>
          <w:bCs/>
          <w:szCs w:val="21"/>
          <w:highlight w:val="none"/>
        </w:rPr>
        <w:outlineLvl w:val="2"/>
      </w:pPr>
      <w:r/>
      <w:bookmarkStart w:id="200" w:name="_Toc1427"/>
      <w:r/>
      <w:bookmarkStart w:id="201" w:name="_Toc53"/>
      <w:r/>
      <w:bookmarkStart w:id="202" w:name="_Toc908"/>
      <w:r>
        <w:rPr>
          <w:bCs/>
          <w:szCs w:val="21"/>
          <w:highlight w:val="none"/>
        </w:rPr>
        <w:t xml:space="preserve">6.6</w:t>
      </w:r>
      <w:r>
        <w:rPr>
          <w:bCs/>
          <w:szCs w:val="21"/>
          <w:highlight w:val="none"/>
        </w:rPr>
        <w:t xml:space="preserve">.5 </w:t>
      </w:r>
      <w:r>
        <w:rPr>
          <w:rFonts w:hint="eastAsia"/>
          <w:bCs/>
          <w:szCs w:val="21"/>
          <w:highlight w:val="none"/>
        </w:rPr>
        <w:t xml:space="preserve">变压器网门</w:t>
      </w:r>
      <w:bookmarkEnd w:id="200"/>
      <w:r/>
      <w:bookmarkEnd w:id="201"/>
      <w:r/>
      <w:bookmarkEnd w:id="202"/>
      <w:r/>
      <w:r/>
    </w:p>
    <w:p>
      <w:pPr>
        <w:ind w:firstLine="420"/>
        <w:rPr>
          <w:szCs w:val="21"/>
          <w:highlight w:val="none"/>
        </w:rPr>
      </w:pPr>
      <w:r>
        <w:rPr>
          <w:rFonts w:hint="eastAsia"/>
          <w:szCs w:val="21"/>
          <w:highlight w:val="none"/>
        </w:rPr>
        <w:t xml:space="preserve">变压器室在箱变外壳门的内部应有一道金属网门进行防护，增设安全警示标志，并具备在开网门时可实现电气闭锁功能。</w:t>
      </w:r>
      <w:r/>
    </w:p>
    <w:p>
      <w:pPr>
        <w:jc w:val="left"/>
        <w:rPr>
          <w:bCs/>
          <w:szCs w:val="21"/>
          <w:highlight w:val="none"/>
        </w:rPr>
        <w:outlineLvl w:val="1"/>
      </w:pPr>
      <w:r/>
      <w:bookmarkStart w:id="203" w:name="_Toc14152"/>
      <w:r/>
      <w:bookmarkStart w:id="204" w:name="_Toc1431"/>
      <w:r/>
      <w:bookmarkStart w:id="205" w:name="_Toc3750"/>
      <w:r>
        <w:rPr>
          <w:bCs/>
          <w:szCs w:val="21"/>
          <w:highlight w:val="none"/>
        </w:rPr>
        <w:t xml:space="preserve">6.7</w:t>
      </w:r>
      <w:r>
        <w:rPr>
          <w:rFonts w:hint="eastAsia"/>
          <w:szCs w:val="21"/>
          <w:highlight w:val="none"/>
        </w:rPr>
        <w:t xml:space="preserve">　</w:t>
      </w:r>
      <w:r>
        <w:rPr>
          <w:rFonts w:hint="eastAsia"/>
          <w:bCs/>
          <w:szCs w:val="21"/>
          <w:highlight w:val="none"/>
        </w:rPr>
        <w:t xml:space="preserve">高低压电缆孔</w:t>
      </w:r>
      <w:bookmarkEnd w:id="203"/>
      <w:r/>
      <w:bookmarkEnd w:id="204"/>
      <w:r/>
      <w:bookmarkEnd w:id="205"/>
      <w:r/>
      <w:r/>
    </w:p>
    <w:p>
      <w:pPr>
        <w:ind w:firstLine="420"/>
        <w:rPr>
          <w:szCs w:val="21"/>
          <w:highlight w:val="none"/>
        </w:rPr>
      </w:pPr>
      <w:r>
        <w:rPr>
          <w:rFonts w:hint="eastAsia"/>
          <w:szCs w:val="21"/>
          <w:highlight w:val="none"/>
        </w:rPr>
        <w:t xml:space="preserve">箱变底部应设置底板，电缆孔大小可根据产品确定，但电缆安装完成后电缆孔应进行封堵，防止潮气进入箱变内部。</w:t>
      </w:r>
      <w:r/>
    </w:p>
    <w:p>
      <w:pPr>
        <w:spacing w:line="312" w:lineRule="exact"/>
        <w:rPr>
          <w:szCs w:val="21"/>
          <w:highlight w:val="none"/>
        </w:rPr>
      </w:pPr>
      <w:r>
        <w:rPr>
          <w:szCs w:val="21"/>
          <w:highlight w:val="none"/>
        </w:rPr>
        <w:t xml:space="preserve">6.8</w:t>
      </w:r>
      <w:r>
        <w:rPr>
          <w:rFonts w:hint="eastAsia"/>
          <w:szCs w:val="21"/>
          <w:highlight w:val="none"/>
        </w:rPr>
        <w:t xml:space="preserve">　接地</w:t>
      </w:r>
      <w:r/>
    </w:p>
    <w:p>
      <w:pPr>
        <w:ind w:firstLine="420"/>
        <w:jc w:val="left"/>
        <w:rPr>
          <w:szCs w:val="21"/>
          <w:highlight w:val="none"/>
        </w:rPr>
      </w:pPr>
      <w:r>
        <w:rPr>
          <w:rFonts w:hint="eastAsia"/>
          <w:szCs w:val="21"/>
          <w:highlight w:val="none"/>
        </w:rPr>
        <w:t xml:space="preserve">高压室、低压室的接地排穿过隔板后汇入变压器室，对于三相五线制（TN-S），应有两点接地引入，一点用于变压器中性点接地，另一点用于箱变外壳及高低压设备、电缆外壳接地。各隔室内的接地排应有接地标识。</w:t>
      </w:r>
      <w:r/>
    </w:p>
    <w:p>
      <w:pPr>
        <w:spacing w:line="312" w:lineRule="exact"/>
        <w:rPr>
          <w:szCs w:val="21"/>
          <w:highlight w:val="none"/>
        </w:rPr>
      </w:pPr>
      <w:r>
        <w:rPr>
          <w:szCs w:val="21"/>
          <w:highlight w:val="none"/>
        </w:rPr>
        <w:t xml:space="preserve">6.9</w:t>
      </w:r>
      <w:r>
        <w:rPr>
          <w:rFonts w:hint="eastAsia"/>
          <w:szCs w:val="21"/>
          <w:highlight w:val="none"/>
        </w:rPr>
        <w:t xml:space="preserve">　整体起吊方式</w:t>
      </w:r>
      <w:r/>
    </w:p>
    <w:p>
      <w:pPr>
        <w:ind w:firstLine="420"/>
        <w:rPr>
          <w:szCs w:val="21"/>
          <w:highlight w:val="none"/>
        </w:rPr>
      </w:pPr>
      <w:r>
        <w:rPr>
          <w:rFonts w:hint="eastAsia"/>
          <w:szCs w:val="21"/>
          <w:highlight w:val="none"/>
        </w:rPr>
        <w:t xml:space="preserve">采用底座起吊。</w:t>
      </w:r>
      <w:r/>
    </w:p>
    <w:p>
      <w:pPr>
        <w:pStyle w:val="1155"/>
        <w:jc w:val="left"/>
        <w:rPr>
          <w:rFonts w:hint="eastAsia" w:eastAsia="黑体"/>
          <w:sz w:val="21"/>
          <w:szCs w:val="21"/>
          <w:highlight w:val="none"/>
        </w:rPr>
        <w:outlineLvl w:val="0"/>
      </w:pPr>
      <w:r/>
      <w:bookmarkStart w:id="206" w:name="_Toc360803394"/>
      <w:r/>
      <w:bookmarkStart w:id="207" w:name="_Toc18402"/>
      <w:r/>
      <w:bookmarkStart w:id="208" w:name="_Toc428625088"/>
      <w:r/>
      <w:bookmarkStart w:id="209" w:name="_Toc11565"/>
      <w:r/>
      <w:bookmarkStart w:id="210" w:name="_Toc25406"/>
      <w:r/>
      <w:bookmarkStart w:id="211" w:name="_Toc8894"/>
      <w:r/>
      <w:bookmarkStart w:id="212" w:name="_Toc6793"/>
      <w:r/>
      <w:bookmarkStart w:id="213" w:name="_Toc28032"/>
      <w:r/>
      <w:bookmarkStart w:id="214" w:name="_Toc32312"/>
      <w:r/>
      <w:bookmarkStart w:id="215" w:name="_Toc2844"/>
      <w:r/>
      <w:bookmarkStart w:id="216" w:name="_Toc13938"/>
      <w:r/>
      <w:bookmarkStart w:id="217" w:name="_Toc31174"/>
      <w:r/>
      <w:bookmarkStart w:id="218" w:name="_Toc15875"/>
      <w:r>
        <w:rPr>
          <w:rFonts w:hint="eastAsia" w:eastAsia="黑体"/>
          <w:sz w:val="21"/>
          <w:szCs w:val="21"/>
          <w:highlight w:val="none"/>
          <w:lang w:val="en-US" w:eastAsia="zh-CN"/>
        </w:rPr>
        <w:t xml:space="preserve">7</w:t>
      </w:r>
      <w:bookmarkEnd w:id="206"/>
      <w:r/>
      <w:bookmarkStart w:id="219" w:name="_Toc353266025"/>
      <w:r/>
      <w:bookmarkStart w:id="220" w:name="_Toc353264376"/>
      <w:r/>
      <w:bookmarkStart w:id="221" w:name="_Toc347236881"/>
      <w:r>
        <w:rPr>
          <w:rFonts w:hint="eastAsia" w:eastAsia="黑体"/>
          <w:sz w:val="21"/>
          <w:szCs w:val="21"/>
          <w:highlight w:val="none"/>
          <w:lang w:val="en-US" w:eastAsia="zh-CN"/>
        </w:rPr>
        <w:t xml:space="preserve">　</w:t>
      </w:r>
      <w:bookmarkEnd w:id="219"/>
      <w:r/>
      <w:bookmarkEnd w:id="220"/>
      <w:r/>
      <w:bookmarkEnd w:id="221"/>
      <w:r>
        <w:rPr>
          <w:rFonts w:hint="eastAsia" w:eastAsia="黑体"/>
          <w:sz w:val="21"/>
          <w:szCs w:val="21"/>
          <w:highlight w:val="none"/>
          <w:lang w:val="en-US" w:eastAsia="zh-CN"/>
        </w:rPr>
        <w:t xml:space="preserve">柱上</w:t>
      </w:r>
      <w:r>
        <w:rPr>
          <w:rFonts w:hint="eastAsia" w:eastAsia="黑体"/>
          <w:sz w:val="21"/>
          <w:szCs w:val="21"/>
          <w:highlight w:val="none"/>
        </w:rPr>
        <w:t xml:space="preserve">变压器</w:t>
      </w:r>
      <w:bookmarkEnd w:id="207"/>
      <w:r/>
      <w:bookmarkEnd w:id="208"/>
      <w:r/>
      <w:bookmarkEnd w:id="209"/>
      <w:r/>
      <w:bookmarkEnd w:id="210"/>
      <w:r/>
      <w:r/>
    </w:p>
    <w:p>
      <w:pPr>
        <w:ind w:firstLine="422"/>
        <w:spacing w:line="316" w:lineRule="exact"/>
        <w:tabs>
          <w:tab w:val="left" w:pos="0" w:leader="none"/>
        </w:tabs>
        <w:rPr>
          <w:rFonts w:hint="eastAsia"/>
          <w:szCs w:val="21"/>
          <w:highlight w:val="none"/>
        </w:rPr>
      </w:pPr>
      <w:r/>
      <w:bookmarkStart w:id="222" w:name="_Toc368821144"/>
      <w:r/>
      <w:bookmarkEnd w:id="222"/>
      <w:r/>
      <w:bookmarkStart w:id="223" w:name="_Toc368821170"/>
      <w:r/>
      <w:bookmarkEnd w:id="223"/>
      <w:r/>
      <w:bookmarkStart w:id="224" w:name="_Toc368820896"/>
      <w:r/>
      <w:bookmarkEnd w:id="224"/>
      <w:r/>
      <w:bookmarkStart w:id="225" w:name="_Toc368821004"/>
      <w:r/>
      <w:bookmarkEnd w:id="225"/>
      <w:r/>
      <w:bookmarkStart w:id="226" w:name="_Toc368821342"/>
      <w:r/>
      <w:bookmarkEnd w:id="226"/>
      <w:r/>
      <w:bookmarkStart w:id="227" w:name="_Toc368821029"/>
      <w:r/>
      <w:bookmarkEnd w:id="227"/>
      <w:r/>
      <w:bookmarkStart w:id="228" w:name="_Toc368904786"/>
      <w:r/>
      <w:bookmarkEnd w:id="228"/>
      <w:r/>
      <w:bookmarkStart w:id="229" w:name="_Toc368821316"/>
      <w:r/>
      <w:bookmarkEnd w:id="229"/>
      <w:r/>
      <w:bookmarkStart w:id="230" w:name="_Toc368821317"/>
      <w:r/>
      <w:bookmarkEnd w:id="230"/>
      <w:r/>
      <w:bookmarkStart w:id="231" w:name="_Toc368820858"/>
      <w:r/>
      <w:bookmarkEnd w:id="231"/>
      <w:r/>
      <w:bookmarkStart w:id="232" w:name="_Toc368904824"/>
      <w:r/>
      <w:bookmarkEnd w:id="232"/>
      <w:r/>
      <w:bookmarkStart w:id="233" w:name="_Toc368904812"/>
      <w:r/>
      <w:bookmarkEnd w:id="233"/>
      <w:r/>
      <w:bookmarkStart w:id="234" w:name="_Toc368821041"/>
      <w:r/>
      <w:bookmarkEnd w:id="234"/>
      <w:r/>
      <w:bookmarkStart w:id="235" w:name="_Toc368904800"/>
      <w:r/>
      <w:bookmarkEnd w:id="235"/>
      <w:r/>
      <w:bookmarkStart w:id="236" w:name="_Toc368821354"/>
      <w:r/>
      <w:bookmarkEnd w:id="236"/>
      <w:r/>
      <w:bookmarkStart w:id="237" w:name="_Toc368821145"/>
      <w:r/>
      <w:bookmarkEnd w:id="237"/>
      <w:r/>
      <w:bookmarkStart w:id="238" w:name="_Toc368820872"/>
      <w:r/>
      <w:bookmarkEnd w:id="238"/>
      <w:r/>
      <w:bookmarkStart w:id="239" w:name="_Toc368820859"/>
      <w:r/>
      <w:bookmarkEnd w:id="239"/>
      <w:r/>
      <w:bookmarkStart w:id="240" w:name="_Toc368821003"/>
      <w:r/>
      <w:bookmarkEnd w:id="240"/>
      <w:r/>
      <w:bookmarkStart w:id="241" w:name="_Toc368904787"/>
      <w:r/>
      <w:bookmarkEnd w:id="241"/>
      <w:r/>
      <w:bookmarkStart w:id="242" w:name="_Toc368820884"/>
      <w:r/>
      <w:bookmarkEnd w:id="242"/>
      <w:r/>
      <w:bookmarkStart w:id="243" w:name="_Toc368821182"/>
      <w:r/>
      <w:bookmarkEnd w:id="243"/>
      <w:r/>
      <w:bookmarkStart w:id="244" w:name="_Toc368821017"/>
      <w:r/>
      <w:bookmarkEnd w:id="244"/>
      <w:r/>
      <w:bookmarkStart w:id="245" w:name="_Toc368821330"/>
      <w:r/>
      <w:bookmarkEnd w:id="245"/>
      <w:r/>
      <w:bookmarkStart w:id="246" w:name="_Toc368821158"/>
      <w:r/>
      <w:bookmarkEnd w:id="246"/>
      <w:r>
        <w:rPr>
          <w:rFonts w:hint="eastAsia"/>
          <w:szCs w:val="21"/>
          <w:highlight w:val="none"/>
          <w:lang w:val="en-US" w:eastAsia="zh-CN"/>
        </w:rPr>
        <w:t xml:space="preserve">7</w:t>
      </w:r>
      <w:r>
        <w:rPr>
          <w:rFonts w:hint="eastAsia"/>
          <w:szCs w:val="21"/>
          <w:highlight w:val="none"/>
        </w:rPr>
        <w:t xml:space="preserve">.1.1  </w:t>
      </w:r>
      <w:r>
        <w:rPr>
          <w:szCs w:val="21"/>
          <w:highlight w:val="none"/>
        </w:rPr>
        <w:t xml:space="preserve">10kV</w:t>
      </w:r>
      <w:r>
        <w:rPr>
          <w:rFonts w:hint="eastAsia"/>
          <w:szCs w:val="21"/>
          <w:highlight w:val="none"/>
        </w:rPr>
        <w:t xml:space="preserve">油浸式变压器技术要求</w:t>
      </w:r>
      <w:r/>
    </w:p>
    <w:p>
      <w:pPr>
        <w:ind w:firstLine="422"/>
        <w:spacing w:line="312" w:lineRule="exact"/>
        <w:tabs>
          <w:tab w:val="left" w:pos="0" w:leader="none"/>
        </w:tabs>
        <w:rPr>
          <w:szCs w:val="21"/>
          <w:highlight w:val="none"/>
        </w:rPr>
      </w:pPr>
      <w:r>
        <w:rPr>
          <w:rFonts w:hint="eastAsia"/>
          <w:szCs w:val="21"/>
          <w:highlight w:val="none"/>
        </w:rPr>
        <w:t xml:space="preserve">a）</w:t>
      </w:r>
      <w:r>
        <w:rPr>
          <w:rFonts w:hint="eastAsia"/>
          <w:szCs w:val="21"/>
          <w:highlight w:val="none"/>
        </w:rPr>
        <w:tab/>
      </w:r>
      <w:r>
        <w:rPr>
          <w:rFonts w:hint="eastAsia"/>
          <w:szCs w:val="21"/>
          <w:highlight w:val="none"/>
        </w:rPr>
        <w:t xml:space="preserve">在短路下的耐受能力，</w:t>
      </w:r>
      <w:r>
        <w:rPr>
          <w:rFonts w:hint="eastAsia"/>
          <w:highlight w:val="none"/>
        </w:rPr>
        <w:t xml:space="preserve">短路耐受能力应满足GB 1094.5规定。</w:t>
      </w:r>
      <w:r/>
    </w:p>
    <w:p>
      <w:pPr>
        <w:ind w:firstLine="422"/>
        <w:spacing w:line="312" w:lineRule="exact"/>
        <w:tabs>
          <w:tab w:val="left" w:pos="0" w:leader="none"/>
        </w:tabs>
        <w:rPr>
          <w:szCs w:val="21"/>
          <w:highlight w:val="none"/>
        </w:rPr>
      </w:pPr>
      <w:r>
        <w:rPr>
          <w:rFonts w:hint="eastAsia"/>
          <w:szCs w:val="21"/>
          <w:highlight w:val="none"/>
        </w:rPr>
        <w:t xml:space="preserve">b）</w:t>
      </w:r>
      <w:r>
        <w:rPr>
          <w:rFonts w:hint="eastAsia"/>
          <w:szCs w:val="21"/>
          <w:highlight w:val="none"/>
        </w:rPr>
        <w:tab/>
      </w:r>
      <w:r>
        <w:rPr>
          <w:rFonts w:hint="eastAsia"/>
          <w:szCs w:val="21"/>
          <w:highlight w:val="none"/>
        </w:rPr>
        <w:t xml:space="preserve">过载能力。厂家应提供过载能力的数据，任何附属设备的过载能力不应小于变压器的过载能力。在起始负荷80%、环境温度40℃的条件下，过负荷50%允许运行2h。变压器最热点温度不超过140℃，变压器油顶层油温不超过95℃。</w:t>
      </w:r>
      <w:r/>
    </w:p>
    <w:p>
      <w:pPr>
        <w:ind w:firstLine="422"/>
        <w:spacing w:line="312" w:lineRule="exact"/>
        <w:tabs>
          <w:tab w:val="left" w:pos="0" w:leader="none"/>
        </w:tabs>
        <w:rPr>
          <w:szCs w:val="21"/>
          <w:highlight w:val="none"/>
        </w:rPr>
      </w:pPr>
      <w:r>
        <w:rPr>
          <w:rFonts w:hint="eastAsia"/>
          <w:szCs w:val="21"/>
          <w:highlight w:val="none"/>
        </w:rPr>
        <w:t xml:space="preserve">卖方应在变压器出厂资料中提供过载能力数据及允许过负荷运行时间。</w:t>
      </w:r>
      <w:r/>
    </w:p>
    <w:p>
      <w:pPr>
        <w:ind w:firstLine="422"/>
        <w:spacing w:line="312" w:lineRule="exact"/>
        <w:tabs>
          <w:tab w:val="left" w:pos="0" w:leader="none"/>
        </w:tabs>
        <w:rPr>
          <w:szCs w:val="21"/>
          <w:highlight w:val="none"/>
        </w:rPr>
      </w:pPr>
      <w:r>
        <w:rPr>
          <w:rFonts w:hint="eastAsia"/>
          <w:szCs w:val="21"/>
          <w:highlight w:val="none"/>
        </w:rPr>
        <w:t xml:space="preserve">c）</w:t>
      </w:r>
      <w:r>
        <w:rPr>
          <w:rFonts w:hint="eastAsia"/>
          <w:szCs w:val="21"/>
          <w:highlight w:val="none"/>
        </w:rPr>
        <w:tab/>
      </w:r>
      <w:r>
        <w:rPr>
          <w:rFonts w:hint="eastAsia"/>
          <w:szCs w:val="21"/>
          <w:highlight w:val="none"/>
        </w:rPr>
        <w:t xml:space="preserve">波纹油箱的强度和密封性。</w:t>
      </w:r>
      <w:r/>
    </w:p>
    <w:p>
      <w:pPr>
        <w:ind w:firstLine="422"/>
        <w:spacing w:line="312" w:lineRule="exact"/>
        <w:tabs>
          <w:tab w:val="left" w:pos="0" w:leader="none"/>
        </w:tabs>
        <w:rPr>
          <w:szCs w:val="21"/>
          <w:highlight w:val="none"/>
        </w:rPr>
      </w:pPr>
      <w:r>
        <w:rPr>
          <w:rFonts w:hint="eastAsia"/>
          <w:szCs w:val="21"/>
          <w:highlight w:val="none"/>
        </w:rPr>
        <w:t xml:space="preserve">1</w:t>
      </w:r>
      <w:r>
        <w:rPr>
          <w:szCs w:val="21"/>
          <w:highlight w:val="none"/>
        </w:rPr>
        <w:t xml:space="preserve">）</w:t>
      </w:r>
      <w:r>
        <w:rPr>
          <w:rFonts w:hint="eastAsia"/>
          <w:szCs w:val="21"/>
          <w:highlight w:val="none"/>
        </w:rPr>
        <w:tab/>
      </w:r>
      <w:r>
        <w:rPr>
          <w:rFonts w:hint="eastAsia"/>
          <w:szCs w:val="21"/>
          <w:highlight w:val="none"/>
        </w:rPr>
        <w:t xml:space="preserve">波纹油箱膨胀系数应不小于1.3倍，并应在规定的工作条件、负荷条件下运行不应有渗漏油现象。</w:t>
      </w:r>
      <w:r/>
    </w:p>
    <w:p>
      <w:pPr>
        <w:ind w:firstLine="422"/>
        <w:spacing w:line="312" w:lineRule="exact"/>
        <w:tabs>
          <w:tab w:val="left" w:pos="0" w:leader="none"/>
        </w:tabs>
        <w:rPr>
          <w:szCs w:val="21"/>
          <w:highlight w:val="none"/>
        </w:rPr>
      </w:pPr>
      <w:r>
        <w:rPr>
          <w:rFonts w:hint="eastAsia"/>
          <w:szCs w:val="21"/>
          <w:highlight w:val="none"/>
        </w:rPr>
        <w:t xml:space="preserve">2</w:t>
      </w:r>
      <w:r>
        <w:rPr>
          <w:szCs w:val="21"/>
          <w:highlight w:val="none"/>
        </w:rPr>
        <w:t xml:space="preserve">）</w:t>
      </w:r>
      <w:r>
        <w:rPr>
          <w:rFonts w:hint="eastAsia"/>
          <w:szCs w:val="21"/>
          <w:highlight w:val="none"/>
        </w:rPr>
        <w:tab/>
      </w:r>
      <w:r>
        <w:rPr>
          <w:rFonts w:hint="eastAsia"/>
          <w:szCs w:val="21"/>
          <w:highlight w:val="none"/>
        </w:rPr>
        <w:t xml:space="preserve">油箱放油阀应采用双密封结构。</w:t>
      </w:r>
      <w:r/>
    </w:p>
    <w:p>
      <w:pPr>
        <w:ind w:firstLine="422"/>
        <w:spacing w:line="312" w:lineRule="exact"/>
        <w:tabs>
          <w:tab w:val="left" w:pos="0" w:leader="none"/>
        </w:tabs>
        <w:rPr>
          <w:szCs w:val="21"/>
          <w:highlight w:val="none"/>
        </w:rPr>
      </w:pPr>
      <w:r>
        <w:rPr>
          <w:rFonts w:hint="eastAsia"/>
          <w:szCs w:val="21"/>
          <w:highlight w:val="none"/>
        </w:rPr>
        <w:t xml:space="preserve">3）</w:t>
      </w:r>
      <w:r>
        <w:rPr>
          <w:szCs w:val="21"/>
          <w:highlight w:val="none"/>
        </w:rPr>
        <w:tab/>
      </w:r>
      <w:r>
        <w:rPr>
          <w:rFonts w:hint="eastAsia"/>
          <w:szCs w:val="21"/>
          <w:highlight w:val="none"/>
        </w:rPr>
        <w:t xml:space="preserve">一般结构油箱的变压器（包括储油柜带隔膜的密封式变压器）应承受40kPa的试验压力。波纹式油箱（包括带有弹性片式散热器油箱）的变压器：315kVA及以下者应承受20kPa的试验压力；400kVA及以上者应承受15kPa的试验压力。</w:t>
      </w:r>
      <w:r/>
    </w:p>
    <w:p>
      <w:pPr>
        <w:pStyle w:val="1156"/>
        <w:ind w:left="0" w:firstLine="422"/>
        <w:spacing w:line="312" w:lineRule="exact"/>
        <w:tabs>
          <w:tab w:val="left" w:pos="0" w:leader="none"/>
        </w:tabs>
        <w:rPr>
          <w:highlight w:val="none"/>
        </w:rPr>
      </w:pPr>
      <w:r>
        <w:rPr>
          <w:rFonts w:hint="eastAsia"/>
          <w:highlight w:val="none"/>
        </w:rPr>
        <w:t xml:space="preserve">d）</w:t>
      </w:r>
      <w:r>
        <w:rPr>
          <w:rFonts w:hint="eastAsia"/>
          <w:highlight w:val="none"/>
        </w:rPr>
        <w:tab/>
      </w:r>
      <w:r>
        <w:rPr>
          <w:rFonts w:hint="eastAsia"/>
          <w:highlight w:val="none"/>
        </w:rPr>
        <w:t xml:space="preserve">变压器的寿命。变压器在规定的工作条件和负荷条件下运行，并按照卖方的说明书进行维护，变压器的寿命应不小于30年。</w:t>
      </w:r>
      <w:r/>
    </w:p>
    <w:p>
      <w:pPr>
        <w:pStyle w:val="1156"/>
        <w:ind w:left="0" w:firstLine="422"/>
        <w:spacing w:line="312" w:lineRule="exact"/>
        <w:tabs>
          <w:tab w:val="left" w:pos="0" w:leader="none"/>
        </w:tabs>
        <w:rPr>
          <w:highlight w:val="none"/>
        </w:rPr>
      </w:pPr>
      <w:r>
        <w:rPr>
          <w:rFonts w:hint="eastAsia"/>
          <w:highlight w:val="none"/>
        </w:rPr>
        <w:t xml:space="preserve">e）</w:t>
      </w:r>
      <w:r>
        <w:rPr>
          <w:rFonts w:hint="eastAsia"/>
          <w:highlight w:val="none"/>
        </w:rPr>
        <w:tab/>
      </w:r>
      <w:r>
        <w:rPr>
          <w:rFonts w:hint="eastAsia"/>
          <w:highlight w:val="none"/>
        </w:rPr>
        <w:t xml:space="preserve">变压器安全保护装置应满足GB/T 6451的要求。</w:t>
      </w:r>
      <w:r/>
    </w:p>
    <w:p>
      <w:pPr>
        <w:pStyle w:val="1156"/>
        <w:ind w:left="0" w:firstLine="422"/>
        <w:spacing w:line="312" w:lineRule="exact"/>
        <w:tabs>
          <w:tab w:val="left" w:pos="0" w:leader="none"/>
        </w:tabs>
        <w:rPr>
          <w:highlight w:val="none"/>
        </w:rPr>
      </w:pPr>
      <w:r>
        <w:rPr>
          <w:rFonts w:hint="eastAsia"/>
          <w:highlight w:val="none"/>
        </w:rPr>
        <w:t xml:space="preserve">f）</w:t>
      </w:r>
      <w:r>
        <w:rPr>
          <w:rFonts w:hint="eastAsia"/>
          <w:highlight w:val="none"/>
        </w:rPr>
        <w:tab/>
      </w:r>
      <w:r>
        <w:rPr>
          <w:rFonts w:hint="eastAsia"/>
          <w:highlight w:val="none"/>
        </w:rPr>
        <w:t xml:space="preserve">油温测量装置应满足GB/T 6451的要求。</w:t>
      </w:r>
      <w:r/>
    </w:p>
    <w:p>
      <w:pPr>
        <w:pStyle w:val="1156"/>
        <w:ind w:left="0" w:firstLine="422"/>
        <w:spacing w:line="312" w:lineRule="exact"/>
        <w:tabs>
          <w:tab w:val="left" w:pos="0" w:leader="none"/>
        </w:tabs>
        <w:rPr>
          <w:highlight w:val="none"/>
        </w:rPr>
      </w:pPr>
      <w:r>
        <w:rPr>
          <w:rFonts w:hint="eastAsia"/>
          <w:highlight w:val="none"/>
        </w:rPr>
        <w:t xml:space="preserve">g）</w:t>
      </w:r>
      <w:r>
        <w:rPr>
          <w:rFonts w:hint="eastAsia"/>
          <w:highlight w:val="none"/>
        </w:rPr>
        <w:tab/>
      </w:r>
      <w:r>
        <w:rPr>
          <w:rFonts w:hint="eastAsia"/>
          <w:highlight w:val="none"/>
        </w:rPr>
        <w:t xml:space="preserve">变压器及其附件的技术条件应满足GB/T 6451的要求：</w:t>
      </w:r>
      <w:r/>
    </w:p>
    <w:p>
      <w:pPr>
        <w:pStyle w:val="1157"/>
        <w:ind w:left="0" w:firstLine="422"/>
        <w:spacing w:line="312" w:lineRule="exact"/>
        <w:tabs>
          <w:tab w:val="left" w:pos="0" w:leader="none"/>
        </w:tabs>
        <w:rPr>
          <w:highlight w:val="none"/>
        </w:rPr>
      </w:pPr>
      <w:r>
        <w:rPr>
          <w:rFonts w:hint="eastAsia"/>
          <w:highlight w:val="none"/>
        </w:rPr>
        <w:t xml:space="preserve">1）</w:t>
      </w:r>
      <w:r>
        <w:rPr>
          <w:rFonts w:hint="eastAsia"/>
          <w:highlight w:val="none"/>
        </w:rPr>
        <w:tab/>
      </w:r>
      <w:r>
        <w:rPr>
          <w:rFonts w:hint="eastAsia"/>
          <w:highlight w:val="none"/>
        </w:rPr>
        <w:t xml:space="preserve">油箱顶部不应存在积水情况。</w:t>
      </w:r>
      <w:r/>
    </w:p>
    <w:p>
      <w:pPr>
        <w:pStyle w:val="1157"/>
        <w:ind w:left="0" w:firstLine="422"/>
        <w:spacing w:line="312" w:lineRule="exact"/>
        <w:tabs>
          <w:tab w:val="left" w:pos="0" w:leader="none"/>
        </w:tabs>
        <w:rPr>
          <w:highlight w:val="none"/>
        </w:rPr>
      </w:pPr>
      <w:r>
        <w:rPr>
          <w:rFonts w:hint="eastAsia"/>
          <w:highlight w:val="none"/>
        </w:rPr>
        <w:t xml:space="preserve">2）</w:t>
      </w:r>
      <w:r>
        <w:rPr>
          <w:rFonts w:hint="eastAsia"/>
          <w:highlight w:val="none"/>
        </w:rPr>
        <w:tab/>
      </w:r>
      <w:r>
        <w:rPr>
          <w:rFonts w:hint="eastAsia"/>
          <w:highlight w:val="none"/>
        </w:rPr>
        <w:t xml:space="preserve">10kV全密封变压器采用真空注油，变压器密封试验应满足GB/T 6451中的要求。变压器油箱机械强度试验应满足GB/T 6451中的要求。变压器油箱应采用Q235A钢板或更高性能材料制作。</w:t>
      </w:r>
      <w:r/>
    </w:p>
    <w:p>
      <w:pPr>
        <w:pStyle w:val="1156"/>
        <w:ind w:left="0" w:firstLine="422"/>
        <w:spacing w:line="312" w:lineRule="exact"/>
        <w:tabs>
          <w:tab w:val="left" w:pos="0" w:leader="none"/>
        </w:tabs>
        <w:rPr>
          <w:highlight w:val="none"/>
        </w:rPr>
      </w:pPr>
      <w:r>
        <w:rPr>
          <w:rFonts w:hint="eastAsia"/>
          <w:highlight w:val="none"/>
        </w:rPr>
        <w:t xml:space="preserve">h）</w:t>
      </w:r>
      <w:r>
        <w:rPr>
          <w:rFonts w:hint="eastAsia"/>
          <w:highlight w:val="none"/>
        </w:rPr>
        <w:tab/>
      </w:r>
      <w:r>
        <w:rPr>
          <w:rFonts w:hint="eastAsia"/>
          <w:highlight w:val="none"/>
        </w:rPr>
        <w:t xml:space="preserve">套管。10kV采用纯瓷套管，套管应用棕色瓷套，爬距不小于372mm，应具有良好的抗污秽能力和运行性能。高压套管相间距≥250mm，低压套管相间距≥120mm。套管额定电压应与变压器的额定电压相适应。套管额定电流应与变压器的最大负载能力相一致。套管接线端子连接处,在空气中对空气的温升不大于55K，在油中对油的温升不大于15K。套管引出导电杆材质应为T2铜，导体如采用焊接方式连接，应采用磷铜焊，不得采用锡焊。</w:t>
      </w:r>
      <w:r/>
    </w:p>
    <w:p>
      <w:pPr>
        <w:pStyle w:val="1156"/>
        <w:ind w:left="0" w:firstLine="422"/>
        <w:spacing w:line="312" w:lineRule="exact"/>
        <w:tabs>
          <w:tab w:val="left" w:pos="0" w:leader="none"/>
        </w:tabs>
        <w:rPr>
          <w:highlight w:val="none"/>
        </w:rPr>
      </w:pPr>
      <w:r>
        <w:rPr>
          <w:rFonts w:hint="eastAsia"/>
          <w:highlight w:val="none"/>
        </w:rPr>
        <w:t xml:space="preserve">i）</w:t>
      </w:r>
      <w:r>
        <w:rPr>
          <w:rFonts w:hint="eastAsia"/>
          <w:highlight w:val="none"/>
        </w:rPr>
        <w:tab/>
      </w:r>
      <w:r>
        <w:rPr>
          <w:rFonts w:hint="eastAsia"/>
          <w:highlight w:val="none"/>
        </w:rPr>
        <w:t xml:space="preserve">变压器油。变压器油应完全符合GB 2536和GB/T 7595所规定的全部要求。</w:t>
      </w:r>
      <w:r/>
    </w:p>
    <w:p>
      <w:pPr>
        <w:pStyle w:val="1156"/>
        <w:ind w:left="0" w:firstLine="422"/>
        <w:spacing w:line="312" w:lineRule="exact"/>
        <w:tabs>
          <w:tab w:val="left" w:pos="0" w:leader="none"/>
        </w:tabs>
        <w:rPr>
          <w:highlight w:val="none"/>
        </w:rPr>
      </w:pPr>
      <w:r>
        <w:rPr>
          <w:rFonts w:hint="eastAsia"/>
          <w:highlight w:val="none"/>
        </w:rPr>
        <w:t xml:space="preserve">j）</w:t>
      </w:r>
      <w:r>
        <w:rPr>
          <w:rFonts w:hint="eastAsia"/>
          <w:highlight w:val="none"/>
        </w:rPr>
        <w:tab/>
      </w:r>
      <w:r>
        <w:rPr>
          <w:rFonts w:hint="eastAsia"/>
          <w:highlight w:val="none"/>
        </w:rPr>
        <w:t xml:space="preserve">密封垫。应采用抗老化、抗龟裂、抗紫外线制品，所有密封面应密封良好，并应有对密封垫防氧化老化措施，以利延长使用寿命。要求变压器阀门关闭时不出现渗漏油现象。</w:t>
      </w:r>
      <w:r/>
    </w:p>
    <w:p>
      <w:pPr>
        <w:pStyle w:val="1156"/>
        <w:ind w:left="0" w:firstLine="422"/>
        <w:spacing w:line="312" w:lineRule="exact"/>
        <w:tabs>
          <w:tab w:val="left" w:pos="0" w:leader="none"/>
        </w:tabs>
        <w:rPr>
          <w:highlight w:val="none"/>
        </w:rPr>
      </w:pPr>
      <w:r>
        <w:rPr>
          <w:rFonts w:hint="eastAsia"/>
          <w:highlight w:val="none"/>
        </w:rPr>
        <w:t xml:space="preserve">k）</w:t>
      </w:r>
      <w:r>
        <w:rPr>
          <w:rFonts w:hint="eastAsia"/>
          <w:highlight w:val="none"/>
        </w:rPr>
        <w:tab/>
      </w:r>
      <w:r>
        <w:rPr>
          <w:rFonts w:hint="eastAsia"/>
          <w:highlight w:val="none"/>
        </w:rPr>
        <w:t xml:space="preserve">分接开关应有定位措施，并采用双密封结构。</w:t>
      </w:r>
      <w:r/>
    </w:p>
    <w:p>
      <w:pPr>
        <w:pStyle w:val="1156"/>
        <w:ind w:left="0" w:firstLine="422"/>
        <w:spacing w:line="312" w:lineRule="exact"/>
        <w:tabs>
          <w:tab w:val="left" w:pos="0" w:leader="none"/>
        </w:tabs>
        <w:rPr>
          <w:highlight w:val="none"/>
        </w:rPr>
      </w:pPr>
      <w:r>
        <w:rPr>
          <w:rFonts w:hint="eastAsia"/>
          <w:highlight w:val="none"/>
        </w:rPr>
        <w:t xml:space="preserve">l）</w:t>
      </w:r>
      <w:r>
        <w:rPr>
          <w:rFonts w:hint="eastAsia"/>
          <w:highlight w:val="none"/>
        </w:rPr>
        <w:tab/>
      </w:r>
      <w:r>
        <w:rPr>
          <w:rFonts w:hint="eastAsia"/>
          <w:highlight w:val="none"/>
        </w:rPr>
        <w:t xml:space="preserve">800kVA及以上全密封油浸变压器应装多功能保护装置。</w:t>
      </w:r>
      <w:r/>
    </w:p>
    <w:p>
      <w:pPr>
        <w:pStyle w:val="1156"/>
        <w:ind w:left="0" w:firstLine="422"/>
        <w:spacing w:line="312" w:lineRule="exact"/>
        <w:tabs>
          <w:tab w:val="left" w:pos="0" w:leader="none"/>
        </w:tabs>
        <w:rPr>
          <w:highlight w:val="none"/>
        </w:rPr>
      </w:pPr>
      <w:r>
        <w:rPr>
          <w:rFonts w:hint="eastAsia"/>
          <w:highlight w:val="none"/>
        </w:rPr>
        <w:t xml:space="preserve">m）</w:t>
      </w:r>
      <w:r>
        <w:rPr>
          <w:rFonts w:hint="eastAsia"/>
          <w:highlight w:val="none"/>
        </w:rPr>
        <w:tab/>
      </w:r>
      <w:r>
        <w:rPr>
          <w:rFonts w:hint="eastAsia"/>
          <w:highlight w:val="none"/>
        </w:rPr>
        <w:t xml:space="preserve">对附件的要求：</w:t>
      </w:r>
      <w:r/>
    </w:p>
    <w:p>
      <w:pPr>
        <w:pStyle w:val="1157"/>
        <w:ind w:left="0" w:firstLine="422"/>
        <w:spacing w:line="312" w:lineRule="exact"/>
        <w:tabs>
          <w:tab w:val="left" w:pos="0" w:leader="none"/>
        </w:tabs>
        <w:rPr>
          <w:highlight w:val="none"/>
        </w:rPr>
      </w:pPr>
      <w:r>
        <w:rPr>
          <w:rFonts w:hint="eastAsia"/>
          <w:highlight w:val="none"/>
        </w:rPr>
        <w:t xml:space="preserve">1）</w:t>
      </w:r>
      <w:r>
        <w:rPr>
          <w:rFonts w:hint="eastAsia"/>
          <w:highlight w:val="none"/>
        </w:rPr>
        <w:tab/>
      </w:r>
      <w:r>
        <w:rPr>
          <w:rFonts w:hint="eastAsia"/>
          <w:highlight w:val="none"/>
        </w:rPr>
        <w:t xml:space="preserve">主要附件应具有省级及以上检测单位的检测报告。</w:t>
      </w:r>
      <w:r/>
    </w:p>
    <w:p>
      <w:pPr>
        <w:pStyle w:val="1157"/>
        <w:ind w:left="0" w:firstLine="422"/>
        <w:spacing w:line="312" w:lineRule="exact"/>
        <w:tabs>
          <w:tab w:val="left" w:pos="0" w:leader="none"/>
        </w:tabs>
        <w:rPr>
          <w:highlight w:val="none"/>
        </w:rPr>
      </w:pPr>
      <w:r>
        <w:rPr>
          <w:rFonts w:hint="eastAsia"/>
          <w:highlight w:val="none"/>
        </w:rPr>
        <w:t xml:space="preserve">2）</w:t>
      </w:r>
      <w:r>
        <w:rPr>
          <w:rFonts w:hint="eastAsia"/>
          <w:highlight w:val="none"/>
        </w:rPr>
        <w:tab/>
      </w:r>
      <w:r>
        <w:rPr>
          <w:rFonts w:hint="eastAsia"/>
          <w:highlight w:val="none"/>
        </w:rPr>
        <w:t xml:space="preserve">所有附件都应无渗漏油点，附件的油漆应与本体一致。</w:t>
      </w:r>
      <w:r/>
    </w:p>
    <w:p>
      <w:pPr>
        <w:pStyle w:val="1157"/>
        <w:ind w:left="0" w:firstLine="422"/>
        <w:spacing w:line="312" w:lineRule="exact"/>
        <w:tabs>
          <w:tab w:val="left" w:pos="0" w:leader="none"/>
        </w:tabs>
        <w:rPr>
          <w:highlight w:val="none"/>
        </w:rPr>
      </w:pPr>
      <w:r>
        <w:rPr>
          <w:rFonts w:hint="eastAsia"/>
          <w:highlight w:val="none"/>
        </w:rPr>
        <w:t xml:space="preserve">3）</w:t>
      </w:r>
      <w:r>
        <w:rPr>
          <w:rFonts w:hint="eastAsia"/>
          <w:highlight w:val="none"/>
        </w:rPr>
        <w:tab/>
      </w:r>
      <w:r>
        <w:rPr>
          <w:rFonts w:hint="eastAsia"/>
          <w:highlight w:val="none"/>
        </w:rPr>
        <w:t xml:space="preserve">所有外购件都应经过严格挑选和验收试验，并提供试验报告。</w:t>
      </w:r>
      <w:r/>
    </w:p>
    <w:p>
      <w:pPr>
        <w:pStyle w:val="1157"/>
        <w:ind w:left="0" w:firstLine="422"/>
        <w:spacing w:line="312" w:lineRule="exact"/>
        <w:tabs>
          <w:tab w:val="left" w:pos="0" w:leader="none"/>
        </w:tabs>
        <w:rPr>
          <w:highlight w:val="none"/>
        </w:rPr>
      </w:pPr>
      <w:r>
        <w:rPr>
          <w:rFonts w:hint="eastAsia"/>
          <w:highlight w:val="none"/>
        </w:rPr>
        <w:t xml:space="preserve">4）</w:t>
      </w:r>
      <w:r>
        <w:rPr>
          <w:rFonts w:hint="eastAsia"/>
          <w:highlight w:val="none"/>
        </w:rPr>
        <w:tab/>
      </w:r>
      <w:r>
        <w:rPr>
          <w:rFonts w:hint="eastAsia"/>
          <w:highlight w:val="none"/>
        </w:rPr>
        <w:t xml:space="preserve">压力释放阀释放压力应小于GB/T 6451中要求的密封试验压力，应具有防潮防水功能。</w:t>
      </w:r>
      <w:r/>
    </w:p>
    <w:p>
      <w:pPr>
        <w:pStyle w:val="1157"/>
        <w:ind w:left="0" w:firstLine="422"/>
        <w:spacing w:line="312" w:lineRule="exact"/>
        <w:tabs>
          <w:tab w:val="left" w:pos="0" w:leader="none"/>
        </w:tabs>
        <w:rPr>
          <w:highlight w:val="none"/>
        </w:rPr>
      </w:pPr>
      <w:r>
        <w:rPr>
          <w:rFonts w:hint="eastAsia"/>
          <w:highlight w:val="none"/>
        </w:rPr>
        <w:t xml:space="preserve">5）</w:t>
      </w:r>
      <w:r>
        <w:rPr>
          <w:highlight w:val="none"/>
        </w:rPr>
        <w:tab/>
      </w:r>
      <w:r>
        <w:rPr>
          <w:rFonts w:hint="eastAsia"/>
          <w:highlight w:val="none"/>
        </w:rPr>
        <w:t xml:space="preserve">400kVA及以下容量三相变压器应配套提供高低压桩头设备线夹及绝缘护罩，其中高压配置红、绿、黄三色，低压配置红、绿、黄、黑四色。</w:t>
      </w:r>
      <w:r/>
    </w:p>
    <w:p>
      <w:pPr>
        <w:pStyle w:val="1156"/>
        <w:ind w:left="0" w:firstLine="422"/>
        <w:spacing w:line="312" w:lineRule="exact"/>
        <w:tabs>
          <w:tab w:val="left" w:pos="0" w:leader="none"/>
        </w:tabs>
        <w:rPr>
          <w:highlight w:val="none"/>
        </w:rPr>
      </w:pPr>
      <w:r>
        <w:rPr>
          <w:rFonts w:hint="eastAsia"/>
          <w:highlight w:val="none"/>
        </w:rPr>
        <w:t xml:space="preserve">n）</w:t>
      </w:r>
      <w:r>
        <w:rPr>
          <w:rFonts w:hint="eastAsia"/>
          <w:highlight w:val="none"/>
        </w:rPr>
        <w:tab/>
      </w:r>
      <w:r>
        <w:rPr>
          <w:rFonts w:hint="eastAsia"/>
          <w:highlight w:val="none"/>
        </w:rPr>
        <w:t xml:space="preserve">器身结构及材质。</w:t>
      </w:r>
      <w:r/>
    </w:p>
    <w:p>
      <w:pPr>
        <w:pStyle w:val="1157"/>
        <w:ind w:left="0" w:firstLine="422"/>
        <w:spacing w:line="312" w:lineRule="exact"/>
        <w:tabs>
          <w:tab w:val="left" w:pos="0" w:leader="none"/>
        </w:tabs>
        <w:rPr>
          <w:spacing w:val="4"/>
          <w:highlight w:val="none"/>
        </w:rPr>
      </w:pPr>
      <w:r>
        <w:rPr>
          <w:rFonts w:hint="eastAsia"/>
          <w:highlight w:val="none"/>
        </w:rPr>
        <w:t xml:space="preserve">1）</w:t>
      </w:r>
      <w:r>
        <w:rPr>
          <w:rFonts w:hint="eastAsia"/>
          <w:highlight w:val="none"/>
        </w:rPr>
        <w:tab/>
      </w:r>
      <w:r>
        <w:rPr>
          <w:rFonts w:hint="eastAsia"/>
          <w:highlight w:val="none"/>
        </w:rPr>
        <w:t xml:space="preserve">铁心为硅钢片（包括卷铁心式及叠铁心式）。所有线圈材料采用铜线或铜箔，若采用漆包铜导线应采用优质漆包铜导线。所有引线和导电板均应采用绝缘包扎。铁心材料选用优质高磁密取向冷轧硅钢片，叠铁心式铁心采用全斜接缝、无孔绑扎、槽钢式夹件结构。</w:t>
      </w:r>
      <w:r/>
    </w:p>
    <w:p>
      <w:pPr>
        <w:pStyle w:val="1157"/>
        <w:ind w:left="0" w:firstLine="422"/>
        <w:spacing w:line="312" w:lineRule="exact"/>
        <w:tabs>
          <w:tab w:val="left" w:pos="0" w:leader="none"/>
        </w:tabs>
        <w:rPr>
          <w:highlight w:val="none"/>
        </w:rPr>
      </w:pPr>
      <w:r>
        <w:rPr>
          <w:rFonts w:hint="eastAsia"/>
          <w:highlight w:val="none"/>
        </w:rPr>
        <w:t xml:space="preserve">2）</w:t>
      </w:r>
      <w:r>
        <w:rPr>
          <w:rFonts w:hint="eastAsia"/>
          <w:highlight w:val="none"/>
        </w:rPr>
        <w:tab/>
      </w:r>
      <w:r>
        <w:rPr>
          <w:rFonts w:hint="eastAsia"/>
          <w:highlight w:val="none"/>
        </w:rPr>
        <w:t xml:space="preserve">铁心为非晶合金。所有线圈材料采用无氧半硬铜材料制造的铜线或铜箔。所有引线和导电板均应采用绝缘包扎。铁心材料选用具有软磁特性的非晶合金带材，铁心采用悬挂式，不得受力。</w:t>
      </w:r>
      <w:r/>
    </w:p>
    <w:p>
      <w:pPr>
        <w:pStyle w:val="1156"/>
        <w:ind w:left="0" w:firstLine="422"/>
        <w:spacing w:line="312" w:lineRule="exact"/>
        <w:tabs>
          <w:tab w:val="left" w:pos="0" w:leader="none"/>
        </w:tabs>
        <w:rPr>
          <w:highlight w:val="none"/>
        </w:rPr>
      </w:pPr>
      <w:r>
        <w:rPr>
          <w:rFonts w:hint="eastAsia"/>
          <w:highlight w:val="none"/>
        </w:rPr>
        <w:t xml:space="preserve">o）</w:t>
      </w:r>
      <w:r>
        <w:rPr>
          <w:rFonts w:hint="eastAsia"/>
          <w:highlight w:val="none"/>
        </w:rPr>
        <w:tab/>
      </w:r>
      <w:r>
        <w:rPr>
          <w:rFonts w:hint="eastAsia"/>
          <w:highlight w:val="none"/>
        </w:rPr>
        <w:t xml:space="preserve">器身不得悬空，紧固螺栓应有防止松动措施。</w:t>
      </w:r>
      <w:r/>
    </w:p>
    <w:p>
      <w:pPr>
        <w:pStyle w:val="1156"/>
        <w:ind w:left="0" w:firstLine="422"/>
        <w:spacing w:line="312" w:lineRule="exact"/>
        <w:tabs>
          <w:tab w:val="left" w:pos="0" w:leader="none"/>
        </w:tabs>
        <w:rPr>
          <w:highlight w:val="none"/>
        </w:rPr>
      </w:pPr>
      <w:r>
        <w:rPr>
          <w:rFonts w:hint="eastAsia"/>
          <w:highlight w:val="none"/>
        </w:rPr>
        <w:t xml:space="preserve">p）</w:t>
      </w:r>
      <w:r>
        <w:rPr>
          <w:rFonts w:hint="eastAsia"/>
          <w:highlight w:val="none"/>
        </w:rPr>
        <w:tab/>
      </w:r>
      <w:r>
        <w:rPr>
          <w:rFonts w:hint="eastAsia"/>
          <w:highlight w:val="none"/>
        </w:rPr>
        <w:t xml:space="preserve">油位计。带储油柜的变压器，储油柜的一端应装有油位计，储油柜的容积应保证在最高环境温度与允许负载状态下油不溢出，在最低环境温度与变压器未投入运行时，观察油位计应有油位指示。油枕应有注放油的排污油装置以及带有油封的吸湿器。</w:t>
      </w:r>
      <w:r/>
    </w:p>
    <w:p>
      <w:pPr>
        <w:ind w:firstLine="422"/>
        <w:tabs>
          <w:tab w:val="left" w:pos="0" w:leader="none"/>
        </w:tabs>
        <w:rPr>
          <w:rFonts w:hint="eastAsia"/>
          <w:highlight w:val="none"/>
        </w:rPr>
      </w:pPr>
      <w:r>
        <w:rPr>
          <w:rFonts w:hint="eastAsia"/>
          <w:highlight w:val="none"/>
        </w:rPr>
        <w:t xml:space="preserve">q）</w:t>
      </w:r>
      <w:r>
        <w:rPr>
          <w:rFonts w:hint="eastAsia"/>
          <w:highlight w:val="none"/>
        </w:rPr>
        <w:tab/>
      </w:r>
      <w:r>
        <w:rPr>
          <w:rFonts w:hint="eastAsia"/>
          <w:highlight w:val="none"/>
        </w:rPr>
        <w:t xml:space="preserve">容量800kVA及以上的油箱内无气隙结构配变应装有气体继电器。</w:t>
      </w:r>
      <w:r/>
    </w:p>
    <w:p>
      <w:pPr>
        <w:ind w:firstLine="422"/>
        <w:spacing w:line="316" w:lineRule="exact"/>
        <w:tabs>
          <w:tab w:val="left" w:pos="0" w:leader="none"/>
        </w:tabs>
        <w:rPr>
          <w:rFonts w:hint="eastAsia"/>
          <w:szCs w:val="21"/>
          <w:highlight w:val="none"/>
        </w:rPr>
      </w:pPr>
      <w:r>
        <w:rPr>
          <w:rFonts w:hint="eastAsia"/>
          <w:szCs w:val="21"/>
          <w:highlight w:val="none"/>
          <w:lang w:val="en-US" w:eastAsia="zh-CN"/>
        </w:rPr>
        <w:t xml:space="preserve">7</w:t>
      </w:r>
      <w:r>
        <w:rPr>
          <w:rFonts w:hint="eastAsia"/>
          <w:szCs w:val="21"/>
          <w:highlight w:val="none"/>
        </w:rPr>
        <w:t xml:space="preserve">.1.2 通用要求 </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1　</w:t>
      </w:r>
      <w:r>
        <w:rPr>
          <w:rFonts w:hint="eastAsia"/>
          <w:szCs w:val="21"/>
          <w:highlight w:val="none"/>
        </w:rPr>
        <w:t xml:space="preserve">全部设备应能持久耐用，即使在技术规范中没有明确地提出，也应满足在实际运行工况下作为一个完整产品一般应能满足的全部要求。</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2　</w:t>
      </w:r>
      <w:r>
        <w:rPr>
          <w:rFonts w:hint="eastAsia"/>
          <w:szCs w:val="21"/>
          <w:highlight w:val="none"/>
        </w:rPr>
        <w:t xml:space="preserve">所有的设备应便于拆卸、检查和安装。</w:t>
      </w:r>
      <w:r/>
    </w:p>
    <w:p>
      <w:pPr>
        <w:ind w:firstLine="422"/>
        <w:spacing w:line="312" w:lineRule="exact"/>
        <w:tabs>
          <w:tab w:val="left" w:pos="0" w:leader="none"/>
        </w:tabs>
        <w:rPr>
          <w:spacing w:val="-2"/>
          <w:szCs w:val="21"/>
          <w:highlight w:val="none"/>
        </w:rPr>
      </w:pPr>
      <w:r>
        <w:rPr>
          <w:rFonts w:hint="eastAsia"/>
          <w:spacing w:val="-2"/>
          <w:szCs w:val="21"/>
          <w:highlight w:val="none"/>
        </w:rPr>
        <w:t xml:space="preserve">所有的设备都应有相位、吊装部位、中心线、连接部位、接地部位等标记，以便简化现场的安装工作。</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3　</w:t>
      </w:r>
      <w:r>
        <w:rPr>
          <w:rFonts w:hint="eastAsia"/>
          <w:szCs w:val="21"/>
          <w:highlight w:val="none"/>
        </w:rPr>
        <w:t xml:space="preserve">变压器应设计成低噪声，使其分别满足技术性能要求。</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4　</w:t>
      </w:r>
      <w:r>
        <w:rPr>
          <w:rFonts w:hint="eastAsia"/>
          <w:szCs w:val="21"/>
          <w:highlight w:val="none"/>
        </w:rPr>
        <w:t xml:space="preserve">要求检查或更换的设备部件，应用螺栓与螺母固定，所有的螺栓和螺母均为不锈钢力矩螺栓和不锈钢力矩螺母，且应采取热镀锌措施。</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5　</w:t>
      </w:r>
      <w:r>
        <w:rPr>
          <w:rFonts w:hint="eastAsia"/>
          <w:szCs w:val="21"/>
          <w:highlight w:val="none"/>
        </w:rPr>
        <w:t xml:space="preserve">设备应能安全地承受技术规范所规定的最大风速及端子拉力。</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6　</w:t>
      </w:r>
      <w:r>
        <w:rPr>
          <w:rFonts w:hint="eastAsia"/>
          <w:szCs w:val="21"/>
          <w:highlight w:val="none"/>
        </w:rPr>
        <w:t xml:space="preserve">用于设备上的套管、绝缘子应有足够的机械及电气强度。</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7　</w:t>
      </w:r>
      <w:r>
        <w:rPr>
          <w:rFonts w:hint="eastAsia"/>
          <w:szCs w:val="21"/>
          <w:highlight w:val="none"/>
        </w:rPr>
        <w:t xml:space="preserve">设备中所使用的全部材料应说明指定的品位和等级。</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8　</w:t>
      </w:r>
      <w:r>
        <w:rPr>
          <w:rFonts w:hint="eastAsia"/>
          <w:szCs w:val="21"/>
          <w:highlight w:val="none"/>
        </w:rPr>
        <w:t xml:space="preserve">焊接要求如下：</w:t>
      </w:r>
      <w:r/>
    </w:p>
    <w:p>
      <w:pPr>
        <w:pStyle w:val="1156"/>
        <w:ind w:left="0" w:firstLine="422"/>
        <w:spacing w:line="312" w:lineRule="exact"/>
        <w:tabs>
          <w:tab w:val="left" w:pos="0" w:leader="none"/>
        </w:tabs>
        <w:rPr>
          <w:highlight w:val="none"/>
        </w:rPr>
      </w:pPr>
      <w:r>
        <w:rPr>
          <w:rFonts w:hint="eastAsia"/>
          <w:highlight w:val="none"/>
        </w:rPr>
        <w:t xml:space="preserve">a）</w:t>
      </w:r>
      <w:r>
        <w:rPr>
          <w:rFonts w:hint="eastAsia"/>
          <w:highlight w:val="none"/>
        </w:rPr>
        <w:tab/>
      </w:r>
      <w:r>
        <w:rPr>
          <w:rFonts w:hint="eastAsia"/>
          <w:highlight w:val="none"/>
        </w:rPr>
        <w:t xml:space="preserve">焊接应不得发生虚焊、裂缝及其他任何缺陷。</w:t>
      </w:r>
      <w:r/>
    </w:p>
    <w:p>
      <w:pPr>
        <w:pStyle w:val="1156"/>
        <w:ind w:left="0" w:firstLine="422"/>
        <w:spacing w:line="312" w:lineRule="exact"/>
        <w:tabs>
          <w:tab w:val="left" w:pos="0" w:leader="none"/>
        </w:tabs>
        <w:rPr>
          <w:highlight w:val="none"/>
        </w:rPr>
      </w:pPr>
      <w:r>
        <w:rPr>
          <w:rFonts w:hint="eastAsia"/>
          <w:highlight w:val="none"/>
        </w:rPr>
        <w:t xml:space="preserve">b）</w:t>
      </w:r>
      <w:r>
        <w:rPr>
          <w:rFonts w:hint="eastAsia"/>
          <w:highlight w:val="none"/>
        </w:rPr>
        <w:tab/>
      </w:r>
      <w:r>
        <w:rPr>
          <w:rFonts w:hint="eastAsia"/>
          <w:highlight w:val="none"/>
        </w:rPr>
        <w:t xml:space="preserve">由焊接相连的钢板应精确地按尺寸要求切割，并靠压力连续地将焊件的棱边滚轧成合适的曲率半径。切割钢板和其他材料在进行焊接时不应产生任何弯曲。进行焊接的棱边的尺寸和形状应足以允许完全融熔和全部熔焊，而且钢板的棱边应严格地成型，以使之能适应于各种焊接条件。</w:t>
      </w:r>
      <w:r/>
    </w:p>
    <w:p>
      <w:pPr>
        <w:pStyle w:val="1156"/>
        <w:ind w:left="0" w:firstLine="422"/>
        <w:spacing w:line="312" w:lineRule="exact"/>
        <w:tabs>
          <w:tab w:val="left" w:pos="0" w:leader="none"/>
        </w:tabs>
        <w:rPr>
          <w:highlight w:val="none"/>
        </w:rPr>
      </w:pPr>
      <w:r>
        <w:rPr>
          <w:rFonts w:hint="eastAsia"/>
          <w:highlight w:val="none"/>
        </w:rPr>
        <w:t xml:space="preserve">c）</w:t>
      </w:r>
      <w:r>
        <w:rPr>
          <w:rFonts w:hint="eastAsia"/>
          <w:highlight w:val="none"/>
        </w:rPr>
        <w:tab/>
      </w:r>
      <w:r>
        <w:rPr>
          <w:rFonts w:hint="eastAsia"/>
          <w:highlight w:val="none"/>
        </w:rPr>
        <w:t xml:space="preserve">卖方应提供认可的焊接工艺及材料、焊条和焊接的非破坏性试验。</w:t>
      </w:r>
      <w:r/>
    </w:p>
    <w:p>
      <w:pPr>
        <w:pStyle w:val="1156"/>
        <w:ind w:left="0" w:firstLine="422"/>
        <w:spacing w:line="312" w:lineRule="exact"/>
        <w:tabs>
          <w:tab w:val="left" w:pos="0" w:leader="none"/>
        </w:tabs>
        <w:rPr>
          <w:rFonts w:hint="eastAsia"/>
          <w:highlight w:val="none"/>
        </w:rPr>
      </w:pPr>
      <w:r>
        <w:rPr>
          <w:rFonts w:hint="eastAsia"/>
          <w:highlight w:val="none"/>
        </w:rPr>
        <w:t xml:space="preserve">d）</w:t>
      </w:r>
      <w:r>
        <w:rPr>
          <w:rFonts w:hint="eastAsia"/>
          <w:highlight w:val="none"/>
        </w:rPr>
        <w:tab/>
      </w:r>
      <w:r>
        <w:rPr>
          <w:rFonts w:hint="eastAsia"/>
          <w:highlight w:val="none"/>
        </w:rPr>
        <w:t xml:space="preserve">导体连接采用磷铜焊，不应锡焊。</w:t>
      </w:r>
      <w:r/>
    </w:p>
    <w:p>
      <w:pPr>
        <w:ind w:firstLine="422"/>
        <w:spacing w:line="312" w:lineRule="exact"/>
        <w:tabs>
          <w:tab w:val="left" w:pos="0" w:leader="none"/>
        </w:tabs>
        <w:rPr>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9　</w:t>
      </w:r>
      <w:r>
        <w:rPr>
          <w:rFonts w:hint="eastAsia"/>
          <w:szCs w:val="21"/>
          <w:highlight w:val="none"/>
        </w:rPr>
        <w:t xml:space="preserve">变压器高低压接线端子应配置绝缘</w:t>
      </w:r>
      <w:r>
        <w:rPr>
          <w:highlight w:val="none"/>
        </w:rPr>
        <w:t xml:space="preserve">防</w:t>
      </w:r>
      <w:r>
        <w:rPr>
          <w:rFonts w:hint="eastAsia"/>
          <w:szCs w:val="21"/>
          <w:highlight w:val="none"/>
        </w:rPr>
        <w:t xml:space="preserve">护罩。</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10　</w:t>
      </w:r>
      <w:r>
        <w:rPr>
          <w:rFonts w:hint="eastAsia"/>
          <w:szCs w:val="21"/>
          <w:highlight w:val="none"/>
        </w:rPr>
        <w:t xml:space="preserve">设备接线端子要求如下：</w:t>
      </w:r>
      <w:r/>
    </w:p>
    <w:p>
      <w:pPr>
        <w:pStyle w:val="1156"/>
        <w:ind w:left="0" w:firstLine="422"/>
        <w:spacing w:line="312" w:lineRule="exact"/>
        <w:tabs>
          <w:tab w:val="left" w:pos="0" w:leader="none"/>
        </w:tabs>
        <w:rPr>
          <w:highlight w:val="none"/>
        </w:rPr>
      </w:pPr>
      <w:r>
        <w:rPr>
          <w:rFonts w:hint="eastAsia"/>
          <w:highlight w:val="none"/>
        </w:rPr>
        <w:t xml:space="preserve">a）</w:t>
      </w:r>
      <w:r>
        <w:rPr>
          <w:rFonts w:hint="eastAsia"/>
          <w:highlight w:val="none"/>
        </w:rPr>
        <w:tab/>
      </w:r>
      <w:r>
        <w:rPr>
          <w:rFonts w:hint="eastAsia"/>
          <w:highlight w:val="none"/>
        </w:rPr>
        <w:t xml:space="preserve">设备应配备接线端子，其尺寸应满足回路的额定电流及连接要求，其中400kVA变压器低压接线端子用双孔连接端子</w:t>
      </w:r>
      <w:r/>
    </w:p>
    <w:p>
      <w:pPr>
        <w:pStyle w:val="1156"/>
        <w:ind w:left="0" w:firstLine="422"/>
        <w:spacing w:line="312" w:lineRule="exact"/>
        <w:tabs>
          <w:tab w:val="left" w:pos="0" w:leader="none"/>
        </w:tabs>
        <w:rPr>
          <w:highlight w:val="none"/>
        </w:rPr>
      </w:pPr>
      <w:r>
        <w:rPr>
          <w:rFonts w:hint="eastAsia"/>
          <w:highlight w:val="none"/>
        </w:rPr>
        <w:t xml:space="preserve">b）</w:t>
      </w:r>
      <w:r>
        <w:rPr>
          <w:rFonts w:hint="eastAsia"/>
          <w:highlight w:val="none"/>
        </w:rPr>
        <w:tab/>
      </w:r>
      <w:r>
        <w:rPr>
          <w:rFonts w:hint="eastAsia"/>
          <w:highlight w:val="none"/>
        </w:rPr>
        <w:t xml:space="preserve">接线端子的接触面应镀锡，160kVA及以上变压器低压出线要求配置铜质旋入式平板接线端子。</w:t>
      </w:r>
      <w:r/>
    </w:p>
    <w:p>
      <w:pPr>
        <w:pStyle w:val="1156"/>
        <w:ind w:left="0" w:firstLine="422"/>
        <w:spacing w:line="312" w:lineRule="exact"/>
        <w:tabs>
          <w:tab w:val="left" w:pos="0" w:leader="none"/>
        </w:tabs>
        <w:rPr>
          <w:highlight w:val="none"/>
        </w:rPr>
      </w:pPr>
      <w:r>
        <w:rPr>
          <w:rFonts w:hint="eastAsia"/>
          <w:highlight w:val="none"/>
        </w:rPr>
        <w:t xml:space="preserve">c）</w:t>
      </w:r>
      <w:r>
        <w:rPr>
          <w:rFonts w:hint="eastAsia"/>
          <w:highlight w:val="none"/>
        </w:rPr>
        <w:tab/>
      </w:r>
      <w:r>
        <w:rPr>
          <w:rFonts w:hint="eastAsia"/>
          <w:highlight w:val="none"/>
        </w:rPr>
        <w:t xml:space="preserve">设备的接地端子应为螺栓式，适合于连接。接地连接线应为铜质，其截面应与可能流过的短路电流相适应。</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11　</w:t>
      </w:r>
      <w:r>
        <w:rPr>
          <w:rFonts w:hint="eastAsia"/>
          <w:szCs w:val="21"/>
          <w:highlight w:val="none"/>
        </w:rPr>
        <w:t xml:space="preserve">油漆和防锈要求如下：</w:t>
      </w:r>
      <w:r/>
    </w:p>
    <w:p>
      <w:pPr>
        <w:pStyle w:val="1156"/>
        <w:ind w:left="0" w:firstLine="422"/>
        <w:spacing w:line="312" w:lineRule="exact"/>
        <w:tabs>
          <w:tab w:val="left" w:pos="0" w:leader="none"/>
        </w:tabs>
        <w:rPr>
          <w:highlight w:val="none"/>
        </w:rPr>
      </w:pPr>
      <w:r>
        <w:rPr>
          <w:rFonts w:hint="eastAsia"/>
          <w:highlight w:val="none"/>
        </w:rPr>
        <w:t xml:space="preserve">a）</w:t>
      </w:r>
      <w:r>
        <w:rPr>
          <w:rFonts w:hint="eastAsia"/>
          <w:highlight w:val="none"/>
        </w:rPr>
        <w:tab/>
      </w:r>
      <w:r>
        <w:rPr>
          <w:rFonts w:hint="eastAsia"/>
          <w:highlight w:val="none"/>
        </w:rPr>
        <w:t xml:space="preserve">所有外露的金属部件，除了非磁性金属外，均应热镀锌。镀锌金属件的表面应光滑、均匀，最小镀锌层厚度为90</w:t>
      </w:r>
      <w:r>
        <w:rPr>
          <w:rFonts w:ascii="Symbol" w:hAnsi="Symbol" w:cs="Calibri"/>
          <w:highlight w:val="none"/>
        </w:rPr>
        <w:t xml:space="preserve"></w:t>
      </w:r>
      <w:r>
        <w:rPr>
          <w:rFonts w:hint="eastAsia"/>
          <w:highlight w:val="none"/>
        </w:rPr>
        <w:t xml:space="preserve">m。镀锌前，需将所有焊渣清除干净。</w:t>
      </w:r>
      <w:r/>
    </w:p>
    <w:p>
      <w:pPr>
        <w:pStyle w:val="1156"/>
        <w:ind w:left="0" w:firstLine="422"/>
        <w:spacing w:line="312" w:lineRule="exact"/>
        <w:tabs>
          <w:tab w:val="left" w:pos="0" w:leader="none"/>
        </w:tabs>
        <w:rPr>
          <w:highlight w:val="none"/>
        </w:rPr>
      </w:pPr>
      <w:r>
        <w:rPr>
          <w:rFonts w:hint="eastAsia"/>
          <w:highlight w:val="none"/>
        </w:rPr>
        <w:t xml:space="preserve">b）</w:t>
      </w:r>
      <w:r>
        <w:rPr>
          <w:rFonts w:hint="eastAsia"/>
          <w:highlight w:val="none"/>
        </w:rPr>
        <w:tab/>
      </w:r>
      <w:r>
        <w:rPr>
          <w:rFonts w:hint="eastAsia"/>
          <w:highlight w:val="none"/>
        </w:rPr>
        <w:t xml:space="preserve">按本部分提供的任何设备，在发运前，除有色金属、热镀锌钢件、抛光或机械加工的表面以外，所有的金属外露部分均应作最小表面的喷砂清洗，喷砂清除后应喷涂一层底漆。</w:t>
      </w:r>
      <w:r/>
    </w:p>
    <w:p>
      <w:pPr>
        <w:pStyle w:val="1156"/>
        <w:ind w:left="0" w:firstLine="422"/>
        <w:spacing w:line="312" w:lineRule="exact"/>
        <w:tabs>
          <w:tab w:val="left" w:pos="0" w:leader="none"/>
        </w:tabs>
        <w:rPr>
          <w:highlight w:val="none"/>
        </w:rPr>
      </w:pPr>
      <w:r>
        <w:rPr>
          <w:rFonts w:hint="eastAsia"/>
          <w:highlight w:val="none"/>
        </w:rPr>
        <w:t xml:space="preserve">c）</w:t>
      </w:r>
      <w:r>
        <w:rPr>
          <w:rFonts w:hint="eastAsia"/>
          <w:highlight w:val="none"/>
        </w:rPr>
        <w:tab/>
      </w:r>
      <w:r>
        <w:rPr>
          <w:rFonts w:hint="eastAsia"/>
          <w:highlight w:val="none"/>
        </w:rPr>
        <w:t xml:space="preserve">所使用的底漆和面漆的材料与型号，应符合制造厂的标准。面漆应与底漆协调，对各种环境条件有良好的耐用性。</w:t>
      </w:r>
      <w:r/>
    </w:p>
    <w:p>
      <w:pPr>
        <w:pStyle w:val="1156"/>
        <w:ind w:left="0" w:firstLine="422"/>
        <w:spacing w:line="312" w:lineRule="exact"/>
        <w:tabs>
          <w:tab w:val="left" w:pos="0" w:leader="none"/>
        </w:tabs>
        <w:rPr>
          <w:highlight w:val="none"/>
        </w:rPr>
      </w:pPr>
      <w:r>
        <w:rPr>
          <w:rFonts w:hint="eastAsia"/>
          <w:highlight w:val="none"/>
        </w:rPr>
        <w:t xml:space="preserve">d）</w:t>
      </w:r>
      <w:r>
        <w:rPr>
          <w:rFonts w:hint="eastAsia"/>
          <w:highlight w:val="none"/>
        </w:rPr>
        <w:tab/>
      </w:r>
      <w:r>
        <w:rPr>
          <w:rFonts w:hint="eastAsia"/>
          <w:highlight w:val="none"/>
        </w:rPr>
        <w:t xml:space="preserve">外观颜色采用浅灰色（海灰B05）</w:t>
      </w:r>
      <w:r/>
    </w:p>
    <w:p>
      <w:pPr>
        <w:pStyle w:val="1156"/>
        <w:ind w:left="0" w:firstLine="422"/>
        <w:spacing w:line="312" w:lineRule="exact"/>
        <w:tabs>
          <w:tab w:val="left" w:pos="0" w:leader="none"/>
        </w:tabs>
        <w:rPr>
          <w:highlight w:val="none"/>
        </w:rPr>
      </w:pPr>
      <w:r>
        <w:rPr>
          <w:rFonts w:hint="eastAsia"/>
          <w:highlight w:val="none"/>
        </w:rPr>
        <w:t xml:space="preserve">e）</w:t>
      </w:r>
      <w:r>
        <w:rPr>
          <w:rFonts w:hint="eastAsia"/>
          <w:highlight w:val="none"/>
        </w:rPr>
        <w:tab/>
      </w:r>
      <w:r>
        <w:rPr>
          <w:rFonts w:hint="eastAsia"/>
          <w:highlight w:val="none"/>
        </w:rPr>
        <w:t xml:space="preserve">在户外的端子板、螺栓、螺母和垫圈应采取防腐蚀措施，尤其应防止不同金属之间的腐蚀，而且应防止水分进到螺纹中。</w:t>
      </w:r>
      <w:r/>
    </w:p>
    <w:p>
      <w:pPr>
        <w:pStyle w:val="1156"/>
        <w:ind w:left="0" w:firstLine="422"/>
        <w:spacing w:line="312" w:lineRule="exact"/>
        <w:tabs>
          <w:tab w:val="left" w:pos="0" w:leader="none"/>
        </w:tabs>
        <w:rPr>
          <w:spacing w:val="4"/>
          <w:highlight w:val="none"/>
        </w:rPr>
      </w:pPr>
      <w:r>
        <w:rPr>
          <w:rFonts w:hint="eastAsia"/>
          <w:highlight w:val="none"/>
        </w:rPr>
        <w:t xml:space="preserve">f）</w:t>
      </w:r>
      <w:r>
        <w:rPr>
          <w:rFonts w:hint="eastAsia"/>
          <w:highlight w:val="none"/>
        </w:rPr>
        <w:tab/>
      </w:r>
      <w:r>
        <w:rPr>
          <w:rFonts w:hint="eastAsia"/>
          <w:highlight w:val="none"/>
        </w:rPr>
        <w:t xml:space="preserve">热</w:t>
      </w:r>
      <w:r>
        <w:rPr>
          <w:rFonts w:hint="eastAsia"/>
          <w:spacing w:val="4"/>
          <w:highlight w:val="none"/>
        </w:rPr>
        <w:t xml:space="preserve">镀锌。全部热镀锌应根据ASTMA123、A134和A153的要求进行。大面积的镀锌损伤将拒收。</w:t>
      </w:r>
      <w:r/>
    </w:p>
    <w:p>
      <w:pPr>
        <w:pStyle w:val="1156"/>
        <w:ind w:left="0" w:firstLine="422"/>
        <w:spacing w:line="312" w:lineRule="exact"/>
        <w:tabs>
          <w:tab w:val="left" w:pos="0" w:leader="none"/>
        </w:tabs>
        <w:rPr>
          <w:highlight w:val="none"/>
        </w:rPr>
      </w:pPr>
      <w:r>
        <w:rPr>
          <w:rFonts w:hint="eastAsia"/>
          <w:highlight w:val="none"/>
        </w:rPr>
        <w:t xml:space="preserve">g）</w:t>
      </w:r>
      <w:r>
        <w:rPr>
          <w:rFonts w:hint="eastAsia"/>
          <w:highlight w:val="none"/>
        </w:rPr>
        <w:tab/>
      </w:r>
      <w:r>
        <w:rPr>
          <w:rFonts w:hint="eastAsia"/>
          <w:highlight w:val="none"/>
        </w:rPr>
        <w:t xml:space="preserve">设备清洁。在制造过程中需保持设备内部清洁。</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12　</w:t>
      </w:r>
      <w:r>
        <w:rPr>
          <w:rFonts w:hint="eastAsia"/>
          <w:szCs w:val="21"/>
          <w:highlight w:val="none"/>
        </w:rPr>
        <w:t xml:space="preserve">铭牌内容如下：</w:t>
      </w:r>
      <w:r/>
    </w:p>
    <w:p>
      <w:pPr>
        <w:pStyle w:val="1156"/>
        <w:ind w:left="0" w:firstLine="422"/>
        <w:spacing w:line="312" w:lineRule="exact"/>
        <w:tabs>
          <w:tab w:val="left" w:pos="0" w:leader="none"/>
        </w:tabs>
        <w:rPr>
          <w:highlight w:val="none"/>
        </w:rPr>
      </w:pPr>
      <w:r>
        <w:rPr>
          <w:rFonts w:hint="eastAsia"/>
          <w:highlight w:val="none"/>
        </w:rPr>
        <w:t xml:space="preserve">a）</w:t>
      </w:r>
      <w:r>
        <w:rPr>
          <w:rFonts w:hint="eastAsia"/>
          <w:highlight w:val="none"/>
        </w:rPr>
        <w:tab/>
      </w:r>
      <w:r>
        <w:rPr>
          <w:rFonts w:hint="eastAsia"/>
          <w:highlight w:val="none"/>
        </w:rPr>
        <w:t xml:space="preserve">变压器的铭牌应清晰，其内容应符合GB 1094.1的规定。</w:t>
      </w:r>
      <w:r/>
    </w:p>
    <w:p>
      <w:pPr>
        <w:pStyle w:val="1156"/>
        <w:ind w:left="0" w:firstLine="422"/>
        <w:spacing w:line="312" w:lineRule="exact"/>
        <w:tabs>
          <w:tab w:val="left" w:pos="0" w:leader="none"/>
        </w:tabs>
        <w:rPr>
          <w:highlight w:val="none"/>
        </w:rPr>
      </w:pPr>
      <w:r>
        <w:rPr>
          <w:rFonts w:hint="eastAsia"/>
          <w:highlight w:val="none"/>
        </w:rPr>
        <w:t xml:space="preserve">b）</w:t>
      </w:r>
      <w:r>
        <w:rPr>
          <w:rFonts w:hint="eastAsia"/>
          <w:highlight w:val="none"/>
        </w:rPr>
        <w:tab/>
      </w:r>
      <w:r>
        <w:rPr>
          <w:rFonts w:hint="eastAsia"/>
          <w:highlight w:val="none"/>
        </w:rPr>
        <w:t xml:space="preserve">铭牌应为不锈钢或其它耐腐蚀材料，设备零件及其附件上的指示牌、警告牌应标识清晰。</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13　</w:t>
      </w:r>
      <w:r>
        <w:rPr>
          <w:rFonts w:hint="eastAsia"/>
          <w:szCs w:val="21"/>
          <w:highlight w:val="none"/>
        </w:rPr>
        <w:t xml:space="preserve">运输和存放要求如下：</w:t>
      </w:r>
      <w:r/>
    </w:p>
    <w:p>
      <w:pPr>
        <w:pStyle w:val="1156"/>
        <w:ind w:left="0" w:firstLine="422"/>
        <w:spacing w:line="312" w:lineRule="exact"/>
        <w:tabs>
          <w:tab w:val="left" w:pos="0" w:leader="none"/>
        </w:tabs>
        <w:rPr>
          <w:highlight w:val="none"/>
        </w:rPr>
      </w:pPr>
      <w:r>
        <w:rPr>
          <w:rFonts w:hint="eastAsia"/>
          <w:highlight w:val="none"/>
        </w:rPr>
        <w:t xml:space="preserve">a）</w:t>
      </w:r>
      <w:r>
        <w:rPr>
          <w:rFonts w:hint="eastAsia"/>
          <w:highlight w:val="none"/>
        </w:rPr>
        <w:tab/>
      </w:r>
      <w:r>
        <w:rPr>
          <w:rFonts w:hint="eastAsia"/>
          <w:highlight w:val="none"/>
        </w:rPr>
        <w:t xml:space="preserve">应避免在运输过程中受损，应可存放两年（如未另外说明存放期）。</w:t>
      </w:r>
      <w:r/>
    </w:p>
    <w:p>
      <w:pPr>
        <w:pStyle w:val="1156"/>
        <w:ind w:left="0" w:firstLine="422"/>
        <w:spacing w:line="312" w:lineRule="exact"/>
        <w:tabs>
          <w:tab w:val="left" w:pos="0" w:leader="none"/>
        </w:tabs>
        <w:rPr>
          <w:highlight w:val="none"/>
        </w:rPr>
      </w:pPr>
      <w:r>
        <w:rPr>
          <w:rFonts w:hint="eastAsia"/>
          <w:highlight w:val="none"/>
        </w:rPr>
        <w:t xml:space="preserve">b）</w:t>
      </w:r>
      <w:r>
        <w:rPr>
          <w:rFonts w:hint="eastAsia"/>
          <w:highlight w:val="none"/>
        </w:rPr>
        <w:tab/>
      </w:r>
      <w:r>
        <w:rPr>
          <w:rFonts w:hint="eastAsia"/>
          <w:highlight w:val="none"/>
        </w:rPr>
        <w:t xml:space="preserve">如因卖方措施不当，导致运输过程中设备受损，卖方应负责修复或替换，费用自负。</w:t>
      </w:r>
      <w:r/>
    </w:p>
    <w:p>
      <w:pPr>
        <w:pStyle w:val="1156"/>
        <w:ind w:left="0" w:firstLine="422"/>
        <w:spacing w:line="312" w:lineRule="exact"/>
        <w:tabs>
          <w:tab w:val="left" w:pos="0" w:leader="none"/>
        </w:tabs>
        <w:rPr>
          <w:highlight w:val="none"/>
        </w:rPr>
      </w:pPr>
      <w:r>
        <w:rPr>
          <w:rFonts w:hint="eastAsia"/>
          <w:highlight w:val="none"/>
        </w:rPr>
        <w:t xml:space="preserve">c）</w:t>
      </w:r>
      <w:r>
        <w:rPr>
          <w:rFonts w:hint="eastAsia"/>
          <w:highlight w:val="none"/>
        </w:rPr>
        <w:tab/>
      </w:r>
      <w:r>
        <w:rPr>
          <w:rFonts w:hint="eastAsia"/>
          <w:highlight w:val="none"/>
        </w:rPr>
        <w:t xml:space="preserve">变压器运输包装应满足运输的要求。</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14　</w:t>
      </w:r>
      <w:r>
        <w:rPr>
          <w:rFonts w:hint="eastAsia"/>
          <w:szCs w:val="21"/>
          <w:highlight w:val="none"/>
        </w:rPr>
        <w:t xml:space="preserve">电气一次接口</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14</w:t>
      </w:r>
      <w:r>
        <w:rPr>
          <w:rFonts w:hint="eastAsia" w:ascii="EU-F1"/>
          <w:spacing w:val="20"/>
          <w:szCs w:val="21"/>
          <w:highlight w:val="none"/>
        </w:rPr>
        <w:t xml:space="preserve">.</w:t>
      </w:r>
      <w:r>
        <w:rPr>
          <w:rFonts w:hint="eastAsia" w:ascii="EU-F1"/>
          <w:szCs w:val="21"/>
          <w:highlight w:val="none"/>
        </w:rPr>
        <w:t xml:space="preserve">1　</w:t>
      </w:r>
      <w:r>
        <w:rPr>
          <w:rFonts w:hint="eastAsia"/>
          <w:szCs w:val="21"/>
          <w:highlight w:val="none"/>
        </w:rPr>
        <w:t xml:space="preserve">套管布置。</w:t>
      </w:r>
      <w:r/>
    </w:p>
    <w:p>
      <w:pPr>
        <w:pStyle w:val="1156"/>
        <w:ind w:left="0" w:firstLine="422"/>
        <w:spacing w:line="312" w:lineRule="exact"/>
        <w:tabs>
          <w:tab w:val="left" w:pos="0" w:leader="none"/>
        </w:tabs>
        <w:rPr>
          <w:highlight w:val="none"/>
        </w:rPr>
      </w:pPr>
      <w:r>
        <w:rPr>
          <w:rFonts w:hint="eastAsia"/>
          <w:highlight w:val="none"/>
        </w:rPr>
        <w:t xml:space="preserve">a）</w:t>
      </w:r>
      <w:r>
        <w:rPr>
          <w:rFonts w:hint="eastAsia"/>
          <w:highlight w:val="none"/>
        </w:rPr>
        <w:tab/>
      </w:r>
      <w:r>
        <w:rPr>
          <w:rFonts w:hint="eastAsia"/>
          <w:highlight w:val="none"/>
        </w:rPr>
        <w:t xml:space="preserve">三相变压器套管排列顺序见图1。</w:t>
      </w:r>
      <w:r/>
    </w:p>
    <w:p>
      <w:pPr>
        <w:pStyle w:val="1158"/>
        <w:ind w:firstLine="422"/>
        <w:tabs>
          <w:tab w:val="left" w:pos="0" w:leader="none"/>
        </w:tabs>
        <w:rPr>
          <w:highlight w:val="none"/>
        </w:rPr>
      </w:pPr>
      <w:r>
        <w:rPr>
          <w:highlight w:val="none"/>
        </w:rPr>
        <mc:AlternateContent>
          <mc:Choice Requires="wpg">
            <w:drawing>
              <wp:inline xmlns:wp="http://schemas.openxmlformats.org/drawingml/2006/wordprocessingDrawing" distT="0" distB="0" distL="0" distR="0">
                <wp:extent cx="2324100" cy="1713865"/>
                <wp:effectExtent l="0" t="0" r="0" b="635"/>
                <wp:docPr id="5" name="图片 6" descr="X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X11"/>
                        <pic:cNvPicPr>
                          <a:picLocks noChangeAspect="1"/>
                        </pic:cNvPicPr>
                        <pic:nvPr/>
                      </pic:nvPicPr>
                      <pic:blipFill>
                        <a:blip r:embed="rId18"/>
                        <a:stretch/>
                      </pic:blipFill>
                      <pic:spPr bwMode="auto">
                        <a:xfrm>
                          <a:off x="0" y="0"/>
                          <a:ext cx="2324100" cy="1713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3.0pt;height:134.9pt;mso-wrap-distance-left:0.0pt;mso-wrap-distance-top:0.0pt;mso-wrap-distance-right:0.0pt;mso-wrap-distance-bottom:0.0pt;" stroked="f">
                <v:path textboxrect="0,0,0,0"/>
                <v:imagedata r:id="rId18" o:title=""/>
              </v:shape>
            </w:pict>
          </mc:Fallback>
        </mc:AlternateContent>
      </w:r>
      <w:r/>
    </w:p>
    <w:p>
      <w:pPr>
        <w:pStyle w:val="1155"/>
        <w:ind w:firstLine="422"/>
        <w:tabs>
          <w:tab w:val="left" w:pos="0" w:leader="none"/>
        </w:tabs>
        <w:rPr>
          <w:highlight w:val="none"/>
        </w:rPr>
      </w:pPr>
      <w:r>
        <w:rPr>
          <w:rFonts w:hint="eastAsia"/>
          <w:highlight w:val="none"/>
        </w:rPr>
        <w:t xml:space="preserve">图1　</w:t>
      </w:r>
      <w:r>
        <w:rPr>
          <w:rFonts w:ascii="Times New Roman"/>
          <w:b/>
          <w:highlight w:val="none"/>
        </w:rPr>
        <w:t xml:space="preserve">10kV</w:t>
      </w:r>
      <w:r>
        <w:rPr>
          <w:rFonts w:hint="eastAsia"/>
          <w:highlight w:val="none"/>
        </w:rPr>
        <w:t xml:space="preserve">联结组标号为</w:t>
      </w:r>
      <w:r>
        <w:rPr>
          <w:rFonts w:ascii="Times New Roman"/>
          <w:b/>
          <w:highlight w:val="none"/>
        </w:rPr>
        <w:t xml:space="preserve">Dyn11，Yyn0</w:t>
      </w:r>
      <w:r>
        <w:rPr>
          <w:rFonts w:hint="eastAsia"/>
          <w:highlight w:val="none"/>
        </w:rPr>
        <w:t xml:space="preserve">的双绕组变压器套管排列顺序</w:t>
      </w:r>
      <w:r/>
    </w:p>
    <w:p>
      <w:pPr>
        <w:pStyle w:val="1156"/>
        <w:ind w:left="0" w:firstLine="422"/>
        <w:spacing w:line="312" w:lineRule="exact"/>
        <w:tabs>
          <w:tab w:val="left" w:pos="0" w:leader="none"/>
        </w:tabs>
        <w:rPr>
          <w:highlight w:val="none"/>
        </w:rPr>
      </w:pPr>
      <w:r>
        <w:rPr>
          <w:rFonts w:hint="eastAsia"/>
          <w:highlight w:val="none"/>
        </w:rPr>
        <w:t xml:space="preserve">b）</w:t>
      </w:r>
      <w:r>
        <w:rPr>
          <w:rFonts w:hint="eastAsia"/>
          <w:highlight w:val="none"/>
        </w:rPr>
        <w:tab/>
      </w:r>
      <w:r>
        <w:rPr>
          <w:rFonts w:hint="eastAsia"/>
          <w:highlight w:val="none"/>
        </w:rPr>
        <w:t xml:space="preserve">单相变压器高、低压套管排列顺序从左向右依次为A、X、a、x1（如果有）、x（面向高压侧），带气隙的密封式单相变压器低压接线端子一般应在箱壁引出。</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14.2　</w:t>
      </w:r>
      <w:r>
        <w:rPr>
          <w:rFonts w:hint="eastAsia"/>
          <w:szCs w:val="21"/>
          <w:highlight w:val="none"/>
        </w:rPr>
        <w:t xml:space="preserve">接地。</w:t>
      </w:r>
      <w:r/>
    </w:p>
    <w:p>
      <w:pPr>
        <w:ind w:firstLine="422"/>
        <w:spacing w:line="312" w:lineRule="exact"/>
        <w:tabs>
          <w:tab w:val="left" w:pos="0" w:leader="none"/>
        </w:tabs>
        <w:rPr>
          <w:szCs w:val="21"/>
          <w:highlight w:val="none"/>
        </w:rPr>
      </w:pPr>
      <w:r>
        <w:rPr>
          <w:rFonts w:hint="eastAsia"/>
          <w:szCs w:val="21"/>
          <w:highlight w:val="none"/>
        </w:rPr>
        <w:t xml:space="preserve">a）</w:t>
      </w:r>
      <w:r>
        <w:rPr>
          <w:rFonts w:hint="eastAsia"/>
          <w:szCs w:val="21"/>
          <w:highlight w:val="none"/>
        </w:rPr>
        <w:tab/>
      </w:r>
      <w:r>
        <w:rPr>
          <w:rFonts w:hint="eastAsia"/>
          <w:szCs w:val="21"/>
          <w:highlight w:val="none"/>
        </w:rPr>
        <w:t xml:space="preserve">单相、三相油浸式变压器铁心和较大金属结构件均应通过油箱可靠接地。</w:t>
      </w:r>
      <w:r/>
    </w:p>
    <w:p>
      <w:pPr>
        <w:ind w:firstLine="422"/>
        <w:spacing w:line="312" w:lineRule="exact"/>
        <w:tabs>
          <w:tab w:val="left" w:pos="0" w:leader="none"/>
        </w:tabs>
        <w:rPr>
          <w:szCs w:val="21"/>
          <w:highlight w:val="none"/>
        </w:rPr>
      </w:pPr>
      <w:r>
        <w:rPr>
          <w:rFonts w:hint="eastAsia"/>
          <w:szCs w:val="21"/>
          <w:highlight w:val="none"/>
        </w:rPr>
        <w:t xml:space="preserve">b）</w:t>
      </w:r>
      <w:r>
        <w:rPr>
          <w:rFonts w:hint="eastAsia"/>
          <w:szCs w:val="21"/>
          <w:highlight w:val="none"/>
        </w:rPr>
        <w:tab/>
      </w:r>
      <w:r>
        <w:rPr>
          <w:rFonts w:hint="eastAsia"/>
          <w:szCs w:val="21"/>
          <w:highlight w:val="none"/>
        </w:rPr>
        <w:t xml:space="preserve">干式变压器的接地装置应有防锈层及明显的接线标志。</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15　</w:t>
      </w:r>
      <w:r>
        <w:rPr>
          <w:rFonts w:hint="eastAsia"/>
          <w:szCs w:val="21"/>
          <w:highlight w:val="none"/>
        </w:rPr>
        <w:t xml:space="preserve">电气二次接口</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15</w:t>
      </w:r>
      <w:r>
        <w:rPr>
          <w:rFonts w:hint="eastAsia" w:ascii="EU-F1"/>
          <w:spacing w:val="20"/>
          <w:szCs w:val="21"/>
          <w:highlight w:val="none"/>
        </w:rPr>
        <w:t xml:space="preserve">.</w:t>
      </w:r>
      <w:r>
        <w:rPr>
          <w:rFonts w:hint="eastAsia" w:ascii="EU-F1"/>
          <w:szCs w:val="21"/>
          <w:highlight w:val="none"/>
        </w:rPr>
        <w:t xml:space="preserve">1　</w:t>
      </w:r>
      <w:r>
        <w:rPr>
          <w:rFonts w:hint="eastAsia"/>
          <w:szCs w:val="21"/>
          <w:highlight w:val="none"/>
        </w:rPr>
        <w:t xml:space="preserve">油浸式变压器油温测量装置。单、三相油浸式变压器均应有供玻璃温度计用的管座。管座应焊在油箱的上部，并深入油内（120</w:t>
      </w:r>
      <w:r>
        <w:rPr>
          <w:rFonts w:ascii="宋体" w:hAnsi="宋体"/>
          <w:szCs w:val="21"/>
          <w:highlight w:val="none"/>
        </w:rPr>
        <w:t xml:space="preserve">±</w:t>
      </w:r>
      <w:r>
        <w:rPr>
          <w:rFonts w:hint="eastAsia"/>
          <w:szCs w:val="21"/>
          <w:highlight w:val="none"/>
        </w:rPr>
        <w:t xml:space="preserve">10）mm。</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15</w:t>
      </w:r>
      <w:r>
        <w:rPr>
          <w:rFonts w:hint="eastAsia" w:ascii="EU-F1"/>
          <w:spacing w:val="20"/>
          <w:szCs w:val="21"/>
          <w:highlight w:val="none"/>
        </w:rPr>
        <w:t xml:space="preserve">.</w:t>
      </w:r>
      <w:r>
        <w:rPr>
          <w:rFonts w:hint="eastAsia" w:ascii="EU-F1"/>
          <w:szCs w:val="21"/>
          <w:highlight w:val="none"/>
        </w:rPr>
        <w:t xml:space="preserve">2　</w:t>
      </w:r>
      <w:r>
        <w:rPr>
          <w:rFonts w:hint="eastAsia"/>
          <w:szCs w:val="21"/>
          <w:highlight w:val="none"/>
        </w:rPr>
        <w:t xml:space="preserve">干式变压器温度保护装置。干式变压器温度保护用于跳闸和报警，变压器应有超温报警和超温跳闸功能。</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15</w:t>
      </w:r>
      <w:r>
        <w:rPr>
          <w:rFonts w:hint="eastAsia" w:ascii="EU-F1"/>
          <w:spacing w:val="20"/>
          <w:szCs w:val="21"/>
          <w:highlight w:val="none"/>
        </w:rPr>
        <w:t xml:space="preserve">.</w:t>
      </w:r>
      <w:r>
        <w:rPr>
          <w:rFonts w:hint="eastAsia" w:ascii="EU-F1"/>
          <w:szCs w:val="21"/>
          <w:highlight w:val="none"/>
        </w:rPr>
        <w:t xml:space="preserve">3　</w:t>
      </w:r>
      <w:r>
        <w:rPr>
          <w:rFonts w:hint="eastAsia"/>
          <w:szCs w:val="21"/>
          <w:highlight w:val="none"/>
        </w:rPr>
        <w:t xml:space="preserve">干式变压器冷却装置。</w:t>
      </w:r>
      <w:r/>
    </w:p>
    <w:p>
      <w:pPr>
        <w:pStyle w:val="1156"/>
        <w:ind w:left="0" w:firstLine="422"/>
        <w:spacing w:line="312" w:lineRule="exact"/>
        <w:tabs>
          <w:tab w:val="left" w:pos="0" w:leader="none"/>
        </w:tabs>
        <w:rPr>
          <w:highlight w:val="none"/>
        </w:rPr>
      </w:pPr>
      <w:r>
        <w:rPr>
          <w:rFonts w:hint="eastAsia"/>
          <w:highlight w:val="none"/>
        </w:rPr>
        <w:t xml:space="preserve">a</w:t>
      </w:r>
      <w:r>
        <w:rPr>
          <w:highlight w:val="none"/>
        </w:rPr>
        <w:t xml:space="preserve">）</w:t>
      </w:r>
      <w:r>
        <w:rPr>
          <w:rFonts w:hint="eastAsia"/>
          <w:highlight w:val="none"/>
        </w:rPr>
        <w:tab/>
      </w:r>
      <w:r>
        <w:rPr>
          <w:highlight w:val="none"/>
        </w:rPr>
        <w:t xml:space="preserve">变压器的冷却装置应按负载和</w:t>
      </w:r>
      <w:r>
        <w:rPr>
          <w:rFonts w:hint="eastAsia"/>
          <w:highlight w:val="none"/>
        </w:rPr>
        <w:t xml:space="preserve">温升</w:t>
      </w:r>
      <w:r>
        <w:rPr>
          <w:highlight w:val="none"/>
        </w:rPr>
        <w:t xml:space="preserve">情况，自动投切。</w:t>
      </w:r>
      <w:r/>
    </w:p>
    <w:p>
      <w:pPr>
        <w:pStyle w:val="1156"/>
        <w:ind w:left="0" w:firstLine="422"/>
        <w:spacing w:line="312" w:lineRule="exact"/>
        <w:tabs>
          <w:tab w:val="left" w:pos="0" w:leader="none"/>
        </w:tabs>
        <w:rPr>
          <w:highlight w:val="none"/>
        </w:rPr>
      </w:pPr>
      <w:r>
        <w:rPr>
          <w:rFonts w:hint="eastAsia"/>
          <w:highlight w:val="none"/>
        </w:rPr>
        <w:t xml:space="preserve">b）</w:t>
      </w:r>
      <w:r>
        <w:rPr>
          <w:rFonts w:hint="eastAsia"/>
          <w:highlight w:val="none"/>
        </w:rPr>
        <w:tab/>
      </w:r>
      <w:r>
        <w:rPr>
          <w:rFonts w:hint="eastAsia"/>
          <w:highlight w:val="none"/>
        </w:rPr>
        <w:t xml:space="preserve">变压器</w:t>
      </w:r>
      <w:r>
        <w:rPr>
          <w:highlight w:val="none"/>
        </w:rPr>
        <w:t xml:space="preserve">过负荷及</w:t>
      </w:r>
      <w:r>
        <w:rPr>
          <w:rFonts w:hint="eastAsia"/>
          <w:highlight w:val="none"/>
        </w:rPr>
        <w:t xml:space="preserve">温度异常</w:t>
      </w:r>
      <w:r>
        <w:rPr>
          <w:highlight w:val="none"/>
        </w:rPr>
        <w:t xml:space="preserve">由</w:t>
      </w:r>
      <w:r>
        <w:rPr>
          <w:rFonts w:hint="eastAsia"/>
          <w:highlight w:val="none"/>
        </w:rPr>
        <w:t xml:space="preserve">变压器温控装置</w:t>
      </w:r>
      <w:r>
        <w:rPr>
          <w:highlight w:val="none"/>
        </w:rPr>
        <w:t xml:space="preserve">启动风</w:t>
      </w:r>
      <w:r>
        <w:rPr>
          <w:rFonts w:hint="eastAsia"/>
          <w:highlight w:val="none"/>
        </w:rPr>
        <w:t xml:space="preserve">机。</w:t>
      </w:r>
      <w:r/>
    </w:p>
    <w:p>
      <w:pPr>
        <w:ind w:firstLine="422"/>
        <w:spacing w:line="312" w:lineRule="exact"/>
        <w:tabs>
          <w:tab w:val="left" w:pos="0" w:leader="none"/>
        </w:tabs>
        <w:rPr>
          <w:szCs w:val="21"/>
          <w:highlight w:val="none"/>
        </w:rPr>
      </w:pPr>
      <w:r>
        <w:rPr>
          <w:rFonts w:hint="eastAsia" w:ascii="EU-F1"/>
          <w:szCs w:val="21"/>
          <w:highlight w:val="none"/>
          <w:lang w:val="en-US" w:eastAsia="zh-CN"/>
        </w:rPr>
        <w:t xml:space="preserve">7</w:t>
      </w:r>
      <w:r>
        <w:rPr>
          <w:rFonts w:hint="eastAsia" w:ascii="EU-F1"/>
          <w:szCs w:val="21"/>
          <w:highlight w:val="none"/>
        </w:rPr>
        <w:t xml:space="preserve">.1.2</w:t>
      </w:r>
      <w:r>
        <w:rPr>
          <w:rFonts w:hint="eastAsia" w:ascii="EU-F1"/>
          <w:spacing w:val="20"/>
          <w:szCs w:val="21"/>
          <w:highlight w:val="none"/>
        </w:rPr>
        <w:t xml:space="preserve">.</w:t>
      </w:r>
      <w:r>
        <w:rPr>
          <w:rFonts w:hint="eastAsia" w:ascii="EU-F1"/>
          <w:szCs w:val="21"/>
          <w:highlight w:val="none"/>
        </w:rPr>
        <w:t xml:space="preserve">16　</w:t>
      </w:r>
      <w:r>
        <w:rPr>
          <w:rFonts w:hint="eastAsia"/>
          <w:szCs w:val="21"/>
          <w:highlight w:val="none"/>
        </w:rPr>
        <w:t xml:space="preserve">土建接口</w:t>
      </w:r>
      <w:r/>
    </w:p>
    <w:p>
      <w:pPr>
        <w:ind w:firstLine="422"/>
        <w:spacing w:line="312" w:lineRule="exact"/>
        <w:tabs>
          <w:tab w:val="left" w:pos="0" w:leader="none"/>
        </w:tabs>
        <w:rPr>
          <w:szCs w:val="21"/>
          <w:highlight w:val="none"/>
        </w:rPr>
      </w:pPr>
      <w:r>
        <w:rPr>
          <w:szCs w:val="21"/>
          <w:highlight w:val="none"/>
        </w:rPr>
        <w:t xml:space="preserve">各制造厂同容量变压器外形差异较大，考虑基础通用要求。</w:t>
      </w:r>
      <w:r>
        <w:rPr>
          <w:rFonts w:hint="eastAsia"/>
          <w:szCs w:val="21"/>
          <w:highlight w:val="none"/>
        </w:rPr>
        <w:t xml:space="preserve">变压器应装有底脚，其上应设有安装用的定位孔，孔中心距（横向尺寸）为400、550、660、820、1070mm。如对纵向尺寸有要求，也可按横向尺寸数值选取。</w:t>
      </w:r>
      <w:r/>
    </w:p>
    <w:p>
      <w:pPr>
        <w:ind w:firstLine="422"/>
        <w:spacing w:line="312" w:lineRule="exact"/>
        <w:tabs>
          <w:tab w:val="left" w:pos="0" w:leader="none"/>
        </w:tabs>
        <w:rPr>
          <w:szCs w:val="21"/>
          <w:highlight w:val="none"/>
        </w:rPr>
      </w:pPr>
      <w:r>
        <w:rPr>
          <w:rFonts w:hint="eastAsia"/>
          <w:szCs w:val="21"/>
          <w:highlight w:val="none"/>
          <w:lang w:val="en-US" w:eastAsia="zh-CN"/>
        </w:rPr>
        <w:t xml:space="preserve">7</w:t>
      </w:r>
      <w:r>
        <w:rPr>
          <w:rFonts w:hint="eastAsia"/>
          <w:szCs w:val="21"/>
          <w:highlight w:val="none"/>
        </w:rPr>
        <w:t xml:space="preserve">.1.</w:t>
      </w:r>
      <w:r>
        <w:rPr>
          <w:szCs w:val="21"/>
          <w:highlight w:val="none"/>
        </w:rPr>
        <w:t xml:space="preserve">2</w:t>
      </w:r>
      <w:r>
        <w:rPr>
          <w:rFonts w:hint="eastAsia"/>
          <w:szCs w:val="21"/>
          <w:highlight w:val="none"/>
        </w:rPr>
        <w:t xml:space="preserve">  有载调压开关和有载调压控制器技术要求(适用有载调压变压器)</w:t>
      </w:r>
      <w:r/>
    </w:p>
    <w:p>
      <w:pPr>
        <w:ind w:firstLine="422"/>
        <w:spacing w:line="312" w:lineRule="exact"/>
        <w:tabs>
          <w:tab w:val="left" w:pos="0" w:leader="none"/>
        </w:tabs>
        <w:rPr>
          <w:rFonts w:ascii="EU-F1"/>
          <w:szCs w:val="21"/>
          <w:highlight w:val="none"/>
        </w:rPr>
      </w:pPr>
      <w:r>
        <w:rPr>
          <w:rFonts w:hint="eastAsia" w:ascii="EU-F1"/>
          <w:szCs w:val="21"/>
          <w:highlight w:val="none"/>
          <w:lang w:val="en-US" w:eastAsia="zh-CN"/>
        </w:rPr>
        <w:t xml:space="preserve">7</w:t>
      </w:r>
      <w:r>
        <w:rPr>
          <w:rFonts w:ascii="EU-F1"/>
          <w:szCs w:val="21"/>
          <w:highlight w:val="none"/>
        </w:rPr>
        <w:t xml:space="preserve">.1.2.1</w:t>
      </w:r>
      <w:r>
        <w:rPr>
          <w:rFonts w:hint="eastAsia" w:ascii="EU-F1"/>
          <w:szCs w:val="21"/>
          <w:highlight w:val="none"/>
        </w:rPr>
        <w:tab/>
      </w:r>
      <w:r>
        <w:rPr>
          <w:rFonts w:hint="eastAsia" w:ascii="EU-F1"/>
          <w:szCs w:val="21"/>
          <w:highlight w:val="none"/>
        </w:rPr>
        <w:t xml:space="preserve">有载调压开关技术</w:t>
      </w:r>
      <w:r>
        <w:rPr>
          <w:rFonts w:ascii="EU-F1"/>
          <w:szCs w:val="21"/>
          <w:highlight w:val="none"/>
        </w:rPr>
        <w:t xml:space="preserve">要求</w:t>
      </w:r>
      <w:r/>
    </w:p>
    <w:p>
      <w:pPr>
        <w:ind w:firstLine="422"/>
        <w:spacing w:line="312" w:lineRule="exact"/>
        <w:tabs>
          <w:tab w:val="left" w:pos="0" w:leader="none"/>
        </w:tabs>
        <w:rPr>
          <w:rFonts w:ascii="EU-F1"/>
          <w:szCs w:val="21"/>
          <w:highlight w:val="none"/>
        </w:rPr>
      </w:pPr>
      <w:r>
        <w:rPr>
          <w:rFonts w:hint="eastAsia" w:ascii="EU-F1"/>
          <w:szCs w:val="21"/>
          <w:highlight w:val="none"/>
          <w:lang w:val="en-US" w:eastAsia="zh-CN"/>
        </w:rPr>
        <w:t xml:space="preserve">7</w:t>
      </w:r>
      <w:r>
        <w:rPr>
          <w:rFonts w:ascii="EU-F1"/>
          <w:szCs w:val="21"/>
          <w:highlight w:val="none"/>
        </w:rPr>
        <w:t xml:space="preserve">.1.2.1.1 功能要求</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1）</w:t>
      </w:r>
      <w:r>
        <w:rPr>
          <w:rFonts w:hint="eastAsia" w:ascii="EU-F1"/>
          <w:szCs w:val="21"/>
          <w:highlight w:val="none"/>
        </w:rPr>
        <w:tab/>
      </w:r>
      <w:r>
        <w:rPr>
          <w:rFonts w:ascii="EU-F1"/>
          <w:szCs w:val="21"/>
          <w:highlight w:val="none"/>
        </w:rPr>
        <w:t xml:space="preserve">有载调压开关</w:t>
      </w:r>
      <w:r>
        <w:rPr>
          <w:rFonts w:hint="eastAsia" w:ascii="EU-F1"/>
          <w:szCs w:val="21"/>
          <w:highlight w:val="none"/>
        </w:rPr>
        <w:t xml:space="preserve">应具有调整</w:t>
      </w:r>
      <w:r>
        <w:rPr>
          <w:rFonts w:ascii="EU-F1"/>
          <w:szCs w:val="21"/>
          <w:highlight w:val="none"/>
        </w:rPr>
        <w:t xml:space="preserve">调压分接档位的功能，且三相不同期性≤4ms。</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2）</w:t>
      </w:r>
      <w:r>
        <w:rPr>
          <w:rFonts w:hint="eastAsia" w:ascii="EU-F1"/>
          <w:szCs w:val="21"/>
          <w:highlight w:val="none"/>
        </w:rPr>
        <w:tab/>
      </w:r>
      <w:r>
        <w:rPr>
          <w:rFonts w:ascii="EU-F1"/>
          <w:szCs w:val="21"/>
          <w:highlight w:val="none"/>
        </w:rPr>
        <w:t xml:space="preserve">有载调压开关的切换过程应在 20～40ms内完成，且保持低压侧供电连续性。</w:t>
      </w:r>
      <w:r/>
    </w:p>
    <w:p>
      <w:pPr>
        <w:ind w:firstLine="422"/>
        <w:spacing w:line="312" w:lineRule="exact"/>
        <w:tabs>
          <w:tab w:val="left" w:pos="0" w:leader="none"/>
        </w:tabs>
        <w:rPr>
          <w:rFonts w:ascii="EU-F1"/>
          <w:szCs w:val="21"/>
          <w:highlight w:val="none"/>
        </w:rPr>
      </w:pPr>
      <w:r>
        <w:rPr>
          <w:rFonts w:hint="eastAsia" w:ascii="EU-F1"/>
          <w:szCs w:val="21"/>
          <w:highlight w:val="none"/>
          <w:lang w:val="en-US" w:eastAsia="zh-CN"/>
        </w:rPr>
        <w:t xml:space="preserve">7</w:t>
      </w:r>
      <w:r>
        <w:rPr>
          <w:rFonts w:ascii="EU-F1"/>
          <w:szCs w:val="21"/>
          <w:highlight w:val="none"/>
        </w:rPr>
        <w:t xml:space="preserve">.1.2.1.2</w:t>
      </w:r>
      <w:r>
        <w:rPr>
          <w:rFonts w:hint="eastAsia" w:ascii="EU-F1"/>
          <w:szCs w:val="21"/>
          <w:highlight w:val="none"/>
        </w:rPr>
        <w:tab/>
      </w:r>
      <w:r>
        <w:rPr>
          <w:rFonts w:ascii="EU-F1"/>
          <w:szCs w:val="21"/>
          <w:highlight w:val="none"/>
        </w:rPr>
        <w:t xml:space="preserve"> 性能要求</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1）</w:t>
      </w:r>
      <w:r>
        <w:rPr>
          <w:rFonts w:hint="eastAsia" w:ascii="EU-F1"/>
          <w:szCs w:val="21"/>
          <w:highlight w:val="none"/>
        </w:rPr>
        <w:tab/>
      </w:r>
      <w:r>
        <w:rPr>
          <w:rFonts w:ascii="EU-F1"/>
          <w:szCs w:val="21"/>
          <w:highlight w:val="none"/>
        </w:rPr>
        <w:t xml:space="preserve">有载调压开关的额定容量不低于变压器最大容量。</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2）</w:t>
      </w:r>
      <w:r>
        <w:rPr>
          <w:rFonts w:hint="eastAsia" w:ascii="EU-F1"/>
          <w:szCs w:val="21"/>
          <w:highlight w:val="none"/>
        </w:rPr>
        <w:tab/>
      </w:r>
      <w:r>
        <w:rPr>
          <w:rFonts w:ascii="EU-F1"/>
          <w:szCs w:val="21"/>
          <w:highlight w:val="none"/>
        </w:rPr>
        <w:t xml:space="preserve">有载调压开关的电气寿命不低于50000次</w:t>
      </w:r>
      <w:r>
        <w:rPr>
          <w:rFonts w:hint="eastAsia" w:ascii="EU-F1"/>
          <w:szCs w:val="21"/>
          <w:highlight w:val="none"/>
        </w:rPr>
        <w:t xml:space="preserve">，至少应提供不少于</w:t>
      </w:r>
      <w:r>
        <w:rPr>
          <w:rFonts w:ascii="EU-F1"/>
          <w:szCs w:val="21"/>
          <w:highlight w:val="none"/>
        </w:rPr>
        <w:t xml:space="preserve">50</w:t>
      </w:r>
      <w:r>
        <w:rPr>
          <w:rFonts w:hint="eastAsia" w:ascii="EU-F1"/>
          <w:szCs w:val="21"/>
          <w:highlight w:val="none"/>
        </w:rPr>
        <w:t xml:space="preserve">000次的型式试验报告</w:t>
      </w:r>
      <w:r>
        <w:rPr>
          <w:rFonts w:ascii="EU-F1"/>
          <w:szCs w:val="21"/>
          <w:highlight w:val="none"/>
        </w:rPr>
        <w:t xml:space="preserve">。</w:t>
      </w:r>
      <w:r>
        <w:rPr>
          <w:rFonts w:hint="eastAsia" w:ascii="EU-F1"/>
          <w:szCs w:val="21"/>
          <w:highlight w:val="none"/>
        </w:rPr>
        <w:t xml:space="preserve">有载调压开关的机械寿命不低于100000次，至少应提供不少于100000次的型式试验报告。</w:t>
      </w:r>
      <w:r>
        <w:rPr>
          <w:rFonts w:ascii="EU-F1"/>
          <w:szCs w:val="21"/>
          <w:highlight w:val="none"/>
        </w:rPr>
        <w:t xml:space="preserve"> </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3）</w:t>
      </w:r>
      <w:r>
        <w:rPr>
          <w:rFonts w:hint="eastAsia" w:ascii="EU-F1"/>
          <w:szCs w:val="21"/>
          <w:highlight w:val="none"/>
        </w:rPr>
        <w:tab/>
      </w:r>
      <w:r>
        <w:rPr>
          <w:rFonts w:ascii="EU-F1"/>
          <w:szCs w:val="21"/>
          <w:highlight w:val="none"/>
        </w:rPr>
        <w:t xml:space="preserve">有载调压开关的工作电源为AC</w:t>
      </w:r>
      <w:r>
        <w:rPr>
          <w:rFonts w:hint="eastAsia" w:ascii="EU-F1"/>
          <w:szCs w:val="21"/>
          <w:highlight w:val="none"/>
        </w:rPr>
        <w:t xml:space="preserve"> </w:t>
      </w:r>
      <w:r>
        <w:rPr>
          <w:rFonts w:ascii="EU-F1"/>
          <w:szCs w:val="21"/>
          <w:highlight w:val="none"/>
        </w:rPr>
        <w:t xml:space="preserve">220V/380V，允许偏差：-20%～+20%，操作电源侧应设有切换限流装置。</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4）</w:t>
      </w:r>
      <w:r>
        <w:rPr>
          <w:rFonts w:hint="eastAsia" w:ascii="EU-F1"/>
          <w:szCs w:val="21"/>
          <w:highlight w:val="none"/>
        </w:rPr>
        <w:tab/>
      </w:r>
      <w:r>
        <w:rPr>
          <w:rFonts w:ascii="EU-F1"/>
          <w:szCs w:val="21"/>
          <w:highlight w:val="none"/>
        </w:rPr>
        <w:t xml:space="preserve">有载调压开关应设有压力释放通道。</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5）</w:t>
      </w:r>
      <w:r>
        <w:rPr>
          <w:rFonts w:hint="eastAsia" w:ascii="EU-F1"/>
          <w:szCs w:val="21"/>
          <w:highlight w:val="none"/>
        </w:rPr>
        <w:tab/>
      </w:r>
      <w:r>
        <w:rPr>
          <w:rFonts w:hint="eastAsia" w:ascii="EU-F1"/>
          <w:szCs w:val="21"/>
          <w:highlight w:val="none"/>
        </w:rPr>
        <w:t xml:space="preserve">有载调压开关应</w:t>
      </w:r>
      <w:r>
        <w:rPr>
          <w:rFonts w:ascii="EU-F1"/>
          <w:szCs w:val="21"/>
          <w:highlight w:val="none"/>
        </w:rPr>
        <w:t xml:space="preserve">采用真空灭弧，切换过程中的弧光不得影响</w:t>
      </w:r>
      <w:r>
        <w:rPr>
          <w:rFonts w:hint="eastAsia" w:ascii="EU-F1"/>
          <w:szCs w:val="21"/>
          <w:highlight w:val="none"/>
        </w:rPr>
        <w:t xml:space="preserve">油质</w:t>
      </w:r>
      <w:r>
        <w:rPr>
          <w:rFonts w:ascii="EU-F1"/>
          <w:szCs w:val="21"/>
          <w:highlight w:val="none"/>
        </w:rPr>
        <w:t xml:space="preserve">。 </w:t>
      </w:r>
      <w:r/>
    </w:p>
    <w:p>
      <w:pPr>
        <w:ind w:firstLine="422"/>
        <w:spacing w:line="312" w:lineRule="exact"/>
        <w:tabs>
          <w:tab w:val="left" w:pos="0" w:leader="none"/>
        </w:tabs>
        <w:rPr>
          <w:rFonts w:hint="eastAsia" w:ascii="EU-F1"/>
          <w:szCs w:val="21"/>
          <w:highlight w:val="none"/>
        </w:rPr>
      </w:pPr>
      <w:r>
        <w:rPr>
          <w:rFonts w:ascii="EU-F1"/>
          <w:szCs w:val="21"/>
          <w:highlight w:val="none"/>
        </w:rPr>
        <w:t xml:space="preserve">6</w:t>
      </w:r>
      <w:r>
        <w:rPr>
          <w:rFonts w:hint="eastAsia" w:ascii="EU-F1"/>
          <w:szCs w:val="21"/>
          <w:highlight w:val="none"/>
        </w:rPr>
        <w:t xml:space="preserve">）</w:t>
      </w:r>
      <w:r>
        <w:rPr>
          <w:rFonts w:hint="eastAsia" w:ascii="EU-F1"/>
          <w:szCs w:val="21"/>
          <w:highlight w:val="none"/>
        </w:rPr>
        <w:tab/>
      </w:r>
      <w:r>
        <w:rPr>
          <w:rFonts w:hint="eastAsia" w:ascii="EU-F1"/>
          <w:szCs w:val="21"/>
          <w:highlight w:val="none"/>
        </w:rPr>
        <w:t xml:space="preserve">有载调压开关宜</w:t>
      </w:r>
      <w:r>
        <w:rPr>
          <w:rFonts w:ascii="EU-F1"/>
          <w:szCs w:val="21"/>
          <w:highlight w:val="none"/>
        </w:rPr>
        <w:t xml:space="preserve">采用</w:t>
      </w:r>
      <w:r>
        <w:rPr>
          <w:rFonts w:hint="eastAsia" w:ascii="EU-F1"/>
          <w:szCs w:val="21"/>
          <w:highlight w:val="none"/>
        </w:rPr>
        <w:t xml:space="preserve">永磁机构</w:t>
      </w:r>
      <w:r>
        <w:rPr>
          <w:rFonts w:ascii="EU-F1"/>
          <w:szCs w:val="21"/>
          <w:highlight w:val="none"/>
        </w:rPr>
        <w:t xml:space="preserve">开关。 </w:t>
      </w:r>
      <w:r/>
    </w:p>
    <w:p>
      <w:pPr>
        <w:ind w:firstLine="422"/>
        <w:spacing w:line="312" w:lineRule="exact"/>
        <w:tabs>
          <w:tab w:val="left" w:pos="0" w:leader="none"/>
        </w:tabs>
        <w:rPr>
          <w:rFonts w:ascii="EU-F1"/>
          <w:szCs w:val="21"/>
          <w:highlight w:val="none"/>
        </w:rPr>
      </w:pPr>
      <w:r>
        <w:rPr>
          <w:rFonts w:ascii="EU-F1"/>
          <w:szCs w:val="21"/>
          <w:highlight w:val="none"/>
        </w:rPr>
        <w:t xml:space="preserve">7</w:t>
      </w:r>
      <w:r>
        <w:rPr>
          <w:rFonts w:hint="eastAsia" w:ascii="EU-F1"/>
          <w:szCs w:val="21"/>
          <w:highlight w:val="none"/>
        </w:rPr>
        <w:t xml:space="preserve">）</w:t>
      </w:r>
      <w:r>
        <w:rPr>
          <w:rFonts w:hint="eastAsia" w:ascii="EU-F1"/>
          <w:szCs w:val="21"/>
          <w:highlight w:val="none"/>
        </w:rPr>
        <w:tab/>
      </w:r>
      <w:r>
        <w:rPr>
          <w:rFonts w:ascii="EU-F1"/>
          <w:szCs w:val="21"/>
          <w:highlight w:val="none"/>
        </w:rPr>
        <w:t xml:space="preserve">其</w:t>
      </w:r>
      <w:r>
        <w:rPr>
          <w:rFonts w:hint="eastAsia" w:ascii="EU-F1"/>
          <w:szCs w:val="21"/>
          <w:highlight w:val="none"/>
        </w:rPr>
        <w:t xml:space="preserve">他</w:t>
      </w:r>
      <w:r>
        <w:rPr>
          <w:rFonts w:ascii="EU-F1"/>
          <w:szCs w:val="21"/>
          <w:highlight w:val="none"/>
        </w:rPr>
        <w:t xml:space="preserve">性能要求按GB/T 10230.1的规定。 </w:t>
      </w:r>
      <w:r/>
    </w:p>
    <w:p>
      <w:pPr>
        <w:ind w:firstLine="422"/>
        <w:spacing w:line="312" w:lineRule="exact"/>
        <w:tabs>
          <w:tab w:val="left" w:pos="0" w:leader="none"/>
        </w:tabs>
        <w:rPr>
          <w:rFonts w:ascii="EU-F1"/>
          <w:szCs w:val="21"/>
          <w:highlight w:val="none"/>
        </w:rPr>
      </w:pPr>
      <w:r>
        <w:rPr>
          <w:rFonts w:hint="eastAsia" w:ascii="EU-F1"/>
          <w:szCs w:val="21"/>
          <w:highlight w:val="none"/>
          <w:lang w:val="en-US" w:eastAsia="zh-CN"/>
        </w:rPr>
        <w:t xml:space="preserve">7</w:t>
      </w:r>
      <w:r>
        <w:rPr>
          <w:rFonts w:hint="eastAsia" w:ascii="EU-F1"/>
          <w:szCs w:val="21"/>
          <w:highlight w:val="none"/>
        </w:rPr>
        <w:t xml:space="preserve">.</w:t>
      </w:r>
      <w:r>
        <w:rPr>
          <w:rFonts w:ascii="EU-F1"/>
          <w:szCs w:val="21"/>
          <w:highlight w:val="none"/>
        </w:rPr>
        <w:t xml:space="preserve">1</w:t>
      </w:r>
      <w:r>
        <w:rPr>
          <w:rFonts w:hint="eastAsia" w:ascii="EU-F1"/>
          <w:szCs w:val="21"/>
          <w:highlight w:val="none"/>
        </w:rPr>
        <w:t xml:space="preserve">.</w:t>
      </w:r>
      <w:r>
        <w:rPr>
          <w:rFonts w:ascii="EU-F1"/>
          <w:szCs w:val="21"/>
          <w:highlight w:val="none"/>
        </w:rPr>
        <w:t xml:space="preserve">2.2</w:t>
      </w:r>
      <w:r>
        <w:rPr>
          <w:rFonts w:hint="eastAsia" w:ascii="EU-F1"/>
          <w:szCs w:val="21"/>
          <w:highlight w:val="none"/>
        </w:rPr>
        <w:t xml:space="preserve">  有载调压控制器技术要求</w:t>
      </w:r>
      <w:r/>
    </w:p>
    <w:p>
      <w:pPr>
        <w:ind w:firstLine="422"/>
        <w:spacing w:line="312" w:lineRule="exact"/>
        <w:tabs>
          <w:tab w:val="left" w:pos="0" w:leader="none"/>
        </w:tabs>
        <w:rPr>
          <w:rFonts w:ascii="EU-F1"/>
          <w:szCs w:val="21"/>
          <w:highlight w:val="none"/>
        </w:rPr>
      </w:pPr>
      <w:r>
        <w:rPr>
          <w:rFonts w:hint="eastAsia" w:ascii="EU-F1"/>
          <w:szCs w:val="21"/>
          <w:highlight w:val="none"/>
          <w:lang w:val="en-US" w:eastAsia="zh-CN"/>
        </w:rPr>
        <w:t xml:space="preserve">7</w:t>
      </w:r>
      <w:r>
        <w:rPr>
          <w:rFonts w:hint="eastAsia" w:ascii="EU-F1"/>
          <w:szCs w:val="21"/>
          <w:highlight w:val="none"/>
        </w:rPr>
        <w:t xml:space="preserve">.</w:t>
      </w:r>
      <w:r>
        <w:rPr>
          <w:rFonts w:ascii="EU-F1"/>
          <w:szCs w:val="21"/>
          <w:highlight w:val="none"/>
        </w:rPr>
        <w:t xml:space="preserve">1</w:t>
      </w:r>
      <w:r>
        <w:rPr>
          <w:rFonts w:hint="eastAsia" w:ascii="EU-F1"/>
          <w:szCs w:val="21"/>
          <w:highlight w:val="none"/>
        </w:rPr>
        <w:t xml:space="preserve">.</w:t>
      </w:r>
      <w:r>
        <w:rPr>
          <w:rFonts w:ascii="EU-F1"/>
          <w:szCs w:val="21"/>
          <w:highlight w:val="none"/>
        </w:rPr>
        <w:t xml:space="preserve">2</w:t>
      </w:r>
      <w:r>
        <w:rPr>
          <w:rFonts w:hint="eastAsia" w:ascii="EU-F1"/>
          <w:szCs w:val="21"/>
          <w:highlight w:val="none"/>
        </w:rPr>
        <w:t xml:space="preserve">.</w:t>
      </w:r>
      <w:r>
        <w:rPr>
          <w:rFonts w:ascii="EU-F1"/>
          <w:szCs w:val="21"/>
          <w:highlight w:val="none"/>
        </w:rPr>
        <w:t xml:space="preserve">2.</w:t>
      </w:r>
      <w:r>
        <w:rPr>
          <w:rFonts w:hint="eastAsia" w:ascii="EU-F1"/>
          <w:szCs w:val="21"/>
          <w:highlight w:val="none"/>
        </w:rPr>
        <w:t xml:space="preserve">1  控制器分类</w:t>
      </w:r>
      <w:r/>
    </w:p>
    <w:p>
      <w:pPr>
        <w:ind w:firstLine="422"/>
        <w:spacing w:line="312" w:lineRule="exact"/>
        <w:tabs>
          <w:tab w:val="left" w:pos="0" w:leader="none"/>
        </w:tabs>
        <w:rPr>
          <w:rFonts w:ascii="EU-F1"/>
          <w:szCs w:val="21"/>
          <w:highlight w:val="none"/>
        </w:rPr>
      </w:pPr>
      <w:r>
        <w:rPr>
          <w:rFonts w:ascii="EU-F1"/>
          <w:szCs w:val="21"/>
          <w:highlight w:val="none"/>
        </w:rPr>
        <w:t xml:space="preserve">控制器根据功能配置和适用范围</w:t>
      </w:r>
      <w:r>
        <w:rPr>
          <w:rFonts w:hint="eastAsia" w:ascii="EU-F1"/>
          <w:szCs w:val="21"/>
          <w:highlight w:val="none"/>
        </w:rPr>
        <w:t xml:space="preserve">可分为</w:t>
      </w:r>
      <w:r>
        <w:rPr>
          <w:rFonts w:ascii="EU-F1"/>
          <w:szCs w:val="21"/>
          <w:highlight w:val="none"/>
        </w:rPr>
        <w:t xml:space="preserve">标准型和</w:t>
      </w:r>
      <w:r>
        <w:rPr>
          <w:rFonts w:hint="eastAsia" w:ascii="EU-F1"/>
          <w:szCs w:val="21"/>
          <w:highlight w:val="none"/>
        </w:rPr>
        <w:t xml:space="preserve">智能</w:t>
      </w:r>
      <w:r>
        <w:rPr>
          <w:rFonts w:ascii="EU-F1"/>
          <w:szCs w:val="21"/>
          <w:highlight w:val="none"/>
        </w:rPr>
        <w:t xml:space="preserve">型</w:t>
      </w:r>
      <w:r>
        <w:rPr>
          <w:rFonts w:hint="eastAsia" w:ascii="EU-F1"/>
          <w:szCs w:val="21"/>
          <w:highlight w:val="none"/>
        </w:rPr>
        <w:t xml:space="preserve">两</w:t>
      </w:r>
      <w:r>
        <w:rPr>
          <w:rFonts w:ascii="EU-F1"/>
          <w:szCs w:val="21"/>
          <w:highlight w:val="none"/>
        </w:rPr>
        <w:t xml:space="preserve">种。</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控制器的</w:t>
      </w:r>
      <w:r>
        <w:rPr>
          <w:rFonts w:ascii="EU-F1"/>
          <w:szCs w:val="21"/>
          <w:highlight w:val="none"/>
        </w:rPr>
        <w:t xml:space="preserve">基本</w:t>
      </w:r>
      <w:r>
        <w:rPr>
          <w:rFonts w:hint="eastAsia" w:ascii="EU-F1"/>
          <w:szCs w:val="21"/>
          <w:highlight w:val="none"/>
        </w:rPr>
        <w:t xml:space="preserve">功能包括</w:t>
      </w:r>
      <w:r>
        <w:rPr>
          <w:rFonts w:ascii="EU-F1"/>
          <w:szCs w:val="21"/>
          <w:highlight w:val="none"/>
        </w:rPr>
        <w:t xml:space="preserve">手动和自动</w:t>
      </w:r>
      <w:r>
        <w:rPr>
          <w:rFonts w:hint="eastAsia" w:ascii="EU-F1"/>
          <w:szCs w:val="21"/>
          <w:highlight w:val="none"/>
        </w:rPr>
        <w:t xml:space="preserve">调压</w:t>
      </w:r>
      <w:r>
        <w:rPr>
          <w:rFonts w:ascii="EU-F1"/>
          <w:szCs w:val="21"/>
          <w:highlight w:val="none"/>
        </w:rPr>
        <w:t xml:space="preserve">两种控制方式，</w:t>
      </w:r>
      <w:r>
        <w:rPr>
          <w:rFonts w:hint="eastAsia" w:ascii="EU-F1"/>
          <w:szCs w:val="21"/>
          <w:highlight w:val="none"/>
        </w:rPr>
        <w:t xml:space="preserve">在负载或励磁条件下，能够自动检测变压器运行负荷和电压工况，并根据预设条件进行自动判断并发出相应指令，</w:t>
      </w:r>
      <w:r>
        <w:rPr>
          <w:rFonts w:ascii="EU-F1"/>
          <w:szCs w:val="21"/>
          <w:highlight w:val="none"/>
        </w:rPr>
        <w:t xml:space="preserve">准确控制有载调压开关动作，</w:t>
      </w:r>
      <w:r>
        <w:rPr>
          <w:rFonts w:hint="eastAsia" w:ascii="EU-F1"/>
          <w:szCs w:val="21"/>
          <w:highlight w:val="none"/>
        </w:rPr>
        <w:t xml:space="preserve">实现变压器分接档位自动调节以及传递变压器的各种实时和历史运行数据与信息的控制。</w:t>
      </w:r>
      <w:r>
        <w:rPr>
          <w:rFonts w:ascii="EU-F1"/>
          <w:szCs w:val="21"/>
          <w:highlight w:val="none"/>
        </w:rPr>
        <w:t xml:space="preserve">具备监测调压变运行参数</w:t>
      </w:r>
      <w:r>
        <w:rPr>
          <w:rFonts w:hint="eastAsia" w:ascii="EU-F1"/>
          <w:szCs w:val="21"/>
          <w:highlight w:val="none"/>
        </w:rPr>
        <w:t xml:space="preserve">和开关位置功能，并具有调压控制、门限参数</w:t>
      </w:r>
      <w:r>
        <w:rPr>
          <w:rFonts w:ascii="EU-F1"/>
          <w:szCs w:val="21"/>
          <w:highlight w:val="none"/>
        </w:rPr>
        <w:t xml:space="preserve">整定、记录运行数据和事件</w:t>
      </w:r>
      <w:r>
        <w:rPr>
          <w:rFonts w:hint="eastAsia" w:ascii="EU-F1"/>
          <w:szCs w:val="21"/>
          <w:highlight w:val="none"/>
        </w:rPr>
        <w:t xml:space="preserve">（包括开关切换次数）</w:t>
      </w:r>
      <w:r>
        <w:rPr>
          <w:rFonts w:ascii="EU-F1"/>
          <w:szCs w:val="21"/>
          <w:highlight w:val="none"/>
        </w:rPr>
        <w:t xml:space="preserve">、指示运行状态、本地通信以及发出闭锁告警信号等。</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1）</w:t>
      </w:r>
      <w:r>
        <w:rPr>
          <w:rFonts w:hint="eastAsia" w:ascii="EU-F1"/>
          <w:szCs w:val="21"/>
          <w:highlight w:val="none"/>
        </w:rPr>
        <w:tab/>
      </w:r>
      <w:r>
        <w:rPr>
          <w:rFonts w:ascii="EU-F1"/>
          <w:szCs w:val="21"/>
          <w:highlight w:val="none"/>
        </w:rPr>
        <w:t xml:space="preserve">标准型</w:t>
      </w:r>
      <w:r>
        <w:rPr>
          <w:rFonts w:hint="eastAsia" w:ascii="EU-F1"/>
          <w:szCs w:val="21"/>
          <w:highlight w:val="none"/>
        </w:rPr>
        <w:t xml:space="preserve">。</w:t>
      </w:r>
      <w:r>
        <w:rPr>
          <w:rFonts w:ascii="EU-F1"/>
          <w:szCs w:val="21"/>
          <w:highlight w:val="none"/>
        </w:rPr>
        <w:t xml:space="preserve">标准型控制器在</w:t>
      </w:r>
      <w:r>
        <w:rPr>
          <w:rFonts w:hint="eastAsia" w:ascii="EU-F1"/>
          <w:szCs w:val="21"/>
          <w:highlight w:val="none"/>
        </w:rPr>
        <w:t xml:space="preserve">控制器</w:t>
      </w:r>
      <w:r>
        <w:rPr>
          <w:rFonts w:ascii="EU-F1"/>
          <w:szCs w:val="21"/>
          <w:highlight w:val="none"/>
        </w:rPr>
        <w:t xml:space="preserve">基本</w:t>
      </w:r>
      <w:r>
        <w:rPr>
          <w:rFonts w:hint="eastAsia" w:ascii="EU-F1"/>
          <w:szCs w:val="21"/>
          <w:highlight w:val="none"/>
        </w:rPr>
        <w:t xml:space="preserve">功能</w:t>
      </w:r>
      <w:r>
        <w:rPr>
          <w:rFonts w:ascii="EU-F1"/>
          <w:szCs w:val="21"/>
          <w:highlight w:val="none"/>
        </w:rPr>
        <w:t xml:space="preserve">基础上增加短距离无线通信模块，具有短距离无线通信功能，可通过 PC机或其他终端与控制器进行联机，实现数据传输、设定与控制。</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2）</w:t>
      </w:r>
      <w:r>
        <w:rPr>
          <w:rFonts w:hint="eastAsia" w:ascii="EU-F1"/>
          <w:szCs w:val="21"/>
          <w:highlight w:val="none"/>
        </w:rPr>
        <w:tab/>
      </w:r>
      <w:r>
        <w:rPr>
          <w:rFonts w:ascii="EU-F1"/>
          <w:szCs w:val="21"/>
          <w:highlight w:val="none"/>
        </w:rPr>
        <w:t xml:space="preserve">智能型</w:t>
      </w:r>
      <w:r>
        <w:rPr>
          <w:rFonts w:hint="eastAsia" w:ascii="EU-F1"/>
          <w:szCs w:val="21"/>
          <w:highlight w:val="none"/>
        </w:rPr>
        <w:t xml:space="preserve">。</w:t>
      </w:r>
      <w:r>
        <w:rPr>
          <w:rFonts w:ascii="EU-F1"/>
          <w:szCs w:val="21"/>
          <w:highlight w:val="none"/>
        </w:rPr>
        <w:t xml:space="preserve">智能型控制器在标准型基础上扩展了外接GPRS或以太网通信模块</w:t>
      </w:r>
      <w:r>
        <w:rPr>
          <w:rFonts w:hint="eastAsia" w:ascii="EU-F1"/>
          <w:szCs w:val="21"/>
          <w:highlight w:val="none"/>
        </w:rPr>
        <w:t xml:space="preserve">，</w:t>
      </w:r>
      <w:r>
        <w:rPr>
          <w:rFonts w:ascii="EU-F1"/>
          <w:szCs w:val="21"/>
          <w:highlight w:val="none"/>
        </w:rPr>
        <w:t xml:space="preserve">具备远程通信以及与智能配电终端间相互通信的功能。</w:t>
      </w:r>
      <w:r/>
    </w:p>
    <w:p>
      <w:pPr>
        <w:ind w:firstLine="422"/>
        <w:spacing w:line="312" w:lineRule="exact"/>
        <w:tabs>
          <w:tab w:val="left" w:pos="0" w:leader="none"/>
        </w:tabs>
        <w:rPr>
          <w:rFonts w:ascii="EU-F1"/>
          <w:szCs w:val="21"/>
          <w:highlight w:val="none"/>
        </w:rPr>
      </w:pPr>
      <w:r>
        <w:rPr>
          <w:rFonts w:hint="eastAsia" w:ascii="EU-F1"/>
          <w:szCs w:val="21"/>
          <w:highlight w:val="none"/>
          <w:lang w:val="en-US" w:eastAsia="zh-CN"/>
        </w:rPr>
        <w:t xml:space="preserve">7</w:t>
      </w:r>
      <w:r>
        <w:rPr>
          <w:rFonts w:hint="eastAsia" w:ascii="EU-F1"/>
          <w:szCs w:val="21"/>
          <w:highlight w:val="none"/>
        </w:rPr>
        <w:t xml:space="preserve">.</w:t>
      </w:r>
      <w:r>
        <w:rPr>
          <w:rFonts w:ascii="EU-F1"/>
          <w:szCs w:val="21"/>
          <w:highlight w:val="none"/>
        </w:rPr>
        <w:t xml:space="preserve">1</w:t>
      </w:r>
      <w:r>
        <w:rPr>
          <w:rFonts w:hint="eastAsia" w:ascii="EU-F1"/>
          <w:szCs w:val="21"/>
          <w:highlight w:val="none"/>
        </w:rPr>
        <w:t xml:space="preserve">.</w:t>
      </w:r>
      <w:r>
        <w:rPr>
          <w:rFonts w:ascii="EU-F1"/>
          <w:szCs w:val="21"/>
          <w:highlight w:val="none"/>
        </w:rPr>
        <w:t xml:space="preserve">2</w:t>
      </w:r>
      <w:r>
        <w:rPr>
          <w:rFonts w:hint="eastAsia" w:ascii="EU-F1"/>
          <w:szCs w:val="21"/>
          <w:highlight w:val="none"/>
        </w:rPr>
        <w:t xml:space="preserve">.</w:t>
      </w:r>
      <w:r>
        <w:rPr>
          <w:rFonts w:ascii="EU-F1"/>
          <w:szCs w:val="21"/>
          <w:highlight w:val="none"/>
        </w:rPr>
        <w:t xml:space="preserve">2.2</w:t>
      </w:r>
      <w:r>
        <w:rPr>
          <w:rFonts w:hint="eastAsia" w:ascii="EU-F1"/>
          <w:szCs w:val="21"/>
          <w:highlight w:val="none"/>
        </w:rPr>
        <w:t xml:space="preserve">  </w:t>
      </w:r>
      <w:r>
        <w:rPr>
          <w:rFonts w:ascii="EU-F1"/>
          <w:szCs w:val="21"/>
          <w:highlight w:val="none"/>
        </w:rPr>
        <w:t xml:space="preserve">功能要求</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1）</w:t>
      </w:r>
      <w:r>
        <w:rPr>
          <w:rFonts w:hint="eastAsia" w:ascii="EU-F1"/>
          <w:szCs w:val="21"/>
          <w:highlight w:val="none"/>
        </w:rPr>
        <w:tab/>
      </w:r>
      <w:r>
        <w:rPr>
          <w:rFonts w:ascii="EU-F1"/>
          <w:szCs w:val="21"/>
          <w:highlight w:val="none"/>
        </w:rPr>
        <w:t xml:space="preserve">监测功能</w:t>
      </w:r>
      <w:r/>
    </w:p>
    <w:p>
      <w:pPr>
        <w:ind w:firstLine="422"/>
        <w:spacing w:line="312" w:lineRule="exact"/>
        <w:tabs>
          <w:tab w:val="left" w:pos="0" w:leader="none"/>
        </w:tabs>
        <w:rPr>
          <w:rFonts w:ascii="EU-F1"/>
          <w:szCs w:val="21"/>
          <w:highlight w:val="none"/>
        </w:rPr>
      </w:pPr>
      <w:r>
        <w:rPr>
          <w:rFonts w:ascii="EU-F1"/>
          <w:szCs w:val="21"/>
          <w:highlight w:val="none"/>
        </w:rPr>
        <w:t xml:space="preserve">控制器应具有实时数据采集和处理功能，包括监测有载调压变低压侧三相电压、三相电流、三相有功功率、三相无功功率、功率因数等；应具有实时监测有载</w:t>
      </w:r>
      <w:r>
        <w:rPr>
          <w:rFonts w:hint="eastAsia" w:ascii="EU-F1"/>
          <w:szCs w:val="21"/>
          <w:highlight w:val="none"/>
        </w:rPr>
        <w:t xml:space="preserve">调压</w:t>
      </w:r>
      <w:r>
        <w:rPr>
          <w:rFonts w:ascii="EU-F1"/>
          <w:szCs w:val="21"/>
          <w:highlight w:val="none"/>
        </w:rPr>
        <w:t xml:space="preserve">分接开关档位、开关投切状态等；采集的信息内容符合 DL/T 698.1的规定。 </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2）</w:t>
      </w:r>
      <w:r>
        <w:rPr>
          <w:rFonts w:hint="eastAsia" w:ascii="EU-F1"/>
          <w:szCs w:val="21"/>
          <w:highlight w:val="none"/>
        </w:rPr>
        <w:tab/>
      </w:r>
      <w:r>
        <w:rPr>
          <w:rFonts w:hint="eastAsia" w:ascii="EU-F1"/>
          <w:szCs w:val="21"/>
          <w:highlight w:val="none"/>
        </w:rPr>
        <w:t xml:space="preserve">调压</w:t>
      </w:r>
      <w:r>
        <w:rPr>
          <w:rFonts w:ascii="EU-F1"/>
          <w:szCs w:val="21"/>
          <w:highlight w:val="none"/>
        </w:rPr>
        <w:t xml:space="preserve">控制功能</w:t>
      </w:r>
      <w:r/>
    </w:p>
    <w:p>
      <w:pPr>
        <w:ind w:firstLine="422"/>
        <w:spacing w:line="312" w:lineRule="exact"/>
        <w:tabs>
          <w:tab w:val="left" w:pos="0" w:leader="none"/>
        </w:tabs>
        <w:rPr>
          <w:rFonts w:ascii="EU-F1"/>
          <w:szCs w:val="21"/>
          <w:highlight w:val="none"/>
        </w:rPr>
      </w:pPr>
      <w:r>
        <w:rPr>
          <w:rFonts w:ascii="EU-F1"/>
          <w:szCs w:val="21"/>
          <w:highlight w:val="none"/>
        </w:rPr>
        <w:t xml:space="preserve">控制器应具备手动控制与自动控制两种</w:t>
      </w:r>
      <w:r>
        <w:rPr>
          <w:rFonts w:hint="eastAsia" w:ascii="EU-F1"/>
          <w:szCs w:val="21"/>
          <w:highlight w:val="none"/>
        </w:rPr>
        <w:t xml:space="preserve">调压</w:t>
      </w:r>
      <w:r>
        <w:rPr>
          <w:rFonts w:ascii="EU-F1"/>
          <w:szCs w:val="21"/>
          <w:highlight w:val="none"/>
        </w:rPr>
        <w:t xml:space="preserve">方式，并互为闭锁。</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3）</w:t>
      </w:r>
      <w:r>
        <w:rPr>
          <w:rFonts w:hint="eastAsia" w:ascii="EU-F1"/>
          <w:szCs w:val="21"/>
          <w:highlight w:val="none"/>
        </w:rPr>
        <w:tab/>
      </w:r>
      <w:r>
        <w:rPr>
          <w:rFonts w:ascii="EU-F1"/>
          <w:szCs w:val="21"/>
          <w:highlight w:val="none"/>
        </w:rPr>
        <w:t xml:space="preserve">运行数据和事件记录功能</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调压</w:t>
      </w:r>
      <w:r>
        <w:rPr>
          <w:rFonts w:ascii="EU-F1"/>
          <w:szCs w:val="21"/>
          <w:highlight w:val="none"/>
        </w:rPr>
        <w:t xml:space="preserve">次数及运行累计时间</w:t>
      </w:r>
      <w:r>
        <w:rPr>
          <w:rFonts w:hint="eastAsia" w:ascii="EU-F1"/>
          <w:szCs w:val="21"/>
          <w:highlight w:val="none"/>
        </w:rPr>
        <w:t xml:space="preserve">，</w:t>
      </w:r>
      <w:r>
        <w:rPr>
          <w:rFonts w:ascii="EU-F1"/>
          <w:szCs w:val="21"/>
          <w:highlight w:val="none"/>
        </w:rPr>
        <w:t xml:space="preserve">记录不同调压</w:t>
      </w:r>
      <w:r>
        <w:rPr>
          <w:rFonts w:hint="eastAsia" w:ascii="EU-F1"/>
          <w:szCs w:val="21"/>
          <w:highlight w:val="none"/>
        </w:rPr>
        <w:t xml:space="preserve">分接档位</w:t>
      </w:r>
      <w:r>
        <w:rPr>
          <w:rFonts w:ascii="EU-F1"/>
          <w:szCs w:val="21"/>
          <w:highlight w:val="none"/>
        </w:rPr>
        <w:t xml:space="preserve">累计运行时间；</w:t>
      </w:r>
      <w:r>
        <w:rPr>
          <w:rFonts w:hint="eastAsia" w:ascii="EU-F1"/>
          <w:szCs w:val="21"/>
          <w:highlight w:val="none"/>
        </w:rPr>
        <w:t xml:space="preserve">调压</w:t>
      </w:r>
      <w:r>
        <w:rPr>
          <w:rFonts w:ascii="EU-F1"/>
          <w:szCs w:val="21"/>
          <w:highlight w:val="none"/>
        </w:rPr>
        <w:t xml:space="preserve">瞬态数据</w:t>
      </w:r>
      <w:r>
        <w:rPr>
          <w:rFonts w:hint="eastAsia" w:ascii="EU-F1"/>
          <w:szCs w:val="21"/>
          <w:highlight w:val="none"/>
        </w:rPr>
        <w:t xml:space="preserve">有</w:t>
      </w:r>
      <w:r>
        <w:rPr>
          <w:rFonts w:ascii="EU-F1"/>
          <w:szCs w:val="21"/>
          <w:highlight w:val="none"/>
        </w:rPr>
        <w:t xml:space="preserve">：</w:t>
      </w:r>
      <w:r>
        <w:rPr>
          <w:rFonts w:hint="eastAsia" w:ascii="EU-F1"/>
          <w:szCs w:val="21"/>
          <w:highlight w:val="none"/>
        </w:rPr>
        <w:t xml:space="preserve">调压</w:t>
      </w:r>
      <w:r>
        <w:rPr>
          <w:rFonts w:ascii="EU-F1"/>
          <w:szCs w:val="21"/>
          <w:highlight w:val="none"/>
        </w:rPr>
        <w:t xml:space="preserve">时刻的电流值、</w:t>
      </w:r>
      <w:r>
        <w:rPr>
          <w:rFonts w:hint="eastAsia" w:ascii="EU-F1"/>
          <w:szCs w:val="21"/>
          <w:highlight w:val="none"/>
        </w:rPr>
        <w:t xml:space="preserve">不同</w:t>
      </w:r>
      <w:r>
        <w:rPr>
          <w:rFonts w:ascii="EU-F1"/>
          <w:szCs w:val="21"/>
          <w:highlight w:val="none"/>
        </w:rPr>
        <w:t xml:space="preserve">调压分接档位时间记录、每日整点时刻的三相电流值、电压值、有功功率、无功功率、功率因数以及调</w:t>
      </w:r>
      <w:r>
        <w:rPr>
          <w:rFonts w:hint="eastAsia" w:ascii="EU-F1"/>
          <w:szCs w:val="21"/>
          <w:highlight w:val="none"/>
        </w:rPr>
        <w:t xml:space="preserve">压</w:t>
      </w:r>
      <w:r>
        <w:rPr>
          <w:rFonts w:ascii="EU-F1"/>
          <w:szCs w:val="21"/>
          <w:highlight w:val="none"/>
        </w:rPr>
        <w:t xml:space="preserve">开关位置状态、闭锁信息、装置告警信息、装置重启信息、手动控制、自动控制、远程控制状态切换记录等。</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4）</w:t>
      </w:r>
      <w:r>
        <w:rPr>
          <w:rFonts w:hint="eastAsia" w:ascii="EU-F1"/>
          <w:szCs w:val="21"/>
          <w:highlight w:val="none"/>
        </w:rPr>
        <w:tab/>
      </w:r>
      <w:r>
        <w:rPr>
          <w:rFonts w:ascii="EU-F1"/>
          <w:szCs w:val="21"/>
          <w:highlight w:val="none"/>
        </w:rPr>
        <w:t xml:space="preserve">参数整定功能</w:t>
      </w:r>
      <w:r/>
    </w:p>
    <w:p>
      <w:pPr>
        <w:ind w:firstLine="422"/>
        <w:spacing w:line="312" w:lineRule="exact"/>
        <w:tabs>
          <w:tab w:val="left" w:pos="0" w:leader="none"/>
        </w:tabs>
        <w:rPr>
          <w:rFonts w:ascii="EU-F1"/>
          <w:szCs w:val="21"/>
          <w:highlight w:val="none"/>
        </w:rPr>
      </w:pPr>
      <w:r>
        <w:rPr>
          <w:rFonts w:ascii="EU-F1"/>
          <w:szCs w:val="21"/>
          <w:highlight w:val="none"/>
        </w:rPr>
        <w:t xml:space="preserve">应具有</w:t>
      </w:r>
      <w:r>
        <w:rPr>
          <w:rFonts w:hint="eastAsia" w:ascii="EU-F1"/>
          <w:szCs w:val="21"/>
          <w:highlight w:val="none"/>
        </w:rPr>
        <w:t xml:space="preserve">调压动作</w:t>
      </w:r>
      <w:r>
        <w:rPr>
          <w:rFonts w:ascii="EU-F1"/>
          <w:szCs w:val="21"/>
          <w:highlight w:val="none"/>
        </w:rPr>
        <w:t xml:space="preserve">的门限设定和动作时间整定的功能，门限设定控制范围为±5%；应具有</w:t>
      </w:r>
      <w:r>
        <w:rPr>
          <w:rFonts w:hint="eastAsia" w:ascii="EU-F1"/>
          <w:szCs w:val="21"/>
          <w:highlight w:val="none"/>
        </w:rPr>
        <w:t xml:space="preserve">TA</w:t>
      </w:r>
      <w:r>
        <w:rPr>
          <w:rFonts w:ascii="EU-F1"/>
          <w:szCs w:val="21"/>
          <w:highlight w:val="none"/>
        </w:rPr>
        <w:t xml:space="preserve">变比、通信参数及通信地址设定功能，</w:t>
      </w:r>
      <w:r>
        <w:rPr>
          <w:rFonts w:hint="eastAsia" w:ascii="EU-F1"/>
          <w:szCs w:val="21"/>
          <w:highlight w:val="none"/>
        </w:rPr>
        <w:t xml:space="preserve">TA</w:t>
      </w:r>
      <w:r>
        <w:rPr>
          <w:rFonts w:ascii="EU-F1"/>
          <w:szCs w:val="21"/>
          <w:highlight w:val="none"/>
        </w:rPr>
        <w:t xml:space="preserve">可与其</w:t>
      </w:r>
      <w:r>
        <w:rPr>
          <w:rFonts w:hint="eastAsia" w:ascii="EU-F1"/>
          <w:szCs w:val="21"/>
          <w:highlight w:val="none"/>
        </w:rPr>
        <w:t xml:space="preserve">他</w:t>
      </w:r>
      <w:r>
        <w:rPr>
          <w:rFonts w:ascii="EU-F1"/>
          <w:szCs w:val="21"/>
          <w:highlight w:val="none"/>
        </w:rPr>
        <w:t xml:space="preserve">测量</w:t>
      </w:r>
      <w:r>
        <w:rPr>
          <w:rFonts w:hint="eastAsia" w:ascii="EU-F1"/>
          <w:szCs w:val="21"/>
          <w:highlight w:val="none"/>
        </w:rPr>
        <w:t xml:space="preserve">TA</w:t>
      </w:r>
      <w:r>
        <w:rPr>
          <w:rFonts w:ascii="EU-F1"/>
          <w:szCs w:val="21"/>
          <w:highlight w:val="none"/>
        </w:rPr>
        <w:t xml:space="preserve">共用；应具有时钟设定、</w:t>
      </w:r>
      <w:r>
        <w:rPr>
          <w:rFonts w:hint="eastAsia" w:ascii="EU-F1"/>
          <w:szCs w:val="21"/>
          <w:highlight w:val="none"/>
        </w:rPr>
        <w:t xml:space="preserve">调压</w:t>
      </w:r>
      <w:r>
        <w:rPr>
          <w:rFonts w:ascii="EU-F1"/>
          <w:szCs w:val="21"/>
          <w:highlight w:val="none"/>
        </w:rPr>
        <w:t xml:space="preserve">次数清除、累计时间清除和恢复出厂设定功能。</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5）</w:t>
      </w:r>
      <w:r>
        <w:rPr>
          <w:rFonts w:hint="eastAsia" w:ascii="EU-F1"/>
          <w:szCs w:val="21"/>
          <w:highlight w:val="none"/>
        </w:rPr>
        <w:tab/>
      </w:r>
      <w:r>
        <w:rPr>
          <w:rFonts w:ascii="EU-F1"/>
          <w:szCs w:val="21"/>
          <w:highlight w:val="none"/>
        </w:rPr>
        <w:t xml:space="preserve">运行状态指示</w:t>
      </w:r>
      <w:r>
        <w:rPr>
          <w:rFonts w:hint="eastAsia" w:ascii="EU-F1"/>
          <w:szCs w:val="21"/>
          <w:highlight w:val="none"/>
        </w:rPr>
        <w:t xml:space="preserve">功能</w:t>
      </w:r>
      <w:r/>
    </w:p>
    <w:p>
      <w:pPr>
        <w:ind w:firstLine="422"/>
        <w:spacing w:line="312" w:lineRule="exact"/>
        <w:tabs>
          <w:tab w:val="left" w:pos="0" w:leader="none"/>
        </w:tabs>
        <w:rPr>
          <w:rFonts w:ascii="EU-F1"/>
          <w:szCs w:val="21"/>
          <w:highlight w:val="none"/>
        </w:rPr>
      </w:pPr>
      <w:r>
        <w:rPr>
          <w:rFonts w:ascii="EU-F1"/>
          <w:szCs w:val="21"/>
          <w:highlight w:val="none"/>
        </w:rPr>
        <w:t xml:space="preserve">应具有对控制器的各种控制方式、告警、闭锁、运行等状态进行指示的功能。 </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6）</w:t>
      </w:r>
      <w:r>
        <w:rPr>
          <w:rFonts w:hint="eastAsia" w:ascii="EU-F1"/>
          <w:szCs w:val="21"/>
          <w:highlight w:val="none"/>
        </w:rPr>
        <w:tab/>
      </w:r>
      <w:r>
        <w:rPr>
          <w:rFonts w:ascii="EU-F1"/>
          <w:szCs w:val="21"/>
          <w:highlight w:val="none"/>
        </w:rPr>
        <w:t xml:space="preserve">通信功能</w:t>
      </w:r>
      <w:r/>
    </w:p>
    <w:p>
      <w:pPr>
        <w:ind w:firstLine="422"/>
        <w:spacing w:line="312" w:lineRule="exact"/>
        <w:tabs>
          <w:tab w:val="left" w:pos="0" w:leader="none"/>
        </w:tabs>
        <w:rPr>
          <w:rFonts w:ascii="EU-F1"/>
          <w:szCs w:val="21"/>
          <w:highlight w:val="none"/>
        </w:rPr>
      </w:pPr>
      <w:r>
        <w:rPr>
          <w:rFonts w:ascii="EU-F1"/>
          <w:szCs w:val="21"/>
          <w:highlight w:val="none"/>
        </w:rPr>
        <w:t xml:space="preserve">应具备USB、RS232及短距离无线通信接口，可通过USB数据线或短距离无线手持终端PDA实现</w:t>
      </w:r>
      <w:r>
        <w:rPr>
          <w:rFonts w:hint="eastAsia" w:ascii="EU-F1"/>
          <w:szCs w:val="21"/>
          <w:highlight w:val="none"/>
        </w:rPr>
        <w:t xml:space="preserve">通信功能。</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7）</w:t>
      </w:r>
      <w:r>
        <w:rPr>
          <w:rFonts w:hint="eastAsia" w:ascii="EU-F1"/>
          <w:szCs w:val="21"/>
          <w:highlight w:val="none"/>
        </w:rPr>
        <w:tab/>
      </w:r>
      <w:r>
        <w:rPr>
          <w:rFonts w:ascii="EU-F1"/>
          <w:szCs w:val="21"/>
          <w:highlight w:val="none"/>
        </w:rPr>
        <w:t xml:space="preserve">闭锁告警功能</w:t>
      </w:r>
      <w:r/>
    </w:p>
    <w:p>
      <w:pPr>
        <w:ind w:firstLine="422"/>
        <w:spacing w:line="312" w:lineRule="exact"/>
        <w:tabs>
          <w:tab w:val="left" w:pos="0" w:leader="none"/>
        </w:tabs>
        <w:rPr>
          <w:rFonts w:ascii="EU-F1"/>
          <w:szCs w:val="21"/>
          <w:highlight w:val="none"/>
        </w:rPr>
      </w:pPr>
      <w:r>
        <w:rPr>
          <w:rFonts w:ascii="EU-F1"/>
          <w:szCs w:val="21"/>
          <w:highlight w:val="none"/>
        </w:rPr>
        <w:t xml:space="preserve">控制器内部发生故障时，闭锁输出回路并将告警灯点亮；超出每日设定</w:t>
      </w:r>
      <w:r>
        <w:rPr>
          <w:rFonts w:hint="eastAsia" w:ascii="EU-F1"/>
          <w:szCs w:val="21"/>
          <w:highlight w:val="none"/>
        </w:rPr>
        <w:t xml:space="preserve">调压</w:t>
      </w:r>
      <w:r>
        <w:rPr>
          <w:rFonts w:ascii="EU-F1"/>
          <w:szCs w:val="21"/>
          <w:highlight w:val="none"/>
        </w:rPr>
        <w:t xml:space="preserve">次数后，闭锁输出回路。</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8）</w:t>
      </w:r>
      <w:r>
        <w:rPr>
          <w:rFonts w:hint="eastAsia" w:ascii="EU-F1"/>
          <w:szCs w:val="21"/>
          <w:highlight w:val="none"/>
        </w:rPr>
        <w:tab/>
      </w:r>
      <w:r>
        <w:rPr>
          <w:rFonts w:ascii="EU-F1"/>
          <w:szCs w:val="21"/>
          <w:highlight w:val="none"/>
        </w:rPr>
        <w:t xml:space="preserve">数据下载和程序升级功能</w:t>
      </w:r>
      <w:r/>
    </w:p>
    <w:p>
      <w:pPr>
        <w:ind w:firstLine="422"/>
        <w:spacing w:line="312" w:lineRule="exact"/>
        <w:tabs>
          <w:tab w:val="left" w:pos="0" w:leader="none"/>
        </w:tabs>
        <w:rPr>
          <w:rFonts w:ascii="EU-F1"/>
          <w:szCs w:val="21"/>
          <w:highlight w:val="none"/>
        </w:rPr>
      </w:pPr>
      <w:r>
        <w:rPr>
          <w:rFonts w:ascii="EU-F1"/>
          <w:szCs w:val="21"/>
          <w:highlight w:val="none"/>
        </w:rPr>
        <w:t xml:space="preserve">可实现数据下载和程序升级任务的功能。</w:t>
      </w:r>
      <w:r/>
    </w:p>
    <w:p>
      <w:pPr>
        <w:ind w:firstLine="422"/>
        <w:spacing w:line="312" w:lineRule="exact"/>
        <w:tabs>
          <w:tab w:val="left" w:pos="0" w:leader="none"/>
        </w:tabs>
        <w:rPr>
          <w:rFonts w:ascii="EU-F1"/>
          <w:szCs w:val="21"/>
          <w:highlight w:val="none"/>
        </w:rPr>
      </w:pPr>
      <w:r>
        <w:rPr>
          <w:rFonts w:ascii="EU-F1"/>
          <w:szCs w:val="21"/>
          <w:highlight w:val="none"/>
        </w:rPr>
        <w:t xml:space="preserve">5</w:t>
      </w:r>
      <w:r>
        <w:rPr>
          <w:rFonts w:hint="eastAsia" w:ascii="EU-F1"/>
          <w:szCs w:val="21"/>
          <w:highlight w:val="none"/>
        </w:rPr>
        <w:t xml:space="preserve">.</w:t>
      </w:r>
      <w:r>
        <w:rPr>
          <w:rFonts w:ascii="EU-F1"/>
          <w:szCs w:val="21"/>
          <w:highlight w:val="none"/>
        </w:rPr>
        <w:t xml:space="preserve">1</w:t>
      </w:r>
      <w:r>
        <w:rPr>
          <w:rFonts w:hint="eastAsia" w:ascii="EU-F1"/>
          <w:szCs w:val="21"/>
          <w:highlight w:val="none"/>
        </w:rPr>
        <w:t xml:space="preserve">.</w:t>
      </w:r>
      <w:r>
        <w:rPr>
          <w:rFonts w:ascii="EU-F1"/>
          <w:szCs w:val="21"/>
          <w:highlight w:val="none"/>
        </w:rPr>
        <w:t xml:space="preserve">2.2</w:t>
      </w:r>
      <w:r>
        <w:rPr>
          <w:rFonts w:hint="eastAsia" w:ascii="EU-F1"/>
          <w:szCs w:val="21"/>
          <w:highlight w:val="none"/>
        </w:rPr>
        <w:t xml:space="preserve">.</w:t>
      </w:r>
      <w:r>
        <w:rPr>
          <w:rFonts w:ascii="EU-F1"/>
          <w:szCs w:val="21"/>
          <w:highlight w:val="none"/>
        </w:rPr>
        <w:t xml:space="preserve">3</w:t>
      </w:r>
      <w:r>
        <w:rPr>
          <w:rFonts w:hint="eastAsia" w:ascii="EU-F1"/>
          <w:szCs w:val="21"/>
          <w:highlight w:val="none"/>
        </w:rPr>
        <w:t xml:space="preserve">  </w:t>
      </w:r>
      <w:r>
        <w:rPr>
          <w:rFonts w:ascii="EU-F1"/>
          <w:szCs w:val="21"/>
          <w:highlight w:val="none"/>
        </w:rPr>
        <w:t xml:space="preserve">结构要求</w:t>
      </w:r>
      <w:r>
        <w:rPr>
          <w:rFonts w:hint="eastAsia" w:ascii="EU-F1"/>
          <w:szCs w:val="21"/>
          <w:highlight w:val="none"/>
        </w:rPr>
        <w:t xml:space="preserve">：</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1</w:t>
      </w:r>
      <w:r>
        <w:rPr>
          <w:rFonts w:ascii="EU-F1"/>
          <w:szCs w:val="21"/>
          <w:highlight w:val="none"/>
        </w:rPr>
        <w:t xml:space="preserve">）</w:t>
      </w:r>
      <w:r>
        <w:rPr>
          <w:rFonts w:hint="eastAsia" w:ascii="EU-F1"/>
          <w:szCs w:val="21"/>
          <w:highlight w:val="none"/>
        </w:rPr>
        <w:tab/>
      </w:r>
      <w:r>
        <w:rPr>
          <w:rFonts w:ascii="EU-F1"/>
          <w:szCs w:val="21"/>
          <w:highlight w:val="none"/>
        </w:rPr>
        <w:t xml:space="preserve">通常单独安装在调压变的控制箱内，同时也适用于户外配电箱、户内配电柜和箱</w:t>
      </w:r>
      <w:r>
        <w:rPr>
          <w:rFonts w:hint="eastAsia" w:ascii="EU-F1"/>
          <w:szCs w:val="21"/>
          <w:highlight w:val="none"/>
        </w:rPr>
        <w:t xml:space="preserve">式</w:t>
      </w:r>
      <w:r>
        <w:rPr>
          <w:rFonts w:ascii="EU-F1"/>
          <w:szCs w:val="21"/>
          <w:highlight w:val="none"/>
        </w:rPr>
        <w:t xml:space="preserve">变</w:t>
      </w:r>
      <w:r>
        <w:rPr>
          <w:rFonts w:hint="eastAsia" w:ascii="EU-F1"/>
          <w:szCs w:val="21"/>
          <w:highlight w:val="none"/>
        </w:rPr>
        <w:t xml:space="preserve">电站</w:t>
      </w:r>
      <w:r>
        <w:rPr>
          <w:rFonts w:ascii="EU-F1"/>
          <w:szCs w:val="21"/>
          <w:highlight w:val="none"/>
        </w:rPr>
        <w:t xml:space="preserve">低压室等封闭/半封闭空间安装； </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2</w:t>
      </w:r>
      <w:r>
        <w:rPr>
          <w:rFonts w:ascii="EU-F1"/>
          <w:szCs w:val="21"/>
          <w:highlight w:val="none"/>
        </w:rPr>
        <w:t xml:space="preserve">）</w:t>
      </w:r>
      <w:r>
        <w:rPr>
          <w:rFonts w:hint="eastAsia" w:ascii="EU-F1"/>
          <w:szCs w:val="21"/>
          <w:highlight w:val="none"/>
        </w:rPr>
        <w:tab/>
      </w:r>
      <w:r>
        <w:rPr>
          <w:rFonts w:ascii="EU-F1"/>
          <w:szCs w:val="21"/>
          <w:highlight w:val="none"/>
        </w:rPr>
        <w:t xml:space="preserve">应采用密闭壳体，防护性能符合GB 4208中规定的IP51级要求，即防尘和防滴水；</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3</w:t>
      </w:r>
      <w:r>
        <w:rPr>
          <w:rFonts w:ascii="EU-F1"/>
          <w:szCs w:val="21"/>
          <w:highlight w:val="none"/>
        </w:rPr>
        <w:t xml:space="preserve">）</w:t>
      </w:r>
      <w:r>
        <w:rPr>
          <w:rFonts w:hint="eastAsia" w:ascii="EU-F1"/>
          <w:szCs w:val="21"/>
          <w:highlight w:val="none"/>
        </w:rPr>
        <w:tab/>
      </w:r>
      <w:r>
        <w:rPr>
          <w:rFonts w:ascii="EU-F1"/>
          <w:szCs w:val="21"/>
          <w:highlight w:val="none"/>
        </w:rPr>
        <w:t xml:space="preserve">控制器面板应设置指示灯，用于显示</w:t>
      </w:r>
      <w:r>
        <w:rPr>
          <w:rFonts w:hint="eastAsia" w:ascii="EU-F1"/>
          <w:szCs w:val="21"/>
          <w:highlight w:val="none"/>
        </w:rPr>
        <w:t xml:space="preserve">调压</w:t>
      </w:r>
      <w:r>
        <w:rPr>
          <w:rFonts w:ascii="EU-F1"/>
          <w:szCs w:val="21"/>
          <w:highlight w:val="none"/>
        </w:rPr>
        <w:t xml:space="preserve">分接开关运行档位，自动、手动调</w:t>
      </w:r>
      <w:r>
        <w:rPr>
          <w:rFonts w:hint="eastAsia" w:ascii="EU-F1"/>
          <w:szCs w:val="21"/>
          <w:highlight w:val="none"/>
        </w:rPr>
        <w:t xml:space="preserve">压</w:t>
      </w:r>
      <w:r>
        <w:rPr>
          <w:rFonts w:ascii="EU-F1"/>
          <w:szCs w:val="21"/>
          <w:highlight w:val="none"/>
        </w:rPr>
        <w:t xml:space="preserve">控制模式，闭锁指示，告警指示及运行指示等； </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4</w:t>
      </w:r>
      <w:r>
        <w:rPr>
          <w:rFonts w:ascii="EU-F1"/>
          <w:szCs w:val="21"/>
          <w:highlight w:val="none"/>
        </w:rPr>
        <w:t xml:space="preserve">）</w:t>
      </w:r>
      <w:r>
        <w:rPr>
          <w:rFonts w:hint="eastAsia" w:ascii="EU-F1"/>
          <w:szCs w:val="21"/>
          <w:highlight w:val="none"/>
        </w:rPr>
        <w:tab/>
      </w:r>
      <w:r>
        <w:rPr>
          <w:rFonts w:ascii="EU-F1"/>
          <w:szCs w:val="21"/>
          <w:highlight w:val="none"/>
        </w:rPr>
        <w:t xml:space="preserve">输出接口应至少有1路RS232接口和1路USB接口。</w:t>
      </w:r>
      <w:r/>
    </w:p>
    <w:p>
      <w:pPr>
        <w:ind w:firstLine="422"/>
        <w:spacing w:line="312" w:lineRule="exact"/>
        <w:tabs>
          <w:tab w:val="left" w:pos="0" w:leader="none"/>
        </w:tabs>
        <w:rPr>
          <w:rFonts w:ascii="EU-F1"/>
          <w:szCs w:val="21"/>
          <w:highlight w:val="none"/>
        </w:rPr>
      </w:pPr>
      <w:r>
        <w:rPr>
          <w:rFonts w:hint="eastAsia" w:ascii="EU-F1"/>
          <w:szCs w:val="21"/>
          <w:highlight w:val="none"/>
          <w:lang w:val="en-US" w:eastAsia="zh-CN"/>
        </w:rPr>
        <w:t xml:space="preserve">7</w:t>
      </w:r>
      <w:r>
        <w:rPr>
          <w:rFonts w:hint="eastAsia" w:ascii="EU-F1"/>
          <w:szCs w:val="21"/>
          <w:highlight w:val="none"/>
        </w:rPr>
        <w:t xml:space="preserve">.</w:t>
      </w:r>
      <w:r>
        <w:rPr>
          <w:rFonts w:ascii="EU-F1"/>
          <w:szCs w:val="21"/>
          <w:highlight w:val="none"/>
        </w:rPr>
        <w:t xml:space="preserve">1</w:t>
      </w:r>
      <w:r>
        <w:rPr>
          <w:rFonts w:hint="eastAsia" w:ascii="EU-F1"/>
          <w:szCs w:val="21"/>
          <w:highlight w:val="none"/>
        </w:rPr>
        <w:t xml:space="preserve">.</w:t>
      </w:r>
      <w:r>
        <w:rPr>
          <w:rFonts w:ascii="EU-F1"/>
          <w:szCs w:val="21"/>
          <w:highlight w:val="none"/>
        </w:rPr>
        <w:t xml:space="preserve">2.2</w:t>
      </w:r>
      <w:r>
        <w:rPr>
          <w:rFonts w:hint="eastAsia" w:ascii="EU-F1"/>
          <w:szCs w:val="21"/>
          <w:highlight w:val="none"/>
        </w:rPr>
        <w:t xml:space="preserve">.</w:t>
      </w:r>
      <w:r>
        <w:rPr>
          <w:rFonts w:ascii="EU-F1"/>
          <w:szCs w:val="21"/>
          <w:highlight w:val="none"/>
        </w:rPr>
        <w:t xml:space="preserve">4</w:t>
      </w:r>
      <w:r>
        <w:rPr>
          <w:rFonts w:hint="eastAsia" w:ascii="EU-F1"/>
          <w:szCs w:val="21"/>
          <w:highlight w:val="none"/>
        </w:rPr>
        <w:t xml:space="preserve">  </w:t>
      </w:r>
      <w:r>
        <w:rPr>
          <w:rFonts w:ascii="EU-F1"/>
          <w:szCs w:val="21"/>
          <w:highlight w:val="none"/>
        </w:rPr>
        <w:t xml:space="preserve">通信协议</w:t>
      </w:r>
      <w:r/>
    </w:p>
    <w:p>
      <w:pPr>
        <w:ind w:firstLine="422"/>
        <w:spacing w:line="312" w:lineRule="exact"/>
        <w:tabs>
          <w:tab w:val="left" w:pos="0" w:leader="none"/>
        </w:tabs>
        <w:rPr>
          <w:rFonts w:ascii="EU-F1"/>
          <w:szCs w:val="21"/>
          <w:highlight w:val="none"/>
        </w:rPr>
      </w:pPr>
      <w:r>
        <w:rPr>
          <w:rFonts w:ascii="EU-F1"/>
          <w:szCs w:val="21"/>
          <w:highlight w:val="none"/>
        </w:rPr>
        <w:t xml:space="preserve">控制器与远程主站及 PDA 的通信规约应满足与相关设备</w:t>
      </w:r>
      <w:r>
        <w:rPr>
          <w:rFonts w:hint="eastAsia" w:ascii="EU-F1"/>
          <w:szCs w:val="21"/>
          <w:highlight w:val="none"/>
        </w:rPr>
        <w:t xml:space="preserve">的</w:t>
      </w:r>
      <w:r>
        <w:rPr>
          <w:rFonts w:ascii="EU-F1"/>
          <w:szCs w:val="21"/>
          <w:highlight w:val="none"/>
        </w:rPr>
        <w:t xml:space="preserve">通</w:t>
      </w:r>
      <w:r>
        <w:rPr>
          <w:rFonts w:hint="eastAsia" w:ascii="EU-F1"/>
          <w:szCs w:val="21"/>
          <w:highlight w:val="none"/>
        </w:rPr>
        <w:t xml:space="preserve">信</w:t>
      </w:r>
      <w:r>
        <w:rPr>
          <w:rFonts w:ascii="EU-F1"/>
          <w:szCs w:val="21"/>
          <w:highlight w:val="none"/>
        </w:rPr>
        <w:t xml:space="preserve">要求。</w:t>
      </w:r>
      <w:r/>
    </w:p>
    <w:p>
      <w:pPr>
        <w:ind w:firstLine="422"/>
        <w:spacing w:line="312" w:lineRule="exact"/>
        <w:tabs>
          <w:tab w:val="left" w:pos="0" w:leader="none"/>
        </w:tabs>
        <w:rPr>
          <w:szCs w:val="21"/>
          <w:highlight w:val="none"/>
        </w:rPr>
      </w:pPr>
      <w:r>
        <w:rPr>
          <w:szCs w:val="21"/>
          <w:highlight w:val="none"/>
        </w:rPr>
      </w:r>
      <w:r/>
    </w:p>
    <w:p>
      <w:pPr>
        <w:ind w:firstLine="422"/>
        <w:spacing w:line="312" w:lineRule="exact"/>
        <w:tabs>
          <w:tab w:val="left" w:pos="0" w:leader="none"/>
        </w:tabs>
        <w:rPr>
          <w:szCs w:val="21"/>
          <w:highlight w:val="none"/>
        </w:rPr>
      </w:pPr>
      <w:r>
        <w:rPr>
          <w:rFonts w:hint="eastAsia"/>
          <w:szCs w:val="21"/>
          <w:highlight w:val="none"/>
          <w:lang w:val="en-US" w:eastAsia="zh-CN"/>
        </w:rPr>
        <w:t xml:space="preserve">7</w:t>
      </w:r>
      <w:r>
        <w:rPr>
          <w:rFonts w:hint="eastAsia"/>
          <w:szCs w:val="21"/>
          <w:highlight w:val="none"/>
        </w:rPr>
        <w:t xml:space="preserve">.1.</w:t>
      </w:r>
      <w:r>
        <w:rPr>
          <w:szCs w:val="21"/>
          <w:highlight w:val="none"/>
        </w:rPr>
        <w:t xml:space="preserve">3</w:t>
      </w:r>
      <w:r>
        <w:rPr>
          <w:rFonts w:hint="eastAsia"/>
          <w:szCs w:val="21"/>
          <w:highlight w:val="none"/>
        </w:rPr>
        <w:t xml:space="preserve">  有载调容开关和有载调容调压控制器技术要求(适用有载调容调压变压器)</w:t>
      </w:r>
      <w:r/>
    </w:p>
    <w:p>
      <w:pPr>
        <w:ind w:firstLine="422"/>
        <w:spacing w:line="312" w:lineRule="exact"/>
        <w:tabs>
          <w:tab w:val="left" w:pos="0" w:leader="none"/>
        </w:tabs>
        <w:rPr>
          <w:rFonts w:hint="eastAsia" w:ascii="EU-F1"/>
          <w:szCs w:val="21"/>
          <w:highlight w:val="none"/>
        </w:rPr>
      </w:pPr>
      <w:r>
        <w:rPr>
          <w:rFonts w:hint="eastAsia" w:ascii="EU-F1"/>
          <w:szCs w:val="21"/>
          <w:highlight w:val="none"/>
          <w:lang w:val="en-US" w:eastAsia="zh-CN"/>
        </w:rPr>
        <w:t xml:space="preserve">7</w:t>
      </w:r>
      <w:r>
        <w:rPr>
          <w:rFonts w:hint="eastAsia" w:ascii="EU-F1"/>
          <w:szCs w:val="21"/>
          <w:highlight w:val="none"/>
        </w:rPr>
        <w:t xml:space="preserve">.1.</w:t>
      </w:r>
      <w:r>
        <w:rPr>
          <w:rFonts w:ascii="EU-F1"/>
          <w:szCs w:val="21"/>
          <w:highlight w:val="none"/>
        </w:rPr>
        <w:t xml:space="preserve">3</w:t>
      </w:r>
      <w:r>
        <w:rPr>
          <w:rFonts w:hint="eastAsia" w:ascii="EU-F1"/>
          <w:szCs w:val="21"/>
          <w:highlight w:val="none"/>
        </w:rPr>
        <w:t xml:space="preserve">.1 有载调容调压开关技术要求</w:t>
      </w:r>
      <w:r/>
    </w:p>
    <w:p>
      <w:pPr>
        <w:ind w:firstLine="422"/>
        <w:spacing w:line="312" w:lineRule="exact"/>
        <w:tabs>
          <w:tab w:val="left" w:pos="0" w:leader="none"/>
        </w:tabs>
        <w:rPr>
          <w:rFonts w:hint="eastAsia" w:ascii="EU-F1"/>
          <w:szCs w:val="21"/>
          <w:highlight w:val="none"/>
        </w:rPr>
      </w:pPr>
      <w:r>
        <w:rPr>
          <w:rFonts w:hint="eastAsia" w:ascii="EU-F1"/>
          <w:szCs w:val="21"/>
          <w:highlight w:val="none"/>
          <w:lang w:val="en-US" w:eastAsia="zh-CN"/>
        </w:rPr>
        <w:t xml:space="preserve">7</w:t>
      </w:r>
      <w:r>
        <w:rPr>
          <w:rFonts w:hint="eastAsia" w:ascii="EU-F1"/>
          <w:szCs w:val="21"/>
          <w:highlight w:val="none"/>
        </w:rPr>
        <w:t xml:space="preserve">.1.</w:t>
      </w:r>
      <w:r>
        <w:rPr>
          <w:rFonts w:ascii="EU-F1"/>
          <w:szCs w:val="21"/>
          <w:highlight w:val="none"/>
        </w:rPr>
        <w:t xml:space="preserve">3</w:t>
      </w:r>
      <w:r>
        <w:rPr>
          <w:rFonts w:hint="eastAsia" w:ascii="EU-F1"/>
          <w:szCs w:val="21"/>
          <w:highlight w:val="none"/>
        </w:rPr>
        <w:t xml:space="preserve">.1.1 功能要求</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1）有载调容调压开关应具有同时调整调容变的高、 低压两侧绕组联接方式和调节变压分接档位的功能， 且三相不同期性≤4ms。</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2）有载调容调压开关的切换过程应在 20ms-40ms 内完成， 且保持低压侧供电连续性。</w:t>
      </w:r>
      <w:r/>
    </w:p>
    <w:p>
      <w:pPr>
        <w:ind w:firstLine="422"/>
        <w:spacing w:line="312" w:lineRule="exact"/>
        <w:tabs>
          <w:tab w:val="left" w:pos="0" w:leader="none"/>
        </w:tabs>
        <w:rPr>
          <w:rFonts w:hint="eastAsia" w:ascii="EU-F1"/>
          <w:szCs w:val="21"/>
          <w:highlight w:val="none"/>
        </w:rPr>
      </w:pPr>
      <w:r>
        <w:rPr>
          <w:rFonts w:hint="eastAsia" w:ascii="EU-F1"/>
          <w:szCs w:val="21"/>
          <w:highlight w:val="none"/>
          <w:lang w:val="en-US" w:eastAsia="zh-CN"/>
        </w:rPr>
        <w:t xml:space="preserve">7</w:t>
      </w:r>
      <w:r>
        <w:rPr>
          <w:rFonts w:hint="eastAsia" w:ascii="EU-F1"/>
          <w:szCs w:val="21"/>
          <w:highlight w:val="none"/>
        </w:rPr>
        <w:t xml:space="preserve">.1.</w:t>
      </w:r>
      <w:r>
        <w:rPr>
          <w:rFonts w:ascii="EU-F1"/>
          <w:szCs w:val="21"/>
          <w:highlight w:val="none"/>
        </w:rPr>
        <w:t xml:space="preserve">3</w:t>
      </w:r>
      <w:r>
        <w:rPr>
          <w:rFonts w:hint="eastAsia" w:ascii="EU-F1"/>
          <w:szCs w:val="21"/>
          <w:highlight w:val="none"/>
        </w:rPr>
        <w:t xml:space="preserve">.1.2性能要求</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1）有载调容调压开关的额定容量不低于变压器最大容量。</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2）有载调容调压开关的电气寿命不低于 50000 次，机械寿命不低于 100000 次。</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3）有载调容调压开关的工作电源为 AC220V/AC380V， 允许偏差：-20％～+20％，操作电源侧应设有切换限流装置。</w:t>
      </w:r>
      <w:r/>
    </w:p>
    <w:p>
      <w:pPr>
        <w:ind w:firstLine="422"/>
        <w:spacing w:line="312" w:lineRule="exact"/>
        <w:tabs>
          <w:tab w:val="left" w:pos="0" w:leader="none"/>
        </w:tabs>
        <w:rPr>
          <w:rFonts w:ascii="EU-F1"/>
          <w:szCs w:val="21"/>
          <w:highlight w:val="none"/>
        </w:rPr>
      </w:pPr>
      <w:r>
        <w:rPr>
          <w:rFonts w:hint="eastAsia" w:ascii="EU-F1"/>
          <w:szCs w:val="21"/>
          <w:highlight w:val="none"/>
        </w:rPr>
        <w:t xml:space="preserve">4）有载调容调压开关必须设有压力释放通道。</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5）</w:t>
      </w:r>
      <w:r>
        <w:rPr>
          <w:rFonts w:hint="eastAsia" w:ascii="EU-F1"/>
          <w:szCs w:val="21"/>
          <w:highlight w:val="none"/>
        </w:rPr>
        <w:tab/>
      </w:r>
      <w:r>
        <w:rPr>
          <w:rFonts w:hint="eastAsia" w:ascii="EU-F1"/>
          <w:szCs w:val="21"/>
          <w:highlight w:val="none"/>
        </w:rPr>
        <w:t xml:space="preserve">有载调容调压开关应采用真空灭弧，切换过程中的弧光不得影响油质。</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6）</w:t>
      </w:r>
      <w:r>
        <w:rPr>
          <w:rFonts w:hint="eastAsia" w:ascii="EU-F1"/>
          <w:szCs w:val="21"/>
          <w:highlight w:val="none"/>
        </w:rPr>
        <w:tab/>
      </w:r>
      <w:r>
        <w:rPr>
          <w:rFonts w:hint="eastAsia" w:ascii="EU-F1"/>
          <w:szCs w:val="21"/>
          <w:highlight w:val="none"/>
        </w:rPr>
        <w:t xml:space="preserve">有载调容调压开关宜采用永磁机构开关。</w:t>
      </w:r>
      <w:r/>
    </w:p>
    <w:p>
      <w:pPr>
        <w:ind w:firstLine="422"/>
        <w:spacing w:line="312" w:lineRule="exact"/>
        <w:tabs>
          <w:tab w:val="left" w:pos="0" w:leader="none"/>
        </w:tabs>
        <w:rPr>
          <w:rFonts w:hint="eastAsia" w:ascii="EU-F1"/>
          <w:szCs w:val="21"/>
          <w:highlight w:val="none"/>
        </w:rPr>
      </w:pPr>
      <w:r>
        <w:rPr>
          <w:rFonts w:ascii="EU-F1"/>
          <w:szCs w:val="21"/>
          <w:highlight w:val="none"/>
        </w:rPr>
        <w:t xml:space="preserve">7</w:t>
      </w:r>
      <w:r>
        <w:rPr>
          <w:rFonts w:hint="eastAsia" w:ascii="EU-F1"/>
          <w:szCs w:val="21"/>
          <w:highlight w:val="none"/>
        </w:rPr>
        <w:t xml:space="preserve">）其它性能要求按 GB/T 10230.1 中的规定。</w:t>
      </w:r>
      <w:r/>
    </w:p>
    <w:p>
      <w:pPr>
        <w:ind w:firstLine="422"/>
        <w:spacing w:line="312" w:lineRule="exact"/>
        <w:tabs>
          <w:tab w:val="left" w:pos="0" w:leader="none"/>
        </w:tabs>
        <w:rPr>
          <w:rFonts w:hint="eastAsia" w:ascii="EU-F1"/>
          <w:szCs w:val="21"/>
          <w:highlight w:val="none"/>
        </w:rPr>
      </w:pPr>
      <w:r>
        <w:rPr>
          <w:rFonts w:hint="eastAsia" w:ascii="EU-F1"/>
          <w:szCs w:val="21"/>
          <w:highlight w:val="none"/>
          <w:lang w:val="en-US" w:eastAsia="zh-CN"/>
        </w:rPr>
        <w:t xml:space="preserve">7</w:t>
      </w:r>
      <w:r>
        <w:rPr>
          <w:rFonts w:hint="eastAsia" w:ascii="EU-F1"/>
          <w:szCs w:val="21"/>
          <w:highlight w:val="none"/>
        </w:rPr>
        <w:t xml:space="preserve">.1.</w:t>
      </w:r>
      <w:r>
        <w:rPr>
          <w:rFonts w:ascii="EU-F1"/>
          <w:szCs w:val="21"/>
          <w:highlight w:val="none"/>
        </w:rPr>
        <w:t xml:space="preserve">3.2</w:t>
      </w:r>
      <w:r>
        <w:rPr>
          <w:rFonts w:hint="eastAsia" w:ascii="EU-F1"/>
          <w:szCs w:val="21"/>
          <w:highlight w:val="none"/>
        </w:rPr>
        <w:t xml:space="preserve"> 有载调容控制器技术要求</w:t>
      </w:r>
      <w:r/>
    </w:p>
    <w:p>
      <w:pPr>
        <w:ind w:firstLine="422"/>
        <w:spacing w:line="312" w:lineRule="exact"/>
        <w:tabs>
          <w:tab w:val="left" w:pos="0" w:leader="none"/>
        </w:tabs>
        <w:rPr>
          <w:rFonts w:hint="eastAsia" w:ascii="EU-F1"/>
          <w:szCs w:val="21"/>
          <w:highlight w:val="none"/>
        </w:rPr>
      </w:pPr>
      <w:r>
        <w:rPr>
          <w:rFonts w:hint="eastAsia" w:ascii="EU-F1"/>
          <w:szCs w:val="21"/>
          <w:highlight w:val="none"/>
          <w:lang w:val="en-US" w:eastAsia="zh-CN"/>
        </w:rPr>
        <w:t xml:space="preserve">7</w:t>
      </w:r>
      <w:r>
        <w:rPr>
          <w:rFonts w:hint="eastAsia" w:ascii="EU-F1"/>
          <w:szCs w:val="21"/>
          <w:highlight w:val="none"/>
        </w:rPr>
        <w:t xml:space="preserve">.1.</w:t>
      </w:r>
      <w:r>
        <w:rPr>
          <w:rFonts w:ascii="EU-F1"/>
          <w:szCs w:val="21"/>
          <w:highlight w:val="none"/>
        </w:rPr>
        <w:t xml:space="preserve">3.2</w:t>
      </w:r>
      <w:r>
        <w:rPr>
          <w:rFonts w:hint="eastAsia" w:ascii="EU-F1"/>
          <w:szCs w:val="21"/>
          <w:highlight w:val="none"/>
        </w:rPr>
        <w:t xml:space="preserve">.1 控制器分类</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控制器根据功能配置和适用范围可分为基本型、标准型和智能型三种类型。</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1）基本型：基本型控制器有手动和自动调容两种控制方式，在负载或励磁条件下，能够自动检测变压器运行负荷和电压工况，并根据预设条件进行自动判断并发出相应指令，准确控制有载调容调压开关动作，实现变压器大、小容量运行方式的自动转换和分接档位自动调节以及传递变压器的各种实时和历史运行数据与信息的控制。具备监测调容变运行参数和开关位置功能，并具有调容调压控制、门限参数整定、记录运行数据和事件（包括开关切换次数）、指示运行状态、本地通信以及发出闭锁告警信号等。</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2）标准型：标准型控制器在基本型基础上增加了短距离无线通信模块，具有短距离无线通讯功能，可通过 PC机或其他终端与控制器进行联机，实现数据传输、 设定与控制。</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3）智能型：智能型控制器在标准型基础上扩展了外接 GPRS 或以太网通信模块，具备远程通信以及与智能配电终端间相互通信的功能。</w:t>
      </w:r>
      <w:r/>
    </w:p>
    <w:p>
      <w:pPr>
        <w:ind w:firstLine="422"/>
        <w:spacing w:line="312" w:lineRule="exact"/>
        <w:tabs>
          <w:tab w:val="left" w:pos="0" w:leader="none"/>
        </w:tabs>
        <w:rPr>
          <w:rFonts w:hint="eastAsia" w:ascii="EU-F1"/>
          <w:szCs w:val="21"/>
          <w:highlight w:val="none"/>
        </w:rPr>
      </w:pPr>
      <w:r>
        <w:rPr>
          <w:rFonts w:hint="eastAsia" w:ascii="EU-F1"/>
          <w:szCs w:val="21"/>
          <w:highlight w:val="none"/>
          <w:lang w:val="en-US" w:eastAsia="zh-CN"/>
        </w:rPr>
        <w:t xml:space="preserve">7</w:t>
      </w:r>
      <w:r>
        <w:rPr>
          <w:rFonts w:hint="eastAsia" w:ascii="EU-F1"/>
          <w:szCs w:val="21"/>
          <w:highlight w:val="none"/>
        </w:rPr>
        <w:t xml:space="preserve">.1.</w:t>
      </w:r>
      <w:r>
        <w:rPr>
          <w:rFonts w:ascii="EU-F1"/>
          <w:szCs w:val="21"/>
          <w:highlight w:val="none"/>
        </w:rPr>
        <w:t xml:space="preserve">3.2</w:t>
      </w:r>
      <w:r>
        <w:rPr>
          <w:rFonts w:hint="eastAsia" w:ascii="EU-F1"/>
          <w:szCs w:val="21"/>
          <w:highlight w:val="none"/>
        </w:rPr>
        <w:t xml:space="preserve">.2功能要求</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1）监测功能</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a） 控制器应具有实时数据采集和处理功能，包括监测有载调容、调压变压器低压侧三相电压、 三相电流、 三相有功功率、 三相无功功率、 功率因数等；</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b） 应具有实时监测有载调容开关高低档位容量位置、 开关投切状态等；</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c） 采集的信息内容符合 DL/T 698.1 中的规定。</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2）调容控制功能</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a） 控制器应具备手动控制与自动控制两种调容方式，并互为闭锁；</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b） 控制器应具有在停机重新供电后自动控制切换到大容量运行方式功能。</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3） 运行数据和事件记录功能</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a） 调容次数及运行累计时间、 记录高容、 低容调容次数，高、 低容累计运行时间；</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b） 调容瞬态数据： 调容或调压时刻的电流值、 高容和低容调容时间记录、 每日整点时刻的三相电流值、电压值、 有功功率、 无功功率、 功率因数以及调容或调压开关位置状态、 闭锁信息、 装置告警信息、 装置重启信息、 手动控制、 自动控制、 远程控制状态切换记录等。</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4） 参数整定功能</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a） 应具有高档位、 低档位投切的门限设定和动作时间整定的功能，门限设定控制范围为±5%；</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b） 应具有 CT 变比、 通信参数及通信地址设定功能， CT 可与其它测量 CT 共用；</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c） 应具有时钟设定、 调容次数清除、 累计时间清除和恢复出厂设定功能。</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5）运行状态指示功能</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应具有对控制器的各种控制方式、 告警、 闭锁、 运行等状态进行指示的功能。</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6）通信功能</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应具备 USB、 RS232 及短距离无线通信接口，既可通过 USB 数据线或短距离无线手持终端 PDA 实现就地通信，也可通过 RS232 接口与 GPRS 模块/以太网模块相连，实现远程通信。</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7）闭锁告警功能</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a） 控制器内部发生故障时，闭锁输出回路并将告警灯点亮；</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b） 超出每日设定调容次数后，闭锁输出回路并使调容开关保持在高容位置。</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8）数据下载和程序升级功能</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可实现数据下载和程序升级任务的功能。</w:t>
      </w:r>
      <w:r/>
    </w:p>
    <w:p>
      <w:pPr>
        <w:ind w:firstLine="422"/>
        <w:spacing w:line="312" w:lineRule="exact"/>
        <w:tabs>
          <w:tab w:val="left" w:pos="0" w:leader="none"/>
        </w:tabs>
        <w:rPr>
          <w:rFonts w:hint="eastAsia" w:ascii="EU-F1"/>
          <w:szCs w:val="21"/>
          <w:highlight w:val="none"/>
        </w:rPr>
      </w:pPr>
      <w:r>
        <w:rPr>
          <w:rFonts w:hint="eastAsia" w:ascii="EU-F1"/>
          <w:szCs w:val="21"/>
          <w:highlight w:val="none"/>
          <w:lang w:val="en-US" w:eastAsia="zh-CN"/>
        </w:rPr>
        <w:t xml:space="preserve">7</w:t>
      </w:r>
      <w:r>
        <w:rPr>
          <w:rFonts w:hint="eastAsia" w:ascii="EU-F1"/>
          <w:szCs w:val="21"/>
          <w:highlight w:val="none"/>
        </w:rPr>
        <w:t xml:space="preserve">.1.</w:t>
      </w:r>
      <w:r>
        <w:rPr>
          <w:rFonts w:ascii="EU-F1"/>
          <w:szCs w:val="21"/>
          <w:highlight w:val="none"/>
        </w:rPr>
        <w:t xml:space="preserve">3.2</w:t>
      </w:r>
      <w:r>
        <w:rPr>
          <w:rFonts w:hint="eastAsia" w:ascii="EU-F1"/>
          <w:szCs w:val="21"/>
          <w:highlight w:val="none"/>
        </w:rPr>
        <w:t xml:space="preserve">.3 结构要求</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1） 通常单独安装在调容变的控制箱内， 同时也适用于户外配电箱、 户内配电柜和箱变低压室等封闭/半封闭空间安装；</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2） 应采用密闭壳体，防护性能符合 GB 4208 中规定的 IP51 级要求，即防尘和防滴水；</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3） 控制器面板应设置指示灯，用于显示高、 低容位置状态，自动、 手动调容控制模式，闭锁指示，告警指示及运行指示等；</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4） 输出接口应至少有 1 路 RS232 接口和 1 路 USB 接口。</w:t>
      </w:r>
      <w:r/>
    </w:p>
    <w:p>
      <w:pPr>
        <w:ind w:firstLine="422"/>
        <w:spacing w:line="312" w:lineRule="exact"/>
        <w:tabs>
          <w:tab w:val="left" w:pos="0" w:leader="none"/>
        </w:tabs>
        <w:rPr>
          <w:rFonts w:hint="eastAsia" w:ascii="EU-F1"/>
          <w:szCs w:val="21"/>
          <w:highlight w:val="none"/>
        </w:rPr>
      </w:pPr>
      <w:r>
        <w:rPr>
          <w:rFonts w:hint="eastAsia" w:ascii="EU-F1"/>
          <w:szCs w:val="21"/>
          <w:highlight w:val="none"/>
          <w:lang w:val="en-US" w:eastAsia="zh-CN"/>
        </w:rPr>
        <w:t xml:space="preserve">7</w:t>
      </w:r>
      <w:r>
        <w:rPr>
          <w:rFonts w:hint="eastAsia" w:ascii="EU-F1"/>
          <w:szCs w:val="21"/>
          <w:highlight w:val="none"/>
        </w:rPr>
        <w:t xml:space="preserve">.1.</w:t>
      </w:r>
      <w:r>
        <w:rPr>
          <w:rFonts w:ascii="EU-F1"/>
          <w:szCs w:val="21"/>
          <w:highlight w:val="none"/>
        </w:rPr>
        <w:t xml:space="preserve">3.2</w:t>
      </w:r>
      <w:r>
        <w:rPr>
          <w:rFonts w:hint="eastAsia" w:ascii="EU-F1"/>
          <w:szCs w:val="21"/>
          <w:highlight w:val="none"/>
        </w:rPr>
        <w:t xml:space="preserve">.4  性能参数</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1）工作电源：使用交流三相四线供电，在断一相或两相电压的条件下，应能维持工作和通信，具体要求如下：</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a） 额定电压：AC 220V ；允许偏差：-20％～+20％；</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b） 额定频率：50Hz。</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2） 测量误差</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a） 电流量、 电压量测量误差≤ 0.2%；</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b） 有功功率、 无功功率测量误差≤ 1%；</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c） 频率测量误差≤5%。</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3）技术指标</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a） 事件顺序记录分辨率≤2ms；</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b） 模数转换分辨率≥14bit ；</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c） 调容控制操作正确率≥99.99% ；</w:t>
      </w:r>
      <w:r/>
    </w:p>
    <w:p>
      <w:pPr>
        <w:ind w:firstLine="422"/>
        <w:spacing w:line="312" w:lineRule="exact"/>
        <w:tabs>
          <w:tab w:val="left" w:pos="0" w:leader="none"/>
        </w:tabs>
        <w:rPr>
          <w:rFonts w:hint="eastAsia" w:ascii="EU-F1"/>
          <w:szCs w:val="21"/>
          <w:highlight w:val="none"/>
        </w:rPr>
      </w:pPr>
      <w:r>
        <w:rPr>
          <w:rFonts w:hint="eastAsia" w:ascii="EU-F1"/>
          <w:szCs w:val="21"/>
          <w:highlight w:val="none"/>
        </w:rPr>
        <w:t xml:space="preserve">d） 遥控命令输出正确率≥99.99% 。</w:t>
      </w:r>
      <w:r/>
    </w:p>
    <w:p>
      <w:pPr>
        <w:ind w:firstLine="422"/>
        <w:spacing w:line="312" w:lineRule="exact"/>
        <w:tabs>
          <w:tab w:val="left" w:pos="0" w:leader="none"/>
        </w:tabs>
        <w:rPr>
          <w:rFonts w:hint="eastAsia" w:ascii="EU-F1"/>
          <w:szCs w:val="21"/>
          <w:highlight w:val="none"/>
        </w:rPr>
      </w:pPr>
      <w:r>
        <w:rPr>
          <w:rFonts w:hint="eastAsia" w:ascii="EU-F1"/>
          <w:szCs w:val="21"/>
          <w:highlight w:val="none"/>
          <w:lang w:val="en-US" w:eastAsia="zh-CN"/>
        </w:rPr>
        <w:t xml:space="preserve">7</w:t>
      </w:r>
      <w:r>
        <w:rPr>
          <w:rFonts w:hint="eastAsia" w:ascii="EU-F1"/>
          <w:szCs w:val="21"/>
          <w:highlight w:val="none"/>
        </w:rPr>
        <w:t xml:space="preserve">.1.</w:t>
      </w:r>
      <w:r>
        <w:rPr>
          <w:rFonts w:ascii="EU-F1"/>
          <w:szCs w:val="21"/>
          <w:highlight w:val="none"/>
        </w:rPr>
        <w:t xml:space="preserve">3.2</w:t>
      </w:r>
      <w:r>
        <w:rPr>
          <w:rFonts w:hint="eastAsia" w:ascii="EU-F1"/>
          <w:szCs w:val="21"/>
          <w:highlight w:val="none"/>
        </w:rPr>
        <w:t xml:space="preserve">.5  通信协议</w:t>
      </w:r>
      <w:r/>
    </w:p>
    <w:p>
      <w:pPr>
        <w:rPr>
          <w:highlight w:val="none"/>
        </w:rPr>
      </w:pPr>
      <w:r>
        <w:rPr>
          <w:rFonts w:hint="eastAsia" w:ascii="EU-F1"/>
          <w:szCs w:val="21"/>
          <w:highlight w:val="none"/>
        </w:rPr>
        <w:t xml:space="preserve">控制器与远程主站及 PDA 的通信规约应满足与相关设备通讯要求。</w:t>
      </w:r>
      <w:r/>
    </w:p>
    <w:p>
      <w:pPr>
        <w:pStyle w:val="1155"/>
        <w:jc w:val="left"/>
        <w:keepLines w:val="0"/>
        <w:keepNext w:val="0"/>
        <w:pageBreakBefore w:val="0"/>
        <w:widowControl w:val="off"/>
        <w:rPr>
          <w:rFonts w:hint="eastAsia" w:eastAsia="黑体"/>
          <w:sz w:val="21"/>
          <w:szCs w:val="21"/>
          <w:highlight w:val="none"/>
          <w:lang w:val="en-US" w:eastAsia="zh-CN"/>
        </w:rPr>
        <w:outlineLvl w:val="9"/>
      </w:pPr>
      <w:r>
        <w:rPr>
          <w:rFonts w:hint="eastAsia" w:eastAsia="黑体"/>
          <w:sz w:val="21"/>
          <w:szCs w:val="21"/>
          <w:highlight w:val="none"/>
          <w:lang w:val="en-US" w:eastAsia="zh-CN"/>
        </w:rPr>
      </w:r>
      <w:r/>
    </w:p>
    <w:p>
      <w:pPr>
        <w:pStyle w:val="1155"/>
        <w:jc w:val="left"/>
        <w:rPr>
          <w:szCs w:val="28"/>
          <w:highlight w:val="none"/>
        </w:rPr>
        <w:outlineLvl w:val="0"/>
      </w:pPr>
      <w:r/>
      <w:bookmarkStart w:id="247" w:name="_Toc8670"/>
      <w:r>
        <w:rPr>
          <w:rFonts w:hint="eastAsia" w:eastAsia="黑体"/>
          <w:sz w:val="21"/>
          <w:szCs w:val="21"/>
          <w:highlight w:val="none"/>
          <w:lang w:val="en-US" w:eastAsia="zh-CN"/>
        </w:rPr>
        <w:t xml:space="preserve">8</w:t>
      </w:r>
      <w:r>
        <w:rPr>
          <w:rFonts w:hint="eastAsia" w:eastAsia="黑体"/>
          <w:sz w:val="21"/>
          <w:szCs w:val="21"/>
          <w:highlight w:val="none"/>
        </w:rPr>
        <w:t xml:space="preserve">　试验</w:t>
      </w:r>
      <w:bookmarkEnd w:id="129"/>
      <w:r/>
      <w:bookmarkEnd w:id="130"/>
      <w:r/>
      <w:bookmarkEnd w:id="211"/>
      <w:r/>
      <w:bookmarkEnd w:id="212"/>
      <w:r/>
      <w:bookmarkEnd w:id="213"/>
      <w:r/>
      <w:bookmarkEnd w:id="214"/>
      <w:r/>
      <w:bookmarkEnd w:id="215"/>
      <w:r/>
      <w:bookmarkEnd w:id="216"/>
      <w:r/>
      <w:bookmarkEnd w:id="217"/>
      <w:r/>
      <w:bookmarkEnd w:id="218"/>
      <w:r/>
      <w:bookmarkEnd w:id="247"/>
      <w:r/>
      <w:r/>
    </w:p>
    <w:p>
      <w:pPr>
        <w:ind w:firstLine="425"/>
        <w:rPr>
          <w:szCs w:val="21"/>
          <w:highlight w:val="none"/>
        </w:rPr>
      </w:pPr>
      <w:r>
        <w:rPr>
          <w:rFonts w:hint="eastAsia"/>
          <w:szCs w:val="21"/>
          <w:highlight w:val="none"/>
        </w:rPr>
        <w:t xml:space="preserve">箱式变电站</w:t>
      </w:r>
      <w:r>
        <w:rPr>
          <w:szCs w:val="21"/>
          <w:highlight w:val="none"/>
        </w:rPr>
        <w:t xml:space="preserve">的型式试验、出厂试验均应符合</w:t>
      </w:r>
      <w:r>
        <w:rPr>
          <w:rFonts w:hint="eastAsia"/>
          <w:szCs w:val="21"/>
          <w:highlight w:val="none"/>
        </w:rPr>
        <w:t xml:space="preserve">国家相关标准要求。</w:t>
      </w:r>
      <w:r/>
    </w:p>
    <w:p>
      <w:pPr>
        <w:rPr>
          <w:rFonts w:eastAsia="黑体"/>
          <w:szCs w:val="24"/>
          <w:highlight w:val="none"/>
        </w:rPr>
      </w:pPr>
      <w:r/>
      <w:bookmarkStart w:id="248" w:name="_Toc340376541"/>
      <w:r/>
      <w:bookmarkStart w:id="249" w:name="_Toc252017589"/>
      <w:r>
        <w:rPr>
          <w:rFonts w:hint="eastAsia" w:eastAsia="黑体"/>
          <w:szCs w:val="24"/>
          <w:highlight w:val="none"/>
          <w:lang w:val="en-US" w:eastAsia="zh-CN"/>
        </w:rPr>
        <w:t xml:space="preserve">8</w:t>
      </w:r>
      <w:r>
        <w:rPr>
          <w:rFonts w:eastAsia="黑体"/>
          <w:szCs w:val="24"/>
          <w:highlight w:val="none"/>
        </w:rPr>
        <w:t xml:space="preserve">.1　型式试验</w:t>
      </w:r>
      <w:bookmarkEnd w:id="248"/>
      <w:r/>
      <w:bookmarkEnd w:id="249"/>
      <w:r/>
      <w:r/>
    </w:p>
    <w:p>
      <w:pPr>
        <w:rPr>
          <w:rFonts w:eastAsia="黑体"/>
          <w:szCs w:val="24"/>
          <w:highlight w:val="none"/>
        </w:rPr>
      </w:pPr>
      <w:r>
        <w:rPr>
          <w:rFonts w:hint="eastAsia"/>
          <w:szCs w:val="24"/>
          <w:highlight w:val="none"/>
          <w:lang w:val="en-US" w:eastAsia="zh-CN"/>
        </w:rPr>
        <w:t xml:space="preserve">8</w:t>
      </w:r>
      <w:r>
        <w:rPr>
          <w:szCs w:val="24"/>
          <w:highlight w:val="none"/>
        </w:rPr>
        <w:t xml:space="preserve">.1.1</w:t>
      </w:r>
      <w:r>
        <w:rPr>
          <w:rFonts w:hint="eastAsia"/>
          <w:szCs w:val="24"/>
          <w:highlight w:val="none"/>
        </w:rPr>
        <w:t xml:space="preserve">箱式变电站</w:t>
      </w:r>
      <w:r/>
    </w:p>
    <w:p>
      <w:pPr>
        <w:pStyle w:val="896"/>
        <w:ind w:firstLine="420"/>
        <w:tabs>
          <w:tab w:val="center" w:pos="4201" w:leader="none"/>
          <w:tab w:val="right" w:pos="9298" w:leader="dot"/>
        </w:tabs>
        <w:rPr>
          <w:rFonts w:ascii="Times New Roman"/>
          <w:szCs w:val="21"/>
          <w:highlight w:val="none"/>
        </w:rPr>
      </w:pPr>
      <w:r>
        <w:rPr>
          <w:rFonts w:hint="eastAsia" w:ascii="Times New Roman"/>
          <w:szCs w:val="21"/>
          <w:highlight w:val="none"/>
        </w:rPr>
        <w:t xml:space="preserve">箱式变电站应按</w:t>
      </w:r>
      <w:r>
        <w:rPr>
          <w:rFonts w:ascii="Times New Roman"/>
          <w:szCs w:val="21"/>
          <w:highlight w:val="none"/>
        </w:rPr>
        <w:t xml:space="preserve">GB/T 17467</w:t>
      </w:r>
      <w:r>
        <w:rPr>
          <w:rFonts w:hint="eastAsia" w:ascii="Times New Roman"/>
          <w:szCs w:val="21"/>
          <w:highlight w:val="none"/>
        </w:rPr>
        <w:t xml:space="preserve">和</w:t>
      </w:r>
      <w:r>
        <w:rPr>
          <w:rFonts w:ascii="Times New Roman"/>
          <w:szCs w:val="21"/>
          <w:highlight w:val="none"/>
        </w:rPr>
        <w:t xml:space="preserve">DL/T 537</w:t>
      </w:r>
      <w:r>
        <w:rPr>
          <w:rFonts w:hint="eastAsia" w:ascii="Times New Roman"/>
          <w:szCs w:val="21"/>
          <w:highlight w:val="none"/>
        </w:rPr>
        <w:t xml:space="preserve">的要求进行完整的型式试验，型式试验参数应满足本标准的要求。每隔</w:t>
      </w:r>
      <w:r>
        <w:rPr>
          <w:rFonts w:ascii="Times New Roman"/>
          <w:szCs w:val="21"/>
          <w:highlight w:val="none"/>
        </w:rPr>
        <w:t xml:space="preserve">8</w:t>
      </w:r>
      <w:r>
        <w:rPr>
          <w:rFonts w:hint="eastAsia" w:ascii="Times New Roman"/>
          <w:szCs w:val="21"/>
          <w:highlight w:val="none"/>
        </w:rPr>
        <w:t xml:space="preserve">年应进行一次绝缘试验、温升试验、接地回路的短时耐受电流和峰值耐受电流试验。</w:t>
      </w:r>
      <w:r/>
    </w:p>
    <w:p>
      <w:pPr>
        <w:pStyle w:val="896"/>
        <w:ind w:firstLine="420"/>
        <w:tabs>
          <w:tab w:val="center" w:pos="4201" w:leader="none"/>
          <w:tab w:val="right" w:pos="9298" w:leader="dot"/>
        </w:tabs>
        <w:rPr>
          <w:rFonts w:ascii="Times New Roman"/>
          <w:szCs w:val="21"/>
          <w:highlight w:val="none"/>
        </w:rPr>
      </w:pPr>
      <w:r>
        <w:rPr>
          <w:rFonts w:hint="eastAsia" w:ascii="Times New Roman"/>
          <w:szCs w:val="21"/>
          <w:highlight w:val="none"/>
        </w:rPr>
        <w:t xml:space="preserve">其中欧式箱变的温升试验应在底部无通风条件下进行。箱式变电站环境噪声应满足业主或用户要求且满足《声环境质量标准》（GB 3096-2008）规定。型式试验项目见表</w:t>
      </w:r>
      <w:r>
        <w:rPr>
          <w:rFonts w:ascii="Times New Roman"/>
          <w:szCs w:val="21"/>
          <w:highlight w:val="none"/>
        </w:rPr>
        <w:t xml:space="preserve">3</w:t>
      </w:r>
      <w:r>
        <w:rPr>
          <w:rFonts w:hint="eastAsia" w:ascii="Times New Roman"/>
          <w:szCs w:val="21"/>
          <w:highlight w:val="none"/>
        </w:rPr>
        <w:t xml:space="preserve">。</w:t>
      </w:r>
      <w:r/>
    </w:p>
    <w:p>
      <w:pPr>
        <w:pStyle w:val="1159"/>
        <w:rPr>
          <w:rFonts w:ascii="Times New Roman"/>
          <w:highlight w:val="none"/>
        </w:rPr>
      </w:pPr>
      <w:r>
        <w:rPr>
          <w:rFonts w:hint="eastAsia" w:ascii="Times New Roman"/>
          <w:highlight w:val="none"/>
        </w:rPr>
        <w:t xml:space="preserve">表</w:t>
      </w:r>
      <w:r>
        <w:rPr>
          <w:rFonts w:ascii="Times New Roman"/>
          <w:highlight w:val="none"/>
        </w:rPr>
        <w:t xml:space="preserve">3 </w:t>
      </w:r>
      <w:r>
        <w:rPr>
          <w:rFonts w:hint="eastAsia" w:ascii="Times New Roman"/>
          <w:highlight w:val="none"/>
        </w:rPr>
        <w:t xml:space="preserve">箱式变电站型式试验项目</w:t>
      </w:r>
      <w:r/>
    </w:p>
    <w:tbl>
      <w:tblPr>
        <w:tblStyle w:val="827"/>
        <w:tblW w:w="9571"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009"/>
        <w:gridCol w:w="6539"/>
        <w:gridCol w:w="2023"/>
      </w:tblGrid>
      <w:tr>
        <w:trPr>
          <w:cantSplit/>
          <w:jc w:val="center"/>
          <w:trHeight w:val="654"/>
        </w:trPr>
        <w:tc>
          <w:tcPr>
            <w:tcBorders>
              <w:top w:val="single" w:color="auto" w:sz="12" w:space="0"/>
              <w:left w:val="single" w:color="auto" w:sz="12" w:space="0"/>
              <w:bottom w:val="single" w:color="auto" w:sz="12" w:space="0"/>
            </w:tcBorders>
            <w:tcW w:w="1009" w:type="dxa"/>
            <w:vAlign w:val="center"/>
            <w:textDirection w:val="lrTb"/>
            <w:noWrap w:val="false"/>
          </w:tcPr>
          <w:p>
            <w:pPr>
              <w:pStyle w:val="896"/>
              <w:ind w:firstLine="0"/>
              <w:jc w:val="center"/>
              <w:tabs>
                <w:tab w:val="center" w:pos="4201" w:leader="none"/>
                <w:tab w:val="right" w:pos="9298" w:leader="dot"/>
              </w:tabs>
              <w:rPr>
                <w:rFonts w:ascii="Times New Roman"/>
                <w:sz w:val="18"/>
                <w:szCs w:val="18"/>
                <w:highlight w:val="none"/>
              </w:rPr>
            </w:pPr>
            <w:r>
              <w:rPr>
                <w:rFonts w:hint="eastAsia" w:ascii="Times New Roman"/>
                <w:sz w:val="18"/>
                <w:szCs w:val="18"/>
                <w:highlight w:val="none"/>
              </w:rPr>
              <w:t xml:space="preserve">序号</w:t>
            </w:r>
            <w:r/>
          </w:p>
        </w:tc>
        <w:tc>
          <w:tcPr>
            <w:tcBorders>
              <w:top w:val="single" w:color="auto" w:sz="12" w:space="0"/>
              <w:bottom w:val="single" w:color="auto" w:sz="12" w:space="0"/>
            </w:tcBorders>
            <w:tcW w:w="6539" w:type="dxa"/>
            <w:vAlign w:val="center"/>
            <w:textDirection w:val="lrTb"/>
            <w:noWrap w:val="false"/>
          </w:tcPr>
          <w:p>
            <w:pPr>
              <w:pStyle w:val="896"/>
              <w:ind w:firstLine="171"/>
              <w:jc w:val="center"/>
              <w:tabs>
                <w:tab w:val="center" w:pos="4201" w:leader="none"/>
                <w:tab w:val="right" w:pos="9298" w:leader="dot"/>
              </w:tabs>
              <w:rPr>
                <w:rFonts w:ascii="Times New Roman"/>
                <w:sz w:val="18"/>
                <w:szCs w:val="18"/>
                <w:highlight w:val="none"/>
              </w:rPr>
            </w:pPr>
            <w:r>
              <w:rPr>
                <w:rFonts w:hint="eastAsia" w:ascii="Times New Roman"/>
                <w:sz w:val="18"/>
                <w:szCs w:val="18"/>
                <w:highlight w:val="none"/>
              </w:rPr>
              <w:t xml:space="preserve">型式试验项目</w:t>
            </w:r>
            <w:r/>
          </w:p>
        </w:tc>
        <w:tc>
          <w:tcPr>
            <w:tcBorders>
              <w:top w:val="single" w:color="auto" w:sz="12" w:space="0"/>
              <w:bottom w:val="single" w:color="auto" w:sz="12" w:space="0"/>
              <w:right w:val="single" w:color="auto" w:sz="12" w:space="0"/>
            </w:tcBorders>
            <w:tcW w:w="2023" w:type="dxa"/>
            <w:vAlign w:val="center"/>
            <w:textDirection w:val="lrTb"/>
            <w:noWrap w:val="false"/>
          </w:tcPr>
          <w:p>
            <w:pPr>
              <w:jc w:val="center"/>
              <w:rPr>
                <w:sz w:val="18"/>
                <w:szCs w:val="18"/>
                <w:highlight w:val="none"/>
              </w:rPr>
            </w:pPr>
            <w:r>
              <w:rPr>
                <w:sz w:val="18"/>
                <w:szCs w:val="18"/>
                <w:highlight w:val="none"/>
              </w:rPr>
              <w:t xml:space="preserve">项目选择</w:t>
            </w:r>
            <w:r/>
          </w:p>
        </w:tc>
      </w:tr>
      <w:tr>
        <w:trPr>
          <w:cantSplit/>
          <w:jc w:val="center"/>
          <w:trHeight w:val="326"/>
        </w:trPr>
        <w:tc>
          <w:tcPr>
            <w:tcBorders>
              <w:top w:val="single" w:color="auto" w:sz="12" w:space="0"/>
              <w:left w:val="single" w:color="auto" w:sz="12" w:space="0"/>
              <w:bottom w:val="single" w:color="auto" w:sz="4" w:space="0"/>
              <w:right w:val="single" w:color="auto" w:sz="4" w:space="0"/>
            </w:tcBorders>
            <w:tcW w:w="1009" w:type="dxa"/>
            <w:vAlign w:val="center"/>
            <w:textDirection w:val="lrTb"/>
            <w:noWrap w:val="false"/>
          </w:tcPr>
          <w:p>
            <w:pPr>
              <w:pStyle w:val="896"/>
              <w:ind w:firstLine="0"/>
              <w:jc w:val="center"/>
              <w:tabs>
                <w:tab w:val="center" w:pos="4201" w:leader="none"/>
                <w:tab w:val="right" w:pos="9298" w:leader="dot"/>
              </w:tabs>
              <w:rPr>
                <w:rFonts w:ascii="Times New Roman"/>
                <w:sz w:val="18"/>
                <w:szCs w:val="18"/>
                <w:highlight w:val="none"/>
              </w:rPr>
            </w:pPr>
            <w:r>
              <w:rPr>
                <w:rFonts w:ascii="Times New Roman"/>
                <w:sz w:val="18"/>
                <w:szCs w:val="18"/>
                <w:highlight w:val="none"/>
              </w:rPr>
              <w:t xml:space="preserve">1</w:t>
            </w:r>
            <w:r/>
          </w:p>
        </w:tc>
        <w:tc>
          <w:tcPr>
            <w:tcBorders>
              <w:top w:val="single" w:color="auto" w:sz="12" w:space="0"/>
              <w:left w:val="single" w:color="auto" w:sz="4" w:space="0"/>
              <w:bottom w:val="single" w:color="auto" w:sz="4" w:space="0"/>
            </w:tcBorders>
            <w:tcW w:w="6539" w:type="dxa"/>
            <w:vAlign w:val="center"/>
            <w:textDirection w:val="lrTb"/>
            <w:noWrap w:val="false"/>
          </w:tcPr>
          <w:p>
            <w:pPr>
              <w:jc w:val="center"/>
              <w:rPr>
                <w:sz w:val="18"/>
                <w:szCs w:val="18"/>
                <w:highlight w:val="none"/>
              </w:rPr>
            </w:pPr>
            <w:r>
              <w:rPr>
                <w:sz w:val="18"/>
                <w:szCs w:val="18"/>
                <w:highlight w:val="none"/>
              </w:rPr>
              <w:t xml:space="preserve">绝缘试验</w:t>
            </w:r>
            <w:r/>
          </w:p>
        </w:tc>
        <w:tc>
          <w:tcPr>
            <w:tcBorders>
              <w:top w:val="single" w:color="auto" w:sz="12" w:space="0"/>
            </w:tcBorders>
            <w:tcW w:w="2023"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Borders>
              <w:top w:val="single" w:color="auto" w:sz="4" w:space="0"/>
              <w:left w:val="single" w:color="auto" w:sz="12" w:space="0"/>
              <w:bottom w:val="single" w:color="auto" w:sz="4" w:space="0"/>
              <w:right w:val="single" w:color="auto" w:sz="4" w:space="0"/>
            </w:tcBorders>
            <w:tcW w:w="1009" w:type="dxa"/>
            <w:vAlign w:val="center"/>
            <w:textDirection w:val="lrTb"/>
            <w:noWrap w:val="false"/>
          </w:tcPr>
          <w:p>
            <w:pPr>
              <w:pStyle w:val="896"/>
              <w:ind w:firstLine="0"/>
              <w:jc w:val="center"/>
              <w:tabs>
                <w:tab w:val="center" w:pos="4201" w:leader="none"/>
                <w:tab w:val="right" w:pos="9298" w:leader="dot"/>
              </w:tabs>
              <w:rPr>
                <w:rFonts w:ascii="Times New Roman"/>
                <w:sz w:val="18"/>
                <w:szCs w:val="18"/>
                <w:highlight w:val="none"/>
              </w:rPr>
            </w:pPr>
            <w:r>
              <w:rPr>
                <w:rFonts w:ascii="Times New Roman"/>
                <w:sz w:val="18"/>
                <w:szCs w:val="18"/>
                <w:highlight w:val="none"/>
              </w:rPr>
              <w:t xml:space="preserve">2</w:t>
            </w:r>
            <w:r/>
          </w:p>
        </w:tc>
        <w:tc>
          <w:tcPr>
            <w:tcBorders>
              <w:top w:val="single" w:color="auto" w:sz="4" w:space="0"/>
              <w:left w:val="single" w:color="auto" w:sz="4" w:space="0"/>
              <w:bottom w:val="single" w:color="auto" w:sz="4" w:space="0"/>
            </w:tcBorders>
            <w:tcW w:w="6539" w:type="dxa"/>
            <w:vAlign w:val="center"/>
            <w:textDirection w:val="lrTb"/>
            <w:noWrap w:val="false"/>
          </w:tcPr>
          <w:p>
            <w:pPr>
              <w:jc w:val="center"/>
              <w:rPr>
                <w:sz w:val="18"/>
                <w:szCs w:val="18"/>
                <w:highlight w:val="none"/>
              </w:rPr>
            </w:pPr>
            <w:r>
              <w:rPr>
                <w:sz w:val="18"/>
                <w:szCs w:val="18"/>
                <w:highlight w:val="none"/>
              </w:rPr>
              <w:t xml:space="preserve">温升试验</w:t>
            </w:r>
            <w:r/>
          </w:p>
        </w:tc>
        <w:tc>
          <w:tcPr>
            <w:tcW w:w="2023"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Borders>
              <w:top w:val="single" w:color="auto" w:sz="4" w:space="0"/>
            </w:tcBorders>
            <w:tcW w:w="1009" w:type="dxa"/>
            <w:vAlign w:val="center"/>
            <w:textDirection w:val="lrTb"/>
            <w:noWrap w:val="false"/>
          </w:tcPr>
          <w:p>
            <w:pPr>
              <w:pStyle w:val="896"/>
              <w:ind w:firstLine="0"/>
              <w:jc w:val="center"/>
              <w:tabs>
                <w:tab w:val="center" w:pos="4201" w:leader="none"/>
                <w:tab w:val="right" w:pos="9298" w:leader="dot"/>
              </w:tabs>
              <w:rPr>
                <w:rFonts w:ascii="Times New Roman"/>
                <w:sz w:val="18"/>
                <w:szCs w:val="18"/>
                <w:highlight w:val="none"/>
              </w:rPr>
            </w:pPr>
            <w:r>
              <w:rPr>
                <w:rFonts w:ascii="Times New Roman"/>
                <w:sz w:val="18"/>
                <w:szCs w:val="18"/>
                <w:highlight w:val="none"/>
              </w:rPr>
              <w:t xml:space="preserve">3</w:t>
            </w:r>
            <w:r/>
          </w:p>
        </w:tc>
        <w:tc>
          <w:tcPr>
            <w:tcBorders>
              <w:top w:val="single" w:color="auto" w:sz="4" w:space="0"/>
            </w:tcBorders>
            <w:tcW w:w="6539" w:type="dxa"/>
            <w:vAlign w:val="center"/>
            <w:textDirection w:val="lrTb"/>
            <w:noWrap w:val="false"/>
          </w:tcPr>
          <w:p>
            <w:pPr>
              <w:jc w:val="center"/>
              <w:rPr>
                <w:sz w:val="18"/>
                <w:szCs w:val="18"/>
                <w:highlight w:val="none"/>
              </w:rPr>
            </w:pPr>
            <w:r>
              <w:rPr>
                <w:sz w:val="18"/>
                <w:szCs w:val="18"/>
                <w:highlight w:val="none"/>
              </w:rPr>
              <w:t xml:space="preserve">主回路和接地回路的短时耐受电流和峰值耐受电流试验</w:t>
            </w:r>
            <w:r/>
          </w:p>
        </w:tc>
        <w:tc>
          <w:tcPr>
            <w:tcW w:w="2023"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Borders>
              <w:top w:val="single" w:color="auto" w:sz="4" w:space="0"/>
            </w:tcBorders>
            <w:tcW w:w="1009" w:type="dxa"/>
            <w:vAlign w:val="center"/>
            <w:textDirection w:val="lrTb"/>
            <w:noWrap w:val="false"/>
          </w:tcPr>
          <w:p>
            <w:pPr>
              <w:jc w:val="center"/>
              <w:rPr>
                <w:sz w:val="18"/>
                <w:szCs w:val="18"/>
                <w:highlight w:val="none"/>
              </w:rPr>
            </w:pPr>
            <w:r>
              <w:rPr>
                <w:sz w:val="18"/>
                <w:szCs w:val="18"/>
                <w:highlight w:val="none"/>
              </w:rPr>
              <w:t xml:space="preserve">4</w:t>
            </w:r>
            <w:r/>
          </w:p>
        </w:tc>
        <w:tc>
          <w:tcPr>
            <w:tcBorders>
              <w:top w:val="single" w:color="auto" w:sz="4" w:space="0"/>
            </w:tcBorders>
            <w:tcW w:w="6539" w:type="dxa"/>
            <w:vAlign w:val="center"/>
            <w:textDirection w:val="lrTb"/>
            <w:noWrap w:val="false"/>
          </w:tcPr>
          <w:p>
            <w:pPr>
              <w:jc w:val="center"/>
              <w:rPr>
                <w:sz w:val="18"/>
                <w:szCs w:val="18"/>
                <w:highlight w:val="none"/>
              </w:rPr>
            </w:pPr>
            <w:r>
              <w:rPr>
                <w:sz w:val="18"/>
                <w:szCs w:val="18"/>
                <w:highlight w:val="none"/>
              </w:rPr>
              <w:t xml:space="preserve">防护等级试验</w:t>
            </w:r>
            <w:r/>
          </w:p>
        </w:tc>
        <w:tc>
          <w:tcPr>
            <w:tcW w:w="2023"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W w:w="1009" w:type="dxa"/>
            <w:vAlign w:val="center"/>
            <w:textDirection w:val="lrTb"/>
            <w:noWrap w:val="false"/>
          </w:tcPr>
          <w:p>
            <w:pPr>
              <w:jc w:val="center"/>
              <w:rPr>
                <w:sz w:val="18"/>
                <w:szCs w:val="18"/>
                <w:highlight w:val="none"/>
              </w:rPr>
            </w:pPr>
            <w:r>
              <w:rPr>
                <w:sz w:val="18"/>
                <w:szCs w:val="18"/>
                <w:highlight w:val="none"/>
              </w:rPr>
              <w:t xml:space="preserve">5</w:t>
            </w:r>
            <w:r/>
          </w:p>
        </w:tc>
        <w:tc>
          <w:tcPr>
            <w:tcW w:w="6539" w:type="dxa"/>
            <w:vAlign w:val="center"/>
            <w:textDirection w:val="lrTb"/>
            <w:noWrap w:val="false"/>
          </w:tcPr>
          <w:p>
            <w:pPr>
              <w:jc w:val="center"/>
              <w:rPr>
                <w:sz w:val="18"/>
                <w:szCs w:val="18"/>
                <w:highlight w:val="none"/>
              </w:rPr>
            </w:pPr>
            <w:r>
              <w:rPr>
                <w:sz w:val="18"/>
                <w:szCs w:val="18"/>
                <w:highlight w:val="none"/>
              </w:rPr>
              <w:t xml:space="preserve">耐受机械应力的试验</w:t>
            </w:r>
            <w:r/>
          </w:p>
        </w:tc>
        <w:tc>
          <w:tcPr>
            <w:tcW w:w="2023"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W w:w="1009" w:type="dxa"/>
            <w:vAlign w:val="center"/>
            <w:textDirection w:val="lrTb"/>
            <w:noWrap w:val="false"/>
          </w:tcPr>
          <w:p>
            <w:pPr>
              <w:jc w:val="center"/>
              <w:rPr>
                <w:sz w:val="18"/>
                <w:szCs w:val="18"/>
                <w:highlight w:val="none"/>
              </w:rPr>
            </w:pPr>
            <w:r>
              <w:rPr>
                <w:sz w:val="18"/>
                <w:szCs w:val="18"/>
                <w:highlight w:val="none"/>
              </w:rPr>
              <w:t xml:space="preserve">6</w:t>
            </w:r>
            <w:r/>
          </w:p>
        </w:tc>
        <w:tc>
          <w:tcPr>
            <w:tcW w:w="6539" w:type="dxa"/>
            <w:vAlign w:val="center"/>
            <w:textDirection w:val="lrTb"/>
            <w:noWrap w:val="false"/>
          </w:tcPr>
          <w:p>
            <w:pPr>
              <w:jc w:val="center"/>
              <w:rPr>
                <w:sz w:val="18"/>
                <w:szCs w:val="18"/>
                <w:highlight w:val="none"/>
              </w:rPr>
            </w:pPr>
            <w:r>
              <w:rPr>
                <w:rFonts w:hint="eastAsia"/>
                <w:sz w:val="18"/>
                <w:szCs w:val="18"/>
                <w:highlight w:val="none"/>
              </w:rPr>
              <w:t xml:space="preserve">辅助和控制回路的附加试验</w:t>
            </w:r>
            <w:r/>
          </w:p>
        </w:tc>
        <w:tc>
          <w:tcPr>
            <w:tcW w:w="2023"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W w:w="1009" w:type="dxa"/>
            <w:vAlign w:val="center"/>
            <w:textDirection w:val="lrTb"/>
            <w:noWrap w:val="false"/>
          </w:tcPr>
          <w:p>
            <w:pPr>
              <w:jc w:val="center"/>
              <w:rPr>
                <w:sz w:val="18"/>
                <w:szCs w:val="18"/>
                <w:highlight w:val="none"/>
              </w:rPr>
            </w:pPr>
            <w:r>
              <w:rPr>
                <w:sz w:val="18"/>
                <w:szCs w:val="18"/>
                <w:highlight w:val="none"/>
              </w:rPr>
              <w:t xml:space="preserve">7</w:t>
            </w:r>
            <w:r/>
          </w:p>
        </w:tc>
        <w:tc>
          <w:tcPr>
            <w:tcW w:w="6539" w:type="dxa"/>
            <w:vAlign w:val="center"/>
            <w:textDirection w:val="lrTb"/>
            <w:noWrap w:val="false"/>
          </w:tcPr>
          <w:p>
            <w:pPr>
              <w:jc w:val="center"/>
              <w:rPr>
                <w:sz w:val="18"/>
                <w:szCs w:val="18"/>
                <w:highlight w:val="none"/>
              </w:rPr>
            </w:pPr>
            <w:r>
              <w:rPr>
                <w:rFonts w:hint="eastAsia"/>
                <w:sz w:val="18"/>
                <w:szCs w:val="18"/>
                <w:highlight w:val="none"/>
              </w:rPr>
              <w:t xml:space="preserve">声级试验</w:t>
            </w:r>
            <w:r/>
          </w:p>
        </w:tc>
        <w:tc>
          <w:tcPr>
            <w:tcW w:w="2023"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W w:w="1009" w:type="dxa"/>
            <w:vAlign w:val="center"/>
            <w:textDirection w:val="lrTb"/>
            <w:noWrap w:val="false"/>
          </w:tcPr>
          <w:p>
            <w:pPr>
              <w:jc w:val="center"/>
              <w:rPr>
                <w:sz w:val="18"/>
                <w:szCs w:val="18"/>
                <w:highlight w:val="none"/>
              </w:rPr>
            </w:pPr>
            <w:r>
              <w:rPr>
                <w:sz w:val="18"/>
                <w:szCs w:val="18"/>
                <w:highlight w:val="none"/>
              </w:rPr>
              <w:t xml:space="preserve">8</w:t>
            </w:r>
            <w:r/>
          </w:p>
        </w:tc>
        <w:tc>
          <w:tcPr>
            <w:tcW w:w="6539" w:type="dxa"/>
            <w:vAlign w:val="center"/>
            <w:textDirection w:val="lrTb"/>
            <w:noWrap w:val="false"/>
          </w:tcPr>
          <w:p>
            <w:pPr>
              <w:jc w:val="center"/>
              <w:rPr>
                <w:sz w:val="18"/>
                <w:szCs w:val="18"/>
                <w:highlight w:val="none"/>
              </w:rPr>
            </w:pPr>
            <w:r>
              <w:rPr>
                <w:rFonts w:hint="eastAsia"/>
                <w:sz w:val="18"/>
                <w:szCs w:val="18"/>
                <w:highlight w:val="none"/>
              </w:rPr>
              <w:t xml:space="preserve">电磁</w:t>
            </w:r>
            <w:r>
              <w:rPr>
                <w:sz w:val="18"/>
                <w:szCs w:val="18"/>
                <w:highlight w:val="none"/>
              </w:rPr>
              <w:t xml:space="preserve">兼容性试验（</w:t>
            </w:r>
            <w:r>
              <w:rPr>
                <w:rFonts w:hint="eastAsia"/>
                <w:sz w:val="18"/>
                <w:szCs w:val="18"/>
                <w:highlight w:val="none"/>
              </w:rPr>
              <w:t xml:space="preserve">EMC</w:t>
            </w:r>
            <w:r>
              <w:rPr>
                <w:sz w:val="18"/>
                <w:szCs w:val="18"/>
                <w:highlight w:val="none"/>
              </w:rPr>
              <w:t xml:space="preserve">）</w:t>
            </w:r>
            <w:r/>
          </w:p>
        </w:tc>
        <w:tc>
          <w:tcPr>
            <w:tcW w:w="2023" w:type="dxa"/>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W w:w="1009" w:type="dxa"/>
            <w:vAlign w:val="center"/>
            <w:textDirection w:val="lrTb"/>
            <w:noWrap w:val="false"/>
          </w:tcPr>
          <w:p>
            <w:pPr>
              <w:jc w:val="center"/>
              <w:rPr>
                <w:sz w:val="18"/>
                <w:szCs w:val="18"/>
                <w:highlight w:val="none"/>
              </w:rPr>
            </w:pPr>
            <w:r>
              <w:rPr>
                <w:sz w:val="18"/>
                <w:szCs w:val="18"/>
                <w:highlight w:val="none"/>
              </w:rPr>
              <w:t xml:space="preserve">9</w:t>
            </w:r>
            <w:r/>
          </w:p>
        </w:tc>
        <w:tc>
          <w:tcPr>
            <w:tcW w:w="6539" w:type="dxa"/>
            <w:vAlign w:val="center"/>
            <w:textDirection w:val="lrTb"/>
            <w:noWrap w:val="false"/>
          </w:tcPr>
          <w:p>
            <w:pPr>
              <w:jc w:val="center"/>
              <w:rPr>
                <w:sz w:val="18"/>
                <w:szCs w:val="18"/>
                <w:highlight w:val="none"/>
              </w:rPr>
            </w:pPr>
            <w:r>
              <w:rPr>
                <w:sz w:val="18"/>
                <w:szCs w:val="18"/>
                <w:highlight w:val="none"/>
              </w:rPr>
              <w:t xml:space="preserve">内部电弧试验</w:t>
            </w:r>
            <w:r/>
          </w:p>
        </w:tc>
        <w:tc>
          <w:tcPr>
            <w:tcW w:w="2023" w:type="dxa"/>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524"/>
        </w:trPr>
        <w:tc>
          <w:tcPr>
            <w:gridSpan w:val="3"/>
            <w:tcW w:w="9571" w:type="dxa"/>
            <w:vAlign w:val="center"/>
            <w:textDirection w:val="lrTb"/>
            <w:noWrap w:val="false"/>
          </w:tcPr>
          <w:p>
            <w:pPr>
              <w:pStyle w:val="848"/>
              <w:rPr>
                <w:rFonts w:ascii="Times New Roman" w:hAnsi="Times New Roman"/>
                <w:sz w:val="18"/>
                <w:szCs w:val="18"/>
                <w:highlight w:val="none"/>
              </w:rPr>
            </w:pPr>
            <w:r>
              <w:rPr>
                <w:rFonts w:ascii="Times New Roman" w:hAnsi="Times New Roman"/>
                <w:sz w:val="18"/>
                <w:szCs w:val="18"/>
                <w:highlight w:val="none"/>
              </w:rPr>
              <w:t xml:space="preserve">注：“</w:t>
            </w:r>
            <w:r>
              <w:rPr>
                <w:rFonts w:hint="eastAsia" w:ascii="Times New Roman" w:hAnsi="Times New Roman"/>
                <w:sz w:val="18"/>
                <w:szCs w:val="18"/>
                <w:highlight w:val="none"/>
              </w:rPr>
              <w:t xml:space="preserve">△</w:t>
            </w:r>
            <w:r>
              <w:rPr>
                <w:rFonts w:ascii="Times New Roman" w:hAnsi="Times New Roman"/>
                <w:sz w:val="18"/>
                <w:szCs w:val="18"/>
                <w:highlight w:val="none"/>
              </w:rPr>
              <w:t xml:space="preserve">”为必做项目，“*”为选做项目。</w:t>
            </w:r>
            <w:r/>
          </w:p>
        </w:tc>
      </w:tr>
    </w:tbl>
    <w:p>
      <w:pPr>
        <w:pStyle w:val="896"/>
        <w:ind w:firstLine="0"/>
        <w:rPr>
          <w:rFonts w:ascii="Times New Roman"/>
          <w:szCs w:val="21"/>
          <w:highlight w:val="none"/>
        </w:rPr>
      </w:pPr>
      <w:r>
        <w:rPr>
          <w:rFonts w:hint="eastAsia" w:ascii="Times New Roman"/>
          <w:szCs w:val="21"/>
          <w:highlight w:val="none"/>
          <w:lang w:val="en-US" w:eastAsia="zh-CN"/>
        </w:rPr>
        <w:t xml:space="preserve">8</w:t>
      </w:r>
      <w:r>
        <w:rPr>
          <w:rFonts w:ascii="Times New Roman"/>
          <w:szCs w:val="21"/>
          <w:highlight w:val="none"/>
        </w:rPr>
        <w:t xml:space="preserve">.1.2 </w:t>
      </w:r>
      <w:r>
        <w:rPr>
          <w:rFonts w:hint="eastAsia" w:ascii="Times New Roman"/>
          <w:szCs w:val="21"/>
          <w:highlight w:val="none"/>
        </w:rPr>
        <w:t xml:space="preserve">高压开关设备和控制设备</w:t>
      </w:r>
      <w:r/>
    </w:p>
    <w:p>
      <w:pPr>
        <w:pStyle w:val="896"/>
        <w:ind w:firstLine="420"/>
        <w:tabs>
          <w:tab w:val="center" w:pos="4201" w:leader="none"/>
          <w:tab w:val="right" w:pos="9298" w:leader="dot"/>
        </w:tabs>
        <w:rPr>
          <w:rFonts w:ascii="Times New Roman"/>
          <w:szCs w:val="21"/>
          <w:highlight w:val="none"/>
        </w:rPr>
      </w:pPr>
      <w:r>
        <w:rPr>
          <w:rFonts w:hint="eastAsia" w:ascii="Times New Roman"/>
          <w:szCs w:val="21"/>
          <w:highlight w:val="none"/>
        </w:rPr>
        <w:t xml:space="preserve">箱式变电站选用的环网柜应按</w:t>
      </w:r>
      <w:r>
        <w:rPr>
          <w:rFonts w:ascii="Times New Roman"/>
          <w:szCs w:val="21"/>
          <w:highlight w:val="none"/>
        </w:rPr>
        <w:t xml:space="preserve">GB 3906</w:t>
      </w:r>
      <w:r>
        <w:rPr>
          <w:rFonts w:hint="eastAsia" w:ascii="Times New Roman"/>
          <w:szCs w:val="21"/>
          <w:highlight w:val="none"/>
        </w:rPr>
        <w:t xml:space="preserve">、</w:t>
      </w:r>
      <w:r>
        <w:rPr>
          <w:rFonts w:ascii="Times New Roman"/>
          <w:szCs w:val="21"/>
          <w:highlight w:val="none"/>
        </w:rPr>
        <w:t xml:space="preserve">DL/T 404</w:t>
      </w:r>
      <w:r>
        <w:rPr>
          <w:rFonts w:hint="eastAsia" w:ascii="Times New Roman"/>
          <w:szCs w:val="21"/>
          <w:highlight w:val="none"/>
        </w:rPr>
        <w:t xml:space="preserve">的规定进行完整的型式试验，试验项目及试验参数符合</w:t>
      </w:r>
      <w:r>
        <w:rPr>
          <w:rFonts w:ascii="Times New Roman"/>
          <w:szCs w:val="21"/>
          <w:highlight w:val="none"/>
        </w:rPr>
        <w:t xml:space="preserve">Q/GDW 11250</w:t>
      </w:r>
      <w:r>
        <w:rPr>
          <w:rFonts w:hint="eastAsia" w:ascii="Times New Roman"/>
          <w:szCs w:val="21"/>
          <w:highlight w:val="none"/>
        </w:rPr>
        <w:t xml:space="preserve">的要求。</w:t>
      </w:r>
      <w:r/>
    </w:p>
    <w:p>
      <w:pPr>
        <w:pStyle w:val="896"/>
        <w:ind w:firstLine="0"/>
        <w:rPr>
          <w:rFonts w:ascii="Times New Roman"/>
          <w:szCs w:val="21"/>
          <w:highlight w:val="none"/>
        </w:rPr>
      </w:pPr>
      <w:r>
        <w:rPr>
          <w:rFonts w:hint="eastAsia" w:ascii="Times New Roman"/>
          <w:szCs w:val="21"/>
          <w:highlight w:val="none"/>
          <w:lang w:val="en-US" w:eastAsia="zh-CN"/>
        </w:rPr>
        <w:t xml:space="preserve">8</w:t>
      </w:r>
      <w:r>
        <w:rPr>
          <w:rFonts w:ascii="Times New Roman"/>
          <w:szCs w:val="21"/>
          <w:highlight w:val="none"/>
        </w:rPr>
        <w:t xml:space="preserve">.1.3 </w:t>
      </w:r>
      <w:r>
        <w:rPr>
          <w:rFonts w:hint="eastAsia" w:ascii="Times New Roman"/>
          <w:szCs w:val="21"/>
          <w:highlight w:val="none"/>
        </w:rPr>
        <w:t xml:space="preserve">低压开关设备和控制设备</w:t>
      </w:r>
      <w:r/>
    </w:p>
    <w:p>
      <w:pPr>
        <w:pStyle w:val="896"/>
        <w:ind w:firstLine="420"/>
        <w:tabs>
          <w:tab w:val="center" w:pos="4201" w:leader="none"/>
          <w:tab w:val="right" w:pos="9298" w:leader="dot"/>
        </w:tabs>
        <w:rPr>
          <w:rFonts w:ascii="Times New Roman"/>
          <w:szCs w:val="21"/>
          <w:highlight w:val="none"/>
        </w:rPr>
      </w:pPr>
      <w:r>
        <w:rPr>
          <w:rFonts w:hint="eastAsia" w:ascii="Times New Roman"/>
          <w:szCs w:val="21"/>
          <w:highlight w:val="none"/>
        </w:rPr>
        <w:t xml:space="preserve">箱式变电站选用的低压成套开关柜应按GB 7251.1的规定进行完整的型式试验，试验项目及试验参数符合</w:t>
      </w:r>
      <w:r>
        <w:rPr>
          <w:rFonts w:ascii="Times New Roman"/>
          <w:szCs w:val="21"/>
          <w:highlight w:val="none"/>
        </w:rPr>
        <w:t xml:space="preserve">GB 7251.1</w:t>
      </w:r>
      <w:r>
        <w:rPr>
          <w:rFonts w:hint="eastAsia" w:ascii="Times New Roman"/>
          <w:szCs w:val="21"/>
          <w:highlight w:val="none"/>
        </w:rPr>
        <w:t xml:space="preserve">的相关要求。</w:t>
      </w:r>
      <w:r/>
    </w:p>
    <w:p>
      <w:pPr>
        <w:pStyle w:val="896"/>
        <w:ind w:firstLine="420"/>
        <w:tabs>
          <w:tab w:val="center" w:pos="4201" w:leader="none"/>
          <w:tab w:val="right" w:pos="9298" w:leader="dot"/>
        </w:tabs>
        <w:rPr>
          <w:rFonts w:ascii="Times New Roman"/>
          <w:szCs w:val="21"/>
          <w:highlight w:val="none"/>
        </w:rPr>
      </w:pPr>
      <w:r>
        <w:rPr>
          <w:rFonts w:hint="eastAsia" w:ascii="Times New Roman"/>
          <w:szCs w:val="21"/>
          <w:highlight w:val="none"/>
        </w:rPr>
        <w:t xml:space="preserve">满足 GB/T 14048.2 要求的 0.4kV 受总断路器电子脱扣器电磁场骚扰抗干扰、热冲击型式试验。</w:t>
      </w:r>
      <w:r/>
    </w:p>
    <w:p>
      <w:pPr>
        <w:pStyle w:val="896"/>
        <w:ind w:firstLine="0"/>
        <w:rPr>
          <w:rFonts w:ascii="Times New Roman"/>
          <w:szCs w:val="21"/>
          <w:highlight w:val="none"/>
        </w:rPr>
      </w:pPr>
      <w:r>
        <w:rPr>
          <w:rFonts w:hint="eastAsia" w:ascii="Times New Roman"/>
          <w:szCs w:val="21"/>
          <w:highlight w:val="none"/>
          <w:lang w:val="en-US" w:eastAsia="zh-CN"/>
        </w:rPr>
        <w:t xml:space="preserve">8</w:t>
      </w:r>
      <w:r>
        <w:rPr>
          <w:rFonts w:ascii="Times New Roman"/>
          <w:szCs w:val="21"/>
          <w:highlight w:val="none"/>
        </w:rPr>
        <w:t xml:space="preserve">1.4 </w:t>
      </w:r>
      <w:r>
        <w:rPr>
          <w:rFonts w:hint="eastAsia" w:ascii="Times New Roman"/>
          <w:szCs w:val="21"/>
          <w:highlight w:val="none"/>
        </w:rPr>
        <w:t xml:space="preserve">配电变压器</w:t>
      </w:r>
      <w:r/>
    </w:p>
    <w:p>
      <w:pPr>
        <w:pStyle w:val="896"/>
        <w:ind w:firstLine="420"/>
        <w:rPr>
          <w:rFonts w:ascii="Times New Roman"/>
          <w:szCs w:val="21"/>
          <w:highlight w:val="none"/>
        </w:rPr>
      </w:pPr>
      <w:r>
        <w:rPr>
          <w:rFonts w:hint="eastAsia"/>
          <w:szCs w:val="21"/>
          <w:highlight w:val="none"/>
        </w:rPr>
        <w:t xml:space="preserve">箱式变电站选用的配电变压器应按</w:t>
      </w:r>
      <w:r>
        <w:rPr>
          <w:szCs w:val="21"/>
          <w:highlight w:val="none"/>
        </w:rPr>
        <w:t xml:space="preserve">GB</w:t>
      </w:r>
      <w:r>
        <w:rPr>
          <w:rFonts w:hint="eastAsia"/>
          <w:szCs w:val="21"/>
          <w:highlight w:val="none"/>
        </w:rPr>
        <w:t xml:space="preserve">/T</w:t>
      </w:r>
      <w:r>
        <w:rPr>
          <w:szCs w:val="21"/>
          <w:highlight w:val="none"/>
        </w:rPr>
        <w:t xml:space="preserve"> 1094</w:t>
      </w:r>
      <w:r>
        <w:rPr>
          <w:rFonts w:hint="eastAsia"/>
          <w:szCs w:val="21"/>
          <w:highlight w:val="none"/>
        </w:rPr>
        <w:t xml:space="preserve">、</w:t>
      </w:r>
      <w:r>
        <w:rPr>
          <w:szCs w:val="21"/>
          <w:highlight w:val="none"/>
        </w:rPr>
        <w:t xml:space="preserve">GB/T 6451</w:t>
      </w:r>
      <w:r>
        <w:rPr>
          <w:rFonts w:hint="eastAsia"/>
          <w:szCs w:val="21"/>
          <w:highlight w:val="none"/>
        </w:rPr>
        <w:t xml:space="preserve">的规定进行完整的型式试验，试验项目及试验参数符合Q/GDW 11249的要求。</w:t>
      </w:r>
      <w:r/>
    </w:p>
    <w:p>
      <w:pPr>
        <w:rPr>
          <w:highlight w:val="none"/>
        </w:rPr>
      </w:pPr>
      <w:r/>
      <w:bookmarkStart w:id="250" w:name="_Toc165125338"/>
      <w:r/>
      <w:bookmarkStart w:id="251" w:name="_Toc156016652"/>
      <w:r/>
      <w:bookmarkStart w:id="252" w:name="_Toc340376542"/>
      <w:r/>
      <w:bookmarkStart w:id="253" w:name="_Toc252017590"/>
      <w:r>
        <w:rPr>
          <w:rFonts w:hint="eastAsia" w:eastAsia="黑体"/>
          <w:szCs w:val="21"/>
          <w:highlight w:val="none"/>
          <w:lang w:val="en-US" w:eastAsia="zh-CN"/>
        </w:rPr>
        <w:t xml:space="preserve">8</w:t>
      </w:r>
      <w:r>
        <w:rPr>
          <w:rFonts w:eastAsia="黑体"/>
          <w:szCs w:val="24"/>
          <w:highlight w:val="none"/>
        </w:rPr>
        <w:t xml:space="preserve">.2　出厂试验</w:t>
      </w:r>
      <w:bookmarkEnd w:id="250"/>
      <w:r/>
      <w:bookmarkEnd w:id="251"/>
      <w:r/>
      <w:bookmarkEnd w:id="252"/>
      <w:r/>
      <w:bookmarkEnd w:id="253"/>
      <w:r/>
      <w:r/>
    </w:p>
    <w:p>
      <w:pPr>
        <w:pStyle w:val="896"/>
        <w:ind w:firstLine="420"/>
        <w:tabs>
          <w:tab w:val="center" w:pos="4201" w:leader="none"/>
          <w:tab w:val="right" w:pos="9298" w:leader="dot"/>
        </w:tabs>
        <w:rPr>
          <w:rFonts w:ascii="Times New Roman"/>
          <w:highlight w:val="none"/>
        </w:rPr>
      </w:pPr>
      <w:r>
        <w:rPr>
          <w:rFonts w:hint="eastAsia" w:ascii="Times New Roman"/>
          <w:highlight w:val="none"/>
        </w:rPr>
        <w:t xml:space="preserve">每台箱式变电站均应在工厂内进行整台组装和出厂试验，并附有满足国家出厂试验标准的测试数据和文件，试验合格后方可出厂。出厂试验报告和技术资料应随产品一起交付用户。产品在拆前应对关键的连接部位和部件做好标记。出厂试验项目见表</w:t>
      </w:r>
      <w:r>
        <w:rPr>
          <w:rFonts w:ascii="Times New Roman"/>
          <w:highlight w:val="none"/>
        </w:rPr>
        <w:t xml:space="preserve">4</w:t>
      </w:r>
      <w:r>
        <w:rPr>
          <w:rFonts w:hint="eastAsia" w:ascii="Times New Roman"/>
          <w:highlight w:val="none"/>
        </w:rPr>
        <w:t xml:space="preserve">。</w:t>
      </w:r>
      <w:r/>
    </w:p>
    <w:p>
      <w:pPr>
        <w:pStyle w:val="1159"/>
        <w:rPr>
          <w:rFonts w:ascii="Times New Roman"/>
          <w:highlight w:val="none"/>
        </w:rPr>
      </w:pPr>
      <w:r>
        <w:rPr>
          <w:rFonts w:hint="eastAsia" w:ascii="Times New Roman"/>
          <w:highlight w:val="none"/>
        </w:rPr>
        <w:t xml:space="preserve">表</w:t>
      </w:r>
      <w:r>
        <w:rPr>
          <w:rFonts w:ascii="Times New Roman"/>
          <w:highlight w:val="none"/>
        </w:rPr>
        <w:t xml:space="preserve">4 </w:t>
      </w:r>
      <w:r>
        <w:rPr>
          <w:rFonts w:hint="eastAsia" w:ascii="Times New Roman"/>
          <w:highlight w:val="none"/>
        </w:rPr>
        <w:t xml:space="preserve">箱式变电站出厂试验项目</w:t>
      </w:r>
      <w:r/>
    </w:p>
    <w:tbl>
      <w:tblPr>
        <w:tblStyle w:val="827"/>
        <w:tblW w:w="8983"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51"/>
        <w:gridCol w:w="6946"/>
        <w:gridCol w:w="1186"/>
      </w:tblGrid>
      <w:tr>
        <w:trPr>
          <w:cantSplit/>
          <w:jc w:val="center"/>
          <w:trHeight w:val="654"/>
        </w:trPr>
        <w:tc>
          <w:tcPr>
            <w:tcBorders>
              <w:top w:val="single" w:color="auto" w:sz="12" w:space="0"/>
              <w:left w:val="single" w:color="auto" w:sz="12" w:space="0"/>
              <w:bottom w:val="single" w:color="auto" w:sz="12" w:space="0"/>
            </w:tcBorders>
            <w:tcW w:w="851" w:type="dxa"/>
            <w:vAlign w:val="center"/>
            <w:textDirection w:val="lrTb"/>
            <w:noWrap w:val="false"/>
          </w:tcPr>
          <w:p>
            <w:pPr>
              <w:pStyle w:val="896"/>
              <w:ind w:firstLine="0"/>
              <w:jc w:val="center"/>
              <w:tabs>
                <w:tab w:val="center" w:pos="4201" w:leader="none"/>
                <w:tab w:val="right" w:pos="9298" w:leader="dot"/>
              </w:tabs>
              <w:rPr>
                <w:rFonts w:ascii="Times New Roman"/>
                <w:sz w:val="18"/>
                <w:szCs w:val="18"/>
                <w:highlight w:val="none"/>
              </w:rPr>
            </w:pPr>
            <w:r>
              <w:rPr>
                <w:rFonts w:hint="eastAsia" w:ascii="Times New Roman"/>
                <w:sz w:val="18"/>
                <w:szCs w:val="18"/>
                <w:highlight w:val="none"/>
              </w:rPr>
              <w:t xml:space="preserve">序号</w:t>
            </w:r>
            <w:r/>
          </w:p>
        </w:tc>
        <w:tc>
          <w:tcPr>
            <w:tcBorders>
              <w:top w:val="single" w:color="auto" w:sz="12" w:space="0"/>
              <w:bottom w:val="single" w:color="auto" w:sz="12" w:space="0"/>
            </w:tcBorders>
            <w:tcW w:w="6946" w:type="dxa"/>
            <w:vAlign w:val="center"/>
            <w:textDirection w:val="lrTb"/>
            <w:noWrap w:val="false"/>
          </w:tcPr>
          <w:p>
            <w:pPr>
              <w:pStyle w:val="896"/>
              <w:ind w:firstLine="171"/>
              <w:jc w:val="center"/>
              <w:tabs>
                <w:tab w:val="center" w:pos="4201" w:leader="none"/>
                <w:tab w:val="right" w:pos="9298" w:leader="dot"/>
              </w:tabs>
              <w:rPr>
                <w:rFonts w:ascii="Times New Roman"/>
                <w:sz w:val="18"/>
                <w:szCs w:val="18"/>
                <w:highlight w:val="none"/>
              </w:rPr>
            </w:pPr>
            <w:r>
              <w:rPr>
                <w:rFonts w:hint="eastAsia" w:ascii="Times New Roman"/>
                <w:sz w:val="18"/>
                <w:szCs w:val="18"/>
                <w:highlight w:val="none"/>
              </w:rPr>
              <w:t xml:space="preserve">出厂试验项目</w:t>
            </w:r>
            <w:r/>
          </w:p>
        </w:tc>
        <w:tc>
          <w:tcPr>
            <w:tcBorders>
              <w:top w:val="single" w:color="auto" w:sz="12" w:space="0"/>
              <w:bottom w:val="single" w:color="auto" w:sz="12" w:space="0"/>
            </w:tcBorders>
            <w:tcW w:w="1186" w:type="dxa"/>
            <w:vAlign w:val="center"/>
            <w:textDirection w:val="lrTb"/>
            <w:noWrap w:val="false"/>
          </w:tcPr>
          <w:p>
            <w:pPr>
              <w:jc w:val="center"/>
              <w:rPr>
                <w:sz w:val="18"/>
                <w:szCs w:val="18"/>
                <w:highlight w:val="none"/>
              </w:rPr>
            </w:pPr>
            <w:r>
              <w:rPr>
                <w:rFonts w:hint="eastAsia"/>
                <w:sz w:val="18"/>
                <w:szCs w:val="18"/>
                <w:highlight w:val="none"/>
              </w:rPr>
              <w:t xml:space="preserve">项目选择</w:t>
            </w:r>
            <w:r/>
          </w:p>
        </w:tc>
      </w:tr>
      <w:tr>
        <w:trPr>
          <w:cantSplit/>
          <w:jc w:val="center"/>
          <w:trHeight w:val="326"/>
        </w:trPr>
        <w:tc>
          <w:tcPr>
            <w:tcBorders>
              <w:top w:val="single" w:color="auto" w:sz="12" w:space="0"/>
              <w:left w:val="single" w:color="auto" w:sz="12" w:space="0"/>
              <w:bottom w:val="single" w:color="auto" w:sz="4" w:space="0"/>
              <w:right w:val="single" w:color="auto" w:sz="4" w:space="0"/>
            </w:tcBorders>
            <w:tcW w:w="851" w:type="dxa"/>
            <w:vAlign w:val="center"/>
            <w:textDirection w:val="lrTb"/>
            <w:noWrap w:val="false"/>
          </w:tcPr>
          <w:p>
            <w:pPr>
              <w:pStyle w:val="896"/>
              <w:ind w:firstLine="0"/>
              <w:jc w:val="center"/>
              <w:tabs>
                <w:tab w:val="center" w:pos="4201" w:leader="none"/>
                <w:tab w:val="right" w:pos="9298" w:leader="dot"/>
              </w:tabs>
              <w:rPr>
                <w:rFonts w:ascii="Times New Roman"/>
                <w:sz w:val="18"/>
                <w:szCs w:val="18"/>
                <w:highlight w:val="none"/>
              </w:rPr>
            </w:pPr>
            <w:r>
              <w:rPr>
                <w:rFonts w:ascii="Times New Roman"/>
                <w:sz w:val="18"/>
                <w:szCs w:val="18"/>
                <w:highlight w:val="none"/>
              </w:rPr>
              <w:t xml:space="preserve">1</w:t>
            </w:r>
            <w:r/>
          </w:p>
        </w:tc>
        <w:tc>
          <w:tcPr>
            <w:tcBorders>
              <w:top w:val="single" w:color="auto" w:sz="12" w:space="0"/>
              <w:left w:val="single" w:color="auto" w:sz="4" w:space="0"/>
              <w:bottom w:val="single" w:color="auto" w:sz="4" w:space="0"/>
            </w:tcBorders>
            <w:tcW w:w="6946" w:type="dxa"/>
            <w:vAlign w:val="center"/>
            <w:textDirection w:val="lrTb"/>
            <w:noWrap w:val="false"/>
          </w:tcPr>
          <w:p>
            <w:pPr>
              <w:jc w:val="center"/>
              <w:rPr>
                <w:sz w:val="18"/>
                <w:szCs w:val="18"/>
                <w:highlight w:val="none"/>
              </w:rPr>
            </w:pPr>
            <w:r>
              <w:rPr>
                <w:rFonts w:hint="eastAsia"/>
                <w:sz w:val="18"/>
                <w:szCs w:val="18"/>
                <w:highlight w:val="none"/>
              </w:rPr>
              <w:t xml:space="preserve">设计和外观检查</w:t>
            </w:r>
            <w:r/>
          </w:p>
        </w:tc>
        <w:tc>
          <w:tcPr>
            <w:tcBorders>
              <w:top w:val="single" w:color="auto" w:sz="12" w:space="0"/>
            </w:tcBorders>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Borders>
              <w:top w:val="single" w:color="auto" w:sz="4" w:space="0"/>
              <w:left w:val="single" w:color="auto" w:sz="12" w:space="0"/>
              <w:bottom w:val="single" w:color="auto" w:sz="4" w:space="0"/>
              <w:right w:val="single" w:color="auto" w:sz="4" w:space="0"/>
            </w:tcBorders>
            <w:tcW w:w="851" w:type="dxa"/>
            <w:vAlign w:val="center"/>
            <w:textDirection w:val="lrTb"/>
            <w:noWrap w:val="false"/>
          </w:tcPr>
          <w:p>
            <w:pPr>
              <w:pStyle w:val="896"/>
              <w:ind w:firstLine="0"/>
              <w:jc w:val="center"/>
              <w:widowControl w:val="off"/>
              <w:tabs>
                <w:tab w:val="center" w:pos="4201" w:leader="none"/>
                <w:tab w:val="right" w:pos="9298" w:leader="dot"/>
              </w:tabs>
              <w:rPr>
                <w:rFonts w:ascii="Times New Roman"/>
                <w:sz w:val="18"/>
                <w:szCs w:val="18"/>
                <w:highlight w:val="none"/>
              </w:rPr>
            </w:pPr>
            <w:r>
              <w:rPr>
                <w:rFonts w:ascii="Times New Roman"/>
                <w:sz w:val="18"/>
                <w:szCs w:val="18"/>
                <w:highlight w:val="none"/>
              </w:rPr>
              <w:t xml:space="preserve">2</w:t>
            </w:r>
            <w:r/>
          </w:p>
        </w:tc>
        <w:tc>
          <w:tcPr>
            <w:tcBorders>
              <w:top w:val="single" w:color="auto" w:sz="4" w:space="0"/>
              <w:left w:val="single" w:color="auto" w:sz="4" w:space="0"/>
              <w:bottom w:val="single" w:color="auto" w:sz="4" w:space="0"/>
            </w:tcBorders>
            <w:tcW w:w="6946" w:type="dxa"/>
            <w:vAlign w:val="center"/>
            <w:textDirection w:val="lrTb"/>
            <w:noWrap w:val="false"/>
          </w:tcPr>
          <w:p>
            <w:pPr>
              <w:jc w:val="center"/>
              <w:rPr>
                <w:sz w:val="18"/>
                <w:szCs w:val="18"/>
                <w:highlight w:val="none"/>
              </w:rPr>
            </w:pPr>
            <w:r>
              <w:rPr>
                <w:rFonts w:hint="eastAsia"/>
                <w:sz w:val="18"/>
                <w:szCs w:val="18"/>
                <w:highlight w:val="none"/>
              </w:rPr>
              <w:t xml:space="preserve">主回路绝缘试验</w:t>
            </w:r>
            <w:r/>
          </w:p>
        </w:tc>
        <w:tc>
          <w:tcPr>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Borders>
              <w:top w:val="single" w:color="auto" w:sz="4" w:space="0"/>
              <w:left w:val="single" w:color="auto" w:sz="12" w:space="0"/>
              <w:bottom w:val="single" w:color="auto" w:sz="4" w:space="0"/>
              <w:right w:val="single" w:color="auto" w:sz="4" w:space="0"/>
            </w:tcBorders>
            <w:tcW w:w="851" w:type="dxa"/>
            <w:vAlign w:val="center"/>
            <w:textDirection w:val="lrTb"/>
            <w:noWrap w:val="false"/>
          </w:tcPr>
          <w:p>
            <w:pPr>
              <w:pStyle w:val="896"/>
              <w:ind w:firstLine="0"/>
              <w:jc w:val="center"/>
              <w:widowControl w:val="off"/>
              <w:tabs>
                <w:tab w:val="center" w:pos="4201" w:leader="none"/>
                <w:tab w:val="right" w:pos="9298" w:leader="dot"/>
              </w:tabs>
              <w:rPr>
                <w:rFonts w:ascii="Times New Roman"/>
                <w:sz w:val="18"/>
                <w:szCs w:val="18"/>
                <w:highlight w:val="none"/>
              </w:rPr>
            </w:pPr>
            <w:r>
              <w:rPr>
                <w:rFonts w:ascii="Times New Roman"/>
                <w:sz w:val="18"/>
                <w:szCs w:val="18"/>
                <w:highlight w:val="none"/>
              </w:rPr>
              <w:t xml:space="preserve">3</w:t>
            </w:r>
            <w:r/>
          </w:p>
        </w:tc>
        <w:tc>
          <w:tcPr>
            <w:tcBorders>
              <w:top w:val="single" w:color="auto" w:sz="4" w:space="0"/>
              <w:left w:val="single" w:color="auto" w:sz="4" w:space="0"/>
              <w:bottom w:val="single" w:color="auto" w:sz="4" w:space="0"/>
            </w:tcBorders>
            <w:tcW w:w="6946" w:type="dxa"/>
            <w:vAlign w:val="center"/>
            <w:textDirection w:val="lrTb"/>
            <w:noWrap w:val="false"/>
          </w:tcPr>
          <w:p>
            <w:pPr>
              <w:jc w:val="center"/>
              <w:rPr>
                <w:sz w:val="18"/>
                <w:szCs w:val="18"/>
                <w:highlight w:val="none"/>
              </w:rPr>
            </w:pPr>
            <w:r>
              <w:rPr>
                <w:rFonts w:hint="eastAsia"/>
                <w:sz w:val="18"/>
                <w:szCs w:val="18"/>
                <w:highlight w:val="none"/>
              </w:rPr>
              <w:t xml:space="preserve">辅助和控制回路的绝缘试验</w:t>
            </w:r>
            <w:r/>
          </w:p>
        </w:tc>
        <w:tc>
          <w:tcPr>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Borders>
              <w:top w:val="single" w:color="auto" w:sz="4" w:space="0"/>
            </w:tcBorders>
            <w:tcW w:w="851" w:type="dxa"/>
            <w:vAlign w:val="center"/>
            <w:textDirection w:val="lrTb"/>
            <w:noWrap w:val="false"/>
          </w:tcPr>
          <w:p>
            <w:pPr>
              <w:jc w:val="center"/>
              <w:rPr>
                <w:sz w:val="18"/>
                <w:szCs w:val="18"/>
                <w:highlight w:val="none"/>
              </w:rPr>
            </w:pPr>
            <w:r>
              <w:rPr>
                <w:sz w:val="18"/>
                <w:szCs w:val="18"/>
                <w:highlight w:val="none"/>
              </w:rPr>
              <w:t xml:space="preserve">4</w:t>
            </w:r>
            <w:r/>
          </w:p>
        </w:tc>
        <w:tc>
          <w:tcPr>
            <w:tcBorders>
              <w:top w:val="single" w:color="auto" w:sz="4" w:space="0"/>
            </w:tcBorders>
            <w:tcW w:w="6946" w:type="dxa"/>
            <w:vAlign w:val="center"/>
            <w:textDirection w:val="lrTb"/>
            <w:noWrap w:val="false"/>
          </w:tcPr>
          <w:p>
            <w:pPr>
              <w:jc w:val="center"/>
              <w:rPr>
                <w:sz w:val="18"/>
                <w:szCs w:val="18"/>
                <w:highlight w:val="none"/>
              </w:rPr>
            </w:pPr>
            <w:r>
              <w:rPr>
                <w:rFonts w:hint="eastAsia"/>
                <w:sz w:val="18"/>
                <w:szCs w:val="18"/>
                <w:highlight w:val="none"/>
              </w:rPr>
              <w:t xml:space="preserve">接线正确性检查</w:t>
            </w:r>
            <w:r/>
          </w:p>
        </w:tc>
        <w:tc>
          <w:tcPr>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W w:w="851" w:type="dxa"/>
            <w:vAlign w:val="center"/>
            <w:textDirection w:val="lrTb"/>
            <w:noWrap w:val="false"/>
          </w:tcPr>
          <w:p>
            <w:pPr>
              <w:jc w:val="center"/>
              <w:rPr>
                <w:sz w:val="18"/>
                <w:szCs w:val="18"/>
                <w:highlight w:val="none"/>
              </w:rPr>
            </w:pPr>
            <w:r>
              <w:rPr>
                <w:sz w:val="18"/>
                <w:szCs w:val="18"/>
                <w:highlight w:val="none"/>
              </w:rPr>
              <w:t xml:space="preserve">5</w:t>
            </w:r>
            <w:r/>
          </w:p>
        </w:tc>
        <w:tc>
          <w:tcPr>
            <w:tcW w:w="6946" w:type="dxa"/>
            <w:vAlign w:val="center"/>
            <w:textDirection w:val="lrTb"/>
            <w:noWrap w:val="false"/>
          </w:tcPr>
          <w:p>
            <w:pPr>
              <w:jc w:val="center"/>
              <w:rPr>
                <w:sz w:val="18"/>
                <w:szCs w:val="18"/>
                <w:highlight w:val="none"/>
              </w:rPr>
            </w:pPr>
            <w:r>
              <w:rPr>
                <w:rFonts w:hint="eastAsia"/>
                <w:sz w:val="18"/>
                <w:szCs w:val="18"/>
                <w:highlight w:val="none"/>
              </w:rPr>
              <w:t xml:space="preserve">接地连续性试验</w:t>
            </w:r>
            <w:r/>
          </w:p>
        </w:tc>
        <w:tc>
          <w:tcPr>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W w:w="851" w:type="dxa"/>
            <w:vAlign w:val="center"/>
            <w:textDirection w:val="lrTb"/>
            <w:noWrap w:val="false"/>
          </w:tcPr>
          <w:p>
            <w:pPr>
              <w:jc w:val="center"/>
              <w:rPr>
                <w:sz w:val="18"/>
                <w:szCs w:val="18"/>
                <w:highlight w:val="none"/>
              </w:rPr>
            </w:pPr>
            <w:r>
              <w:rPr>
                <w:sz w:val="18"/>
                <w:szCs w:val="18"/>
                <w:highlight w:val="none"/>
              </w:rPr>
              <w:t xml:space="preserve">6</w:t>
            </w:r>
            <w:r/>
          </w:p>
        </w:tc>
        <w:tc>
          <w:tcPr>
            <w:tcW w:w="6946" w:type="dxa"/>
            <w:vAlign w:val="center"/>
            <w:textDirection w:val="lrTb"/>
            <w:noWrap w:val="false"/>
          </w:tcPr>
          <w:p>
            <w:pPr>
              <w:jc w:val="center"/>
              <w:rPr>
                <w:sz w:val="18"/>
                <w:szCs w:val="18"/>
                <w:highlight w:val="none"/>
              </w:rPr>
            </w:pPr>
            <w:r>
              <w:rPr>
                <w:rFonts w:hint="eastAsia"/>
                <w:sz w:val="18"/>
                <w:szCs w:val="18"/>
                <w:highlight w:val="none"/>
              </w:rPr>
              <w:t xml:space="preserve">功能试验</w:t>
            </w:r>
            <w:r/>
          </w:p>
        </w:tc>
        <w:tc>
          <w:tcPr>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W w:w="851" w:type="dxa"/>
            <w:vAlign w:val="center"/>
            <w:textDirection w:val="lrTb"/>
            <w:noWrap w:val="false"/>
          </w:tcPr>
          <w:p>
            <w:pPr>
              <w:jc w:val="center"/>
              <w:rPr>
                <w:sz w:val="18"/>
                <w:szCs w:val="18"/>
                <w:highlight w:val="none"/>
              </w:rPr>
            </w:pPr>
            <w:r>
              <w:rPr>
                <w:sz w:val="18"/>
                <w:szCs w:val="18"/>
                <w:highlight w:val="none"/>
              </w:rPr>
              <w:t xml:space="preserve">7</w:t>
            </w:r>
            <w:r/>
          </w:p>
        </w:tc>
        <w:tc>
          <w:tcPr>
            <w:tcW w:w="6946" w:type="dxa"/>
            <w:vAlign w:val="center"/>
            <w:textDirection w:val="lrTb"/>
            <w:noWrap w:val="false"/>
          </w:tcPr>
          <w:p>
            <w:pPr>
              <w:jc w:val="center"/>
              <w:rPr>
                <w:sz w:val="18"/>
                <w:szCs w:val="18"/>
                <w:highlight w:val="none"/>
              </w:rPr>
            </w:pPr>
            <w:r>
              <w:rPr>
                <w:rFonts w:hint="eastAsia"/>
                <w:sz w:val="18"/>
                <w:szCs w:val="18"/>
                <w:highlight w:val="none"/>
              </w:rPr>
              <w:t xml:space="preserve">箱式变电站内高压配电装置、低压配电装置、配电变压器等关键部件应有单独的出厂试验报告；如无单独的出厂试验报告，相关试验项目应在箱式变电站的出厂试验报告中体现</w:t>
            </w:r>
            <w:r/>
          </w:p>
        </w:tc>
        <w:tc>
          <w:tcPr>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gridSpan w:val="3"/>
            <w:tcW w:w="8983" w:type="dxa"/>
            <w:vAlign w:val="center"/>
            <w:textDirection w:val="lrTb"/>
            <w:noWrap w:val="false"/>
          </w:tcPr>
          <w:p>
            <w:pPr>
              <w:pStyle w:val="848"/>
              <w:rPr>
                <w:rFonts w:ascii="Times New Roman" w:hAnsi="Times New Roman"/>
                <w:sz w:val="18"/>
                <w:szCs w:val="18"/>
                <w:highlight w:val="none"/>
              </w:rPr>
            </w:pPr>
            <w:r>
              <w:rPr>
                <w:rFonts w:hint="eastAsia" w:ascii="Times New Roman" w:hAnsi="Times New Roman"/>
                <w:sz w:val="18"/>
                <w:szCs w:val="18"/>
                <w:highlight w:val="none"/>
              </w:rPr>
              <w:t xml:space="preserve">注：</w:t>
            </w:r>
            <w:r>
              <w:rPr>
                <w:rFonts w:ascii="Times New Roman" w:hAnsi="Times New Roman"/>
                <w:sz w:val="18"/>
                <w:szCs w:val="18"/>
                <w:highlight w:val="none"/>
              </w:rPr>
              <w:t xml:space="preserve">“</w:t>
            </w:r>
            <w:r>
              <w:rPr>
                <w:rFonts w:hint="eastAsia" w:ascii="Times New Roman" w:hAnsi="Times New Roman"/>
                <w:sz w:val="18"/>
                <w:szCs w:val="18"/>
                <w:highlight w:val="none"/>
              </w:rPr>
              <w:t xml:space="preserve">△</w:t>
            </w:r>
            <w:r>
              <w:rPr>
                <w:rFonts w:ascii="Times New Roman" w:hAnsi="Times New Roman"/>
                <w:sz w:val="18"/>
                <w:szCs w:val="18"/>
                <w:highlight w:val="none"/>
              </w:rPr>
              <w:t xml:space="preserve">”</w:t>
            </w:r>
            <w:r>
              <w:rPr>
                <w:rFonts w:hint="eastAsia" w:ascii="Times New Roman" w:hAnsi="Times New Roman"/>
                <w:sz w:val="18"/>
                <w:szCs w:val="18"/>
                <w:highlight w:val="none"/>
              </w:rPr>
              <w:t xml:space="preserve">为必做项目。</w:t>
            </w:r>
            <w:r/>
          </w:p>
        </w:tc>
      </w:tr>
    </w:tbl>
    <w:p>
      <w:pPr>
        <w:rPr>
          <w:highlight w:val="none"/>
        </w:rPr>
      </w:pPr>
      <w:r/>
      <w:bookmarkStart w:id="254" w:name="_Toc156016653"/>
      <w:r/>
      <w:bookmarkStart w:id="255" w:name="_Toc340376543"/>
      <w:r/>
      <w:bookmarkStart w:id="256" w:name="_Toc165125339"/>
      <w:r/>
      <w:bookmarkStart w:id="257" w:name="_Toc252017591"/>
      <w:r>
        <w:rPr>
          <w:rFonts w:hint="eastAsia" w:eastAsia="黑体"/>
          <w:szCs w:val="21"/>
          <w:highlight w:val="none"/>
          <w:lang w:val="en-US" w:eastAsia="zh-CN"/>
        </w:rPr>
        <w:t xml:space="preserve">8</w:t>
      </w:r>
      <w:r>
        <w:rPr>
          <w:rFonts w:eastAsia="黑体"/>
          <w:szCs w:val="24"/>
          <w:highlight w:val="none"/>
        </w:rPr>
        <w:t xml:space="preserve">.3</w:t>
      </w:r>
      <w:r>
        <w:rPr>
          <w:rFonts w:hint="eastAsia" w:eastAsia="黑体"/>
          <w:szCs w:val="24"/>
          <w:highlight w:val="none"/>
        </w:rPr>
        <w:t xml:space="preserve">　抽检</w:t>
      </w:r>
      <w:r>
        <w:rPr>
          <w:rFonts w:eastAsia="黑体"/>
          <w:szCs w:val="24"/>
          <w:highlight w:val="none"/>
        </w:rPr>
        <w:t xml:space="preserve">试验</w:t>
      </w:r>
      <w:r/>
    </w:p>
    <w:p>
      <w:pPr>
        <w:pStyle w:val="896"/>
        <w:ind w:firstLine="420"/>
        <w:tabs>
          <w:tab w:val="center" w:pos="4201" w:leader="none"/>
          <w:tab w:val="right" w:pos="9298" w:leader="dot"/>
        </w:tabs>
        <w:rPr>
          <w:rFonts w:ascii="Times New Roman"/>
          <w:highlight w:val="none"/>
        </w:rPr>
      </w:pPr>
      <w:r>
        <w:rPr>
          <w:rFonts w:hint="eastAsia" w:ascii="Times New Roman"/>
          <w:highlight w:val="none"/>
        </w:rPr>
        <w:t xml:space="preserve">对国网公司系统招标采购中标后的每批</w:t>
      </w:r>
      <w:r>
        <w:rPr>
          <w:rFonts w:ascii="Times New Roman"/>
          <w:highlight w:val="none"/>
        </w:rPr>
        <w:t xml:space="preserve">10kV</w:t>
      </w:r>
      <w:r>
        <w:rPr>
          <w:rFonts w:hint="eastAsia" w:ascii="Times New Roman"/>
          <w:highlight w:val="none"/>
        </w:rPr>
        <w:t xml:space="preserve">配电变压器产品依据相关标准进行随机抽样检验。每批的抽检比例建议为招标总数的</w:t>
      </w:r>
      <w:r>
        <w:rPr>
          <w:rFonts w:ascii="Times New Roman"/>
          <w:highlight w:val="none"/>
        </w:rPr>
        <w:t xml:space="preserve">2%</w:t>
      </w:r>
      <w:r>
        <w:rPr>
          <w:rFonts w:hint="eastAsia" w:ascii="Times New Roman"/>
          <w:highlight w:val="none"/>
        </w:rPr>
        <w:t xml:space="preserve">～</w:t>
      </w:r>
      <w:r>
        <w:rPr>
          <w:rFonts w:ascii="Times New Roman"/>
          <w:highlight w:val="none"/>
        </w:rPr>
        <w:t xml:space="preserve">5%</w:t>
      </w:r>
      <w:r>
        <w:rPr>
          <w:rFonts w:hint="eastAsia" w:ascii="Times New Roman"/>
          <w:highlight w:val="none"/>
        </w:rPr>
        <w:t xml:space="preserve">，前</w:t>
      </w:r>
      <w:r>
        <w:rPr>
          <w:rFonts w:ascii="Times New Roman"/>
          <w:highlight w:val="none"/>
        </w:rPr>
        <w:t xml:space="preserve">10</w:t>
      </w:r>
      <w:r>
        <w:rPr>
          <w:rFonts w:hint="eastAsia" w:ascii="Times New Roman"/>
          <w:highlight w:val="none"/>
        </w:rPr>
        <w:t xml:space="preserve">批宜按</w:t>
      </w:r>
      <w:r>
        <w:rPr>
          <w:rFonts w:ascii="Times New Roman"/>
          <w:highlight w:val="none"/>
        </w:rPr>
        <w:t xml:space="preserve">5%</w:t>
      </w:r>
      <w:r>
        <w:rPr>
          <w:rFonts w:hint="eastAsia" w:ascii="Times New Roman"/>
          <w:highlight w:val="none"/>
        </w:rPr>
        <w:t xml:space="preserve">比例抽取，如产品质量性能稳定且一次抽检合格率在</w:t>
      </w:r>
      <w:r>
        <w:rPr>
          <w:rFonts w:ascii="Times New Roman"/>
          <w:highlight w:val="none"/>
        </w:rPr>
        <w:t xml:space="preserve">95%</w:t>
      </w:r>
      <w:r>
        <w:rPr>
          <w:rFonts w:hint="eastAsia" w:ascii="Times New Roman"/>
          <w:highlight w:val="none"/>
        </w:rPr>
        <w:t xml:space="preserve">以上，可以将抽检比例降低到</w:t>
      </w:r>
      <w:r>
        <w:rPr>
          <w:rFonts w:ascii="Times New Roman"/>
          <w:highlight w:val="none"/>
        </w:rPr>
        <w:t xml:space="preserve">2%</w:t>
      </w:r>
      <w:r>
        <w:rPr>
          <w:rFonts w:hint="eastAsia" w:ascii="Times New Roman"/>
          <w:highlight w:val="none"/>
        </w:rPr>
        <w:t xml:space="preserve">，当一次抽检合格率降低到</w:t>
      </w:r>
      <w:r>
        <w:rPr>
          <w:rFonts w:ascii="Times New Roman"/>
          <w:highlight w:val="none"/>
        </w:rPr>
        <w:t xml:space="preserve">90%</w:t>
      </w:r>
      <w:r>
        <w:rPr>
          <w:rFonts w:hint="eastAsia" w:ascii="Times New Roman"/>
          <w:highlight w:val="none"/>
        </w:rPr>
        <w:t xml:space="preserve">以下时应及时将抽检比例提高到</w:t>
      </w:r>
      <w:r>
        <w:rPr>
          <w:rFonts w:ascii="Times New Roman"/>
          <w:highlight w:val="none"/>
        </w:rPr>
        <w:t xml:space="preserve">5%</w:t>
      </w:r>
      <w:r>
        <w:rPr>
          <w:rFonts w:hint="eastAsia" w:ascii="Times New Roman"/>
          <w:highlight w:val="none"/>
        </w:rPr>
        <w:t xml:space="preserve">。抽样试验项目见表</w:t>
      </w:r>
      <w:r>
        <w:rPr>
          <w:rFonts w:ascii="Times New Roman"/>
          <w:highlight w:val="none"/>
        </w:rPr>
        <w:t xml:space="preserve">5</w:t>
      </w:r>
      <w:r>
        <w:rPr>
          <w:rFonts w:hint="eastAsia" w:ascii="Times New Roman"/>
          <w:highlight w:val="none"/>
        </w:rPr>
        <w:t xml:space="preserve">。</w:t>
      </w:r>
      <w:r/>
    </w:p>
    <w:p>
      <w:pPr>
        <w:pStyle w:val="1159"/>
        <w:rPr>
          <w:rFonts w:ascii="Times New Roman"/>
          <w:highlight w:val="none"/>
        </w:rPr>
      </w:pPr>
      <w:r>
        <w:rPr>
          <w:rFonts w:hint="eastAsia" w:ascii="Times New Roman"/>
          <w:highlight w:val="none"/>
        </w:rPr>
        <w:t xml:space="preserve">表</w:t>
      </w:r>
      <w:r>
        <w:rPr>
          <w:rFonts w:ascii="Times New Roman"/>
          <w:highlight w:val="none"/>
        </w:rPr>
        <w:t xml:space="preserve">5 </w:t>
      </w:r>
      <w:r>
        <w:rPr>
          <w:rFonts w:hint="eastAsia" w:ascii="Times New Roman"/>
          <w:highlight w:val="none"/>
        </w:rPr>
        <w:t xml:space="preserve">箱式变电站抽检试验项目</w:t>
      </w:r>
      <w:r/>
    </w:p>
    <w:tbl>
      <w:tblPr>
        <w:tblStyle w:val="827"/>
        <w:tblW w:w="8983"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51"/>
        <w:gridCol w:w="6946"/>
        <w:gridCol w:w="1186"/>
      </w:tblGrid>
      <w:tr>
        <w:trPr>
          <w:cantSplit/>
          <w:jc w:val="center"/>
          <w:trHeight w:val="654"/>
        </w:trPr>
        <w:tc>
          <w:tcPr>
            <w:tcBorders>
              <w:top w:val="single" w:color="auto" w:sz="12" w:space="0"/>
              <w:left w:val="single" w:color="auto" w:sz="12" w:space="0"/>
              <w:bottom w:val="single" w:color="auto" w:sz="12" w:space="0"/>
            </w:tcBorders>
            <w:tcW w:w="851" w:type="dxa"/>
            <w:vAlign w:val="center"/>
            <w:textDirection w:val="lrTb"/>
            <w:noWrap w:val="false"/>
          </w:tcPr>
          <w:p>
            <w:pPr>
              <w:pStyle w:val="896"/>
              <w:ind w:firstLine="0"/>
              <w:jc w:val="center"/>
              <w:tabs>
                <w:tab w:val="center" w:pos="4201" w:leader="none"/>
                <w:tab w:val="right" w:pos="9298" w:leader="dot"/>
              </w:tabs>
              <w:rPr>
                <w:rFonts w:ascii="Times New Roman"/>
                <w:sz w:val="18"/>
                <w:szCs w:val="18"/>
                <w:highlight w:val="none"/>
              </w:rPr>
            </w:pPr>
            <w:r>
              <w:rPr>
                <w:rFonts w:hint="eastAsia" w:ascii="Times New Roman"/>
                <w:sz w:val="18"/>
                <w:szCs w:val="18"/>
                <w:highlight w:val="none"/>
              </w:rPr>
              <w:t xml:space="preserve">序号</w:t>
            </w:r>
            <w:r/>
          </w:p>
        </w:tc>
        <w:tc>
          <w:tcPr>
            <w:tcBorders>
              <w:top w:val="single" w:color="auto" w:sz="12" w:space="0"/>
              <w:bottom w:val="single" w:color="auto" w:sz="12" w:space="0"/>
            </w:tcBorders>
            <w:tcW w:w="6946" w:type="dxa"/>
            <w:vAlign w:val="center"/>
            <w:textDirection w:val="lrTb"/>
            <w:noWrap w:val="false"/>
          </w:tcPr>
          <w:p>
            <w:pPr>
              <w:pStyle w:val="848"/>
              <w:jc w:val="center"/>
              <w:rPr>
                <w:rFonts w:ascii="Times New Roman" w:hAnsi="Times New Roman"/>
                <w:sz w:val="18"/>
                <w:szCs w:val="18"/>
                <w:highlight w:val="none"/>
              </w:rPr>
            </w:pPr>
            <w:r>
              <w:rPr>
                <w:rFonts w:hint="eastAsia" w:ascii="Times New Roman" w:hAnsi="Times New Roman"/>
                <w:sz w:val="18"/>
                <w:szCs w:val="18"/>
                <w:highlight w:val="none"/>
              </w:rPr>
              <w:t xml:space="preserve">现场抽样试验项目</w:t>
            </w:r>
            <w:r/>
          </w:p>
        </w:tc>
        <w:tc>
          <w:tcPr>
            <w:tcBorders>
              <w:top w:val="single" w:color="auto" w:sz="12" w:space="0"/>
              <w:bottom w:val="single" w:color="auto" w:sz="12" w:space="0"/>
            </w:tcBorders>
            <w:tcW w:w="1186" w:type="dxa"/>
            <w:vAlign w:val="center"/>
            <w:textDirection w:val="lrTb"/>
            <w:noWrap w:val="false"/>
          </w:tcPr>
          <w:p>
            <w:pPr>
              <w:jc w:val="center"/>
              <w:rPr>
                <w:sz w:val="18"/>
                <w:szCs w:val="18"/>
                <w:highlight w:val="none"/>
              </w:rPr>
            </w:pPr>
            <w:r>
              <w:rPr>
                <w:rFonts w:hint="eastAsia"/>
                <w:sz w:val="18"/>
                <w:szCs w:val="18"/>
                <w:highlight w:val="none"/>
              </w:rPr>
              <w:t xml:space="preserve">项目选择</w:t>
            </w:r>
            <w:r/>
          </w:p>
        </w:tc>
      </w:tr>
      <w:tr>
        <w:trPr>
          <w:cantSplit/>
          <w:jc w:val="center"/>
          <w:trHeight w:val="326"/>
        </w:trPr>
        <w:tc>
          <w:tcPr>
            <w:tcBorders>
              <w:top w:val="single" w:color="auto" w:sz="12" w:space="0"/>
              <w:left w:val="single" w:color="auto" w:sz="12" w:space="0"/>
              <w:bottom w:val="single" w:color="auto" w:sz="4" w:space="0"/>
              <w:right w:val="single" w:color="auto" w:sz="4" w:space="0"/>
            </w:tcBorders>
            <w:tcW w:w="851" w:type="dxa"/>
            <w:vAlign w:val="center"/>
            <w:textDirection w:val="lrTb"/>
            <w:noWrap w:val="false"/>
          </w:tcPr>
          <w:p>
            <w:pPr>
              <w:pStyle w:val="896"/>
              <w:ind w:firstLine="0"/>
              <w:jc w:val="center"/>
              <w:tabs>
                <w:tab w:val="center" w:pos="4201" w:leader="none"/>
                <w:tab w:val="right" w:pos="9298" w:leader="dot"/>
              </w:tabs>
              <w:rPr>
                <w:rFonts w:ascii="Times New Roman"/>
                <w:sz w:val="18"/>
                <w:szCs w:val="18"/>
                <w:highlight w:val="none"/>
              </w:rPr>
            </w:pPr>
            <w:r>
              <w:rPr>
                <w:rFonts w:ascii="Times New Roman"/>
                <w:sz w:val="18"/>
                <w:szCs w:val="18"/>
                <w:highlight w:val="none"/>
              </w:rPr>
              <w:t xml:space="preserve">1</w:t>
            </w:r>
            <w:r/>
          </w:p>
        </w:tc>
        <w:tc>
          <w:tcPr>
            <w:tcBorders>
              <w:top w:val="single" w:color="auto" w:sz="12" w:space="0"/>
              <w:left w:val="single" w:color="auto" w:sz="4" w:space="0"/>
              <w:bottom w:val="single" w:color="auto" w:sz="4" w:space="0"/>
            </w:tcBorders>
            <w:tcW w:w="6946" w:type="dxa"/>
            <w:textDirection w:val="lrTb"/>
            <w:noWrap w:val="false"/>
          </w:tcPr>
          <w:p>
            <w:pPr>
              <w:jc w:val="center"/>
              <w:rPr>
                <w:sz w:val="18"/>
                <w:szCs w:val="18"/>
                <w:highlight w:val="none"/>
              </w:rPr>
            </w:pPr>
            <w:r>
              <w:rPr>
                <w:rFonts w:hint="eastAsia"/>
                <w:sz w:val="18"/>
                <w:szCs w:val="18"/>
                <w:highlight w:val="none"/>
              </w:rPr>
              <w:t xml:space="preserve">绝缘水平试验</w:t>
            </w:r>
            <w:r/>
          </w:p>
        </w:tc>
        <w:tc>
          <w:tcPr>
            <w:tcBorders>
              <w:top w:val="single" w:color="auto" w:sz="12" w:space="0"/>
            </w:tcBorders>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Borders>
              <w:top w:val="single" w:color="auto" w:sz="4" w:space="0"/>
              <w:left w:val="single" w:color="auto" w:sz="12" w:space="0"/>
              <w:bottom w:val="single" w:color="auto" w:sz="4" w:space="0"/>
              <w:right w:val="single" w:color="auto" w:sz="4" w:space="0"/>
            </w:tcBorders>
            <w:tcW w:w="851" w:type="dxa"/>
            <w:vAlign w:val="center"/>
            <w:textDirection w:val="lrTb"/>
            <w:noWrap w:val="false"/>
          </w:tcPr>
          <w:p>
            <w:pPr>
              <w:pStyle w:val="896"/>
              <w:ind w:firstLine="0"/>
              <w:jc w:val="center"/>
              <w:tabs>
                <w:tab w:val="center" w:pos="4201" w:leader="none"/>
                <w:tab w:val="right" w:pos="9298" w:leader="dot"/>
              </w:tabs>
              <w:rPr>
                <w:rFonts w:ascii="Times New Roman"/>
                <w:sz w:val="18"/>
                <w:szCs w:val="18"/>
                <w:highlight w:val="none"/>
              </w:rPr>
            </w:pPr>
            <w:r>
              <w:rPr>
                <w:rFonts w:ascii="Times New Roman"/>
                <w:sz w:val="18"/>
                <w:szCs w:val="18"/>
                <w:highlight w:val="none"/>
              </w:rPr>
              <w:t xml:space="preserve">2</w:t>
            </w:r>
            <w:r/>
          </w:p>
        </w:tc>
        <w:tc>
          <w:tcPr>
            <w:tcBorders>
              <w:top w:val="single" w:color="auto" w:sz="4" w:space="0"/>
              <w:left w:val="single" w:color="auto" w:sz="4" w:space="0"/>
              <w:bottom w:val="single" w:color="auto" w:sz="4" w:space="0"/>
            </w:tcBorders>
            <w:tcW w:w="6946" w:type="dxa"/>
            <w:textDirection w:val="lrTb"/>
            <w:noWrap w:val="false"/>
          </w:tcPr>
          <w:p>
            <w:pPr>
              <w:jc w:val="center"/>
              <w:rPr>
                <w:sz w:val="18"/>
                <w:szCs w:val="18"/>
                <w:highlight w:val="none"/>
              </w:rPr>
            </w:pPr>
            <w:r>
              <w:rPr>
                <w:rFonts w:hint="eastAsia"/>
                <w:sz w:val="18"/>
                <w:szCs w:val="18"/>
                <w:highlight w:val="none"/>
              </w:rPr>
              <w:t xml:space="preserve">温升试验</w:t>
            </w:r>
            <w:r/>
          </w:p>
        </w:tc>
        <w:tc>
          <w:tcPr>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Borders>
              <w:top w:val="single" w:color="auto" w:sz="4" w:space="0"/>
            </w:tcBorders>
            <w:tcW w:w="851" w:type="dxa"/>
            <w:vAlign w:val="center"/>
            <w:textDirection w:val="lrTb"/>
            <w:noWrap w:val="false"/>
          </w:tcPr>
          <w:p>
            <w:pPr>
              <w:pStyle w:val="896"/>
              <w:ind w:firstLine="0"/>
              <w:jc w:val="center"/>
              <w:tabs>
                <w:tab w:val="center" w:pos="4201" w:leader="none"/>
                <w:tab w:val="right" w:pos="9298" w:leader="dot"/>
              </w:tabs>
              <w:rPr>
                <w:rFonts w:ascii="Times New Roman"/>
                <w:sz w:val="18"/>
                <w:szCs w:val="18"/>
                <w:highlight w:val="none"/>
              </w:rPr>
            </w:pPr>
            <w:r>
              <w:rPr>
                <w:rFonts w:ascii="Times New Roman"/>
                <w:sz w:val="18"/>
                <w:szCs w:val="18"/>
                <w:highlight w:val="none"/>
              </w:rPr>
              <w:t xml:space="preserve">3</w:t>
            </w:r>
            <w:r/>
          </w:p>
        </w:tc>
        <w:tc>
          <w:tcPr>
            <w:tcBorders>
              <w:top w:val="single" w:color="auto" w:sz="4" w:space="0"/>
            </w:tcBorders>
            <w:tcW w:w="6946" w:type="dxa"/>
            <w:textDirection w:val="lrTb"/>
            <w:noWrap w:val="false"/>
          </w:tcPr>
          <w:p>
            <w:pPr>
              <w:jc w:val="center"/>
              <w:rPr>
                <w:sz w:val="18"/>
                <w:szCs w:val="18"/>
                <w:highlight w:val="none"/>
              </w:rPr>
            </w:pPr>
            <w:r>
              <w:rPr>
                <w:sz w:val="18"/>
                <w:szCs w:val="18"/>
                <w:highlight w:val="none"/>
              </w:rPr>
              <w:t xml:space="preserve">主回路和接地回路的短时耐受电流和峰值耐受电流试验</w:t>
            </w:r>
            <w:r/>
          </w:p>
        </w:tc>
        <w:tc>
          <w:tcPr>
            <w:tcW w:w="1186" w:type="dxa"/>
            <w:vAlign w:val="center"/>
            <w:textDirection w:val="lrTb"/>
            <w:noWrap w:val="false"/>
          </w:tcPr>
          <w:p>
            <w:pPr>
              <w:jc w:val="center"/>
              <w:rPr>
                <w:sz w:val="18"/>
                <w:szCs w:val="18"/>
                <w:highlight w:val="none"/>
              </w:rPr>
            </w:pPr>
            <w:r>
              <w:rPr>
                <w:sz w:val="18"/>
                <w:szCs w:val="18"/>
                <w:highlight w:val="none"/>
              </w:rPr>
              <w:t xml:space="preserve">*</w:t>
            </w:r>
            <w:r/>
          </w:p>
        </w:tc>
      </w:tr>
      <w:tr>
        <w:trPr>
          <w:cantSplit/>
          <w:jc w:val="center"/>
          <w:trHeight w:val="326"/>
        </w:trPr>
        <w:tc>
          <w:tcPr>
            <w:tcBorders>
              <w:top w:val="single" w:color="auto" w:sz="4" w:space="0"/>
            </w:tcBorders>
            <w:tcW w:w="851" w:type="dxa"/>
            <w:vAlign w:val="center"/>
            <w:textDirection w:val="lrTb"/>
            <w:noWrap w:val="false"/>
          </w:tcPr>
          <w:p>
            <w:pPr>
              <w:jc w:val="center"/>
              <w:rPr>
                <w:sz w:val="18"/>
                <w:szCs w:val="18"/>
                <w:highlight w:val="none"/>
              </w:rPr>
            </w:pPr>
            <w:r>
              <w:rPr>
                <w:sz w:val="18"/>
                <w:szCs w:val="18"/>
                <w:highlight w:val="none"/>
              </w:rPr>
              <w:t xml:space="preserve">4</w:t>
            </w:r>
            <w:r/>
          </w:p>
        </w:tc>
        <w:tc>
          <w:tcPr>
            <w:tcBorders>
              <w:top w:val="single" w:color="auto" w:sz="4" w:space="0"/>
            </w:tcBorders>
            <w:tcW w:w="6946" w:type="dxa"/>
            <w:textDirection w:val="lrTb"/>
            <w:noWrap w:val="false"/>
          </w:tcPr>
          <w:p>
            <w:pPr>
              <w:jc w:val="center"/>
              <w:rPr>
                <w:sz w:val="18"/>
                <w:szCs w:val="18"/>
                <w:highlight w:val="none"/>
              </w:rPr>
            </w:pPr>
            <w:r>
              <w:rPr>
                <w:rFonts w:hint="eastAsia"/>
                <w:sz w:val="18"/>
                <w:szCs w:val="18"/>
                <w:highlight w:val="none"/>
              </w:rPr>
              <w:t xml:space="preserve">防护等级试验</w:t>
            </w:r>
            <w:r/>
          </w:p>
        </w:tc>
        <w:tc>
          <w:tcPr>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W w:w="851" w:type="dxa"/>
            <w:vAlign w:val="center"/>
            <w:textDirection w:val="lrTb"/>
            <w:noWrap w:val="false"/>
          </w:tcPr>
          <w:p>
            <w:pPr>
              <w:jc w:val="center"/>
              <w:rPr>
                <w:sz w:val="18"/>
                <w:szCs w:val="18"/>
                <w:highlight w:val="none"/>
              </w:rPr>
            </w:pPr>
            <w:r>
              <w:rPr>
                <w:sz w:val="18"/>
                <w:szCs w:val="18"/>
                <w:highlight w:val="none"/>
              </w:rPr>
              <w:t xml:space="preserve">5</w:t>
            </w:r>
            <w:r/>
          </w:p>
        </w:tc>
        <w:tc>
          <w:tcPr>
            <w:tcW w:w="6946" w:type="dxa"/>
            <w:textDirection w:val="lrTb"/>
            <w:noWrap w:val="false"/>
          </w:tcPr>
          <w:p>
            <w:pPr>
              <w:jc w:val="center"/>
              <w:rPr>
                <w:sz w:val="18"/>
                <w:szCs w:val="18"/>
                <w:highlight w:val="none"/>
              </w:rPr>
            </w:pPr>
            <w:r>
              <w:rPr>
                <w:sz w:val="18"/>
                <w:szCs w:val="18"/>
                <w:highlight w:val="none"/>
              </w:rPr>
              <w:t xml:space="preserve">耐受机械应力的试验</w:t>
            </w:r>
            <w:r/>
          </w:p>
        </w:tc>
        <w:tc>
          <w:tcPr>
            <w:tcW w:w="1186" w:type="dxa"/>
            <w:vAlign w:val="center"/>
            <w:textDirection w:val="lrTb"/>
            <w:noWrap w:val="false"/>
          </w:tcPr>
          <w:p>
            <w:pPr>
              <w:jc w:val="center"/>
              <w:rPr>
                <w:sz w:val="18"/>
                <w:szCs w:val="18"/>
                <w:highlight w:val="none"/>
              </w:rPr>
            </w:pPr>
            <w:r>
              <w:rPr>
                <w:sz w:val="18"/>
                <w:szCs w:val="18"/>
                <w:highlight w:val="none"/>
              </w:rPr>
              <w:t xml:space="preserve">*</w:t>
            </w:r>
            <w:r/>
          </w:p>
        </w:tc>
      </w:tr>
      <w:tr>
        <w:trPr>
          <w:cantSplit/>
          <w:jc w:val="center"/>
          <w:trHeight w:val="326"/>
        </w:trPr>
        <w:tc>
          <w:tcPr>
            <w:tcW w:w="851" w:type="dxa"/>
            <w:vAlign w:val="center"/>
            <w:textDirection w:val="lrTb"/>
            <w:noWrap w:val="false"/>
          </w:tcPr>
          <w:p>
            <w:pPr>
              <w:jc w:val="center"/>
              <w:rPr>
                <w:sz w:val="18"/>
                <w:szCs w:val="18"/>
                <w:highlight w:val="none"/>
              </w:rPr>
            </w:pPr>
            <w:r>
              <w:rPr>
                <w:sz w:val="18"/>
                <w:szCs w:val="18"/>
                <w:highlight w:val="none"/>
              </w:rPr>
              <w:t xml:space="preserve">6</w:t>
            </w:r>
            <w:r/>
          </w:p>
        </w:tc>
        <w:tc>
          <w:tcPr>
            <w:tcW w:w="6946" w:type="dxa"/>
            <w:textDirection w:val="lrTb"/>
            <w:noWrap w:val="false"/>
          </w:tcPr>
          <w:p>
            <w:pPr>
              <w:jc w:val="center"/>
              <w:rPr>
                <w:sz w:val="18"/>
                <w:szCs w:val="18"/>
                <w:highlight w:val="none"/>
              </w:rPr>
            </w:pPr>
            <w:r>
              <w:rPr>
                <w:rFonts w:hint="eastAsia"/>
                <w:sz w:val="18"/>
                <w:szCs w:val="18"/>
                <w:highlight w:val="none"/>
              </w:rPr>
              <w:t xml:space="preserve">声级试验</w:t>
            </w:r>
            <w:r/>
          </w:p>
        </w:tc>
        <w:tc>
          <w:tcPr>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W w:w="851" w:type="dxa"/>
            <w:vAlign w:val="center"/>
            <w:textDirection w:val="lrTb"/>
            <w:noWrap w:val="false"/>
          </w:tcPr>
          <w:p>
            <w:pPr>
              <w:jc w:val="center"/>
              <w:rPr>
                <w:sz w:val="18"/>
                <w:szCs w:val="18"/>
                <w:highlight w:val="none"/>
              </w:rPr>
            </w:pPr>
            <w:r>
              <w:rPr>
                <w:sz w:val="18"/>
                <w:szCs w:val="18"/>
                <w:highlight w:val="none"/>
              </w:rPr>
              <w:t xml:space="preserve">7</w:t>
            </w:r>
            <w:r/>
          </w:p>
        </w:tc>
        <w:tc>
          <w:tcPr>
            <w:tcW w:w="6946" w:type="dxa"/>
            <w:textDirection w:val="lrTb"/>
            <w:noWrap w:val="false"/>
          </w:tcPr>
          <w:p>
            <w:pPr>
              <w:jc w:val="center"/>
              <w:rPr>
                <w:sz w:val="18"/>
                <w:szCs w:val="18"/>
                <w:highlight w:val="none"/>
              </w:rPr>
            </w:pPr>
            <w:r>
              <w:rPr>
                <w:rFonts w:hint="eastAsia"/>
                <w:sz w:val="18"/>
                <w:szCs w:val="18"/>
                <w:highlight w:val="none"/>
              </w:rPr>
              <w:t xml:space="preserve">电磁</w:t>
            </w:r>
            <w:r>
              <w:rPr>
                <w:sz w:val="18"/>
                <w:szCs w:val="18"/>
                <w:highlight w:val="none"/>
              </w:rPr>
              <w:t xml:space="preserve">兼容性试验（</w:t>
            </w:r>
            <w:r>
              <w:rPr>
                <w:rFonts w:hint="eastAsia"/>
                <w:sz w:val="18"/>
                <w:szCs w:val="18"/>
                <w:highlight w:val="none"/>
              </w:rPr>
              <w:t xml:space="preserve">EMC</w:t>
            </w:r>
            <w:r>
              <w:rPr>
                <w:sz w:val="18"/>
                <w:szCs w:val="18"/>
                <w:highlight w:val="none"/>
              </w:rPr>
              <w:t xml:space="preserve">）</w:t>
            </w:r>
            <w:r/>
          </w:p>
        </w:tc>
        <w:tc>
          <w:tcPr>
            <w:tcW w:w="1186" w:type="dxa"/>
            <w:vAlign w:val="center"/>
            <w:textDirection w:val="lrTb"/>
            <w:noWrap w:val="false"/>
          </w:tcPr>
          <w:p>
            <w:pPr>
              <w:jc w:val="center"/>
              <w:rPr>
                <w:sz w:val="18"/>
                <w:szCs w:val="18"/>
                <w:highlight w:val="none"/>
              </w:rPr>
            </w:pPr>
            <w:r>
              <w:rPr>
                <w:sz w:val="18"/>
                <w:szCs w:val="18"/>
                <w:highlight w:val="none"/>
              </w:rPr>
              <w:t xml:space="preserve">*</w:t>
            </w:r>
            <w:r/>
          </w:p>
        </w:tc>
      </w:tr>
      <w:tr>
        <w:trPr>
          <w:cantSplit/>
          <w:jc w:val="center"/>
          <w:trHeight w:val="326"/>
        </w:trPr>
        <w:tc>
          <w:tcPr>
            <w:tcW w:w="851" w:type="dxa"/>
            <w:vAlign w:val="center"/>
            <w:textDirection w:val="lrTb"/>
            <w:noWrap w:val="false"/>
          </w:tcPr>
          <w:p>
            <w:pPr>
              <w:jc w:val="center"/>
              <w:rPr>
                <w:sz w:val="18"/>
                <w:szCs w:val="18"/>
                <w:highlight w:val="none"/>
              </w:rPr>
            </w:pPr>
            <w:r>
              <w:rPr>
                <w:sz w:val="18"/>
                <w:szCs w:val="18"/>
                <w:highlight w:val="none"/>
              </w:rPr>
              <w:t xml:space="preserve">8</w:t>
            </w:r>
            <w:r/>
          </w:p>
        </w:tc>
        <w:tc>
          <w:tcPr>
            <w:tcW w:w="6946" w:type="dxa"/>
            <w:textDirection w:val="lrTb"/>
            <w:noWrap w:val="false"/>
          </w:tcPr>
          <w:p>
            <w:pPr>
              <w:jc w:val="center"/>
              <w:rPr>
                <w:sz w:val="18"/>
                <w:szCs w:val="18"/>
                <w:highlight w:val="none"/>
              </w:rPr>
            </w:pPr>
            <w:r>
              <w:rPr>
                <w:sz w:val="18"/>
                <w:szCs w:val="18"/>
                <w:highlight w:val="none"/>
              </w:rPr>
              <w:t xml:space="preserve">内部电弧试验</w:t>
            </w:r>
            <w:r/>
          </w:p>
        </w:tc>
        <w:tc>
          <w:tcPr>
            <w:tcW w:w="1186" w:type="dxa"/>
            <w:vAlign w:val="center"/>
            <w:textDirection w:val="lrTb"/>
            <w:noWrap w:val="false"/>
          </w:tcPr>
          <w:p>
            <w:pPr>
              <w:jc w:val="center"/>
              <w:rPr>
                <w:sz w:val="18"/>
                <w:szCs w:val="18"/>
                <w:highlight w:val="none"/>
              </w:rPr>
            </w:pPr>
            <w:r>
              <w:rPr>
                <w:sz w:val="18"/>
                <w:szCs w:val="18"/>
                <w:highlight w:val="none"/>
              </w:rPr>
              <w:t xml:space="preserve">*</w:t>
            </w:r>
            <w:r/>
          </w:p>
        </w:tc>
      </w:tr>
      <w:tr>
        <w:trPr>
          <w:cantSplit/>
          <w:jc w:val="center"/>
          <w:trHeight w:val="326"/>
        </w:trPr>
        <w:tc>
          <w:tcPr>
            <w:tcW w:w="851" w:type="dxa"/>
            <w:vAlign w:val="center"/>
            <w:textDirection w:val="lrTb"/>
            <w:noWrap w:val="false"/>
          </w:tcPr>
          <w:p>
            <w:pPr>
              <w:jc w:val="center"/>
              <w:rPr>
                <w:sz w:val="18"/>
                <w:szCs w:val="18"/>
                <w:highlight w:val="none"/>
              </w:rPr>
            </w:pPr>
            <w:r>
              <w:rPr>
                <w:sz w:val="18"/>
                <w:szCs w:val="18"/>
                <w:highlight w:val="none"/>
              </w:rPr>
              <w:t xml:space="preserve">9</w:t>
            </w:r>
            <w:r/>
          </w:p>
        </w:tc>
        <w:tc>
          <w:tcPr>
            <w:tcW w:w="6946" w:type="dxa"/>
            <w:textDirection w:val="lrTb"/>
            <w:noWrap w:val="false"/>
          </w:tcPr>
          <w:p>
            <w:pPr>
              <w:pStyle w:val="848"/>
              <w:rPr>
                <w:rFonts w:ascii="Times New Roman" w:hAnsi="Times New Roman"/>
                <w:sz w:val="18"/>
                <w:szCs w:val="18"/>
                <w:highlight w:val="none"/>
              </w:rPr>
            </w:pPr>
            <w:r>
              <w:rPr>
                <w:rFonts w:hint="eastAsia" w:ascii="Times New Roman" w:hAnsi="Times New Roman"/>
                <w:sz w:val="18"/>
                <w:szCs w:val="18"/>
                <w:highlight w:val="none"/>
              </w:rPr>
              <w:t xml:space="preserve">箱式变电站内的高压配电装置、低压配电装置、配电变压器等关键部件应依据相应的选型技术原则和检测技术规范进行现场抽样试验</w:t>
            </w:r>
            <w:r/>
          </w:p>
        </w:tc>
        <w:tc>
          <w:tcPr>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gridSpan w:val="3"/>
            <w:tcW w:w="8983" w:type="dxa"/>
            <w:vAlign w:val="center"/>
            <w:textDirection w:val="lrTb"/>
            <w:noWrap w:val="false"/>
          </w:tcPr>
          <w:p>
            <w:pPr>
              <w:pStyle w:val="848"/>
              <w:rPr>
                <w:rFonts w:ascii="Times New Roman" w:hAnsi="Times New Roman"/>
                <w:sz w:val="18"/>
                <w:szCs w:val="18"/>
                <w:highlight w:val="none"/>
              </w:rPr>
            </w:pPr>
            <w:r>
              <w:rPr>
                <w:rFonts w:hint="eastAsia" w:ascii="Times New Roman" w:hAnsi="Times New Roman"/>
                <w:sz w:val="18"/>
                <w:szCs w:val="18"/>
                <w:highlight w:val="none"/>
              </w:rPr>
              <w:t xml:space="preserve">注：“△</w:t>
            </w:r>
            <w:r>
              <w:rPr>
                <w:rFonts w:ascii="Times New Roman" w:hAnsi="Times New Roman"/>
                <w:sz w:val="18"/>
                <w:szCs w:val="18"/>
                <w:highlight w:val="none"/>
              </w:rPr>
              <w:t xml:space="preserve">”</w:t>
            </w:r>
            <w:r>
              <w:rPr>
                <w:rFonts w:hint="eastAsia" w:ascii="Times New Roman" w:hAnsi="Times New Roman"/>
                <w:sz w:val="18"/>
                <w:szCs w:val="18"/>
                <w:highlight w:val="none"/>
              </w:rPr>
              <w:t xml:space="preserve">为必做项目，</w:t>
            </w:r>
            <w:r>
              <w:rPr>
                <w:rFonts w:ascii="Times New Roman" w:hAnsi="Times New Roman"/>
                <w:sz w:val="18"/>
                <w:szCs w:val="18"/>
                <w:highlight w:val="none"/>
              </w:rPr>
              <w:t xml:space="preserve"> “*”</w:t>
            </w:r>
            <w:r>
              <w:rPr>
                <w:rFonts w:hint="eastAsia" w:ascii="Times New Roman" w:hAnsi="Times New Roman"/>
                <w:sz w:val="18"/>
                <w:szCs w:val="18"/>
                <w:highlight w:val="none"/>
              </w:rPr>
              <w:t xml:space="preserve">为选做项目。</w:t>
            </w:r>
            <w:r/>
          </w:p>
        </w:tc>
      </w:tr>
    </w:tbl>
    <w:p>
      <w:pPr>
        <w:rPr>
          <w:highlight w:val="none"/>
        </w:rPr>
      </w:pPr>
      <w:r>
        <w:rPr>
          <w:rFonts w:hint="eastAsia" w:eastAsia="黑体"/>
          <w:szCs w:val="24"/>
          <w:highlight w:val="none"/>
          <w:lang w:val="en-US" w:eastAsia="zh-CN"/>
        </w:rPr>
        <w:t xml:space="preserve">8</w:t>
      </w:r>
      <w:r>
        <w:rPr>
          <w:rFonts w:eastAsia="黑体"/>
          <w:szCs w:val="24"/>
          <w:highlight w:val="none"/>
        </w:rPr>
        <w:t xml:space="preserve">.</w:t>
      </w:r>
      <w:r>
        <w:rPr>
          <w:rFonts w:eastAsia="黑体"/>
          <w:szCs w:val="24"/>
          <w:highlight w:val="none"/>
        </w:rPr>
        <w:t xml:space="preserve">4</w:t>
      </w:r>
      <w:r>
        <w:rPr>
          <w:rFonts w:eastAsia="黑体"/>
          <w:szCs w:val="24"/>
          <w:highlight w:val="none"/>
        </w:rPr>
        <w:t xml:space="preserve">　现场交接试验</w:t>
      </w:r>
      <w:bookmarkEnd w:id="254"/>
      <w:r/>
      <w:bookmarkEnd w:id="255"/>
      <w:r/>
      <w:bookmarkEnd w:id="256"/>
      <w:r/>
      <w:bookmarkEnd w:id="257"/>
      <w:r/>
      <w:r/>
    </w:p>
    <w:p>
      <w:pPr>
        <w:pStyle w:val="896"/>
        <w:ind w:firstLine="420"/>
        <w:tabs>
          <w:tab w:val="center" w:pos="4201" w:leader="none"/>
          <w:tab w:val="right" w:pos="9298" w:leader="dot"/>
        </w:tabs>
        <w:rPr>
          <w:rFonts w:ascii="Times New Roman"/>
          <w:highlight w:val="none"/>
        </w:rPr>
      </w:pPr>
      <w:r>
        <w:rPr>
          <w:rFonts w:hint="eastAsia" w:ascii="Times New Roman"/>
          <w:highlight w:val="none"/>
        </w:rPr>
        <w:t xml:space="preserve">箱式变电站安装完毕后应进行现场交接试验，试验应符合的</w:t>
      </w:r>
      <w:r>
        <w:rPr>
          <w:rFonts w:ascii="Times New Roman"/>
          <w:highlight w:val="none"/>
        </w:rPr>
        <w:t xml:space="preserve">GB 17467</w:t>
      </w:r>
      <w:r>
        <w:rPr>
          <w:rFonts w:hint="eastAsia" w:ascii="Times New Roman"/>
          <w:highlight w:val="none"/>
        </w:rPr>
        <w:t xml:space="preserve">和</w:t>
      </w:r>
      <w:r>
        <w:rPr>
          <w:rFonts w:ascii="Times New Roman"/>
          <w:szCs w:val="21"/>
          <w:highlight w:val="none"/>
        </w:rPr>
        <w:t xml:space="preserve">DL/T 537</w:t>
      </w:r>
      <w:r>
        <w:rPr>
          <w:rFonts w:hint="eastAsia" w:ascii="Times New Roman"/>
          <w:highlight w:val="none"/>
        </w:rPr>
        <w:t xml:space="preserve">的要求。现场交接试验项目见表</w:t>
      </w:r>
      <w:r>
        <w:rPr>
          <w:rFonts w:ascii="Times New Roman"/>
          <w:highlight w:val="none"/>
        </w:rPr>
        <w:t xml:space="preserve">6</w:t>
      </w:r>
      <w:r>
        <w:rPr>
          <w:rFonts w:hint="eastAsia" w:ascii="Times New Roman"/>
          <w:highlight w:val="none"/>
        </w:rPr>
        <w:t xml:space="preserve">。</w:t>
      </w:r>
      <w:r/>
    </w:p>
    <w:p>
      <w:pPr>
        <w:pStyle w:val="1159"/>
        <w:rPr>
          <w:rFonts w:ascii="Times New Roman"/>
          <w:highlight w:val="none"/>
        </w:rPr>
      </w:pPr>
      <w:r>
        <w:rPr>
          <w:rFonts w:hint="eastAsia" w:ascii="Times New Roman"/>
          <w:highlight w:val="none"/>
        </w:rPr>
        <w:t xml:space="preserve">表</w:t>
      </w:r>
      <w:r>
        <w:rPr>
          <w:rFonts w:ascii="Times New Roman"/>
          <w:highlight w:val="none"/>
        </w:rPr>
        <w:t xml:space="preserve">6 </w:t>
      </w:r>
      <w:r>
        <w:rPr>
          <w:rFonts w:hint="eastAsia" w:ascii="Times New Roman"/>
          <w:highlight w:val="none"/>
        </w:rPr>
        <w:t xml:space="preserve">箱式变电站现场交接试验项目</w:t>
      </w:r>
      <w:r/>
    </w:p>
    <w:tbl>
      <w:tblPr>
        <w:tblStyle w:val="827"/>
        <w:tblW w:w="8983"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51"/>
        <w:gridCol w:w="6946"/>
        <w:gridCol w:w="1186"/>
      </w:tblGrid>
      <w:tr>
        <w:trPr>
          <w:cantSplit/>
          <w:jc w:val="center"/>
          <w:trHeight w:val="654"/>
        </w:trPr>
        <w:tc>
          <w:tcPr>
            <w:tcBorders>
              <w:top w:val="single" w:color="auto" w:sz="12" w:space="0"/>
              <w:left w:val="single" w:color="auto" w:sz="12" w:space="0"/>
              <w:bottom w:val="single" w:color="auto" w:sz="12" w:space="0"/>
            </w:tcBorders>
            <w:tcW w:w="851" w:type="dxa"/>
            <w:vAlign w:val="center"/>
            <w:textDirection w:val="lrTb"/>
            <w:noWrap w:val="false"/>
          </w:tcPr>
          <w:p>
            <w:pPr>
              <w:pStyle w:val="896"/>
              <w:ind w:firstLine="0"/>
              <w:jc w:val="center"/>
              <w:tabs>
                <w:tab w:val="center" w:pos="4201" w:leader="none"/>
                <w:tab w:val="right" w:pos="9298" w:leader="dot"/>
              </w:tabs>
              <w:rPr>
                <w:rFonts w:ascii="Times New Roman"/>
                <w:sz w:val="18"/>
                <w:szCs w:val="18"/>
                <w:highlight w:val="none"/>
              </w:rPr>
            </w:pPr>
            <w:r>
              <w:rPr>
                <w:rFonts w:hint="eastAsia" w:ascii="Times New Roman"/>
                <w:sz w:val="18"/>
                <w:szCs w:val="18"/>
                <w:highlight w:val="none"/>
              </w:rPr>
              <w:t xml:space="preserve">序号</w:t>
            </w:r>
            <w:r/>
          </w:p>
        </w:tc>
        <w:tc>
          <w:tcPr>
            <w:tcBorders>
              <w:top w:val="single" w:color="auto" w:sz="12" w:space="0"/>
              <w:bottom w:val="single" w:color="auto" w:sz="12" w:space="0"/>
            </w:tcBorders>
            <w:tcW w:w="6946" w:type="dxa"/>
            <w:vAlign w:val="center"/>
            <w:textDirection w:val="lrTb"/>
            <w:noWrap w:val="false"/>
          </w:tcPr>
          <w:p>
            <w:pPr>
              <w:pStyle w:val="896"/>
              <w:ind w:firstLine="171"/>
              <w:jc w:val="center"/>
              <w:tabs>
                <w:tab w:val="center" w:pos="4201" w:leader="none"/>
                <w:tab w:val="right" w:pos="9298" w:leader="dot"/>
              </w:tabs>
              <w:rPr>
                <w:rFonts w:ascii="Times New Roman"/>
                <w:sz w:val="18"/>
                <w:szCs w:val="18"/>
                <w:highlight w:val="none"/>
              </w:rPr>
            </w:pPr>
            <w:r>
              <w:rPr>
                <w:rFonts w:hint="eastAsia" w:ascii="Times New Roman"/>
                <w:sz w:val="18"/>
                <w:szCs w:val="18"/>
                <w:highlight w:val="none"/>
              </w:rPr>
              <w:t xml:space="preserve">出厂试验项目</w:t>
            </w:r>
            <w:r/>
          </w:p>
        </w:tc>
        <w:tc>
          <w:tcPr>
            <w:tcBorders>
              <w:top w:val="single" w:color="auto" w:sz="12" w:space="0"/>
              <w:bottom w:val="single" w:color="auto" w:sz="12" w:space="0"/>
            </w:tcBorders>
            <w:tcW w:w="1186" w:type="dxa"/>
            <w:vAlign w:val="center"/>
            <w:textDirection w:val="lrTb"/>
            <w:noWrap w:val="false"/>
          </w:tcPr>
          <w:p>
            <w:pPr>
              <w:jc w:val="center"/>
              <w:rPr>
                <w:sz w:val="18"/>
                <w:szCs w:val="18"/>
                <w:highlight w:val="none"/>
              </w:rPr>
            </w:pPr>
            <w:r>
              <w:rPr>
                <w:rFonts w:hint="eastAsia"/>
                <w:sz w:val="18"/>
                <w:szCs w:val="18"/>
                <w:highlight w:val="none"/>
              </w:rPr>
              <w:t xml:space="preserve">项目选择</w:t>
            </w:r>
            <w:r/>
          </w:p>
        </w:tc>
      </w:tr>
      <w:tr>
        <w:trPr>
          <w:cantSplit/>
          <w:jc w:val="center"/>
          <w:trHeight w:val="326"/>
        </w:trPr>
        <w:tc>
          <w:tcPr>
            <w:tcBorders>
              <w:top w:val="single" w:color="auto" w:sz="12" w:space="0"/>
              <w:left w:val="single" w:color="auto" w:sz="12" w:space="0"/>
              <w:bottom w:val="single" w:color="auto" w:sz="4" w:space="0"/>
              <w:right w:val="single" w:color="auto" w:sz="4" w:space="0"/>
            </w:tcBorders>
            <w:tcW w:w="851" w:type="dxa"/>
            <w:vAlign w:val="center"/>
            <w:textDirection w:val="lrTb"/>
            <w:noWrap w:val="false"/>
          </w:tcPr>
          <w:p>
            <w:pPr>
              <w:pStyle w:val="896"/>
              <w:ind w:firstLine="0"/>
              <w:jc w:val="center"/>
              <w:tabs>
                <w:tab w:val="center" w:pos="4201" w:leader="none"/>
                <w:tab w:val="right" w:pos="9298" w:leader="dot"/>
              </w:tabs>
              <w:rPr>
                <w:rFonts w:ascii="Times New Roman"/>
                <w:sz w:val="18"/>
                <w:szCs w:val="18"/>
                <w:highlight w:val="none"/>
              </w:rPr>
            </w:pPr>
            <w:r>
              <w:rPr>
                <w:rFonts w:ascii="Times New Roman"/>
                <w:sz w:val="18"/>
                <w:szCs w:val="18"/>
                <w:highlight w:val="none"/>
              </w:rPr>
              <w:t xml:space="preserve">1</w:t>
            </w:r>
            <w:r/>
          </w:p>
        </w:tc>
        <w:tc>
          <w:tcPr>
            <w:tcBorders>
              <w:top w:val="single" w:color="auto" w:sz="12" w:space="0"/>
              <w:left w:val="single" w:color="auto" w:sz="4" w:space="0"/>
              <w:bottom w:val="single" w:color="auto" w:sz="4" w:space="0"/>
            </w:tcBorders>
            <w:tcW w:w="6946" w:type="dxa"/>
            <w:vAlign w:val="center"/>
            <w:textDirection w:val="lrTb"/>
            <w:noWrap w:val="false"/>
          </w:tcPr>
          <w:p>
            <w:pPr>
              <w:jc w:val="center"/>
              <w:rPr>
                <w:sz w:val="18"/>
                <w:szCs w:val="18"/>
                <w:highlight w:val="none"/>
              </w:rPr>
            </w:pPr>
            <w:r>
              <w:rPr>
                <w:rFonts w:hint="eastAsia"/>
                <w:sz w:val="18"/>
                <w:szCs w:val="18"/>
                <w:highlight w:val="none"/>
              </w:rPr>
              <w:t xml:space="preserve">设计和外观检查</w:t>
            </w:r>
            <w:r/>
          </w:p>
        </w:tc>
        <w:tc>
          <w:tcPr>
            <w:tcBorders>
              <w:top w:val="single" w:color="auto" w:sz="12" w:space="0"/>
            </w:tcBorders>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Borders>
              <w:top w:val="single" w:color="auto" w:sz="4" w:space="0"/>
              <w:left w:val="single" w:color="auto" w:sz="12" w:space="0"/>
              <w:bottom w:val="single" w:color="auto" w:sz="4" w:space="0"/>
              <w:right w:val="single" w:color="auto" w:sz="4" w:space="0"/>
            </w:tcBorders>
            <w:tcW w:w="851" w:type="dxa"/>
            <w:vAlign w:val="center"/>
            <w:textDirection w:val="lrTb"/>
            <w:noWrap w:val="false"/>
          </w:tcPr>
          <w:p>
            <w:pPr>
              <w:pStyle w:val="896"/>
              <w:ind w:firstLine="0"/>
              <w:jc w:val="center"/>
              <w:tabs>
                <w:tab w:val="center" w:pos="4201" w:leader="none"/>
                <w:tab w:val="right" w:pos="9298" w:leader="dot"/>
              </w:tabs>
              <w:rPr>
                <w:rFonts w:ascii="Times New Roman"/>
                <w:sz w:val="18"/>
                <w:szCs w:val="18"/>
                <w:highlight w:val="none"/>
              </w:rPr>
            </w:pPr>
            <w:r>
              <w:rPr>
                <w:rFonts w:ascii="Times New Roman"/>
                <w:sz w:val="18"/>
                <w:szCs w:val="18"/>
                <w:highlight w:val="none"/>
              </w:rPr>
              <w:t xml:space="preserve">2</w:t>
            </w:r>
            <w:r/>
          </w:p>
        </w:tc>
        <w:tc>
          <w:tcPr>
            <w:tcBorders>
              <w:top w:val="single" w:color="auto" w:sz="4" w:space="0"/>
              <w:left w:val="single" w:color="auto" w:sz="4" w:space="0"/>
              <w:bottom w:val="single" w:color="auto" w:sz="4" w:space="0"/>
            </w:tcBorders>
            <w:tcW w:w="6946" w:type="dxa"/>
            <w:vAlign w:val="center"/>
            <w:textDirection w:val="lrTb"/>
            <w:noWrap w:val="false"/>
          </w:tcPr>
          <w:p>
            <w:pPr>
              <w:jc w:val="center"/>
              <w:rPr>
                <w:sz w:val="18"/>
                <w:szCs w:val="18"/>
                <w:highlight w:val="none"/>
              </w:rPr>
            </w:pPr>
            <w:r>
              <w:rPr>
                <w:rFonts w:hint="eastAsia"/>
                <w:sz w:val="18"/>
                <w:szCs w:val="18"/>
                <w:highlight w:val="none"/>
              </w:rPr>
              <w:t xml:space="preserve">主回路绝缘试验</w:t>
            </w:r>
            <w:r/>
          </w:p>
        </w:tc>
        <w:tc>
          <w:tcPr>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Borders>
              <w:top w:val="single" w:color="auto" w:sz="4" w:space="0"/>
            </w:tcBorders>
            <w:tcW w:w="851" w:type="dxa"/>
            <w:vAlign w:val="center"/>
            <w:textDirection w:val="lrTb"/>
            <w:noWrap w:val="false"/>
          </w:tcPr>
          <w:p>
            <w:pPr>
              <w:pStyle w:val="896"/>
              <w:ind w:firstLine="0"/>
              <w:jc w:val="center"/>
              <w:tabs>
                <w:tab w:val="center" w:pos="4201" w:leader="none"/>
                <w:tab w:val="right" w:pos="9298" w:leader="dot"/>
              </w:tabs>
              <w:rPr>
                <w:rFonts w:ascii="Times New Roman"/>
                <w:sz w:val="18"/>
                <w:szCs w:val="18"/>
                <w:highlight w:val="none"/>
              </w:rPr>
            </w:pPr>
            <w:r>
              <w:rPr>
                <w:rFonts w:ascii="Times New Roman"/>
                <w:sz w:val="18"/>
                <w:szCs w:val="18"/>
                <w:highlight w:val="none"/>
              </w:rPr>
              <w:t xml:space="preserve">3</w:t>
            </w:r>
            <w:r/>
          </w:p>
        </w:tc>
        <w:tc>
          <w:tcPr>
            <w:tcBorders>
              <w:top w:val="single" w:color="auto" w:sz="4" w:space="0"/>
            </w:tcBorders>
            <w:tcW w:w="6946" w:type="dxa"/>
            <w:vAlign w:val="center"/>
            <w:textDirection w:val="lrTb"/>
            <w:noWrap w:val="false"/>
          </w:tcPr>
          <w:p>
            <w:pPr>
              <w:jc w:val="center"/>
              <w:rPr>
                <w:sz w:val="18"/>
                <w:szCs w:val="18"/>
                <w:highlight w:val="none"/>
              </w:rPr>
            </w:pPr>
            <w:r>
              <w:rPr>
                <w:rFonts w:hint="eastAsia"/>
                <w:sz w:val="18"/>
                <w:szCs w:val="18"/>
                <w:highlight w:val="none"/>
              </w:rPr>
              <w:t xml:space="preserve">辅助和控制回路的绝缘试验</w:t>
            </w:r>
            <w:r/>
          </w:p>
        </w:tc>
        <w:tc>
          <w:tcPr>
            <w:tcW w:w="1186" w:type="dxa"/>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Borders>
              <w:top w:val="single" w:color="auto" w:sz="4" w:space="0"/>
            </w:tcBorders>
            <w:tcW w:w="851" w:type="dxa"/>
            <w:vAlign w:val="center"/>
            <w:textDirection w:val="lrTb"/>
            <w:noWrap w:val="false"/>
          </w:tcPr>
          <w:p>
            <w:pPr>
              <w:jc w:val="center"/>
              <w:rPr>
                <w:sz w:val="18"/>
                <w:szCs w:val="18"/>
                <w:highlight w:val="none"/>
              </w:rPr>
            </w:pPr>
            <w:r>
              <w:rPr>
                <w:sz w:val="18"/>
                <w:szCs w:val="18"/>
                <w:highlight w:val="none"/>
              </w:rPr>
              <w:t xml:space="preserve">4</w:t>
            </w:r>
            <w:r/>
          </w:p>
        </w:tc>
        <w:tc>
          <w:tcPr>
            <w:tcBorders>
              <w:top w:val="single" w:color="auto" w:sz="4" w:space="0"/>
            </w:tcBorders>
            <w:tcW w:w="6946" w:type="dxa"/>
            <w:vAlign w:val="center"/>
            <w:textDirection w:val="lrTb"/>
            <w:noWrap w:val="false"/>
          </w:tcPr>
          <w:p>
            <w:pPr>
              <w:jc w:val="center"/>
              <w:rPr>
                <w:sz w:val="18"/>
                <w:szCs w:val="18"/>
                <w:highlight w:val="none"/>
              </w:rPr>
            </w:pPr>
            <w:r>
              <w:rPr>
                <w:rFonts w:hint="eastAsia"/>
                <w:sz w:val="18"/>
                <w:szCs w:val="18"/>
                <w:highlight w:val="none"/>
              </w:rPr>
              <w:t xml:space="preserve">接线正确性检查</w:t>
            </w:r>
            <w:r/>
          </w:p>
        </w:tc>
        <w:tc>
          <w:tcPr>
            <w:tcW w:w="1186" w:type="dxa"/>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W w:w="851" w:type="dxa"/>
            <w:vAlign w:val="center"/>
            <w:textDirection w:val="lrTb"/>
            <w:noWrap w:val="false"/>
          </w:tcPr>
          <w:p>
            <w:pPr>
              <w:jc w:val="center"/>
              <w:rPr>
                <w:sz w:val="18"/>
                <w:szCs w:val="18"/>
                <w:highlight w:val="none"/>
              </w:rPr>
            </w:pPr>
            <w:r>
              <w:rPr>
                <w:sz w:val="18"/>
                <w:szCs w:val="18"/>
                <w:highlight w:val="none"/>
              </w:rPr>
              <w:t xml:space="preserve">5</w:t>
            </w:r>
            <w:r/>
          </w:p>
        </w:tc>
        <w:tc>
          <w:tcPr>
            <w:tcW w:w="6946" w:type="dxa"/>
            <w:vAlign w:val="center"/>
            <w:textDirection w:val="lrTb"/>
            <w:noWrap w:val="false"/>
          </w:tcPr>
          <w:p>
            <w:pPr>
              <w:jc w:val="center"/>
              <w:rPr>
                <w:sz w:val="18"/>
                <w:szCs w:val="18"/>
                <w:highlight w:val="none"/>
              </w:rPr>
            </w:pPr>
            <w:r>
              <w:rPr>
                <w:rFonts w:hint="eastAsia"/>
                <w:sz w:val="18"/>
                <w:szCs w:val="18"/>
                <w:highlight w:val="none"/>
              </w:rPr>
              <w:t xml:space="preserve">接地连续性试验</w:t>
            </w:r>
            <w:r/>
          </w:p>
        </w:tc>
        <w:tc>
          <w:tcPr>
            <w:tcW w:w="1186" w:type="dxa"/>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W w:w="851" w:type="dxa"/>
            <w:vAlign w:val="center"/>
            <w:textDirection w:val="lrTb"/>
            <w:noWrap w:val="false"/>
          </w:tcPr>
          <w:p>
            <w:pPr>
              <w:jc w:val="center"/>
              <w:rPr>
                <w:sz w:val="18"/>
                <w:szCs w:val="18"/>
                <w:highlight w:val="none"/>
              </w:rPr>
            </w:pPr>
            <w:r>
              <w:rPr>
                <w:sz w:val="18"/>
                <w:szCs w:val="18"/>
                <w:highlight w:val="none"/>
              </w:rPr>
              <w:t xml:space="preserve">6</w:t>
            </w:r>
            <w:r/>
          </w:p>
        </w:tc>
        <w:tc>
          <w:tcPr>
            <w:tcW w:w="6946" w:type="dxa"/>
            <w:vAlign w:val="center"/>
            <w:textDirection w:val="lrTb"/>
            <w:noWrap w:val="false"/>
          </w:tcPr>
          <w:p>
            <w:pPr>
              <w:jc w:val="center"/>
              <w:rPr>
                <w:sz w:val="18"/>
                <w:szCs w:val="18"/>
                <w:highlight w:val="none"/>
              </w:rPr>
            </w:pPr>
            <w:r>
              <w:rPr>
                <w:rFonts w:hint="eastAsia"/>
                <w:sz w:val="18"/>
                <w:szCs w:val="18"/>
                <w:highlight w:val="none"/>
              </w:rPr>
              <w:t xml:space="preserve">功能试验</w:t>
            </w:r>
            <w:r/>
          </w:p>
        </w:tc>
        <w:tc>
          <w:tcPr>
            <w:tcW w:w="1186" w:type="dxa"/>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tcW w:w="851" w:type="dxa"/>
            <w:vAlign w:val="center"/>
            <w:textDirection w:val="lrTb"/>
            <w:noWrap w:val="false"/>
          </w:tcPr>
          <w:p>
            <w:pPr>
              <w:jc w:val="center"/>
              <w:rPr>
                <w:sz w:val="18"/>
                <w:szCs w:val="18"/>
                <w:highlight w:val="none"/>
              </w:rPr>
            </w:pPr>
            <w:r>
              <w:rPr>
                <w:sz w:val="18"/>
                <w:szCs w:val="18"/>
                <w:highlight w:val="none"/>
              </w:rPr>
              <w:t xml:space="preserve">7</w:t>
            </w:r>
            <w:r/>
          </w:p>
        </w:tc>
        <w:tc>
          <w:tcPr>
            <w:tcW w:w="6946" w:type="dxa"/>
            <w:textDirection w:val="lrTb"/>
            <w:noWrap w:val="false"/>
          </w:tcPr>
          <w:p>
            <w:pPr>
              <w:jc w:val="center"/>
              <w:rPr>
                <w:sz w:val="18"/>
                <w:szCs w:val="18"/>
                <w:highlight w:val="none"/>
              </w:rPr>
            </w:pPr>
            <w:r>
              <w:rPr>
                <w:rFonts w:hint="eastAsia"/>
                <w:sz w:val="18"/>
                <w:szCs w:val="18"/>
                <w:highlight w:val="none"/>
              </w:rPr>
              <w:t xml:space="preserve">箱式变电站内的高压配电装置、低压配电装置、配电变压器等关键部件应依据相应的选型技术原则和检测技术规范进行现场交接试验</w:t>
            </w:r>
            <w:r/>
          </w:p>
        </w:tc>
        <w:tc>
          <w:tcPr>
            <w:tcW w:w="1186" w:type="dxa"/>
            <w:vAlign w:val="center"/>
            <w:textDirection w:val="lrTb"/>
            <w:noWrap w:val="false"/>
          </w:tcPr>
          <w:p>
            <w:pPr>
              <w:jc w:val="center"/>
              <w:rPr>
                <w:sz w:val="18"/>
                <w:szCs w:val="18"/>
                <w:highlight w:val="none"/>
              </w:rPr>
            </w:pPr>
            <w:r>
              <w:rPr>
                <w:rFonts w:hint="eastAsia"/>
                <w:sz w:val="18"/>
                <w:szCs w:val="18"/>
                <w:highlight w:val="none"/>
              </w:rPr>
              <w:t xml:space="preserve">△</w:t>
            </w:r>
            <w:r/>
          </w:p>
        </w:tc>
      </w:tr>
      <w:tr>
        <w:trPr>
          <w:cantSplit/>
          <w:jc w:val="center"/>
          <w:trHeight w:val="326"/>
        </w:trPr>
        <w:tc>
          <w:tcPr>
            <w:gridSpan w:val="3"/>
            <w:tcW w:w="8983" w:type="dxa"/>
            <w:vAlign w:val="center"/>
            <w:textDirection w:val="lrTb"/>
            <w:noWrap w:val="false"/>
          </w:tcPr>
          <w:p>
            <w:pPr>
              <w:pStyle w:val="848"/>
              <w:rPr>
                <w:rFonts w:ascii="Times New Roman" w:hAnsi="Times New Roman"/>
                <w:sz w:val="18"/>
                <w:szCs w:val="18"/>
                <w:highlight w:val="none"/>
              </w:rPr>
            </w:pPr>
            <w:r>
              <w:rPr>
                <w:rFonts w:hint="eastAsia" w:ascii="Times New Roman" w:hAnsi="Times New Roman"/>
                <w:sz w:val="18"/>
                <w:szCs w:val="18"/>
                <w:highlight w:val="none"/>
              </w:rPr>
              <w:t xml:space="preserve">注：“△</w:t>
            </w:r>
            <w:r>
              <w:rPr>
                <w:rFonts w:ascii="Times New Roman" w:hAnsi="Times New Roman"/>
                <w:sz w:val="18"/>
                <w:szCs w:val="18"/>
                <w:highlight w:val="none"/>
              </w:rPr>
              <w:t xml:space="preserve">”</w:t>
            </w:r>
            <w:r>
              <w:rPr>
                <w:rFonts w:hint="eastAsia" w:ascii="Times New Roman" w:hAnsi="Times New Roman"/>
                <w:sz w:val="18"/>
                <w:szCs w:val="18"/>
                <w:highlight w:val="none"/>
              </w:rPr>
              <w:t xml:space="preserve">为必做项目。</w:t>
            </w:r>
            <w:r/>
          </w:p>
        </w:tc>
      </w:tr>
    </w:tbl>
    <w:p>
      <w:pPr>
        <w:pStyle w:val="1149"/>
        <w:spacing w:line="480" w:lineRule="auto"/>
        <w:rPr>
          <w:szCs w:val="28"/>
          <w:highlight w:val="none"/>
        </w:rPr>
        <w:outlineLvl w:val="0"/>
      </w:pPr>
      <w:r/>
      <w:bookmarkStart w:id="258" w:name="_Toc27340"/>
      <w:r/>
      <w:bookmarkStart w:id="259" w:name="_Toc454978640"/>
      <w:r/>
      <w:bookmarkStart w:id="260" w:name="_Toc19069"/>
      <w:r/>
      <w:bookmarkStart w:id="261" w:name="_Toc10267"/>
      <w:r/>
      <w:bookmarkStart w:id="262" w:name="_Toc21985"/>
      <w:r/>
      <w:bookmarkStart w:id="263" w:name="_Toc562"/>
      <w:r/>
      <w:bookmarkStart w:id="264" w:name="_Toc252017592"/>
      <w:r/>
      <w:bookmarkStart w:id="265" w:name="_Toc24372"/>
      <w:r/>
      <w:bookmarkStart w:id="266" w:name="_Toc26898"/>
      <w:r/>
      <w:bookmarkStart w:id="267" w:name="_Toc340376544"/>
      <w:r/>
      <w:bookmarkStart w:id="268" w:name="_Toc18838"/>
      <w:r/>
      <w:bookmarkStart w:id="269" w:name="_Toc5646"/>
      <w:r>
        <w:rPr>
          <w:rFonts w:hint="eastAsia" w:eastAsia="黑体"/>
          <w:szCs w:val="21"/>
          <w:highlight w:val="none"/>
          <w:lang w:val="en-US" w:eastAsia="zh-CN"/>
        </w:rPr>
        <w:t xml:space="preserve">9</w:t>
      </w:r>
      <w:r>
        <w:rPr>
          <w:rFonts w:hint="eastAsia" w:eastAsia="黑体"/>
          <w:sz w:val="21"/>
          <w:szCs w:val="21"/>
          <w:highlight w:val="none"/>
        </w:rPr>
        <w:t xml:space="preserve">　</w:t>
      </w:r>
      <w:bookmarkStart w:id="270" w:name="_Toc247636329"/>
      <w:r/>
      <w:bookmarkStart w:id="271" w:name="OLE_LINK1"/>
      <w:r/>
      <w:bookmarkStart w:id="272" w:name="_Toc156016655"/>
      <w:r/>
      <w:bookmarkStart w:id="273" w:name="_Toc165125341"/>
      <w:r>
        <w:rPr>
          <w:rFonts w:hint="eastAsia" w:eastAsia="黑体"/>
          <w:sz w:val="21"/>
          <w:szCs w:val="21"/>
          <w:highlight w:val="none"/>
        </w:rPr>
        <w:t xml:space="preserve">技术服务、工厂检验和监造</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rPr>
          <w:highlight w:val="none"/>
        </w:rPr>
      </w:pPr>
      <w:r/>
      <w:bookmarkStart w:id="274" w:name="_Toc488654027"/>
      <w:r/>
      <w:bookmarkStart w:id="275" w:name="_Toc151087498"/>
      <w:r/>
      <w:bookmarkStart w:id="276" w:name="_Toc340376545"/>
      <w:r/>
      <w:bookmarkStart w:id="277" w:name="_Toc252017593"/>
      <w:r/>
      <w:bookmarkStart w:id="278" w:name="_Toc249414447"/>
      <w:r/>
      <w:bookmarkStart w:id="279" w:name="_Toc142931773"/>
      <w:r/>
      <w:bookmarkStart w:id="280" w:name="_Toc142909138"/>
      <w:r>
        <w:rPr>
          <w:rFonts w:hint="eastAsia" w:eastAsia="黑体"/>
          <w:szCs w:val="24"/>
          <w:highlight w:val="none"/>
          <w:lang w:val="en-US" w:eastAsia="zh-CN"/>
        </w:rPr>
        <w:t xml:space="preserve">9</w:t>
      </w:r>
      <w:r>
        <w:rPr>
          <w:rFonts w:eastAsia="黑体"/>
          <w:szCs w:val="24"/>
          <w:highlight w:val="none"/>
        </w:rPr>
        <w:t xml:space="preserve">.1　技术服务</w:t>
      </w:r>
      <w:bookmarkEnd w:id="274"/>
      <w:r/>
      <w:bookmarkEnd w:id="275"/>
      <w:r/>
      <w:bookmarkEnd w:id="276"/>
      <w:r/>
      <w:bookmarkEnd w:id="277"/>
      <w:r/>
      <w:bookmarkEnd w:id="278"/>
      <w:r/>
      <w:bookmarkEnd w:id="279"/>
      <w:r/>
      <w:bookmarkEnd w:id="280"/>
      <w:r/>
      <w:r/>
    </w:p>
    <w:p>
      <w:pPr>
        <w:pStyle w:val="1153"/>
        <w:rPr>
          <w:sz w:val="21"/>
          <w:szCs w:val="21"/>
          <w:highlight w:val="none"/>
        </w:rPr>
      </w:pPr>
      <w:r>
        <w:rPr>
          <w:rFonts w:hint="eastAsia"/>
          <w:sz w:val="21"/>
          <w:szCs w:val="21"/>
          <w:highlight w:val="none"/>
          <w:lang w:val="en-US" w:eastAsia="zh-CN"/>
        </w:rPr>
        <w:t xml:space="preserve">9</w:t>
      </w:r>
      <w:r>
        <w:rPr>
          <w:spacing w:val="20"/>
          <w:sz w:val="21"/>
          <w:szCs w:val="21"/>
          <w:highlight w:val="none"/>
        </w:rPr>
        <w:t xml:space="preserve">.</w:t>
      </w:r>
      <w:r>
        <w:rPr>
          <w:sz w:val="21"/>
          <w:szCs w:val="21"/>
          <w:highlight w:val="none"/>
        </w:rPr>
        <w:t xml:space="preserve">1</w:t>
      </w:r>
      <w:r>
        <w:rPr>
          <w:spacing w:val="20"/>
          <w:sz w:val="21"/>
          <w:szCs w:val="21"/>
          <w:highlight w:val="none"/>
        </w:rPr>
        <w:t xml:space="preserve">.</w:t>
      </w:r>
      <w:r>
        <w:rPr>
          <w:sz w:val="21"/>
          <w:szCs w:val="21"/>
          <w:highlight w:val="none"/>
        </w:rPr>
        <w:t xml:space="preserve">1</w:t>
      </w:r>
      <w:r>
        <w:rPr>
          <w:rFonts w:hint="eastAsia"/>
          <w:sz w:val="21"/>
          <w:szCs w:val="21"/>
          <w:highlight w:val="none"/>
        </w:rPr>
        <w:t xml:space="preserve">　概述</w:t>
      </w:r>
      <w:r/>
    </w:p>
    <w:p>
      <w:pPr>
        <w:ind w:firstLine="425"/>
        <w:rPr>
          <w:szCs w:val="21"/>
          <w:highlight w:val="none"/>
        </w:rPr>
      </w:pPr>
      <w:r>
        <w:rPr>
          <w:szCs w:val="21"/>
          <w:highlight w:val="none"/>
        </w:rPr>
        <w:t xml:space="preserve">a）投标人应根据招标人要求，指定售后服务人员，对安装承包商进行相关业务指导。</w:t>
      </w:r>
      <w:r/>
    </w:p>
    <w:p>
      <w:pPr>
        <w:ind w:firstLine="425"/>
        <w:rPr>
          <w:szCs w:val="21"/>
          <w:highlight w:val="none"/>
        </w:rPr>
      </w:pPr>
      <w:r>
        <w:rPr>
          <w:szCs w:val="21"/>
          <w:highlight w:val="none"/>
        </w:rPr>
        <w:t xml:space="preserve">b）投标人应该根据工地施工的实际工作进展，及时提供技术服务。</w:t>
      </w:r>
      <w:r/>
    </w:p>
    <w:p>
      <w:pPr>
        <w:spacing w:line="312" w:lineRule="exact"/>
        <w:rPr>
          <w:szCs w:val="21"/>
          <w:highlight w:val="none"/>
        </w:rPr>
      </w:pPr>
      <w:r/>
      <w:bookmarkStart w:id="281" w:name="_Toc488654028"/>
      <w:r>
        <w:rPr>
          <w:rFonts w:hint="eastAsia"/>
          <w:szCs w:val="21"/>
          <w:highlight w:val="none"/>
          <w:lang w:val="en-US" w:eastAsia="zh-CN"/>
        </w:rPr>
        <w:t xml:space="preserve">9</w:t>
      </w:r>
      <w:r>
        <w:rPr>
          <w:spacing w:val="20"/>
          <w:szCs w:val="21"/>
          <w:highlight w:val="none"/>
        </w:rPr>
        <w:t xml:space="preserve">.</w:t>
      </w:r>
      <w:r>
        <w:rPr>
          <w:szCs w:val="21"/>
          <w:highlight w:val="none"/>
        </w:rPr>
        <w:t xml:space="preserve">1</w:t>
      </w:r>
      <w:r>
        <w:rPr>
          <w:spacing w:val="20"/>
          <w:szCs w:val="21"/>
          <w:highlight w:val="none"/>
        </w:rPr>
        <w:t xml:space="preserve">.</w:t>
      </w:r>
      <w:r>
        <w:rPr>
          <w:szCs w:val="21"/>
          <w:highlight w:val="none"/>
        </w:rPr>
        <w:t xml:space="preserve">2　任务和责任</w:t>
      </w:r>
      <w:r/>
    </w:p>
    <w:p>
      <w:pPr>
        <w:ind w:firstLine="425"/>
        <w:rPr>
          <w:szCs w:val="21"/>
          <w:highlight w:val="none"/>
        </w:rPr>
      </w:pPr>
      <w:r>
        <w:rPr>
          <w:szCs w:val="21"/>
          <w:highlight w:val="none"/>
        </w:rPr>
        <w:t xml:space="preserve">a）</w:t>
      </w:r>
      <w:r>
        <w:rPr>
          <w:rFonts w:hint="eastAsia"/>
          <w:szCs w:val="21"/>
          <w:highlight w:val="none"/>
        </w:rPr>
        <w:t xml:space="preserve">投标人指定的售后服务人员，应在合同范围内全面与招标人代表充分合作与协商，以解决合同。</w:t>
      </w:r>
      <w:r/>
    </w:p>
    <w:p>
      <w:pPr>
        <w:ind w:firstLine="425"/>
        <w:rPr>
          <w:szCs w:val="21"/>
          <w:highlight w:val="none"/>
        </w:rPr>
      </w:pPr>
      <w:r>
        <w:rPr>
          <w:szCs w:val="21"/>
          <w:highlight w:val="none"/>
        </w:rPr>
        <w:t xml:space="preserve">b）有关的技术和工作问题。双方的代表，未经双方授权，无权变更和修改合同。</w:t>
      </w:r>
      <w:r/>
    </w:p>
    <w:p>
      <w:pPr>
        <w:ind w:firstLine="425"/>
        <w:rPr>
          <w:szCs w:val="21"/>
          <w:highlight w:val="none"/>
        </w:rPr>
      </w:pPr>
      <w:r>
        <w:rPr>
          <w:szCs w:val="21"/>
          <w:highlight w:val="none"/>
        </w:rPr>
        <w:t xml:space="preserve">c）</w:t>
      </w:r>
      <w:r>
        <w:rPr>
          <w:rFonts w:hint="eastAsia"/>
          <w:szCs w:val="21"/>
          <w:highlight w:val="none"/>
        </w:rPr>
        <w:t xml:space="preserve">投标人售后服务人员代表投标人，完成合同规定有关设备的技术服务。</w:t>
      </w:r>
      <w:r/>
    </w:p>
    <w:p>
      <w:pPr>
        <w:ind w:firstLine="425"/>
        <w:rPr>
          <w:szCs w:val="21"/>
          <w:highlight w:val="none"/>
        </w:rPr>
      </w:pPr>
      <w:r>
        <w:rPr>
          <w:szCs w:val="21"/>
          <w:highlight w:val="none"/>
        </w:rPr>
        <w:t xml:space="preserve">d）</w:t>
      </w:r>
      <w:r>
        <w:rPr>
          <w:rFonts w:hint="eastAsia"/>
          <w:szCs w:val="21"/>
          <w:highlight w:val="none"/>
        </w:rPr>
        <w:t xml:space="preserve">投标人售后服务人员有义务协助招标人在现场对运行和维护的人员进行必要的培训。</w:t>
      </w:r>
      <w:r/>
    </w:p>
    <w:p>
      <w:pPr>
        <w:ind w:firstLine="425"/>
        <w:rPr>
          <w:szCs w:val="21"/>
          <w:highlight w:val="none"/>
        </w:rPr>
      </w:pPr>
      <w:r>
        <w:rPr>
          <w:szCs w:val="21"/>
          <w:highlight w:val="none"/>
        </w:rPr>
        <w:t xml:space="preserve">e）</w:t>
      </w:r>
      <w:r>
        <w:rPr>
          <w:rFonts w:hint="eastAsia"/>
          <w:szCs w:val="21"/>
          <w:highlight w:val="none"/>
        </w:rPr>
        <w:t xml:space="preserve">投标人售后服务人员的技术指导应是正确的，如因错误指导而引起设备和材料的损坏，投标人</w:t>
      </w:r>
      <w:r>
        <w:rPr>
          <w:spacing w:val="2"/>
          <w:szCs w:val="21"/>
          <w:highlight w:val="none"/>
        </w:rPr>
        <w:t xml:space="preserve">应负责修复、更换和/或补充，其费用由投标人承担，该费用中还包括进行修复期间所发生的</w:t>
      </w:r>
      <w:r>
        <w:rPr>
          <w:szCs w:val="21"/>
          <w:highlight w:val="none"/>
        </w:rPr>
        <w:t xml:space="preserve">服务费。招标人的有关技术人员应尊重投标人售后服务人员的技术指导。</w:t>
      </w:r>
      <w:bookmarkEnd w:id="281"/>
      <w:r/>
      <w:r/>
    </w:p>
    <w:p>
      <w:pPr>
        <w:spacing w:line="312" w:lineRule="exact"/>
        <w:rPr>
          <w:szCs w:val="21"/>
          <w:highlight w:val="none"/>
        </w:rPr>
      </w:pPr>
      <w:r>
        <w:rPr>
          <w:rFonts w:hint="eastAsia"/>
          <w:szCs w:val="21"/>
          <w:highlight w:val="none"/>
          <w:lang w:val="en-US" w:eastAsia="zh-CN"/>
        </w:rPr>
        <w:t xml:space="preserve">9</w:t>
      </w:r>
      <w:r>
        <w:rPr>
          <w:spacing w:val="20"/>
          <w:szCs w:val="21"/>
          <w:highlight w:val="none"/>
        </w:rPr>
        <w:t xml:space="preserve">.</w:t>
      </w:r>
      <w:r>
        <w:rPr>
          <w:szCs w:val="21"/>
          <w:highlight w:val="none"/>
        </w:rPr>
        <w:t xml:space="preserve">1</w:t>
      </w:r>
      <w:r>
        <w:rPr>
          <w:spacing w:val="20"/>
          <w:szCs w:val="21"/>
          <w:highlight w:val="none"/>
        </w:rPr>
        <w:t xml:space="preserve">.</w:t>
      </w:r>
      <w:r>
        <w:rPr>
          <w:szCs w:val="21"/>
          <w:highlight w:val="none"/>
        </w:rPr>
        <w:t xml:space="preserve">3　在本合同有效期内，招投标双方应及时回答对方提出的技术文件范围内有关设计和技术的问题，由任一方提出的所有有关合同设备设计的修正或修改都应由对方参与讨论并同意。</w:t>
      </w:r>
      <w:r/>
    </w:p>
    <w:p>
      <w:pPr>
        <w:rPr>
          <w:highlight w:val="none"/>
        </w:rPr>
      </w:pPr>
      <w:r/>
      <w:bookmarkStart w:id="282" w:name="_Toc488654029"/>
      <w:r/>
      <w:bookmarkStart w:id="283" w:name="_Toc142909140"/>
      <w:r/>
      <w:bookmarkStart w:id="284" w:name="_Toc249414449"/>
      <w:r/>
      <w:bookmarkStart w:id="285" w:name="_Toc142931775"/>
      <w:r/>
      <w:bookmarkStart w:id="286" w:name="_Toc151087500"/>
      <w:r/>
      <w:bookmarkStart w:id="287" w:name="_Toc252017594"/>
      <w:r/>
      <w:bookmarkStart w:id="288" w:name="_Toc340376546"/>
      <w:r>
        <w:rPr>
          <w:rFonts w:hint="eastAsia" w:eastAsia="黑体"/>
          <w:szCs w:val="24"/>
          <w:highlight w:val="none"/>
          <w:lang w:val="en-US" w:eastAsia="zh-CN"/>
        </w:rPr>
        <w:t xml:space="preserve">9</w:t>
      </w:r>
      <w:r>
        <w:rPr>
          <w:rFonts w:eastAsia="黑体"/>
          <w:szCs w:val="24"/>
          <w:highlight w:val="none"/>
        </w:rPr>
        <w:t xml:space="preserve">.2　工厂检验和</w:t>
      </w:r>
      <w:bookmarkEnd w:id="282"/>
      <w:r/>
      <w:bookmarkEnd w:id="283"/>
      <w:r/>
      <w:bookmarkEnd w:id="284"/>
      <w:r/>
      <w:bookmarkEnd w:id="285"/>
      <w:r/>
      <w:bookmarkEnd w:id="286"/>
      <w:r>
        <w:rPr>
          <w:rFonts w:hint="eastAsia" w:eastAsia="黑体"/>
          <w:szCs w:val="24"/>
          <w:highlight w:val="none"/>
        </w:rPr>
        <w:t xml:space="preserve">监造</w:t>
      </w:r>
      <w:bookmarkEnd w:id="287"/>
      <w:r/>
      <w:bookmarkEnd w:id="288"/>
      <w:r/>
      <w:r/>
    </w:p>
    <w:p>
      <w:pPr>
        <w:spacing w:line="312" w:lineRule="exact"/>
        <w:rPr>
          <w:szCs w:val="21"/>
          <w:highlight w:val="none"/>
        </w:rPr>
      </w:pPr>
      <w:r>
        <w:rPr>
          <w:rFonts w:hint="eastAsia"/>
          <w:szCs w:val="21"/>
          <w:highlight w:val="none"/>
          <w:lang w:val="en-US" w:eastAsia="zh-CN"/>
        </w:rPr>
        <w:t xml:space="preserve">9</w:t>
      </w:r>
      <w:r>
        <w:rPr>
          <w:spacing w:val="20"/>
          <w:szCs w:val="21"/>
          <w:highlight w:val="none"/>
        </w:rPr>
        <w:t xml:space="preserve">.</w:t>
      </w:r>
      <w:r>
        <w:rPr>
          <w:szCs w:val="21"/>
          <w:highlight w:val="none"/>
        </w:rPr>
        <w:t xml:space="preserve">2</w:t>
      </w:r>
      <w:r>
        <w:rPr>
          <w:spacing w:val="20"/>
          <w:szCs w:val="21"/>
          <w:highlight w:val="none"/>
        </w:rPr>
        <w:t xml:space="preserve">.</w:t>
      </w:r>
      <w:r>
        <w:rPr>
          <w:szCs w:val="21"/>
          <w:highlight w:val="none"/>
        </w:rPr>
        <w:t xml:space="preserve">1</w:t>
      </w:r>
      <w:r>
        <w:rPr>
          <w:rFonts w:hint="eastAsia"/>
          <w:szCs w:val="21"/>
          <w:highlight w:val="none"/>
        </w:rPr>
        <w:t xml:space="preserve">　招标人有权对正在制造或制造完毕的产品选择一定数量进行抽查测试，检测产品质量或验证供应商试验的真实性，投标人应配合招标人做好抽查测试，费用由招标人承担。</w:t>
      </w:r>
      <w:r/>
    </w:p>
    <w:p>
      <w:pPr>
        <w:spacing w:line="312" w:lineRule="exact"/>
        <w:rPr>
          <w:szCs w:val="21"/>
          <w:highlight w:val="none"/>
        </w:rPr>
      </w:pPr>
      <w:r>
        <w:rPr>
          <w:rFonts w:hint="eastAsia"/>
          <w:szCs w:val="21"/>
          <w:highlight w:val="none"/>
          <w:lang w:val="en-US" w:eastAsia="zh-CN"/>
        </w:rPr>
        <w:t xml:space="preserve">9</w:t>
      </w:r>
      <w:r>
        <w:rPr>
          <w:spacing w:val="20"/>
          <w:szCs w:val="21"/>
          <w:highlight w:val="none"/>
        </w:rPr>
        <w:t xml:space="preserve">.</w:t>
      </w:r>
      <w:r>
        <w:rPr>
          <w:szCs w:val="21"/>
          <w:highlight w:val="none"/>
        </w:rPr>
        <w:t xml:space="preserve">2</w:t>
      </w:r>
      <w:r>
        <w:rPr>
          <w:spacing w:val="20"/>
          <w:szCs w:val="21"/>
          <w:highlight w:val="none"/>
        </w:rPr>
        <w:t xml:space="preserve">.</w:t>
      </w:r>
      <w:r>
        <w:rPr>
          <w:szCs w:val="21"/>
          <w:highlight w:val="none"/>
        </w:rPr>
        <w:t xml:space="preserve">2　若有合同设备经检验和抽检不符合本技术规范的要求，招标人可以拒收，并不承担费用。</w:t>
      </w:r>
      <w:bookmarkEnd w:id="270"/>
      <w:r/>
      <w:bookmarkEnd w:id="271"/>
      <w:r/>
      <w:bookmarkEnd w:id="272"/>
      <w:r/>
      <w:bookmarkEnd w:id="273"/>
      <w:r/>
      <w:r/>
    </w:p>
    <w:p>
      <w:pPr>
        <w:pStyle w:val="849"/>
        <w:rPr>
          <w:rFonts w:ascii="Times New Roman" w:hAnsi="Times New Roman"/>
          <w:bCs/>
          <w:szCs w:val="32"/>
          <w:highlight w:val="none"/>
        </w:rPr>
      </w:pPr>
      <w:r>
        <w:rPr>
          <w:rFonts w:ascii="Times New Roman" w:hAnsi="Times New Roman"/>
          <w:bCs/>
          <w:szCs w:val="32"/>
          <w:highlight w:val="none"/>
        </w:rPr>
        <w:br w:type="page" w:clear="all"/>
      </w:r>
      <w:bookmarkStart w:id="289" w:name="_Toc19355"/>
      <w:r/>
      <w:bookmarkStart w:id="290" w:name="_Toc14470"/>
      <w:r/>
      <w:bookmarkStart w:id="291" w:name="_Toc20451"/>
      <w:r/>
      <w:bookmarkStart w:id="292" w:name="_Toc23034"/>
      <w:r/>
      <w:bookmarkStart w:id="293" w:name="_Toc11963"/>
      <w:r>
        <w:rPr>
          <w:rFonts w:hint="eastAsia" w:ascii="Times New Roman" w:hAnsi="Times New Roman"/>
          <w:szCs w:val="32"/>
          <w:highlight w:val="none"/>
        </w:rPr>
        <w:t xml:space="preserve">第</w:t>
      </w:r>
      <w:r>
        <w:rPr>
          <w:rFonts w:ascii="Times New Roman" w:hAnsi="Times New Roman"/>
          <w:szCs w:val="32"/>
          <w:highlight w:val="none"/>
        </w:rPr>
        <w:t xml:space="preserve">2</w:t>
      </w:r>
      <w:r>
        <w:rPr>
          <w:rFonts w:hint="eastAsia" w:ascii="Times New Roman" w:hAnsi="Times New Roman"/>
          <w:szCs w:val="32"/>
          <w:highlight w:val="none"/>
        </w:rPr>
        <w:t xml:space="preserve">部分：专用技术规范</w:t>
      </w:r>
      <w:bookmarkEnd w:id="289"/>
      <w:r/>
      <w:bookmarkEnd w:id="290"/>
      <w:r/>
      <w:bookmarkEnd w:id="291"/>
      <w:r/>
      <w:bookmarkEnd w:id="292"/>
      <w:r/>
      <w:bookmarkEnd w:id="293"/>
      <w:r/>
      <w:r/>
    </w:p>
    <w:p>
      <w:pPr>
        <w:pStyle w:val="1149"/>
        <w:spacing w:line="480" w:lineRule="auto"/>
        <w:rPr>
          <w:rFonts w:eastAsia="黑体"/>
          <w:sz w:val="21"/>
          <w:szCs w:val="21"/>
          <w:highlight w:val="none"/>
        </w:rPr>
        <w:outlineLvl w:val="0"/>
      </w:pPr>
      <w:r/>
      <w:bookmarkStart w:id="294" w:name="_Toc22080"/>
      <w:r/>
      <w:bookmarkStart w:id="295" w:name="_Toc12325"/>
      <w:r/>
      <w:bookmarkStart w:id="296" w:name="_Toc949"/>
      <w:r/>
      <w:bookmarkStart w:id="297" w:name="_Toc426033511"/>
      <w:r/>
      <w:bookmarkStart w:id="298" w:name="_Toc25028"/>
      <w:r/>
      <w:bookmarkStart w:id="299" w:name="_Toc426096996"/>
      <w:r/>
      <w:bookmarkStart w:id="300" w:name="_Toc8990"/>
      <w:r/>
      <w:bookmarkStart w:id="301" w:name="_Toc454978642"/>
      <w:r>
        <w:rPr>
          <w:rFonts w:eastAsia="黑体"/>
          <w:sz w:val="21"/>
          <w:szCs w:val="21"/>
          <w:highlight w:val="none"/>
        </w:rPr>
        <w:t xml:space="preserve">1</w:t>
      </w:r>
      <w:r>
        <w:rPr>
          <w:rFonts w:hint="eastAsia" w:eastAsia="黑体"/>
          <w:sz w:val="21"/>
          <w:szCs w:val="21"/>
          <w:highlight w:val="none"/>
        </w:rPr>
        <w:t xml:space="preserve">　标准技术参数</w:t>
      </w:r>
      <w:bookmarkEnd w:id="294"/>
      <w:r/>
      <w:bookmarkEnd w:id="295"/>
      <w:r/>
      <w:bookmarkEnd w:id="296"/>
      <w:r/>
      <w:bookmarkEnd w:id="297"/>
      <w:r/>
      <w:bookmarkEnd w:id="298"/>
      <w:r/>
      <w:bookmarkEnd w:id="299"/>
      <w:r/>
      <w:bookmarkEnd w:id="300"/>
      <w:r/>
      <w:bookmarkEnd w:id="301"/>
      <w:r/>
      <w:r/>
    </w:p>
    <w:p>
      <w:pPr>
        <w:ind w:firstLine="425"/>
        <w:rPr>
          <w:szCs w:val="21"/>
          <w:highlight w:val="none"/>
        </w:rPr>
      </w:pPr>
      <w:r>
        <w:rPr>
          <w:rFonts w:hint="eastAsia"/>
          <w:szCs w:val="21"/>
          <w:highlight w:val="none"/>
        </w:rPr>
        <w:t xml:space="preserve">技术参数特性表是对采购设备的基础技术参数要求，在招投标过程中，投标人应该依据招标文件，对技术参数特性表中标准参数值进行响应。</w:t>
      </w:r>
      <w:r>
        <w:rPr>
          <w:szCs w:val="21"/>
          <w:highlight w:val="none"/>
        </w:rPr>
        <w:t xml:space="preserve">10kV</w:t>
      </w:r>
      <w:r>
        <w:rPr>
          <w:rFonts w:hint="eastAsia"/>
          <w:szCs w:val="21"/>
          <w:highlight w:val="none"/>
        </w:rPr>
        <w:t xml:space="preserve">箱式变电站技术参数特性见表</w:t>
      </w:r>
      <w:r>
        <w:rPr>
          <w:szCs w:val="21"/>
          <w:highlight w:val="none"/>
        </w:rPr>
        <w:t xml:space="preserve">1。厂商供货前由项目需求单位确认技术参数和一次电气接线图纸。</w:t>
      </w:r>
      <w:r/>
    </w:p>
    <w:p>
      <w:pPr>
        <w:ind w:firstLine="425"/>
        <w:jc w:val="center"/>
        <w:rPr>
          <w:rFonts w:eastAsia="黑体"/>
          <w:szCs w:val="21"/>
          <w:highlight w:val="none"/>
        </w:rPr>
      </w:pPr>
      <w:r>
        <w:rPr>
          <w:rFonts w:hint="eastAsia" w:eastAsia="黑体"/>
          <w:szCs w:val="21"/>
          <w:highlight w:val="none"/>
        </w:rPr>
        <w:t xml:space="preserve">表</w:t>
      </w:r>
      <w:r>
        <w:rPr>
          <w:rFonts w:eastAsia="黑体"/>
          <w:szCs w:val="21"/>
          <w:highlight w:val="none"/>
        </w:rPr>
        <w:t xml:space="preserve">1　</w:t>
      </w:r>
      <w:r>
        <w:rPr>
          <w:rFonts w:hint="eastAsia" w:eastAsia="黑体"/>
          <w:spacing w:val="30"/>
          <w:szCs w:val="21"/>
          <w:highlight w:val="none"/>
        </w:rPr>
        <w:t xml:space="preserve">技术参数特性</w:t>
      </w:r>
      <w:r>
        <w:rPr>
          <w:rFonts w:hint="eastAsia" w:eastAsia="黑体"/>
          <w:szCs w:val="21"/>
          <w:highlight w:val="none"/>
        </w:rPr>
        <w:t xml:space="preserve">表</w:t>
      </w:r>
      <w:r/>
    </w:p>
    <w:tbl>
      <w:tblPr>
        <w:tblStyle w:val="827"/>
        <w:tblW w:w="941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66"/>
        <w:gridCol w:w="1308"/>
        <w:gridCol w:w="2390"/>
        <w:gridCol w:w="984"/>
        <w:gridCol w:w="3063"/>
      </w:tblGrid>
      <w:tr>
        <w:trPr>
          <w:jc w:val="center"/>
          <w:tblHeader/>
        </w:trPr>
        <w:tc>
          <w:tcPr>
            <w:tcBorders>
              <w:top w:val="single" w:color="auto" w:sz="8" w:space="0"/>
              <w:bottom w:val="single" w:color="auto" w:sz="8" w:space="0"/>
            </w:tcBorders>
            <w:tcW w:w="900" w:type="dxa"/>
            <w:vAlign w:val="center"/>
            <w:textDirection w:val="lrTb"/>
            <w:noWrap w:val="false"/>
          </w:tcPr>
          <w:p>
            <w:pPr>
              <w:jc w:val="center"/>
              <w:rPr>
                <w:sz w:val="18"/>
                <w:szCs w:val="18"/>
                <w:highlight w:val="none"/>
              </w:rPr>
            </w:pPr>
            <w:r>
              <w:rPr>
                <w:sz w:val="18"/>
                <w:szCs w:val="18"/>
                <w:highlight w:val="none"/>
              </w:rPr>
              <w:t xml:space="preserve">序号</w:t>
            </w:r>
            <w:r/>
          </w:p>
        </w:tc>
        <w:tc>
          <w:tcPr>
            <w:gridSpan w:val="3"/>
            <w:tcBorders>
              <w:top w:val="single" w:color="auto" w:sz="8" w:space="0"/>
              <w:bottom w:val="single" w:color="auto" w:sz="8" w:space="0"/>
            </w:tcBorders>
            <w:tcW w:w="4464" w:type="dxa"/>
            <w:vAlign w:val="center"/>
            <w:textDirection w:val="lrTb"/>
            <w:noWrap w:val="false"/>
          </w:tcPr>
          <w:p>
            <w:pPr>
              <w:jc w:val="center"/>
              <w:rPr>
                <w:sz w:val="18"/>
                <w:szCs w:val="18"/>
                <w:highlight w:val="none"/>
              </w:rPr>
            </w:pPr>
            <w:r>
              <w:rPr>
                <w:sz w:val="18"/>
                <w:szCs w:val="18"/>
                <w:highlight w:val="none"/>
              </w:rPr>
              <w:t xml:space="preserve">名称</w:t>
            </w:r>
            <w:r/>
          </w:p>
        </w:tc>
        <w:tc>
          <w:tcPr>
            <w:tcBorders>
              <w:top w:val="single" w:color="auto" w:sz="8" w:space="0"/>
              <w:bottom w:val="single" w:color="auto" w:sz="8" w:space="0"/>
            </w:tcBorders>
            <w:tcW w:w="984" w:type="dxa"/>
            <w:vAlign w:val="center"/>
            <w:textDirection w:val="lrTb"/>
            <w:noWrap w:val="false"/>
          </w:tcPr>
          <w:p>
            <w:pPr>
              <w:jc w:val="center"/>
              <w:rPr>
                <w:sz w:val="18"/>
                <w:szCs w:val="18"/>
                <w:highlight w:val="none"/>
              </w:rPr>
            </w:pPr>
            <w:r>
              <w:rPr>
                <w:sz w:val="18"/>
                <w:szCs w:val="18"/>
                <w:highlight w:val="none"/>
              </w:rPr>
              <w:t xml:space="preserve">单位</w:t>
            </w:r>
            <w:r/>
          </w:p>
        </w:tc>
        <w:tc>
          <w:tcPr>
            <w:tcBorders>
              <w:top w:val="single" w:color="auto" w:sz="8" w:space="0"/>
              <w:bottom w:val="single" w:color="auto" w:sz="8" w:space="0"/>
            </w:tcBorders>
            <w:tcW w:w="3063" w:type="dxa"/>
            <w:vAlign w:val="center"/>
            <w:textDirection w:val="lrTb"/>
            <w:noWrap w:val="false"/>
          </w:tcPr>
          <w:p>
            <w:pPr>
              <w:jc w:val="center"/>
              <w:rPr>
                <w:sz w:val="18"/>
                <w:szCs w:val="18"/>
                <w:highlight w:val="none"/>
              </w:rPr>
            </w:pPr>
            <w:r>
              <w:rPr>
                <w:rFonts w:hint="eastAsia"/>
                <w:sz w:val="18"/>
                <w:szCs w:val="18"/>
                <w:highlight w:val="none"/>
              </w:rPr>
              <w:t xml:space="preserve">标准参数</w:t>
            </w:r>
            <w:r>
              <w:rPr>
                <w:sz w:val="18"/>
                <w:szCs w:val="18"/>
                <w:highlight w:val="none"/>
              </w:rPr>
              <w:t xml:space="preserve">值</w:t>
            </w:r>
            <w:r/>
          </w:p>
        </w:tc>
      </w:tr>
      <w:tr>
        <w:trPr>
          <w:jc w:val="center"/>
          <w:tblHeader/>
        </w:trPr>
        <w:tc>
          <w:tcPr>
            <w:tcBorders>
              <w:top w:val="single" w:color="auto" w:sz="8" w:space="0"/>
            </w:tcBorders>
            <w:tcW w:w="900" w:type="dxa"/>
            <w:vAlign w:val="center"/>
            <w:textDirection w:val="lrTb"/>
            <w:noWrap w:val="false"/>
          </w:tcPr>
          <w:p>
            <w:pPr>
              <w:jc w:val="center"/>
              <w:rPr>
                <w:sz w:val="18"/>
                <w:szCs w:val="18"/>
                <w:highlight w:val="none"/>
              </w:rPr>
            </w:pPr>
            <w:r>
              <w:rPr>
                <w:rFonts w:hint="eastAsia"/>
                <w:sz w:val="18"/>
                <w:szCs w:val="18"/>
                <w:highlight w:val="none"/>
              </w:rPr>
              <w:t xml:space="preserve">一</w:t>
            </w:r>
            <w:r/>
          </w:p>
        </w:tc>
        <w:tc>
          <w:tcPr>
            <w:gridSpan w:val="5"/>
            <w:tcBorders>
              <w:top w:val="single" w:color="auto" w:sz="8" w:space="0"/>
            </w:tcBorders>
            <w:tcW w:w="8511" w:type="dxa"/>
            <w:vAlign w:val="center"/>
            <w:textDirection w:val="lrTb"/>
            <w:noWrap w:val="false"/>
          </w:tcPr>
          <w:p>
            <w:pPr>
              <w:jc w:val="center"/>
              <w:rPr>
                <w:sz w:val="18"/>
                <w:szCs w:val="18"/>
                <w:highlight w:val="none"/>
              </w:rPr>
            </w:pPr>
            <w:r>
              <w:rPr>
                <w:sz w:val="18"/>
                <w:szCs w:val="18"/>
                <w:highlight w:val="none"/>
              </w:rPr>
              <w:t xml:space="preserve">12kV</w:t>
            </w:r>
            <w:r>
              <w:rPr>
                <w:rFonts w:hint="eastAsia"/>
                <w:sz w:val="18"/>
                <w:szCs w:val="18"/>
                <w:highlight w:val="none"/>
              </w:rPr>
              <w:t xml:space="preserve">环网柜</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1</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高压侧接线方式</w:t>
            </w:r>
            <w:r/>
          </w:p>
        </w:tc>
        <w:tc>
          <w:tcPr>
            <w:tcW w:w="984" w:type="dxa"/>
            <w:vAlign w:val="center"/>
            <w:textDirection w:val="lrTb"/>
            <w:noWrap w:val="false"/>
          </w:tcPr>
          <w:p>
            <w:pPr>
              <w:jc w:val="center"/>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环网型</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2</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额定电压</w:t>
            </w:r>
            <w:r/>
          </w:p>
        </w:tc>
        <w:tc>
          <w:tcPr>
            <w:tcW w:w="984" w:type="dxa"/>
            <w:vAlign w:val="center"/>
            <w:textDirection w:val="lrTb"/>
            <w:noWrap w:val="false"/>
          </w:tcPr>
          <w:p>
            <w:pPr>
              <w:jc w:val="center"/>
              <w:rPr>
                <w:sz w:val="18"/>
                <w:szCs w:val="18"/>
                <w:highlight w:val="none"/>
              </w:rPr>
            </w:pPr>
            <w:r>
              <w:rPr>
                <w:sz w:val="18"/>
                <w:szCs w:val="18"/>
                <w:highlight w:val="none"/>
              </w:rPr>
              <w:t xml:space="preserve">kV</w:t>
            </w:r>
            <w:r/>
          </w:p>
        </w:tc>
        <w:tc>
          <w:tcPr>
            <w:tcW w:w="3063" w:type="dxa"/>
            <w:vAlign w:val="center"/>
            <w:textDirection w:val="lrTb"/>
            <w:noWrap w:val="false"/>
          </w:tcPr>
          <w:p>
            <w:pPr>
              <w:jc w:val="center"/>
              <w:rPr>
                <w:sz w:val="18"/>
                <w:szCs w:val="18"/>
                <w:highlight w:val="none"/>
              </w:rPr>
            </w:pPr>
            <w:r>
              <w:rPr>
                <w:sz w:val="18"/>
                <w:szCs w:val="18"/>
                <w:highlight w:val="none"/>
              </w:rPr>
              <w:t xml:space="preserve">12</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3</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额定频率</w:t>
            </w:r>
            <w:r/>
          </w:p>
        </w:tc>
        <w:tc>
          <w:tcPr>
            <w:tcW w:w="984" w:type="dxa"/>
            <w:vAlign w:val="center"/>
            <w:textDirection w:val="lrTb"/>
            <w:noWrap w:val="false"/>
          </w:tcPr>
          <w:p>
            <w:pPr>
              <w:jc w:val="center"/>
              <w:rPr>
                <w:sz w:val="18"/>
                <w:szCs w:val="18"/>
                <w:highlight w:val="none"/>
              </w:rPr>
            </w:pPr>
            <w:r>
              <w:rPr>
                <w:sz w:val="18"/>
                <w:szCs w:val="18"/>
                <w:highlight w:val="none"/>
              </w:rPr>
              <w:t xml:space="preserve">Hz</w:t>
            </w:r>
            <w:r/>
          </w:p>
        </w:tc>
        <w:tc>
          <w:tcPr>
            <w:tcW w:w="3063" w:type="dxa"/>
            <w:vAlign w:val="center"/>
            <w:textDirection w:val="lrTb"/>
            <w:noWrap w:val="false"/>
          </w:tcPr>
          <w:p>
            <w:pPr>
              <w:jc w:val="center"/>
              <w:rPr>
                <w:sz w:val="18"/>
                <w:szCs w:val="18"/>
                <w:highlight w:val="none"/>
              </w:rPr>
            </w:pPr>
            <w:r>
              <w:rPr>
                <w:sz w:val="18"/>
                <w:szCs w:val="18"/>
                <w:highlight w:val="none"/>
              </w:rPr>
              <w:t xml:space="preserve">50</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4</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额定电流</w:t>
            </w:r>
            <w:r/>
          </w:p>
        </w:tc>
        <w:tc>
          <w:tcPr>
            <w:tcW w:w="984" w:type="dxa"/>
            <w:vAlign w:val="center"/>
            <w:textDirection w:val="lrTb"/>
            <w:noWrap w:val="false"/>
          </w:tcPr>
          <w:p>
            <w:pPr>
              <w:jc w:val="center"/>
              <w:rPr>
                <w:sz w:val="18"/>
                <w:szCs w:val="18"/>
                <w:highlight w:val="none"/>
              </w:rPr>
            </w:pPr>
            <w:r>
              <w:rPr>
                <w:sz w:val="18"/>
                <w:szCs w:val="18"/>
                <w:highlight w:val="none"/>
              </w:rPr>
              <w:t xml:space="preserve">A</w:t>
            </w:r>
            <w:r/>
          </w:p>
        </w:tc>
        <w:tc>
          <w:tcPr>
            <w:tcW w:w="3063" w:type="dxa"/>
            <w:vAlign w:val="center"/>
            <w:textDirection w:val="lrTb"/>
            <w:noWrap w:val="false"/>
          </w:tcPr>
          <w:p>
            <w:pPr>
              <w:jc w:val="center"/>
              <w:rPr>
                <w:sz w:val="18"/>
                <w:szCs w:val="18"/>
                <w:highlight w:val="none"/>
              </w:rPr>
            </w:pPr>
            <w:r>
              <w:rPr>
                <w:sz w:val="18"/>
                <w:szCs w:val="18"/>
                <w:highlight w:val="none"/>
              </w:rPr>
              <w:t xml:space="preserve">630</w:t>
            </w:r>
            <w:r>
              <w:rPr>
                <w:rFonts w:hint="eastAsia"/>
                <w:sz w:val="18"/>
                <w:szCs w:val="18"/>
                <w:highlight w:val="none"/>
              </w:rPr>
              <w:t xml:space="preserve">（</w:t>
            </w:r>
            <w:r>
              <w:rPr>
                <w:rFonts w:hint="eastAsia"/>
                <w:sz w:val="18"/>
                <w:szCs w:val="18"/>
                <w:highlight w:val="none"/>
                <w:lang w:val="en-US" w:eastAsia="zh-CN"/>
              </w:rPr>
              <w:t xml:space="preserve">负荷开关/</w:t>
            </w:r>
            <w:r>
              <w:rPr>
                <w:rFonts w:hint="eastAsia"/>
                <w:sz w:val="18"/>
                <w:szCs w:val="18"/>
                <w:highlight w:val="none"/>
              </w:rPr>
              <w:t xml:space="preserve">断路器）</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5</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操动机构</w:t>
            </w:r>
            <w:r/>
          </w:p>
        </w:tc>
        <w:tc>
          <w:tcPr>
            <w:tcW w:w="984" w:type="dxa"/>
            <w:vAlign w:val="center"/>
            <w:textDirection w:val="lrTb"/>
            <w:noWrap w:val="false"/>
          </w:tcPr>
          <w:p>
            <w:pPr>
              <w:jc w:val="center"/>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电动并可手动操作</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6</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温升试验电流</w:t>
            </w:r>
            <w:r/>
          </w:p>
        </w:tc>
        <w:tc>
          <w:tcPr>
            <w:tcW w:w="984" w:type="dxa"/>
            <w:vAlign w:val="center"/>
            <w:textDirection w:val="lrTb"/>
            <w:noWrap w:val="false"/>
          </w:tcPr>
          <w:p>
            <w:pPr>
              <w:jc w:val="center"/>
              <w:rPr>
                <w:sz w:val="18"/>
                <w:szCs w:val="18"/>
                <w:highlight w:val="none"/>
              </w:rPr>
            </w:pPr>
            <w:r>
              <w:rPr>
                <w:sz w:val="18"/>
                <w:szCs w:val="18"/>
                <w:highlight w:val="none"/>
              </w:rPr>
              <w:t xml:space="preserve">A</w:t>
            </w:r>
            <w:r/>
          </w:p>
        </w:tc>
        <w:tc>
          <w:tcPr>
            <w:tcW w:w="3063" w:type="dxa"/>
            <w:vAlign w:val="center"/>
            <w:textDirection w:val="lrTb"/>
            <w:noWrap w:val="false"/>
          </w:tcPr>
          <w:p>
            <w:pPr>
              <w:jc w:val="center"/>
              <w:rPr>
                <w:sz w:val="18"/>
                <w:szCs w:val="18"/>
                <w:highlight w:val="none"/>
              </w:rPr>
            </w:pPr>
            <w:r>
              <w:rPr>
                <w:sz w:val="18"/>
                <w:szCs w:val="18"/>
                <w:highlight w:val="none"/>
              </w:rPr>
              <w:t xml:space="preserve">1.1Ir</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7</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额定工频1min耐受电压（相对地）</w:t>
            </w:r>
            <w:r/>
          </w:p>
        </w:tc>
        <w:tc>
          <w:tcPr>
            <w:tcW w:w="984" w:type="dxa"/>
            <w:vAlign w:val="center"/>
            <w:textDirection w:val="lrTb"/>
            <w:noWrap w:val="false"/>
          </w:tcPr>
          <w:p>
            <w:pPr>
              <w:jc w:val="center"/>
              <w:rPr>
                <w:sz w:val="18"/>
                <w:szCs w:val="18"/>
                <w:highlight w:val="none"/>
              </w:rPr>
            </w:pPr>
            <w:r>
              <w:rPr>
                <w:sz w:val="18"/>
                <w:szCs w:val="18"/>
                <w:highlight w:val="none"/>
              </w:rPr>
              <w:t xml:space="preserve">kV</w:t>
            </w:r>
            <w:r/>
          </w:p>
        </w:tc>
        <w:tc>
          <w:tcPr>
            <w:tcW w:w="3063" w:type="dxa"/>
            <w:vAlign w:val="center"/>
            <w:textDirection w:val="lrTb"/>
            <w:noWrap w:val="false"/>
          </w:tcPr>
          <w:p>
            <w:pPr>
              <w:jc w:val="center"/>
              <w:rPr>
                <w:sz w:val="18"/>
                <w:szCs w:val="18"/>
                <w:highlight w:val="none"/>
              </w:rPr>
            </w:pPr>
            <w:r>
              <w:rPr>
                <w:sz w:val="18"/>
                <w:szCs w:val="18"/>
                <w:highlight w:val="none"/>
              </w:rPr>
              <w:t xml:space="preserve">42</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8</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额定雷电冲击耐受电压峰值（1.2/50</w:t>
            </w:r>
            <w:r>
              <w:rPr>
                <w:rFonts w:hint="eastAsia"/>
                <w:sz w:val="18"/>
                <w:szCs w:val="18"/>
                <w:highlight w:val="none"/>
              </w:rPr>
              <w:t xml:space="preserve">μ</w:t>
            </w:r>
            <w:r>
              <w:rPr>
                <w:sz w:val="18"/>
                <w:szCs w:val="18"/>
                <w:highlight w:val="none"/>
              </w:rPr>
              <w:t xml:space="preserve">s</w:t>
            </w:r>
            <w:r>
              <w:rPr>
                <w:rFonts w:hint="eastAsia"/>
                <w:sz w:val="18"/>
                <w:szCs w:val="18"/>
                <w:highlight w:val="none"/>
              </w:rPr>
              <w:t xml:space="preserve">，</w:t>
            </w:r>
            <w:r>
              <w:rPr>
                <w:sz w:val="18"/>
                <w:szCs w:val="18"/>
                <w:highlight w:val="none"/>
              </w:rPr>
              <w:t xml:space="preserve">相对地）</w:t>
            </w:r>
            <w:r/>
          </w:p>
        </w:tc>
        <w:tc>
          <w:tcPr>
            <w:tcW w:w="984" w:type="dxa"/>
            <w:vAlign w:val="center"/>
            <w:textDirection w:val="lrTb"/>
            <w:noWrap w:val="false"/>
          </w:tcPr>
          <w:p>
            <w:pPr>
              <w:jc w:val="center"/>
              <w:rPr>
                <w:sz w:val="18"/>
                <w:szCs w:val="18"/>
                <w:highlight w:val="none"/>
              </w:rPr>
            </w:pPr>
            <w:r>
              <w:rPr>
                <w:sz w:val="18"/>
                <w:szCs w:val="18"/>
                <w:highlight w:val="none"/>
              </w:rPr>
              <w:t xml:space="preserve">kV</w:t>
            </w:r>
            <w:r/>
          </w:p>
        </w:tc>
        <w:tc>
          <w:tcPr>
            <w:tcW w:w="3063" w:type="dxa"/>
            <w:vAlign w:val="center"/>
            <w:textDirection w:val="lrTb"/>
            <w:noWrap w:val="false"/>
          </w:tcPr>
          <w:p>
            <w:pPr>
              <w:jc w:val="center"/>
              <w:rPr>
                <w:sz w:val="18"/>
                <w:szCs w:val="18"/>
                <w:highlight w:val="none"/>
              </w:rPr>
            </w:pPr>
            <w:r>
              <w:rPr>
                <w:sz w:val="18"/>
                <w:szCs w:val="18"/>
                <w:highlight w:val="none"/>
              </w:rPr>
              <w:t xml:space="preserve">75</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9</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额定短路开断电流</w:t>
            </w:r>
            <w:r/>
          </w:p>
        </w:tc>
        <w:tc>
          <w:tcPr>
            <w:tcW w:w="984" w:type="dxa"/>
            <w:vAlign w:val="center"/>
            <w:textDirection w:val="lrTb"/>
            <w:noWrap w:val="false"/>
          </w:tcPr>
          <w:p>
            <w:pPr>
              <w:jc w:val="center"/>
              <w:rPr>
                <w:sz w:val="18"/>
                <w:szCs w:val="18"/>
                <w:highlight w:val="none"/>
              </w:rPr>
            </w:pPr>
            <w:r>
              <w:rPr>
                <w:sz w:val="18"/>
                <w:szCs w:val="18"/>
                <w:highlight w:val="none"/>
              </w:rPr>
              <w:t xml:space="preserve">kA</w:t>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20</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10</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额定短路关合电流</w:t>
            </w:r>
            <w:r/>
          </w:p>
        </w:tc>
        <w:tc>
          <w:tcPr>
            <w:tcW w:w="984" w:type="dxa"/>
            <w:vAlign w:val="center"/>
            <w:textDirection w:val="lrTb"/>
            <w:noWrap w:val="false"/>
          </w:tcPr>
          <w:p>
            <w:pPr>
              <w:jc w:val="center"/>
              <w:rPr>
                <w:sz w:val="18"/>
                <w:szCs w:val="18"/>
                <w:highlight w:val="none"/>
              </w:rPr>
            </w:pPr>
            <w:r>
              <w:rPr>
                <w:sz w:val="18"/>
                <w:szCs w:val="18"/>
                <w:highlight w:val="none"/>
              </w:rPr>
              <w:t xml:space="preserve">kA</w:t>
            </w:r>
            <w:r/>
          </w:p>
        </w:tc>
        <w:tc>
          <w:tcPr>
            <w:tcW w:w="3063" w:type="dxa"/>
            <w:vAlign w:val="center"/>
            <w:textDirection w:val="lrTb"/>
            <w:noWrap w:val="false"/>
          </w:tcPr>
          <w:p>
            <w:pPr>
              <w:jc w:val="center"/>
              <w:rPr>
                <w:sz w:val="18"/>
                <w:szCs w:val="18"/>
                <w:highlight w:val="none"/>
              </w:rPr>
            </w:pPr>
            <w:r>
              <w:rPr>
                <w:sz w:val="18"/>
                <w:szCs w:val="18"/>
                <w:highlight w:val="none"/>
              </w:rPr>
              <w:t xml:space="preserve">50</w:t>
            </w:r>
            <w:r/>
          </w:p>
        </w:tc>
      </w:tr>
      <w:tr>
        <w:trPr>
          <w:jc w:val="center"/>
          <w:trHeight w:val="90"/>
          <w:tblHeader/>
        </w:trPr>
        <w:tc>
          <w:tcPr>
            <w:tcW w:w="900" w:type="dxa"/>
            <w:vAlign w:val="center"/>
            <w:textDirection w:val="lrTb"/>
            <w:noWrap w:val="false"/>
          </w:tcPr>
          <w:p>
            <w:pPr>
              <w:jc w:val="center"/>
              <w:rPr>
                <w:sz w:val="18"/>
                <w:szCs w:val="18"/>
                <w:highlight w:val="none"/>
              </w:rPr>
            </w:pPr>
            <w:r>
              <w:rPr>
                <w:sz w:val="18"/>
                <w:szCs w:val="18"/>
                <w:highlight w:val="none"/>
              </w:rPr>
              <w:t xml:space="preserve">11</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额定短时耐受电流及持续时间</w:t>
            </w:r>
            <w:r/>
          </w:p>
        </w:tc>
        <w:tc>
          <w:tcPr>
            <w:tcW w:w="984" w:type="dxa"/>
            <w:vAlign w:val="center"/>
            <w:textDirection w:val="lrTb"/>
            <w:noWrap w:val="false"/>
          </w:tcPr>
          <w:p>
            <w:pPr>
              <w:jc w:val="center"/>
              <w:rPr>
                <w:sz w:val="18"/>
                <w:szCs w:val="18"/>
                <w:highlight w:val="none"/>
              </w:rPr>
            </w:pPr>
            <w:r>
              <w:rPr>
                <w:sz w:val="18"/>
                <w:szCs w:val="18"/>
                <w:highlight w:val="none"/>
              </w:rPr>
              <w:t xml:space="preserve">kA/s</w:t>
            </w:r>
            <w:r/>
          </w:p>
        </w:tc>
        <w:tc>
          <w:tcPr>
            <w:tcW w:w="3063" w:type="dxa"/>
            <w:vAlign w:val="center"/>
            <w:textDirection w:val="lrTb"/>
            <w:noWrap w:val="false"/>
          </w:tcPr>
          <w:p>
            <w:pPr>
              <w:jc w:val="center"/>
              <w:rPr>
                <w:sz w:val="18"/>
                <w:szCs w:val="18"/>
                <w:highlight w:val="none"/>
              </w:rPr>
            </w:pPr>
            <w:r>
              <w:rPr>
                <w:sz w:val="18"/>
                <w:szCs w:val="18"/>
                <w:highlight w:val="none"/>
              </w:rPr>
              <w:t xml:space="preserve">20/3</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12</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额定峰值耐受电流</w:t>
            </w:r>
            <w:r/>
          </w:p>
        </w:tc>
        <w:tc>
          <w:tcPr>
            <w:tcW w:w="984" w:type="dxa"/>
            <w:vAlign w:val="center"/>
            <w:textDirection w:val="lrTb"/>
            <w:noWrap w:val="false"/>
          </w:tcPr>
          <w:p>
            <w:pPr>
              <w:jc w:val="center"/>
              <w:rPr>
                <w:sz w:val="18"/>
                <w:szCs w:val="18"/>
                <w:highlight w:val="none"/>
              </w:rPr>
            </w:pPr>
            <w:r>
              <w:rPr>
                <w:sz w:val="18"/>
                <w:szCs w:val="18"/>
                <w:highlight w:val="none"/>
              </w:rPr>
              <w:t xml:space="preserve">kA</w:t>
            </w:r>
            <w:r/>
          </w:p>
        </w:tc>
        <w:tc>
          <w:tcPr>
            <w:tcW w:w="3063" w:type="dxa"/>
            <w:vAlign w:val="center"/>
            <w:textDirection w:val="lrTb"/>
            <w:noWrap w:val="false"/>
          </w:tcPr>
          <w:p>
            <w:pPr>
              <w:jc w:val="center"/>
              <w:rPr>
                <w:sz w:val="18"/>
                <w:szCs w:val="18"/>
                <w:highlight w:val="none"/>
              </w:rPr>
            </w:pPr>
            <w:r>
              <w:rPr>
                <w:sz w:val="18"/>
                <w:szCs w:val="18"/>
                <w:highlight w:val="none"/>
              </w:rPr>
              <w:t xml:space="preserve">50</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13</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辅助和控制回路短时工频耐受电压</w:t>
            </w:r>
            <w:r/>
          </w:p>
        </w:tc>
        <w:tc>
          <w:tcPr>
            <w:tcW w:w="984" w:type="dxa"/>
            <w:vAlign w:val="center"/>
            <w:textDirection w:val="lrTb"/>
            <w:noWrap w:val="false"/>
          </w:tcPr>
          <w:p>
            <w:pPr>
              <w:jc w:val="center"/>
              <w:rPr>
                <w:sz w:val="18"/>
                <w:szCs w:val="18"/>
                <w:highlight w:val="none"/>
              </w:rPr>
            </w:pPr>
            <w:r>
              <w:rPr>
                <w:sz w:val="18"/>
                <w:szCs w:val="18"/>
                <w:highlight w:val="none"/>
              </w:rPr>
              <w:t xml:space="preserve">kV</w:t>
            </w:r>
            <w:r/>
          </w:p>
        </w:tc>
        <w:tc>
          <w:tcPr>
            <w:tcW w:w="3063" w:type="dxa"/>
            <w:vAlign w:val="center"/>
            <w:textDirection w:val="lrTb"/>
            <w:noWrap w:val="false"/>
          </w:tcPr>
          <w:p>
            <w:pPr>
              <w:jc w:val="center"/>
              <w:rPr>
                <w:sz w:val="18"/>
                <w:szCs w:val="18"/>
                <w:highlight w:val="none"/>
              </w:rPr>
            </w:pPr>
            <w:r>
              <w:rPr>
                <w:sz w:val="18"/>
                <w:szCs w:val="18"/>
                <w:highlight w:val="none"/>
              </w:rPr>
              <w:t xml:space="preserve">2</w:t>
            </w:r>
            <w:r/>
          </w:p>
        </w:tc>
      </w:tr>
      <w:tr>
        <w:trPr>
          <w:jc w:val="center"/>
          <w:tblHeader/>
        </w:trPr>
        <w:tc>
          <w:tcPr>
            <w:tcW w:w="900" w:type="dxa"/>
            <w:vAlign w:val="center"/>
            <w:vMerge w:val="restart"/>
            <w:textDirection w:val="lrTb"/>
            <w:noWrap w:val="false"/>
          </w:tcPr>
          <w:p>
            <w:pPr>
              <w:jc w:val="center"/>
              <w:rPr>
                <w:sz w:val="18"/>
                <w:szCs w:val="18"/>
                <w:highlight w:val="none"/>
              </w:rPr>
            </w:pPr>
            <w:r>
              <w:rPr>
                <w:sz w:val="18"/>
                <w:szCs w:val="18"/>
                <w:highlight w:val="none"/>
              </w:rPr>
              <w:t xml:space="preserve">13</w:t>
            </w:r>
            <w:r/>
          </w:p>
          <w:p>
            <w:pPr>
              <w:jc w:val="center"/>
              <w:rPr>
                <w:sz w:val="18"/>
                <w:szCs w:val="18"/>
                <w:highlight w:val="none"/>
              </w:rPr>
            </w:pPr>
            <w:r>
              <w:rPr>
                <w:sz w:val="18"/>
                <w:szCs w:val="18"/>
                <w:highlight w:val="none"/>
              </w:rPr>
              <w:t xml:space="preserve">14</w:t>
            </w:r>
            <w:r/>
          </w:p>
        </w:tc>
        <w:tc>
          <w:tcPr>
            <w:gridSpan w:val="2"/>
            <w:tcW w:w="2074" w:type="dxa"/>
            <w:vAlign w:val="center"/>
            <w:vMerge w:val="restart"/>
            <w:textDirection w:val="lrTb"/>
            <w:noWrap w:val="false"/>
          </w:tcPr>
          <w:p>
            <w:pPr>
              <w:jc w:val="center"/>
              <w:rPr>
                <w:sz w:val="18"/>
                <w:szCs w:val="18"/>
                <w:highlight w:val="none"/>
              </w:rPr>
            </w:pPr>
            <w:r>
              <w:rPr>
                <w:sz w:val="18"/>
                <w:szCs w:val="18"/>
                <w:highlight w:val="none"/>
              </w:rPr>
              <w:t xml:space="preserve">局部放电</w:t>
            </w:r>
            <w:r/>
          </w:p>
        </w:tc>
        <w:tc>
          <w:tcPr>
            <w:tcW w:w="2390" w:type="dxa"/>
            <w:vAlign w:val="center"/>
            <w:textDirection w:val="lrTb"/>
            <w:noWrap w:val="false"/>
          </w:tcPr>
          <w:p>
            <w:pPr>
              <w:jc w:val="center"/>
              <w:rPr>
                <w:sz w:val="18"/>
                <w:szCs w:val="18"/>
                <w:highlight w:val="none"/>
              </w:rPr>
            </w:pPr>
            <w:r>
              <w:rPr>
                <w:sz w:val="18"/>
                <w:szCs w:val="18"/>
                <w:highlight w:val="none"/>
              </w:rPr>
              <w:t xml:space="preserve">试验电压</w:t>
            </w:r>
            <w:r/>
          </w:p>
        </w:tc>
        <w:tc>
          <w:tcPr>
            <w:tcW w:w="984" w:type="dxa"/>
            <w:vAlign w:val="center"/>
            <w:textDirection w:val="lrTb"/>
            <w:noWrap w:val="false"/>
          </w:tcPr>
          <w:p>
            <w:pPr>
              <w:jc w:val="center"/>
              <w:rPr>
                <w:sz w:val="18"/>
                <w:szCs w:val="18"/>
                <w:highlight w:val="none"/>
              </w:rPr>
            </w:pPr>
            <w:r>
              <w:rPr>
                <w:sz w:val="18"/>
                <w:szCs w:val="18"/>
                <w:highlight w:val="none"/>
              </w:rPr>
              <w:t xml:space="preserve">kV</w:t>
            </w:r>
            <w:r/>
          </w:p>
        </w:tc>
        <w:tc>
          <w:tcPr>
            <w:tcW w:w="3063" w:type="dxa"/>
            <w:vAlign w:val="center"/>
            <w:textDirection w:val="lrTb"/>
            <w:noWrap w:val="false"/>
          </w:tcPr>
          <w:p>
            <w:pPr>
              <w:jc w:val="center"/>
              <w:rPr>
                <w:sz w:val="18"/>
                <w:szCs w:val="18"/>
                <w:highlight w:val="none"/>
              </w:rPr>
            </w:pPr>
            <w:r>
              <w:rPr>
                <w:sz w:val="18"/>
                <w:szCs w:val="18"/>
                <w:highlight w:val="none"/>
              </w:rPr>
              <w:t xml:space="preserve">1.1Ur</w:t>
            </w:r>
            <w:r>
              <w:rPr>
                <w:rFonts w:hint="eastAsia"/>
                <w:sz w:val="18"/>
                <w:szCs w:val="18"/>
                <w:highlight w:val="none"/>
              </w:rPr>
              <w:t xml:space="preserve">（相间电压）</w:t>
            </w:r>
            <w:r/>
          </w:p>
        </w:tc>
      </w:tr>
      <w:tr>
        <w:trPr>
          <w:jc w:val="center"/>
          <w:tblHeader/>
        </w:trPr>
        <w:tc>
          <w:tcPr>
            <w:tcW w:w="900" w:type="dxa"/>
            <w:vAlign w:val="center"/>
            <w:vMerge w:val="continue"/>
            <w:textDirection w:val="lrTb"/>
            <w:noWrap w:val="false"/>
          </w:tcPr>
          <w:p>
            <w:pPr>
              <w:jc w:val="center"/>
              <w:rPr>
                <w:sz w:val="18"/>
                <w:szCs w:val="18"/>
                <w:highlight w:val="none"/>
              </w:rPr>
            </w:pPr>
            <w:r>
              <w:rPr>
                <w:sz w:val="18"/>
                <w:szCs w:val="18"/>
                <w:highlight w:val="none"/>
              </w:rPr>
            </w:r>
            <w:r/>
          </w:p>
        </w:tc>
        <w:tc>
          <w:tcPr>
            <w:gridSpan w:val="2"/>
            <w:tcW w:w="2074" w:type="dxa"/>
            <w:vAlign w:val="center"/>
            <w:vMerge w:val="continue"/>
            <w:textDirection w:val="lrTb"/>
            <w:noWrap w:val="false"/>
          </w:tcPr>
          <w:p>
            <w:pPr>
              <w:jc w:val="center"/>
              <w:rPr>
                <w:sz w:val="18"/>
                <w:szCs w:val="18"/>
                <w:highlight w:val="none"/>
              </w:rPr>
            </w:pPr>
            <w:r>
              <w:rPr>
                <w:sz w:val="18"/>
                <w:szCs w:val="18"/>
                <w:highlight w:val="none"/>
              </w:rPr>
            </w:r>
            <w:r/>
          </w:p>
        </w:tc>
        <w:tc>
          <w:tcPr>
            <w:tcW w:w="2390" w:type="dxa"/>
            <w:vAlign w:val="center"/>
            <w:textDirection w:val="lrTb"/>
            <w:noWrap w:val="false"/>
          </w:tcPr>
          <w:p>
            <w:pPr>
              <w:jc w:val="center"/>
              <w:rPr>
                <w:sz w:val="18"/>
                <w:szCs w:val="18"/>
                <w:highlight w:val="none"/>
              </w:rPr>
            </w:pPr>
            <w:r>
              <w:rPr>
                <w:rFonts w:hint="eastAsia"/>
                <w:sz w:val="18"/>
                <w:szCs w:val="18"/>
                <w:highlight w:val="none"/>
              </w:rPr>
              <w:t xml:space="preserve">单个绝缘件</w:t>
            </w:r>
            <w:r/>
          </w:p>
        </w:tc>
        <w:tc>
          <w:tcPr>
            <w:tcW w:w="984" w:type="dxa"/>
            <w:vAlign w:val="center"/>
            <w:vMerge w:val="restart"/>
            <w:textDirection w:val="lrTb"/>
            <w:noWrap w:val="false"/>
          </w:tcPr>
          <w:p>
            <w:pPr>
              <w:jc w:val="center"/>
              <w:rPr>
                <w:sz w:val="18"/>
                <w:szCs w:val="18"/>
                <w:highlight w:val="none"/>
              </w:rPr>
            </w:pPr>
            <w:r>
              <w:rPr>
                <w:sz w:val="18"/>
                <w:szCs w:val="18"/>
                <w:highlight w:val="none"/>
              </w:rPr>
              <w:t xml:space="preserve">pC</w:t>
            </w:r>
            <w:r/>
          </w:p>
        </w:tc>
        <w:tc>
          <w:tcPr>
            <w:tcW w:w="3063" w:type="dxa"/>
            <w:vAlign w:val="center"/>
            <w:vMerge w:val="restart"/>
            <w:textDirection w:val="lrTb"/>
            <w:noWrap w:val="false"/>
          </w:tcPr>
          <w:p>
            <w:pPr>
              <w:jc w:val="center"/>
              <w:rPr>
                <w:sz w:val="18"/>
                <w:szCs w:val="18"/>
                <w:highlight w:val="none"/>
              </w:rPr>
            </w:pPr>
            <w:r>
              <w:rPr>
                <w:rFonts w:hint="eastAsia"/>
                <w:sz w:val="18"/>
                <w:szCs w:val="18"/>
                <w:highlight w:val="none"/>
              </w:rPr>
              <w:t xml:space="preserve">≤</w:t>
            </w:r>
            <w:r>
              <w:rPr>
                <w:sz w:val="18"/>
                <w:szCs w:val="18"/>
                <w:highlight w:val="none"/>
              </w:rPr>
              <w:t xml:space="preserve">5</w:t>
            </w:r>
            <w:r/>
          </w:p>
        </w:tc>
      </w:tr>
      <w:tr>
        <w:trPr>
          <w:jc w:val="center"/>
          <w:tblHeader/>
        </w:trPr>
        <w:tc>
          <w:tcPr>
            <w:tcW w:w="900" w:type="dxa"/>
            <w:vAlign w:val="center"/>
            <w:vMerge w:val="continue"/>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gridSpan w:val="2"/>
            <w:tcW w:w="2074" w:type="dxa"/>
            <w:vAlign w:val="center"/>
            <w:vMerge w:val="continue"/>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2390" w:type="dxa"/>
            <w:vAlign w:val="center"/>
            <w:textDirection w:val="lrTb"/>
            <w:noWrap w:val="false"/>
          </w:tcPr>
          <w:p>
            <w:pPr>
              <w:rPr>
                <w:sz w:val="18"/>
                <w:szCs w:val="18"/>
                <w:highlight w:val="none"/>
              </w:rPr>
            </w:pPr>
            <w:r>
              <w:rPr>
                <w:rFonts w:hint="eastAsia"/>
                <w:sz w:val="18"/>
                <w:szCs w:val="18"/>
                <w:highlight w:val="none"/>
              </w:rPr>
              <w:t xml:space="preserve">电压互感器、电流互感器</w:t>
            </w:r>
            <w:r/>
          </w:p>
        </w:tc>
        <w:tc>
          <w:tcPr>
            <w:tcW w:w="984" w:type="dxa"/>
            <w:vAlign w:val="center"/>
            <w:vMerge w:val="continue"/>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w:t>
            </w:r>
            <w:r>
              <w:rPr>
                <w:sz w:val="18"/>
                <w:szCs w:val="18"/>
                <w:highlight w:val="none"/>
              </w:rPr>
              <w:t xml:space="preserve">10</w:t>
            </w:r>
            <w:r/>
          </w:p>
        </w:tc>
      </w:tr>
      <w:tr>
        <w:trPr>
          <w:jc w:val="center"/>
          <w:tblHeader/>
        </w:trPr>
        <w:tc>
          <w:tcPr>
            <w:tcW w:w="900" w:type="dxa"/>
            <w:vAlign w:val="center"/>
            <w:vMerge w:val="restart"/>
            <w:textDirection w:val="lrTb"/>
            <w:noWrap w:val="false"/>
          </w:tcPr>
          <w:p>
            <w:pPr>
              <w:jc w:val="center"/>
              <w:rPr>
                <w:sz w:val="18"/>
                <w:szCs w:val="18"/>
                <w:highlight w:val="none"/>
              </w:rPr>
            </w:pPr>
            <w:r>
              <w:rPr>
                <w:sz w:val="18"/>
                <w:szCs w:val="18"/>
                <w:highlight w:val="none"/>
              </w:rPr>
              <w:t xml:space="preserve">14</w:t>
            </w:r>
            <w:r/>
          </w:p>
          <w:p>
            <w:pPr>
              <w:jc w:val="center"/>
              <w:rPr>
                <w:sz w:val="18"/>
                <w:szCs w:val="18"/>
                <w:highlight w:val="none"/>
              </w:rPr>
            </w:pPr>
            <w:r>
              <w:rPr>
                <w:sz w:val="18"/>
                <w:szCs w:val="18"/>
                <w:highlight w:val="none"/>
              </w:rPr>
              <w:t xml:space="preserve">15</w:t>
            </w:r>
            <w:r/>
          </w:p>
        </w:tc>
        <w:tc>
          <w:tcPr>
            <w:gridSpan w:val="2"/>
            <w:tcW w:w="2074" w:type="dxa"/>
            <w:vAlign w:val="center"/>
            <w:vMerge w:val="restart"/>
            <w:textDirection w:val="lrTb"/>
            <w:noWrap w:val="false"/>
          </w:tcPr>
          <w:p>
            <w:pPr>
              <w:jc w:val="center"/>
              <w:rPr>
                <w:sz w:val="18"/>
                <w:szCs w:val="18"/>
                <w:highlight w:val="none"/>
              </w:rPr>
            </w:pPr>
            <w:r>
              <w:rPr>
                <w:sz w:val="18"/>
                <w:szCs w:val="18"/>
                <w:highlight w:val="none"/>
              </w:rPr>
              <w:t xml:space="preserve">供电电源</w:t>
            </w:r>
            <w:r/>
          </w:p>
        </w:tc>
        <w:tc>
          <w:tcPr>
            <w:tcW w:w="2390" w:type="dxa"/>
            <w:vAlign w:val="center"/>
            <w:textDirection w:val="lrTb"/>
            <w:noWrap w:val="false"/>
          </w:tcPr>
          <w:p>
            <w:pPr>
              <w:jc w:val="center"/>
              <w:rPr>
                <w:sz w:val="18"/>
                <w:szCs w:val="18"/>
                <w:highlight w:val="none"/>
              </w:rPr>
            </w:pPr>
            <w:r>
              <w:rPr>
                <w:sz w:val="18"/>
                <w:szCs w:val="18"/>
                <w:highlight w:val="none"/>
              </w:rPr>
              <w:t xml:space="preserve">控制回路</w:t>
            </w:r>
            <w:r/>
          </w:p>
        </w:tc>
        <w:tc>
          <w:tcPr>
            <w:tcW w:w="984" w:type="dxa"/>
            <w:vAlign w:val="center"/>
            <w:textDirection w:val="lrTb"/>
            <w:noWrap w:val="false"/>
          </w:tcPr>
          <w:p>
            <w:pPr>
              <w:jc w:val="center"/>
              <w:rPr>
                <w:sz w:val="18"/>
                <w:szCs w:val="18"/>
                <w:highlight w:val="none"/>
              </w:rPr>
            </w:pPr>
            <w:r>
              <w:rPr>
                <w:sz w:val="18"/>
                <w:szCs w:val="18"/>
                <w:highlight w:val="none"/>
              </w:rPr>
              <w:t xml:space="preserve">V</w:t>
            </w:r>
            <w:r/>
          </w:p>
        </w:tc>
        <w:tc>
          <w:tcPr>
            <w:tcW w:w="3063" w:type="dxa"/>
            <w:vAlign w:val="center"/>
            <w:textDirection w:val="lrTb"/>
            <w:noWrap w:val="false"/>
          </w:tcPr>
          <w:p>
            <w:pPr>
              <w:jc w:val="center"/>
              <w:rPr>
                <w:sz w:val="18"/>
                <w:szCs w:val="18"/>
                <w:highlight w:val="none"/>
              </w:rPr>
            </w:pPr>
            <w:r>
              <w:rPr>
                <w:sz w:val="18"/>
                <w:szCs w:val="18"/>
                <w:highlight w:val="none"/>
              </w:rPr>
              <w:t xml:space="preserve">DC 48/110/220,AC110/220</w:t>
            </w:r>
            <w:r/>
          </w:p>
        </w:tc>
      </w:tr>
      <w:tr>
        <w:trPr>
          <w:jc w:val="center"/>
          <w:tblHeader/>
        </w:trPr>
        <w:tc>
          <w:tcPr>
            <w:tcW w:w="900" w:type="dxa"/>
            <w:vAlign w:val="center"/>
            <w:vMerge w:val="continue"/>
            <w:textDirection w:val="lrTb"/>
            <w:noWrap w:val="false"/>
          </w:tcPr>
          <w:p>
            <w:pPr>
              <w:jc w:val="center"/>
              <w:rPr>
                <w:sz w:val="18"/>
                <w:szCs w:val="18"/>
                <w:highlight w:val="none"/>
              </w:rPr>
            </w:pPr>
            <w:r>
              <w:rPr>
                <w:sz w:val="18"/>
                <w:szCs w:val="18"/>
                <w:highlight w:val="none"/>
              </w:rPr>
            </w:r>
            <w:r/>
          </w:p>
        </w:tc>
        <w:tc>
          <w:tcPr>
            <w:gridSpan w:val="2"/>
            <w:tcW w:w="2074" w:type="dxa"/>
            <w:vAlign w:val="center"/>
            <w:vMerge w:val="continue"/>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2390" w:type="dxa"/>
            <w:vAlign w:val="center"/>
            <w:textDirection w:val="lrTb"/>
            <w:noWrap w:val="false"/>
          </w:tcPr>
          <w:p>
            <w:pPr>
              <w:jc w:val="center"/>
              <w:rPr>
                <w:sz w:val="18"/>
                <w:szCs w:val="18"/>
                <w:highlight w:val="none"/>
              </w:rPr>
            </w:pPr>
            <w:r>
              <w:rPr>
                <w:sz w:val="18"/>
                <w:szCs w:val="18"/>
                <w:highlight w:val="none"/>
              </w:rPr>
              <w:t xml:space="preserve">辅助回路</w:t>
            </w:r>
            <w:r/>
          </w:p>
        </w:tc>
        <w:tc>
          <w:tcPr>
            <w:tcW w:w="984" w:type="dxa"/>
            <w:vAlign w:val="center"/>
            <w:textDirection w:val="lrTb"/>
            <w:noWrap w:val="false"/>
          </w:tcPr>
          <w:p>
            <w:pPr>
              <w:jc w:val="center"/>
              <w:rPr>
                <w:sz w:val="18"/>
                <w:szCs w:val="18"/>
                <w:highlight w:val="none"/>
              </w:rPr>
            </w:pPr>
            <w:r>
              <w:rPr>
                <w:sz w:val="18"/>
                <w:szCs w:val="18"/>
                <w:highlight w:val="none"/>
              </w:rPr>
              <w:t xml:space="preserve">V</w:t>
            </w:r>
            <w:r/>
          </w:p>
        </w:tc>
        <w:tc>
          <w:tcPr>
            <w:tcW w:w="3063" w:type="dxa"/>
            <w:vAlign w:val="center"/>
            <w:textDirection w:val="lrTb"/>
            <w:noWrap w:val="false"/>
          </w:tcPr>
          <w:p>
            <w:pPr>
              <w:jc w:val="center"/>
              <w:rPr>
                <w:sz w:val="18"/>
                <w:szCs w:val="18"/>
                <w:highlight w:val="none"/>
              </w:rPr>
            </w:pPr>
            <w:r>
              <w:rPr>
                <w:sz w:val="18"/>
                <w:szCs w:val="18"/>
                <w:highlight w:val="none"/>
              </w:rPr>
              <w:t xml:space="preserve">AC 380/AC 220</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16</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使用寿命</w:t>
            </w:r>
            <w:r/>
          </w:p>
        </w:tc>
        <w:tc>
          <w:tcPr>
            <w:tcW w:w="984" w:type="dxa"/>
            <w:vAlign w:val="center"/>
            <w:textDirection w:val="lrTb"/>
            <w:noWrap w:val="false"/>
          </w:tcPr>
          <w:p>
            <w:pPr>
              <w:jc w:val="center"/>
              <w:rPr>
                <w:sz w:val="18"/>
                <w:szCs w:val="18"/>
                <w:highlight w:val="none"/>
              </w:rPr>
            </w:pPr>
            <w:r>
              <w:rPr>
                <w:sz w:val="18"/>
                <w:szCs w:val="18"/>
                <w:highlight w:val="none"/>
              </w:rPr>
              <w:t xml:space="preserve">年</w:t>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w:t>
            </w:r>
            <w:r>
              <w:rPr>
                <w:sz w:val="18"/>
                <w:szCs w:val="18"/>
                <w:highlight w:val="none"/>
              </w:rPr>
              <w:t xml:space="preserve">40</w:t>
            </w:r>
            <w:r/>
          </w:p>
        </w:tc>
      </w:tr>
      <w:tr>
        <w:trPr>
          <w:jc w:val="center"/>
          <w:tblHeader/>
        </w:trPr>
        <w:tc>
          <w:tcPr>
            <w:tcW w:w="900" w:type="dxa"/>
            <w:vAlign w:val="center"/>
            <w:vMerge w:val="restart"/>
            <w:textDirection w:val="lrTb"/>
            <w:noWrap w:val="false"/>
          </w:tcPr>
          <w:p>
            <w:pPr>
              <w:jc w:val="center"/>
              <w:rPr>
                <w:sz w:val="18"/>
                <w:szCs w:val="18"/>
                <w:highlight w:val="none"/>
              </w:rPr>
            </w:pPr>
            <w:r>
              <w:rPr>
                <w:sz w:val="18"/>
                <w:szCs w:val="18"/>
                <w:highlight w:val="none"/>
              </w:rPr>
              <w:t xml:space="preserve">16</w:t>
            </w:r>
            <w:r/>
          </w:p>
          <w:p>
            <w:pPr>
              <w:jc w:val="center"/>
              <w:rPr>
                <w:sz w:val="18"/>
                <w:szCs w:val="18"/>
                <w:highlight w:val="none"/>
              </w:rPr>
            </w:pPr>
            <w:r>
              <w:rPr>
                <w:sz w:val="18"/>
                <w:szCs w:val="18"/>
                <w:highlight w:val="none"/>
              </w:rPr>
              <w:t xml:space="preserve">17</w:t>
            </w:r>
            <w:r/>
          </w:p>
        </w:tc>
        <w:tc>
          <w:tcPr>
            <w:gridSpan w:val="2"/>
            <w:tcW w:w="2074" w:type="dxa"/>
            <w:vAlign w:val="center"/>
            <w:vMerge w:val="restart"/>
            <w:textDirection w:val="lrTb"/>
            <w:noWrap w:val="false"/>
          </w:tcPr>
          <w:p>
            <w:pPr>
              <w:jc w:val="center"/>
              <w:rPr>
                <w:sz w:val="18"/>
                <w:szCs w:val="18"/>
                <w:highlight w:val="none"/>
              </w:rPr>
            </w:pPr>
            <w:r>
              <w:rPr>
                <w:rFonts w:hint="eastAsia"/>
                <w:sz w:val="18"/>
                <w:szCs w:val="18"/>
                <w:highlight w:val="none"/>
              </w:rPr>
              <w:t xml:space="preserve">爬电距离</w:t>
            </w:r>
            <w:r/>
          </w:p>
        </w:tc>
        <w:tc>
          <w:tcPr>
            <w:tcW w:w="2390" w:type="dxa"/>
            <w:vAlign w:val="center"/>
            <w:textDirection w:val="lrTb"/>
            <w:noWrap w:val="false"/>
          </w:tcPr>
          <w:p>
            <w:pPr>
              <w:jc w:val="center"/>
              <w:rPr>
                <w:sz w:val="18"/>
                <w:szCs w:val="18"/>
                <w:highlight w:val="none"/>
              </w:rPr>
            </w:pPr>
            <w:r>
              <w:rPr>
                <w:rFonts w:hint="eastAsia"/>
                <w:sz w:val="18"/>
                <w:szCs w:val="18"/>
                <w:highlight w:val="none"/>
              </w:rPr>
              <w:t xml:space="preserve">瓷质材料（对地）</w:t>
            </w:r>
            <w:r/>
          </w:p>
        </w:tc>
        <w:tc>
          <w:tcPr>
            <w:tcW w:w="984" w:type="dxa"/>
            <w:vAlign w:val="center"/>
            <w:vMerge w:val="restart"/>
            <w:textDirection w:val="lrTb"/>
            <w:noWrap w:val="false"/>
          </w:tcPr>
          <w:p>
            <w:pPr>
              <w:jc w:val="center"/>
              <w:rPr>
                <w:sz w:val="18"/>
                <w:szCs w:val="18"/>
                <w:highlight w:val="none"/>
              </w:rPr>
            </w:pPr>
            <w:r>
              <w:rPr>
                <w:sz w:val="18"/>
                <w:szCs w:val="18"/>
                <w:highlight w:val="none"/>
              </w:rPr>
              <w:t xml:space="preserve">mm</w:t>
            </w:r>
            <w:r/>
          </w:p>
        </w:tc>
        <w:tc>
          <w:tcPr>
            <w:tcW w:w="3063" w:type="dxa"/>
            <w:vAlign w:val="center"/>
            <w:vMerge w:val="restart"/>
            <w:textDirection w:val="lrTb"/>
            <w:noWrap w:val="false"/>
          </w:tcPr>
          <w:p>
            <w:pPr>
              <w:jc w:val="center"/>
              <w:rPr>
                <w:sz w:val="18"/>
                <w:szCs w:val="18"/>
                <w:highlight w:val="none"/>
              </w:rPr>
            </w:pPr>
            <w:r>
              <w:rPr>
                <w:rFonts w:hint="eastAsia"/>
                <w:sz w:val="18"/>
                <w:szCs w:val="18"/>
                <w:highlight w:val="none"/>
              </w:rPr>
              <w:t xml:space="preserve">≥</w:t>
            </w:r>
            <w:r>
              <w:rPr>
                <w:sz w:val="18"/>
                <w:szCs w:val="18"/>
                <w:highlight w:val="none"/>
              </w:rPr>
              <w:t xml:space="preserve">216</w:t>
            </w:r>
            <w:r/>
          </w:p>
        </w:tc>
      </w:tr>
      <w:tr>
        <w:trPr>
          <w:jc w:val="center"/>
          <w:tblHeader/>
        </w:trPr>
        <w:tc>
          <w:tcPr>
            <w:tcW w:w="900" w:type="dxa"/>
            <w:vAlign w:val="center"/>
            <w:vMerge w:val="continue"/>
            <w:textDirection w:val="lrTb"/>
            <w:noWrap w:val="false"/>
          </w:tcPr>
          <w:p>
            <w:pPr>
              <w:jc w:val="center"/>
              <w:rPr>
                <w:sz w:val="18"/>
                <w:szCs w:val="18"/>
                <w:highlight w:val="none"/>
              </w:rPr>
            </w:pPr>
            <w:r>
              <w:rPr>
                <w:sz w:val="18"/>
                <w:szCs w:val="18"/>
                <w:highlight w:val="none"/>
              </w:rPr>
            </w:r>
            <w:r/>
          </w:p>
        </w:tc>
        <w:tc>
          <w:tcPr>
            <w:gridSpan w:val="2"/>
            <w:tcW w:w="2074" w:type="dxa"/>
            <w:vAlign w:val="center"/>
            <w:vMerge w:val="continue"/>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2390" w:type="dxa"/>
            <w:vAlign w:val="center"/>
            <w:textDirection w:val="lrTb"/>
            <w:noWrap w:val="false"/>
          </w:tcPr>
          <w:p>
            <w:pPr>
              <w:jc w:val="center"/>
              <w:rPr>
                <w:sz w:val="18"/>
                <w:szCs w:val="18"/>
                <w:highlight w:val="none"/>
              </w:rPr>
            </w:pPr>
            <w:r>
              <w:rPr>
                <w:rFonts w:hint="eastAsia"/>
                <w:sz w:val="18"/>
                <w:szCs w:val="18"/>
                <w:highlight w:val="none"/>
              </w:rPr>
              <w:t xml:space="preserve">有机材料（对地）</w:t>
            </w:r>
            <w:r/>
          </w:p>
        </w:tc>
        <w:tc>
          <w:tcPr>
            <w:tcW w:w="984" w:type="dxa"/>
            <w:vAlign w:val="center"/>
            <w:vMerge w:val="continue"/>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w:t>
            </w:r>
            <w:r>
              <w:rPr>
                <w:sz w:val="18"/>
                <w:szCs w:val="18"/>
                <w:highlight w:val="none"/>
              </w:rPr>
              <w:t xml:space="preserve">240</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18</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相间及相对地净距（带电体对门空气距离）</w:t>
            </w:r>
            <w:r/>
          </w:p>
        </w:tc>
        <w:tc>
          <w:tcPr>
            <w:tcW w:w="984" w:type="dxa"/>
            <w:vAlign w:val="center"/>
            <w:textDirection w:val="lrTb"/>
            <w:noWrap w:val="false"/>
          </w:tcPr>
          <w:p>
            <w:pPr>
              <w:jc w:val="center"/>
              <w:rPr>
                <w:sz w:val="18"/>
                <w:szCs w:val="18"/>
                <w:highlight w:val="none"/>
              </w:rPr>
            </w:pPr>
            <w:r>
              <w:rPr>
                <w:sz w:val="18"/>
                <w:szCs w:val="18"/>
                <w:highlight w:val="none"/>
              </w:rPr>
              <w:t xml:space="preserve">mm</w:t>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w:t>
            </w:r>
            <w:r>
              <w:rPr>
                <w:sz w:val="18"/>
                <w:szCs w:val="18"/>
                <w:highlight w:val="none"/>
              </w:rPr>
              <w:t xml:space="preserve">125（155）</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19</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气体额定压力（</w:t>
            </w:r>
            <w:r>
              <w:rPr>
                <w:sz w:val="18"/>
                <w:szCs w:val="18"/>
                <w:highlight w:val="none"/>
              </w:rPr>
              <w:t xml:space="preserve">20</w:t>
            </w:r>
            <w:r>
              <w:rPr>
                <w:rFonts w:hint="eastAsia"/>
                <w:sz w:val="18"/>
                <w:szCs w:val="18"/>
                <w:highlight w:val="none"/>
              </w:rPr>
              <w:t xml:space="preserve">℃表压，气体绝缘环网柜适用）</w:t>
            </w:r>
            <w:r/>
          </w:p>
        </w:tc>
        <w:tc>
          <w:tcPr>
            <w:tcW w:w="984" w:type="dxa"/>
            <w:vAlign w:val="center"/>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（投标人提供）</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20</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气体年漏气率</w:t>
            </w:r>
            <w:r/>
          </w:p>
        </w:tc>
        <w:tc>
          <w:tcPr>
            <w:tcW w:w="984" w:type="dxa"/>
            <w:vAlign w:val="center"/>
            <w:textDirection w:val="lrTb"/>
            <w:noWrap w:val="false"/>
          </w:tcPr>
          <w:p>
            <w:pPr>
              <w:jc w:val="center"/>
              <w:rPr>
                <w:sz w:val="18"/>
                <w:szCs w:val="18"/>
                <w:highlight w:val="none"/>
              </w:rPr>
            </w:pPr>
            <w:r>
              <w:rPr>
                <w:sz w:val="18"/>
                <w:szCs w:val="18"/>
                <w:highlight w:val="none"/>
              </w:rPr>
              <w:t xml:space="preserve">V/V</w:t>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w:t>
            </w:r>
            <w:r>
              <w:rPr>
                <w:sz w:val="18"/>
                <w:szCs w:val="18"/>
                <w:highlight w:val="none"/>
              </w:rPr>
              <w:t xml:space="preserve">0.1%</w:t>
            </w:r>
            <w:r/>
          </w:p>
        </w:tc>
      </w:tr>
      <w:tr>
        <w:trPr>
          <w:jc w:val="center"/>
          <w:tblHeader/>
        </w:trPr>
        <w:tc>
          <w:tcPr>
            <w:tcW w:w="900" w:type="dxa"/>
            <w:vAlign w:val="center"/>
            <w:textDirection w:val="lrTb"/>
            <w:noWrap w:val="false"/>
          </w:tcPr>
          <w:p>
            <w:pPr>
              <w:jc w:val="center"/>
              <w:rPr>
                <w:rFonts w:hint="default" w:eastAsia="宋体"/>
                <w:sz w:val="18"/>
                <w:szCs w:val="18"/>
                <w:highlight w:val="none"/>
                <w:lang w:val="en-US" w:eastAsia="zh-CN"/>
              </w:rPr>
            </w:pPr>
            <w:r>
              <w:rPr>
                <w:rFonts w:hint="eastAsia"/>
                <w:sz w:val="18"/>
                <w:szCs w:val="18"/>
                <w:highlight w:val="none"/>
                <w:lang w:val="en-US" w:eastAsia="zh-CN"/>
              </w:rPr>
              <w:t xml:space="preserve">21</w:t>
            </w:r>
            <w:r/>
          </w:p>
        </w:tc>
        <w:tc>
          <w:tcPr>
            <w:gridSpan w:val="3"/>
            <w:tcW w:w="4464" w:type="dxa"/>
            <w:vAlign w:val="center"/>
            <w:textDirection w:val="lrTb"/>
            <w:noWrap w:val="false"/>
          </w:tcPr>
          <w:p>
            <w:pPr>
              <w:jc w:val="center"/>
              <w:rPr>
                <w:rFonts w:hint="eastAsia" w:eastAsia="宋体"/>
                <w:sz w:val="18"/>
                <w:szCs w:val="18"/>
                <w:highlight w:val="none"/>
                <w:lang w:val="en-US" w:eastAsia="zh-CN"/>
              </w:rPr>
            </w:pPr>
            <w:r>
              <w:rPr>
                <w:rFonts w:hint="eastAsia"/>
                <w:sz w:val="18"/>
                <w:szCs w:val="18"/>
                <w:highlight w:val="none"/>
                <w:lang w:val="en-US" w:eastAsia="zh-CN"/>
              </w:rPr>
              <w:t xml:space="preserve">熔断器</w:t>
            </w:r>
            <w:r/>
          </w:p>
        </w:tc>
        <w:tc>
          <w:tcPr>
            <w:tcW w:w="984" w:type="dxa"/>
            <w:vAlign w:val="center"/>
            <w:textDirection w:val="lrTb"/>
            <w:noWrap w:val="false"/>
          </w:tcPr>
          <w:p>
            <w:pPr>
              <w:jc w:val="center"/>
              <w:rPr>
                <w:rFonts w:hint="eastAsia" w:eastAsia="宋体"/>
                <w:sz w:val="18"/>
                <w:szCs w:val="18"/>
                <w:highlight w:val="none"/>
                <w:lang w:val="en-US" w:eastAsia="zh-CN"/>
              </w:rPr>
            </w:pPr>
            <w:r>
              <w:rPr>
                <w:rFonts w:hint="eastAsia"/>
                <w:sz w:val="18"/>
                <w:szCs w:val="18"/>
                <w:highlight w:val="none"/>
                <w:lang w:val="en-US" w:eastAsia="zh-CN"/>
              </w:rPr>
              <w:t xml:space="preserve">A</w:t>
            </w:r>
            <w:r/>
          </w:p>
        </w:tc>
        <w:tc>
          <w:tcPr>
            <w:tcW w:w="3063" w:type="dxa"/>
            <w:vAlign w:val="center"/>
            <w:textDirection w:val="lrTb"/>
            <w:noWrap w:val="false"/>
          </w:tcPr>
          <w:p>
            <w:pPr>
              <w:jc w:val="center"/>
              <w:rPr>
                <w:rFonts w:hint="default" w:eastAsia="宋体"/>
                <w:sz w:val="18"/>
                <w:szCs w:val="18"/>
                <w:highlight w:val="none"/>
                <w:lang w:val="en-US" w:eastAsia="zh-CN"/>
              </w:rPr>
            </w:pPr>
            <w:r>
              <w:rPr>
                <w:rFonts w:hint="eastAsia"/>
                <w:sz w:val="18"/>
                <w:szCs w:val="18"/>
                <w:highlight w:val="none"/>
                <w:lang w:val="en-US" w:eastAsia="zh-CN"/>
              </w:rPr>
              <w:t xml:space="preserve">见图纸</w:t>
            </w:r>
            <w:r/>
          </w:p>
        </w:tc>
      </w:tr>
      <w:tr>
        <w:trPr>
          <w:jc w:val="center"/>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二</w:t>
            </w:r>
            <w:r/>
          </w:p>
        </w:tc>
        <w:tc>
          <w:tcPr>
            <w:gridSpan w:val="5"/>
            <w:tcW w:w="8511" w:type="dxa"/>
            <w:vAlign w:val="center"/>
            <w:textDirection w:val="lrTb"/>
            <w:noWrap w:val="false"/>
          </w:tcPr>
          <w:p>
            <w:pPr>
              <w:jc w:val="center"/>
              <w:rPr>
                <w:sz w:val="18"/>
                <w:szCs w:val="18"/>
                <w:highlight w:val="none"/>
              </w:rPr>
            </w:pPr>
            <w:r>
              <w:rPr>
                <w:rFonts w:hint="eastAsia"/>
                <w:sz w:val="18"/>
                <w:szCs w:val="18"/>
                <w:highlight w:val="none"/>
              </w:rPr>
              <w:t xml:space="preserve">变压器</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1</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额定容量</w:t>
            </w:r>
            <w:r/>
          </w:p>
        </w:tc>
        <w:tc>
          <w:tcPr>
            <w:tcW w:w="984" w:type="dxa"/>
            <w:vAlign w:val="center"/>
            <w:textDirection w:val="lrTb"/>
            <w:noWrap w:val="false"/>
          </w:tcPr>
          <w:p>
            <w:pPr>
              <w:jc w:val="center"/>
              <w:rPr>
                <w:sz w:val="18"/>
                <w:szCs w:val="18"/>
                <w:highlight w:val="none"/>
              </w:rPr>
            </w:pPr>
            <w:r>
              <w:rPr>
                <w:sz w:val="18"/>
                <w:szCs w:val="18"/>
                <w:highlight w:val="none"/>
              </w:rPr>
              <w:t xml:space="preserve">kVA</w:t>
            </w:r>
            <w:r/>
          </w:p>
        </w:tc>
        <w:tc>
          <w:tcPr>
            <w:tcW w:w="3063" w:type="dxa"/>
            <w:vAlign w:val="center"/>
            <w:textDirection w:val="lrTb"/>
            <w:noWrap w:val="false"/>
          </w:tcPr>
          <w:p>
            <w:pPr>
              <w:jc w:val="center"/>
              <w:rPr>
                <w:rFonts w:hint="eastAsia" w:eastAsia="宋体"/>
                <w:sz w:val="18"/>
                <w:szCs w:val="18"/>
                <w:highlight w:val="none"/>
                <w:lang w:eastAsia="zh-CN"/>
              </w:rPr>
            </w:pPr>
            <w:r>
              <w:rPr>
                <w:rFonts w:hint="eastAsia"/>
                <w:sz w:val="18"/>
                <w:szCs w:val="18"/>
                <w:highlight w:val="none"/>
                <w:lang w:val="en-US" w:eastAsia="zh-CN"/>
              </w:rPr>
              <w:t xml:space="preserve">见图纸</w:t>
            </w:r>
            <w:r/>
          </w:p>
        </w:tc>
      </w:tr>
      <w:tr>
        <w:trPr>
          <w:jc w:val="center"/>
          <w:trHeight w:val="90"/>
          <w:tblHeader/>
        </w:trPr>
        <w:tc>
          <w:tcPr>
            <w:tcW w:w="900" w:type="dxa"/>
            <w:vAlign w:val="center"/>
            <w:textDirection w:val="lrTb"/>
            <w:noWrap w:val="false"/>
          </w:tcPr>
          <w:p>
            <w:pPr>
              <w:jc w:val="center"/>
              <w:rPr>
                <w:sz w:val="18"/>
                <w:szCs w:val="18"/>
                <w:highlight w:val="none"/>
              </w:rPr>
            </w:pPr>
            <w:r>
              <w:rPr>
                <w:sz w:val="18"/>
                <w:szCs w:val="18"/>
                <w:highlight w:val="none"/>
              </w:rPr>
              <w:t xml:space="preserve">2</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铁心材质</w:t>
            </w:r>
            <w:r/>
          </w:p>
        </w:tc>
        <w:tc>
          <w:tcPr>
            <w:tcW w:w="984" w:type="dxa"/>
            <w:vAlign w:val="center"/>
            <w:textDirection w:val="lrTb"/>
            <w:noWrap w:val="false"/>
          </w:tcPr>
          <w:p>
            <w:pPr>
              <w:jc w:val="center"/>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硅钢片</w:t>
            </w:r>
            <w:r/>
          </w:p>
        </w:tc>
      </w:tr>
      <w:tr>
        <w:trPr>
          <w:jc w:val="center"/>
          <w:trHeight w:val="91"/>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3</w:t>
            </w:r>
            <w:r/>
          </w:p>
        </w:tc>
        <w:tc>
          <w:tcPr>
            <w:gridSpan w:val="3"/>
            <w:tcW w:w="4464" w:type="dxa"/>
            <w:vAlign w:val="center"/>
            <w:textDirection w:val="lrTb"/>
            <w:noWrap w:val="false"/>
          </w:tcPr>
          <w:p>
            <w:pPr>
              <w:jc w:val="center"/>
              <w:spacing w:before="62" w:after="62"/>
              <w:rPr>
                <w:sz w:val="18"/>
                <w:szCs w:val="18"/>
                <w:highlight w:val="none"/>
              </w:rPr>
            </w:pPr>
            <w:r>
              <w:rPr>
                <w:rFonts w:hint="eastAsia"/>
                <w:sz w:val="18"/>
                <w:szCs w:val="18"/>
                <w:highlight w:val="none"/>
              </w:rPr>
              <w:t xml:space="preserve">铁心结构</w:t>
            </w:r>
            <w:r/>
          </w:p>
        </w:tc>
        <w:tc>
          <w:tcPr>
            <w:tcW w:w="984" w:type="dxa"/>
            <w:vAlign w:val="center"/>
            <w:textDirection w:val="lrTb"/>
            <w:noWrap w:val="false"/>
          </w:tcPr>
          <w:p>
            <w:pPr>
              <w:jc w:val="center"/>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叠铁心/闭口立体卷铁心</w:t>
            </w:r>
            <w:r/>
          </w:p>
        </w:tc>
      </w:tr>
      <w:tr>
        <w:trPr>
          <w:jc w:val="center"/>
          <w:trHeight w:val="91"/>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4</w:t>
            </w:r>
            <w:r/>
          </w:p>
        </w:tc>
        <w:tc>
          <w:tcPr>
            <w:gridSpan w:val="3"/>
            <w:tcW w:w="4464" w:type="dxa"/>
            <w:vAlign w:val="center"/>
            <w:textDirection w:val="lrTb"/>
            <w:noWrap w:val="false"/>
          </w:tcPr>
          <w:p>
            <w:pPr>
              <w:jc w:val="center"/>
              <w:spacing w:before="62" w:after="62"/>
              <w:rPr>
                <w:sz w:val="18"/>
                <w:szCs w:val="18"/>
                <w:highlight w:val="none"/>
              </w:rPr>
            </w:pPr>
            <w:r>
              <w:rPr>
                <w:rFonts w:hint="eastAsia"/>
                <w:sz w:val="18"/>
                <w:szCs w:val="18"/>
                <w:highlight w:val="none"/>
              </w:rPr>
              <w:t xml:space="preserve">高压绕组额定电压</w:t>
            </w:r>
            <w:r/>
          </w:p>
        </w:tc>
        <w:tc>
          <w:tcPr>
            <w:tcW w:w="984" w:type="dxa"/>
            <w:vAlign w:val="center"/>
            <w:textDirection w:val="lrTb"/>
            <w:noWrap w:val="false"/>
          </w:tcPr>
          <w:p>
            <w:pPr>
              <w:jc w:val="center"/>
              <w:rPr>
                <w:sz w:val="18"/>
                <w:szCs w:val="18"/>
                <w:highlight w:val="none"/>
              </w:rPr>
            </w:pPr>
            <w:r>
              <w:rPr>
                <w:sz w:val="18"/>
                <w:szCs w:val="18"/>
                <w:highlight w:val="none"/>
              </w:rPr>
              <w:t xml:space="preserve">kV</w:t>
            </w:r>
            <w:r/>
          </w:p>
        </w:tc>
        <w:tc>
          <w:tcPr>
            <w:tcW w:w="3063" w:type="dxa"/>
            <w:vAlign w:val="center"/>
            <w:textDirection w:val="lrTb"/>
            <w:noWrap w:val="false"/>
          </w:tcPr>
          <w:p>
            <w:pPr>
              <w:jc w:val="center"/>
              <w:rPr>
                <w:sz w:val="18"/>
                <w:szCs w:val="18"/>
                <w:highlight w:val="none"/>
              </w:rPr>
            </w:pPr>
            <w:r>
              <w:rPr>
                <w:sz w:val="18"/>
                <w:szCs w:val="18"/>
                <w:highlight w:val="none"/>
              </w:rPr>
              <w:t xml:space="preserve">10/10.5，供货前与项目单位确定</w:t>
            </w:r>
            <w:r/>
          </w:p>
        </w:tc>
      </w:tr>
      <w:tr>
        <w:trPr>
          <w:jc w:val="center"/>
          <w:trHeight w:val="91"/>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5</w:t>
            </w:r>
            <w:r/>
          </w:p>
        </w:tc>
        <w:tc>
          <w:tcPr>
            <w:gridSpan w:val="3"/>
            <w:tcW w:w="4464" w:type="dxa"/>
            <w:vAlign w:val="center"/>
            <w:textDirection w:val="lrTb"/>
            <w:noWrap w:val="false"/>
          </w:tcPr>
          <w:p>
            <w:pPr>
              <w:jc w:val="center"/>
              <w:spacing w:before="62" w:after="62"/>
              <w:rPr>
                <w:sz w:val="18"/>
                <w:szCs w:val="18"/>
                <w:highlight w:val="none"/>
              </w:rPr>
            </w:pPr>
            <w:r>
              <w:rPr>
                <w:rFonts w:hint="eastAsia"/>
                <w:sz w:val="18"/>
                <w:szCs w:val="18"/>
                <w:highlight w:val="none"/>
              </w:rPr>
              <w:t xml:space="preserve">低压绕组额定电压</w:t>
            </w:r>
            <w:r/>
          </w:p>
        </w:tc>
        <w:tc>
          <w:tcPr>
            <w:tcW w:w="984" w:type="dxa"/>
            <w:vAlign w:val="center"/>
            <w:textDirection w:val="lrTb"/>
            <w:noWrap w:val="false"/>
          </w:tcPr>
          <w:p>
            <w:pPr>
              <w:jc w:val="center"/>
              <w:rPr>
                <w:sz w:val="18"/>
                <w:szCs w:val="18"/>
                <w:highlight w:val="none"/>
              </w:rPr>
            </w:pPr>
            <w:r>
              <w:rPr>
                <w:sz w:val="18"/>
                <w:szCs w:val="18"/>
                <w:highlight w:val="none"/>
              </w:rPr>
              <w:t xml:space="preserve">kV</w:t>
            </w:r>
            <w:r/>
          </w:p>
        </w:tc>
        <w:tc>
          <w:tcPr>
            <w:tcW w:w="3063" w:type="dxa"/>
            <w:vAlign w:val="center"/>
            <w:textDirection w:val="lrTb"/>
            <w:noWrap w:val="false"/>
          </w:tcPr>
          <w:p>
            <w:pPr>
              <w:jc w:val="center"/>
              <w:rPr>
                <w:sz w:val="18"/>
                <w:szCs w:val="18"/>
                <w:highlight w:val="none"/>
              </w:rPr>
            </w:pPr>
            <w:r>
              <w:rPr>
                <w:sz w:val="18"/>
                <w:szCs w:val="18"/>
                <w:highlight w:val="none"/>
              </w:rPr>
              <w:t xml:space="preserve">0.4</w:t>
            </w:r>
            <w:r/>
          </w:p>
        </w:tc>
      </w:tr>
      <w:tr>
        <w:trPr>
          <w:jc w:val="center"/>
          <w:trHeight w:val="154"/>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6</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分接范围</w:t>
            </w:r>
            <w:r/>
          </w:p>
        </w:tc>
        <w:tc>
          <w:tcPr>
            <w:tcW w:w="984" w:type="dxa"/>
            <w:vAlign w:val="center"/>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sz w:val="18"/>
                <w:szCs w:val="18"/>
                <w:highlight w:val="none"/>
              </w:rPr>
              <w:t xml:space="preserve">±2×2.5%</w:t>
            </w:r>
            <w:r/>
          </w:p>
        </w:tc>
      </w:tr>
      <w:tr>
        <w:trPr>
          <w:jc w:val="center"/>
          <w:trHeight w:val="91"/>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7</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联结组别</w:t>
            </w:r>
            <w:r/>
          </w:p>
        </w:tc>
        <w:tc>
          <w:tcPr>
            <w:tcW w:w="984" w:type="dxa"/>
            <w:vAlign w:val="center"/>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sz w:val="18"/>
                <w:szCs w:val="18"/>
                <w:highlight w:val="none"/>
              </w:rPr>
              <w:t xml:space="preserve">Dyn11</w:t>
            </w:r>
            <w:r/>
          </w:p>
        </w:tc>
      </w:tr>
      <w:tr>
        <w:trPr>
          <w:jc w:val="center"/>
          <w:tblHeader/>
        </w:trPr>
        <w:tc>
          <w:tcPr>
            <w:tcW w:w="900" w:type="dxa"/>
            <w:vAlign w:val="center"/>
            <w:vMerge w:val="restart"/>
            <w:textDirection w:val="lrTb"/>
            <w:noWrap w:val="false"/>
          </w:tcPr>
          <w:p>
            <w:pPr>
              <w:jc w:val="center"/>
              <w:rPr>
                <w:sz w:val="18"/>
                <w:szCs w:val="18"/>
                <w:highlight w:val="none"/>
              </w:rPr>
            </w:pPr>
            <w:r>
              <w:rPr>
                <w:rFonts w:hint="eastAsia"/>
                <w:sz w:val="18"/>
                <w:szCs w:val="18"/>
                <w:highlight w:val="none"/>
              </w:rPr>
              <w:t xml:space="preserve">8</w:t>
            </w:r>
            <w:r/>
          </w:p>
        </w:tc>
        <w:tc>
          <w:tcPr>
            <w:tcW w:w="766" w:type="dxa"/>
            <w:vAlign w:val="center"/>
            <w:vMerge w:val="restart"/>
            <w:textDirection w:val="lrTb"/>
            <w:noWrap w:val="false"/>
          </w:tcPr>
          <w:p>
            <w:pPr>
              <w:jc w:val="center"/>
              <w:rPr>
                <w:sz w:val="18"/>
                <w:szCs w:val="18"/>
                <w:highlight w:val="none"/>
              </w:rPr>
            </w:pPr>
            <w:r>
              <w:rPr>
                <w:rFonts w:hint="eastAsia"/>
                <w:sz w:val="18"/>
                <w:szCs w:val="18"/>
                <w:highlight w:val="none"/>
              </w:rPr>
              <w:t xml:space="preserve">绝缘</w:t>
            </w:r>
            <w:r>
              <w:rPr>
                <w:sz w:val="18"/>
                <w:szCs w:val="18"/>
                <w:highlight w:val="none"/>
              </w:rPr>
              <w:br/>
            </w:r>
            <w:r>
              <w:rPr>
                <w:rFonts w:hint="eastAsia"/>
                <w:sz w:val="18"/>
                <w:szCs w:val="18"/>
                <w:highlight w:val="none"/>
              </w:rPr>
              <w:t xml:space="preserve">水平</w:t>
            </w:r>
            <w:r/>
          </w:p>
        </w:tc>
        <w:tc>
          <w:tcPr>
            <w:gridSpan w:val="2"/>
            <w:tcW w:w="3698" w:type="dxa"/>
            <w:vAlign w:val="center"/>
            <w:textDirection w:val="lrTb"/>
            <w:noWrap w:val="false"/>
          </w:tcPr>
          <w:p>
            <w:pPr>
              <w:jc w:val="center"/>
              <w:rPr>
                <w:sz w:val="18"/>
                <w:szCs w:val="18"/>
                <w:highlight w:val="none"/>
              </w:rPr>
            </w:pPr>
            <w:r>
              <w:rPr>
                <w:rFonts w:hint="eastAsia"/>
                <w:sz w:val="18"/>
                <w:szCs w:val="18"/>
                <w:highlight w:val="none"/>
              </w:rPr>
              <w:t xml:space="preserve">高压绕组雷电冲击（全波）</w:t>
            </w:r>
            <w:r/>
          </w:p>
        </w:tc>
        <w:tc>
          <w:tcPr>
            <w:tcW w:w="984" w:type="dxa"/>
            <w:vAlign w:val="center"/>
            <w:vMerge w:val="restart"/>
            <w:textDirection w:val="lrTb"/>
            <w:noWrap w:val="false"/>
          </w:tcPr>
          <w:p>
            <w:pPr>
              <w:jc w:val="center"/>
              <w:rPr>
                <w:sz w:val="18"/>
                <w:szCs w:val="18"/>
                <w:highlight w:val="none"/>
              </w:rPr>
            </w:pPr>
            <w:r>
              <w:rPr>
                <w:sz w:val="18"/>
                <w:szCs w:val="18"/>
                <w:highlight w:val="none"/>
              </w:rPr>
              <w:t xml:space="preserve">kV</w:t>
            </w:r>
            <w:r/>
          </w:p>
        </w:tc>
        <w:tc>
          <w:tcPr>
            <w:tcW w:w="3063" w:type="dxa"/>
            <w:vAlign w:val="center"/>
            <w:vMerge w:val="restart"/>
            <w:textDirection w:val="lrTb"/>
            <w:noWrap w:val="false"/>
          </w:tcPr>
          <w:p>
            <w:pPr>
              <w:jc w:val="center"/>
              <w:rPr>
                <w:sz w:val="18"/>
                <w:szCs w:val="18"/>
                <w:highlight w:val="none"/>
              </w:rPr>
            </w:pPr>
            <w:r>
              <w:rPr>
                <w:sz w:val="18"/>
                <w:szCs w:val="18"/>
                <w:highlight w:val="none"/>
              </w:rPr>
              <w:t xml:space="preserve">75</w:t>
            </w:r>
            <w:r/>
          </w:p>
        </w:tc>
      </w:tr>
      <w:tr>
        <w:trPr>
          <w:jc w:val="center"/>
          <w:trHeight w:val="99"/>
          <w:tblHeader/>
        </w:trPr>
        <w:tc>
          <w:tcPr>
            <w:tcW w:w="900" w:type="dxa"/>
            <w:vAlign w:val="center"/>
            <w:vMerge w:val="continue"/>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766" w:type="dxa"/>
            <w:vAlign w:val="center"/>
            <w:vMerge w:val="continue"/>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gridSpan w:val="2"/>
            <w:tcW w:w="3698" w:type="dxa"/>
            <w:vAlign w:val="center"/>
            <w:textDirection w:val="lrTb"/>
            <w:noWrap w:val="false"/>
          </w:tcPr>
          <w:p>
            <w:pPr>
              <w:jc w:val="center"/>
              <w:rPr>
                <w:sz w:val="18"/>
                <w:szCs w:val="18"/>
                <w:highlight w:val="none"/>
              </w:rPr>
            </w:pPr>
            <w:r>
              <w:rPr>
                <w:rFonts w:hint="eastAsia"/>
                <w:sz w:val="18"/>
                <w:szCs w:val="18"/>
                <w:highlight w:val="none"/>
              </w:rPr>
              <w:t xml:space="preserve">高压绕组雷电冲击（截波）</w:t>
            </w:r>
            <w:r/>
          </w:p>
        </w:tc>
        <w:tc>
          <w:tcPr>
            <w:tcW w:w="984" w:type="dxa"/>
            <w:vAlign w:val="center"/>
            <w:vMerge w:val="continue"/>
            <w:textDirection w:val="lrTb"/>
            <w:noWrap w:val="false"/>
          </w:tcPr>
          <w:p>
            <w:pPr>
              <w:jc w:val="center"/>
              <w:rPr>
                <w:sz w:val="18"/>
                <w:szCs w:val="18"/>
                <w:highlight w:val="none"/>
              </w:rPr>
            </w:pPr>
            <w:r>
              <w:rPr>
                <w:sz w:val="18"/>
                <w:szCs w:val="18"/>
                <w:highlight w:val="none"/>
              </w:rPr>
            </w:r>
            <w:r/>
          </w:p>
        </w:tc>
        <w:tc>
          <w:tcPr>
            <w:tcW w:w="3063" w:type="dxa"/>
            <w:vAlign w:val="center"/>
            <w:vMerge w:val="restart"/>
            <w:textDirection w:val="lrTb"/>
            <w:noWrap w:val="false"/>
          </w:tcPr>
          <w:p>
            <w:pPr>
              <w:jc w:val="center"/>
              <w:rPr>
                <w:sz w:val="18"/>
                <w:szCs w:val="18"/>
                <w:highlight w:val="none"/>
              </w:rPr>
            </w:pPr>
            <w:r>
              <w:rPr>
                <w:sz w:val="18"/>
                <w:szCs w:val="18"/>
                <w:highlight w:val="none"/>
              </w:rPr>
              <w:t xml:space="preserve">85</w:t>
            </w:r>
            <w:r/>
          </w:p>
        </w:tc>
      </w:tr>
      <w:tr>
        <w:trPr>
          <w:jc w:val="center"/>
          <w:trHeight w:val="131"/>
          <w:tblHeader/>
        </w:trPr>
        <w:tc>
          <w:tcPr>
            <w:tcW w:w="900" w:type="dxa"/>
            <w:vAlign w:val="center"/>
            <w:vMerge w:val="continue"/>
            <w:textDirection w:val="lrTb"/>
            <w:noWrap w:val="false"/>
          </w:tcPr>
          <w:p>
            <w:pPr>
              <w:jc w:val="center"/>
              <w:rPr>
                <w:sz w:val="18"/>
                <w:szCs w:val="18"/>
                <w:highlight w:val="none"/>
              </w:rPr>
            </w:pPr>
            <w:r>
              <w:rPr>
                <w:sz w:val="18"/>
                <w:szCs w:val="18"/>
                <w:highlight w:val="none"/>
              </w:rPr>
            </w:r>
            <w:r/>
          </w:p>
        </w:tc>
        <w:tc>
          <w:tcPr>
            <w:tcW w:w="766" w:type="dxa"/>
            <w:vAlign w:val="center"/>
            <w:vMerge w:val="continue"/>
            <w:textDirection w:val="lrTb"/>
            <w:noWrap w:val="false"/>
          </w:tcPr>
          <w:p>
            <w:pPr>
              <w:jc w:val="center"/>
              <w:rPr>
                <w:sz w:val="18"/>
                <w:szCs w:val="18"/>
                <w:highlight w:val="none"/>
              </w:rPr>
            </w:pPr>
            <w:r>
              <w:rPr>
                <w:sz w:val="18"/>
                <w:szCs w:val="18"/>
                <w:highlight w:val="none"/>
              </w:rPr>
            </w:r>
            <w:r/>
          </w:p>
        </w:tc>
        <w:tc>
          <w:tcPr>
            <w:gridSpan w:val="2"/>
            <w:tcW w:w="3698" w:type="dxa"/>
            <w:vAlign w:val="center"/>
            <w:textDirection w:val="lrTb"/>
            <w:noWrap w:val="false"/>
          </w:tcPr>
          <w:p>
            <w:pPr>
              <w:jc w:val="center"/>
              <w:rPr>
                <w:sz w:val="18"/>
                <w:szCs w:val="18"/>
                <w:highlight w:val="none"/>
              </w:rPr>
            </w:pPr>
            <w:r>
              <w:rPr>
                <w:rFonts w:hint="eastAsia"/>
                <w:sz w:val="18"/>
                <w:szCs w:val="18"/>
                <w:highlight w:val="none"/>
              </w:rPr>
              <w:t xml:space="preserve">高压绕组</w:t>
            </w:r>
            <w:r>
              <w:rPr>
                <w:sz w:val="18"/>
                <w:szCs w:val="18"/>
                <w:highlight w:val="none"/>
              </w:rPr>
              <w:t xml:space="preserve">工频耐压</w:t>
            </w:r>
            <w:r/>
          </w:p>
        </w:tc>
        <w:tc>
          <w:tcPr>
            <w:tcW w:w="984" w:type="dxa"/>
            <w:vAlign w:val="center"/>
            <w:vMerge w:val="continue"/>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vMerge w:val="restart"/>
            <w:textDirection w:val="lrTb"/>
            <w:noWrap w:val="false"/>
          </w:tcPr>
          <w:p>
            <w:pPr>
              <w:jc w:val="center"/>
              <w:rPr>
                <w:sz w:val="18"/>
                <w:szCs w:val="18"/>
                <w:highlight w:val="none"/>
              </w:rPr>
            </w:pPr>
            <w:r>
              <w:rPr>
                <w:sz w:val="18"/>
                <w:szCs w:val="18"/>
                <w:highlight w:val="none"/>
              </w:rPr>
              <w:t xml:space="preserve">35</w:t>
            </w:r>
            <w:r/>
          </w:p>
        </w:tc>
      </w:tr>
      <w:tr>
        <w:trPr>
          <w:jc w:val="center"/>
          <w:trHeight w:val="131"/>
          <w:tblHeader/>
        </w:trPr>
        <w:tc>
          <w:tcPr>
            <w:tcW w:w="900" w:type="dxa"/>
            <w:vAlign w:val="center"/>
            <w:vMerge w:val="continue"/>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766" w:type="dxa"/>
            <w:vAlign w:val="center"/>
            <w:vMerge w:val="continue"/>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gridSpan w:val="2"/>
            <w:tcW w:w="3698" w:type="dxa"/>
            <w:vAlign w:val="center"/>
            <w:textDirection w:val="lrTb"/>
            <w:noWrap w:val="false"/>
          </w:tcPr>
          <w:p>
            <w:pPr>
              <w:jc w:val="center"/>
              <w:rPr>
                <w:sz w:val="18"/>
                <w:szCs w:val="18"/>
                <w:highlight w:val="none"/>
              </w:rPr>
            </w:pPr>
            <w:r>
              <w:rPr>
                <w:rFonts w:hint="eastAsia"/>
                <w:sz w:val="18"/>
                <w:szCs w:val="18"/>
                <w:highlight w:val="none"/>
              </w:rPr>
              <w:t xml:space="preserve">低压绕组</w:t>
            </w:r>
            <w:r>
              <w:rPr>
                <w:sz w:val="18"/>
                <w:szCs w:val="18"/>
                <w:highlight w:val="none"/>
              </w:rPr>
              <w:t xml:space="preserve">工频耐压</w:t>
            </w:r>
            <w:r/>
          </w:p>
        </w:tc>
        <w:tc>
          <w:tcPr>
            <w:tcW w:w="984" w:type="dxa"/>
            <w:vAlign w:val="center"/>
            <w:vMerge w:val="continue"/>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sz w:val="18"/>
                <w:szCs w:val="18"/>
                <w:highlight w:val="none"/>
              </w:rPr>
              <w:t xml:space="preserve">5</w:t>
            </w:r>
            <w:r/>
          </w:p>
        </w:tc>
      </w:tr>
      <w:tr>
        <w:trPr>
          <w:jc w:val="center"/>
          <w:trHeight w:val="131"/>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9</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油面</w:t>
            </w:r>
            <w:r>
              <w:rPr>
                <w:sz w:val="18"/>
                <w:szCs w:val="18"/>
                <w:highlight w:val="none"/>
              </w:rPr>
              <w:t xml:space="preserve">温升</w:t>
            </w:r>
            <w:r>
              <w:rPr>
                <w:rFonts w:hint="eastAsia"/>
                <w:sz w:val="18"/>
                <w:szCs w:val="18"/>
                <w:highlight w:val="none"/>
              </w:rPr>
              <w:t xml:space="preserve">限值</w:t>
            </w:r>
            <w:r/>
          </w:p>
        </w:tc>
        <w:tc>
          <w:tcPr>
            <w:tcW w:w="984" w:type="dxa"/>
            <w:vAlign w:val="center"/>
            <w:textDirection w:val="lrTb"/>
            <w:noWrap w:val="false"/>
          </w:tcPr>
          <w:p>
            <w:pPr>
              <w:jc w:val="center"/>
              <w:rPr>
                <w:sz w:val="18"/>
                <w:szCs w:val="18"/>
                <w:highlight w:val="none"/>
              </w:rPr>
            </w:pPr>
            <w:r>
              <w:rPr>
                <w:sz w:val="18"/>
                <w:szCs w:val="18"/>
                <w:highlight w:val="none"/>
              </w:rPr>
              <w:t xml:space="preserve">K</w:t>
            </w:r>
            <w:r/>
          </w:p>
        </w:tc>
        <w:tc>
          <w:tcPr>
            <w:tcW w:w="3063" w:type="dxa"/>
            <w:vAlign w:val="center"/>
            <w:textDirection w:val="lrTb"/>
            <w:noWrap w:val="false"/>
          </w:tcPr>
          <w:p>
            <w:pPr>
              <w:jc w:val="center"/>
              <w:rPr>
                <w:sz w:val="18"/>
                <w:szCs w:val="18"/>
                <w:highlight w:val="none"/>
              </w:rPr>
            </w:pPr>
            <w:r>
              <w:rPr>
                <w:sz w:val="18"/>
                <w:szCs w:val="18"/>
                <w:highlight w:val="none"/>
              </w:rPr>
              <w:t xml:space="preserve">55</w:t>
            </w:r>
            <w:r/>
          </w:p>
        </w:tc>
      </w:tr>
      <w:tr>
        <w:trPr>
          <w:jc w:val="center"/>
          <w:trHeight w:val="131"/>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10</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空载损耗</w:t>
            </w:r>
            <w:r/>
          </w:p>
        </w:tc>
        <w:tc>
          <w:tcPr>
            <w:tcW w:w="984" w:type="dxa"/>
            <w:vAlign w:val="center"/>
            <w:textDirection w:val="lrTb"/>
            <w:noWrap w:val="false"/>
          </w:tcPr>
          <w:p>
            <w:pPr>
              <w:jc w:val="center"/>
              <w:rPr>
                <w:sz w:val="18"/>
                <w:szCs w:val="18"/>
                <w:highlight w:val="none"/>
              </w:rPr>
            </w:pPr>
            <w:r>
              <w:rPr>
                <w:sz w:val="18"/>
                <w:szCs w:val="18"/>
                <w:highlight w:val="none"/>
              </w:rPr>
              <w:t xml:space="preserve">kW</w:t>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见附表</w:t>
            </w:r>
            <w:r>
              <w:rPr>
                <w:sz w:val="18"/>
                <w:szCs w:val="18"/>
                <w:highlight w:val="none"/>
              </w:rPr>
              <w:t xml:space="preserve">1-1</w:t>
            </w:r>
            <w:r/>
          </w:p>
        </w:tc>
      </w:tr>
      <w:tr>
        <w:trPr>
          <w:jc w:val="center"/>
          <w:trHeight w:val="131"/>
          <w:tblHeader/>
        </w:trPr>
        <w:tc>
          <w:tcPr>
            <w:tcW w:w="900" w:type="dxa"/>
            <w:vAlign w:val="center"/>
            <w:textDirection w:val="lrTb"/>
            <w:noWrap w:val="false"/>
          </w:tcPr>
          <w:p>
            <w:pPr>
              <w:jc w:val="center"/>
              <w:rPr>
                <w:sz w:val="18"/>
                <w:szCs w:val="18"/>
                <w:highlight w:val="none"/>
              </w:rPr>
            </w:pPr>
            <w:r>
              <w:rPr>
                <w:sz w:val="18"/>
                <w:szCs w:val="18"/>
                <w:highlight w:val="none"/>
              </w:rPr>
              <w:t xml:space="preserve">1</w:t>
            </w:r>
            <w:r>
              <w:rPr>
                <w:rFonts w:hint="eastAsia"/>
                <w:sz w:val="18"/>
                <w:szCs w:val="18"/>
                <w:highlight w:val="none"/>
              </w:rPr>
              <w:t xml:space="preserve">1</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负载损耗</w:t>
            </w:r>
            <w:r/>
          </w:p>
        </w:tc>
        <w:tc>
          <w:tcPr>
            <w:tcW w:w="984" w:type="dxa"/>
            <w:vAlign w:val="center"/>
            <w:textDirection w:val="lrTb"/>
            <w:noWrap w:val="false"/>
          </w:tcPr>
          <w:p>
            <w:pPr>
              <w:jc w:val="center"/>
              <w:rPr>
                <w:sz w:val="18"/>
                <w:szCs w:val="18"/>
                <w:highlight w:val="none"/>
              </w:rPr>
            </w:pPr>
            <w:r>
              <w:rPr>
                <w:sz w:val="18"/>
                <w:szCs w:val="18"/>
                <w:highlight w:val="none"/>
              </w:rPr>
              <w:t xml:space="preserve">kW</w:t>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见附表</w:t>
            </w:r>
            <w:r>
              <w:rPr>
                <w:sz w:val="18"/>
                <w:szCs w:val="18"/>
                <w:highlight w:val="none"/>
              </w:rPr>
              <w:t xml:space="preserve">1-1</w:t>
            </w:r>
            <w:r/>
          </w:p>
        </w:tc>
      </w:tr>
      <w:tr>
        <w:trPr>
          <w:jc w:val="center"/>
          <w:trHeight w:val="131"/>
          <w:tblHeader/>
        </w:trPr>
        <w:tc>
          <w:tcPr>
            <w:tcW w:w="900" w:type="dxa"/>
            <w:vAlign w:val="center"/>
            <w:textDirection w:val="lrTb"/>
            <w:noWrap w:val="false"/>
          </w:tcPr>
          <w:p>
            <w:pPr>
              <w:jc w:val="center"/>
              <w:rPr>
                <w:sz w:val="18"/>
                <w:szCs w:val="18"/>
                <w:highlight w:val="none"/>
              </w:rPr>
            </w:pPr>
            <w:r>
              <w:rPr>
                <w:sz w:val="18"/>
                <w:szCs w:val="18"/>
                <w:highlight w:val="none"/>
              </w:rPr>
              <w:t xml:space="preserve">1</w:t>
            </w:r>
            <w:r>
              <w:rPr>
                <w:rFonts w:hint="eastAsia"/>
                <w:sz w:val="18"/>
                <w:szCs w:val="18"/>
                <w:highlight w:val="none"/>
              </w:rPr>
              <w:t xml:space="preserve">2</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短路阻抗</w:t>
            </w:r>
            <w:r/>
          </w:p>
        </w:tc>
        <w:tc>
          <w:tcPr>
            <w:tcW w:w="984" w:type="dxa"/>
            <w:vAlign w:val="center"/>
            <w:textDirection w:val="lrTb"/>
            <w:noWrap w:val="false"/>
          </w:tcPr>
          <w:p>
            <w:pPr>
              <w:jc w:val="center"/>
              <w:rPr>
                <w:sz w:val="18"/>
                <w:szCs w:val="18"/>
                <w:highlight w:val="none"/>
              </w:rPr>
            </w:pPr>
            <w:r>
              <w:rPr>
                <w:sz w:val="18"/>
                <w:szCs w:val="18"/>
                <w:highlight w:val="none"/>
              </w:rPr>
              <w:t xml:space="preserve">%</w:t>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见附表</w:t>
            </w:r>
            <w:r>
              <w:rPr>
                <w:sz w:val="18"/>
                <w:szCs w:val="18"/>
                <w:highlight w:val="none"/>
              </w:rPr>
              <w:t xml:space="preserve">1-1</w:t>
            </w:r>
            <w:r/>
          </w:p>
        </w:tc>
      </w:tr>
      <w:tr>
        <w:trPr>
          <w:jc w:val="center"/>
          <w:trHeight w:val="131"/>
          <w:tblHeader/>
        </w:trPr>
        <w:tc>
          <w:tcPr>
            <w:tcW w:w="900" w:type="dxa"/>
            <w:vAlign w:val="center"/>
            <w:textDirection w:val="lrTb"/>
            <w:noWrap w:val="false"/>
          </w:tcPr>
          <w:p>
            <w:pPr>
              <w:jc w:val="center"/>
              <w:rPr>
                <w:sz w:val="18"/>
                <w:szCs w:val="18"/>
                <w:highlight w:val="none"/>
              </w:rPr>
            </w:pPr>
            <w:r>
              <w:rPr>
                <w:sz w:val="18"/>
                <w:szCs w:val="18"/>
                <w:highlight w:val="none"/>
              </w:rPr>
              <w:t xml:space="preserve">1</w:t>
            </w:r>
            <w:r>
              <w:rPr>
                <w:rFonts w:hint="eastAsia"/>
                <w:sz w:val="18"/>
                <w:szCs w:val="18"/>
                <w:highlight w:val="none"/>
              </w:rPr>
              <w:t xml:space="preserve">3</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短时过载能力</w:t>
            </w:r>
            <w:r/>
          </w:p>
        </w:tc>
        <w:tc>
          <w:tcPr>
            <w:tcW w:w="984" w:type="dxa"/>
            <w:vAlign w:val="center"/>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sz w:val="18"/>
                <w:szCs w:val="18"/>
                <w:highlight w:val="none"/>
              </w:rPr>
              <w:t xml:space="preserve">1.5倍；2h</w:t>
            </w:r>
            <w:r/>
          </w:p>
        </w:tc>
      </w:tr>
      <w:tr>
        <w:trPr>
          <w:jc w:val="center"/>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三</w:t>
            </w:r>
            <w:r/>
          </w:p>
        </w:tc>
        <w:tc>
          <w:tcPr>
            <w:gridSpan w:val="5"/>
            <w:tcW w:w="8511" w:type="dxa"/>
            <w:vAlign w:val="center"/>
            <w:textDirection w:val="lrTb"/>
            <w:noWrap w:val="false"/>
          </w:tcPr>
          <w:p>
            <w:pPr>
              <w:jc w:val="center"/>
              <w:rPr>
                <w:sz w:val="18"/>
                <w:szCs w:val="18"/>
                <w:highlight w:val="none"/>
              </w:rPr>
            </w:pPr>
            <w:r>
              <w:rPr>
                <w:rFonts w:hint="eastAsia"/>
                <w:sz w:val="18"/>
                <w:szCs w:val="18"/>
                <w:highlight w:val="none"/>
              </w:rPr>
              <w:t xml:space="preserve">塑壳断路器（</w:t>
            </w:r>
            <w:r>
              <w:rPr>
                <w:sz w:val="18"/>
                <w:szCs w:val="18"/>
                <w:highlight w:val="none"/>
              </w:rPr>
              <w:t xml:space="preserve">0.4kV</w:t>
            </w:r>
            <w:r>
              <w:rPr>
                <w:rFonts w:hint="eastAsia"/>
                <w:sz w:val="18"/>
                <w:szCs w:val="18"/>
                <w:highlight w:val="none"/>
              </w:rPr>
              <w:t xml:space="preserve">）</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1</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额定电流</w:t>
            </w:r>
            <w:r/>
          </w:p>
        </w:tc>
        <w:tc>
          <w:tcPr>
            <w:tcW w:w="984" w:type="dxa"/>
            <w:vAlign w:val="center"/>
            <w:textDirection w:val="lrTb"/>
            <w:noWrap w:val="false"/>
          </w:tcPr>
          <w:p>
            <w:pPr>
              <w:jc w:val="center"/>
              <w:rPr>
                <w:sz w:val="18"/>
                <w:szCs w:val="18"/>
                <w:highlight w:val="none"/>
              </w:rPr>
            </w:pPr>
            <w:r>
              <w:rPr>
                <w:sz w:val="18"/>
                <w:szCs w:val="18"/>
                <w:highlight w:val="none"/>
              </w:rPr>
              <w:t xml:space="preserve">A</w:t>
            </w:r>
            <w:r/>
          </w:p>
        </w:tc>
        <w:tc>
          <w:tcPr>
            <w:tcW w:w="3063" w:type="dxa"/>
            <w:vAlign w:val="center"/>
            <w:textDirection w:val="lrTb"/>
            <w:noWrap w:val="false"/>
          </w:tcPr>
          <w:p>
            <w:pPr>
              <w:jc w:val="center"/>
              <w:rPr>
                <w:rFonts w:hint="eastAsia" w:eastAsia="宋体"/>
                <w:sz w:val="18"/>
                <w:szCs w:val="18"/>
                <w:highlight w:val="none"/>
                <w:lang w:eastAsia="zh-CN"/>
              </w:rPr>
            </w:pPr>
            <w:r>
              <w:rPr>
                <w:rFonts w:hint="eastAsia"/>
                <w:sz w:val="18"/>
                <w:szCs w:val="18"/>
                <w:highlight w:val="none"/>
                <w:lang w:val="en-US" w:eastAsia="zh-CN"/>
              </w:rPr>
              <w:t xml:space="preserve">见图纸</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2</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额定工作电</w:t>
            </w:r>
            <w:r>
              <w:rPr>
                <w:rFonts w:hint="eastAsia"/>
                <w:sz w:val="18"/>
                <w:szCs w:val="18"/>
                <w:highlight w:val="none"/>
              </w:rPr>
              <w:t xml:space="preserve">压</w:t>
            </w:r>
            <w:r/>
          </w:p>
        </w:tc>
        <w:tc>
          <w:tcPr>
            <w:tcW w:w="984" w:type="dxa"/>
            <w:vAlign w:val="center"/>
            <w:textDirection w:val="lrTb"/>
            <w:noWrap w:val="false"/>
          </w:tcPr>
          <w:p>
            <w:pPr>
              <w:jc w:val="center"/>
              <w:rPr>
                <w:sz w:val="18"/>
                <w:szCs w:val="18"/>
                <w:highlight w:val="none"/>
              </w:rPr>
            </w:pPr>
            <w:r>
              <w:rPr>
                <w:sz w:val="18"/>
                <w:szCs w:val="18"/>
                <w:highlight w:val="none"/>
              </w:rPr>
              <w:t xml:space="preserve">V</w:t>
            </w:r>
            <w:r/>
          </w:p>
        </w:tc>
        <w:tc>
          <w:tcPr>
            <w:tcW w:w="3063" w:type="dxa"/>
            <w:vAlign w:val="center"/>
            <w:textDirection w:val="lrTb"/>
            <w:noWrap w:val="false"/>
          </w:tcPr>
          <w:p>
            <w:pPr>
              <w:jc w:val="center"/>
              <w:rPr>
                <w:sz w:val="18"/>
                <w:szCs w:val="18"/>
                <w:highlight w:val="none"/>
              </w:rPr>
            </w:pPr>
            <w:r>
              <w:rPr>
                <w:sz w:val="18"/>
                <w:szCs w:val="18"/>
                <w:highlight w:val="none"/>
              </w:rPr>
              <w:t xml:space="preserve">400</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3</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额定绝缘电</w:t>
            </w:r>
            <w:r>
              <w:rPr>
                <w:rFonts w:hint="eastAsia"/>
                <w:sz w:val="18"/>
                <w:szCs w:val="18"/>
                <w:highlight w:val="none"/>
              </w:rPr>
              <w:t xml:space="preserve">压</w:t>
            </w:r>
            <w:r/>
          </w:p>
        </w:tc>
        <w:tc>
          <w:tcPr>
            <w:tcW w:w="984" w:type="dxa"/>
            <w:vAlign w:val="center"/>
            <w:textDirection w:val="lrTb"/>
            <w:noWrap w:val="false"/>
          </w:tcPr>
          <w:p>
            <w:pPr>
              <w:jc w:val="center"/>
              <w:rPr>
                <w:sz w:val="18"/>
                <w:szCs w:val="18"/>
                <w:highlight w:val="none"/>
              </w:rPr>
            </w:pPr>
            <w:r>
              <w:rPr>
                <w:sz w:val="18"/>
                <w:szCs w:val="18"/>
                <w:highlight w:val="none"/>
              </w:rPr>
              <w:t xml:space="preserve">V</w:t>
            </w:r>
            <w:r/>
          </w:p>
        </w:tc>
        <w:tc>
          <w:tcPr>
            <w:tcW w:w="3063" w:type="dxa"/>
            <w:vAlign w:val="center"/>
            <w:textDirection w:val="lrTb"/>
            <w:noWrap w:val="false"/>
          </w:tcPr>
          <w:p>
            <w:pPr>
              <w:jc w:val="center"/>
              <w:rPr>
                <w:sz w:val="18"/>
                <w:szCs w:val="18"/>
                <w:highlight w:val="none"/>
              </w:rPr>
            </w:pPr>
            <w:r>
              <w:rPr>
                <w:sz w:val="18"/>
                <w:szCs w:val="18"/>
                <w:highlight w:val="none"/>
              </w:rPr>
              <w:t xml:space="preserve">690</w:t>
            </w:r>
            <w:r/>
          </w:p>
        </w:tc>
      </w:tr>
      <w:tr>
        <w:trPr>
          <w:jc w:val="center"/>
          <w:trHeight w:val="262"/>
          <w:tblHeader/>
        </w:trPr>
        <w:tc>
          <w:tcPr>
            <w:tcW w:w="900" w:type="dxa"/>
            <w:vAlign w:val="center"/>
            <w:textDirection w:val="lrTb"/>
            <w:noWrap w:val="false"/>
          </w:tcPr>
          <w:p>
            <w:pPr>
              <w:jc w:val="center"/>
              <w:rPr>
                <w:sz w:val="18"/>
                <w:szCs w:val="18"/>
                <w:highlight w:val="none"/>
              </w:rPr>
            </w:pPr>
            <w:r>
              <w:rPr>
                <w:sz w:val="18"/>
                <w:szCs w:val="18"/>
                <w:highlight w:val="none"/>
              </w:rPr>
              <w:t xml:space="preserve">4</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极数</w:t>
            </w:r>
            <w:r/>
          </w:p>
        </w:tc>
        <w:tc>
          <w:tcPr>
            <w:tcW w:w="984" w:type="dxa"/>
            <w:vAlign w:val="center"/>
            <w:textDirection w:val="lrTb"/>
            <w:noWrap w:val="false"/>
          </w:tcPr>
          <w:p>
            <w:pPr>
              <w:jc w:val="center"/>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sz w:val="18"/>
                <w:szCs w:val="18"/>
                <w:highlight w:val="none"/>
              </w:rPr>
              <w:t xml:space="preserve">3P</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5</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额定运行短路分断能力</w:t>
            </w:r>
            <w:r/>
          </w:p>
        </w:tc>
        <w:tc>
          <w:tcPr>
            <w:tcW w:w="984" w:type="dxa"/>
            <w:vAlign w:val="center"/>
            <w:textDirection w:val="lrTb"/>
            <w:noWrap w:val="false"/>
          </w:tcPr>
          <w:p>
            <w:pPr>
              <w:jc w:val="center"/>
              <w:rPr>
                <w:sz w:val="18"/>
                <w:szCs w:val="18"/>
                <w:highlight w:val="none"/>
              </w:rPr>
            </w:pPr>
            <w:r>
              <w:rPr>
                <w:sz w:val="18"/>
                <w:szCs w:val="18"/>
                <w:highlight w:val="none"/>
              </w:rPr>
              <w:t xml:space="preserve">kA</w:t>
            </w:r>
            <w:r/>
          </w:p>
        </w:tc>
        <w:tc>
          <w:tcPr>
            <w:tcW w:w="3063" w:type="dxa"/>
            <w:vAlign w:val="center"/>
            <w:textDirection w:val="lrTb"/>
            <w:noWrap w:val="false"/>
          </w:tcPr>
          <w:p>
            <w:pPr>
              <w:jc w:val="center"/>
              <w:rPr>
                <w:sz w:val="18"/>
                <w:szCs w:val="18"/>
                <w:highlight w:val="none"/>
              </w:rPr>
            </w:pPr>
            <w:r>
              <w:rPr>
                <w:sz w:val="18"/>
                <w:szCs w:val="18"/>
                <w:highlight w:val="none"/>
              </w:rPr>
              <w:t xml:space="preserve">50</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6</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脱扣器选型</w:t>
            </w:r>
            <w:r/>
          </w:p>
        </w:tc>
        <w:tc>
          <w:tcPr>
            <w:tcW w:w="984" w:type="dxa"/>
            <w:vAlign w:val="center"/>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（投标人提供）</w:t>
            </w:r>
            <w:r/>
          </w:p>
        </w:tc>
      </w:tr>
      <w:tr>
        <w:trPr>
          <w:jc w:val="center"/>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四</w:t>
            </w:r>
            <w:r/>
          </w:p>
        </w:tc>
        <w:tc>
          <w:tcPr>
            <w:gridSpan w:val="5"/>
            <w:tcW w:w="8511" w:type="dxa"/>
            <w:vAlign w:val="center"/>
            <w:textDirection w:val="lrTb"/>
            <w:noWrap w:val="false"/>
          </w:tcPr>
          <w:p>
            <w:pPr>
              <w:jc w:val="center"/>
              <w:rPr>
                <w:sz w:val="18"/>
                <w:szCs w:val="18"/>
                <w:highlight w:val="none"/>
              </w:rPr>
            </w:pPr>
            <w:r>
              <w:rPr>
                <w:rFonts w:hint="eastAsia"/>
                <w:sz w:val="18"/>
                <w:szCs w:val="18"/>
                <w:highlight w:val="none"/>
              </w:rPr>
              <w:t xml:space="preserve">电流互感器（</w:t>
            </w:r>
            <w:r>
              <w:rPr>
                <w:sz w:val="18"/>
                <w:szCs w:val="18"/>
                <w:highlight w:val="none"/>
              </w:rPr>
              <w:t xml:space="preserve">0.4kV</w:t>
            </w:r>
            <w:r>
              <w:rPr>
                <w:rFonts w:hint="eastAsia"/>
                <w:sz w:val="18"/>
                <w:szCs w:val="18"/>
                <w:highlight w:val="none"/>
              </w:rPr>
              <w:t xml:space="preserve">）</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1</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变比</w:t>
            </w:r>
            <w:r/>
          </w:p>
        </w:tc>
        <w:tc>
          <w:tcPr>
            <w:tcW w:w="984" w:type="dxa"/>
            <w:vAlign w:val="center"/>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rFonts w:hint="eastAsia" w:eastAsia="宋体"/>
                <w:sz w:val="18"/>
                <w:szCs w:val="18"/>
                <w:highlight w:val="none"/>
                <w:lang w:eastAsia="zh-CN"/>
              </w:rPr>
            </w:pPr>
            <w:r>
              <w:rPr>
                <w:rFonts w:hint="eastAsia"/>
                <w:sz w:val="18"/>
                <w:szCs w:val="18"/>
                <w:highlight w:val="none"/>
                <w:lang w:val="en-US" w:eastAsia="zh-CN"/>
              </w:rPr>
              <w:t xml:space="preserve">见图纸</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2</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测量</w:t>
            </w:r>
            <w:r>
              <w:rPr>
                <w:sz w:val="18"/>
                <w:szCs w:val="18"/>
                <w:highlight w:val="none"/>
              </w:rPr>
              <w:t xml:space="preserve">CT准确级</w:t>
            </w:r>
            <w:r/>
          </w:p>
        </w:tc>
        <w:tc>
          <w:tcPr>
            <w:tcW w:w="984" w:type="dxa"/>
            <w:vAlign w:val="center"/>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sz w:val="18"/>
                <w:szCs w:val="18"/>
                <w:highlight w:val="none"/>
              </w:rPr>
              <w:t xml:space="preserve">0.5</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3</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采样CT准确度</w:t>
            </w:r>
            <w:r/>
          </w:p>
        </w:tc>
        <w:tc>
          <w:tcPr>
            <w:tcW w:w="984" w:type="dxa"/>
            <w:vAlign w:val="center"/>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0.</w:t>
            </w:r>
            <w:r>
              <w:rPr>
                <w:sz w:val="18"/>
                <w:szCs w:val="18"/>
                <w:highlight w:val="none"/>
              </w:rPr>
              <w:t xml:space="preserve">5</w:t>
            </w:r>
            <w:r/>
          </w:p>
        </w:tc>
      </w:tr>
      <w:tr>
        <w:trPr>
          <w:jc w:val="center"/>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五</w:t>
            </w:r>
            <w:r/>
          </w:p>
        </w:tc>
        <w:tc>
          <w:tcPr>
            <w:gridSpan w:val="5"/>
            <w:tcW w:w="8511" w:type="dxa"/>
            <w:vAlign w:val="center"/>
            <w:textDirection w:val="lrTb"/>
            <w:noWrap w:val="false"/>
          </w:tcPr>
          <w:p>
            <w:pPr>
              <w:jc w:val="center"/>
              <w:rPr>
                <w:sz w:val="18"/>
                <w:szCs w:val="18"/>
                <w:highlight w:val="none"/>
              </w:rPr>
            </w:pPr>
            <w:r>
              <w:rPr>
                <w:rFonts w:hint="eastAsia"/>
                <w:sz w:val="18"/>
                <w:szCs w:val="18"/>
                <w:highlight w:val="none"/>
              </w:rPr>
              <w:t xml:space="preserve">电容器（</w:t>
            </w:r>
            <w:r>
              <w:rPr>
                <w:sz w:val="18"/>
                <w:szCs w:val="18"/>
                <w:highlight w:val="none"/>
              </w:rPr>
              <w:t xml:space="preserve">0.4kV</w:t>
            </w:r>
            <w:r>
              <w:rPr>
                <w:rFonts w:hint="eastAsia"/>
                <w:sz w:val="18"/>
                <w:szCs w:val="18"/>
                <w:highlight w:val="none"/>
              </w:rPr>
              <w:t xml:space="preserve">）</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1</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型式</w:t>
            </w:r>
            <w:r/>
          </w:p>
        </w:tc>
        <w:tc>
          <w:tcPr>
            <w:tcW w:w="984" w:type="dxa"/>
            <w:vAlign w:val="center"/>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智能型</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2</w:t>
            </w:r>
            <w:r/>
          </w:p>
        </w:tc>
        <w:tc>
          <w:tcPr>
            <w:gridSpan w:val="3"/>
            <w:tcW w:w="4464" w:type="dxa"/>
            <w:vAlign w:val="center"/>
            <w:textDirection w:val="lrTb"/>
            <w:noWrap w:val="false"/>
          </w:tcPr>
          <w:p>
            <w:pPr>
              <w:jc w:val="center"/>
              <w:rPr>
                <w:sz w:val="18"/>
                <w:szCs w:val="18"/>
                <w:highlight w:val="none"/>
              </w:rPr>
            </w:pPr>
            <w:r>
              <w:rPr>
                <w:sz w:val="18"/>
                <w:szCs w:val="18"/>
                <w:highlight w:val="none"/>
              </w:rPr>
              <w:t xml:space="preserve">额定电</w:t>
            </w:r>
            <w:r>
              <w:rPr>
                <w:rFonts w:hint="eastAsia"/>
                <w:sz w:val="18"/>
                <w:szCs w:val="18"/>
                <w:highlight w:val="none"/>
              </w:rPr>
              <w:t xml:space="preserve">压</w:t>
            </w:r>
            <w:r/>
          </w:p>
        </w:tc>
        <w:tc>
          <w:tcPr>
            <w:tcW w:w="984" w:type="dxa"/>
            <w:vAlign w:val="center"/>
            <w:textDirection w:val="lrTb"/>
            <w:noWrap w:val="false"/>
          </w:tcPr>
          <w:p>
            <w:pPr>
              <w:jc w:val="center"/>
              <w:rPr>
                <w:sz w:val="18"/>
                <w:szCs w:val="18"/>
                <w:highlight w:val="none"/>
              </w:rPr>
            </w:pPr>
            <w:r>
              <w:rPr>
                <w:sz w:val="18"/>
                <w:szCs w:val="18"/>
                <w:highlight w:val="none"/>
              </w:rPr>
              <w:t xml:space="preserve">V</w:t>
            </w:r>
            <w:r/>
          </w:p>
        </w:tc>
        <w:tc>
          <w:tcPr>
            <w:tcW w:w="3063" w:type="dxa"/>
            <w:vAlign w:val="center"/>
            <w:textDirection w:val="lrTb"/>
            <w:noWrap w:val="false"/>
          </w:tcPr>
          <w:p>
            <w:pPr>
              <w:jc w:val="center"/>
              <w:rPr>
                <w:sz w:val="18"/>
                <w:szCs w:val="18"/>
                <w:highlight w:val="none"/>
              </w:rPr>
            </w:pPr>
            <w:r>
              <w:rPr>
                <w:sz w:val="18"/>
                <w:szCs w:val="18"/>
                <w:highlight w:val="none"/>
              </w:rPr>
              <w:t xml:space="preserve">450 (</w:t>
            </w:r>
            <w:r>
              <w:rPr>
                <w:rFonts w:hint="eastAsia"/>
                <w:sz w:val="18"/>
                <w:szCs w:val="18"/>
                <w:highlight w:val="none"/>
              </w:rPr>
              <w:t xml:space="preserve">三相</w:t>
            </w:r>
            <w:r>
              <w:rPr>
                <w:sz w:val="18"/>
                <w:szCs w:val="18"/>
                <w:highlight w:val="none"/>
              </w:rPr>
              <w:t xml:space="preserve">)/250 (</w:t>
            </w:r>
            <w:r>
              <w:rPr>
                <w:rFonts w:hint="eastAsia"/>
                <w:sz w:val="18"/>
                <w:szCs w:val="18"/>
                <w:highlight w:val="none"/>
              </w:rPr>
              <w:t xml:space="preserve">单相</w:t>
            </w:r>
            <w:r>
              <w:rPr>
                <w:sz w:val="18"/>
                <w:szCs w:val="18"/>
                <w:highlight w:val="none"/>
              </w:rPr>
              <w:t xml:space="preserve">)</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3</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外壳材质</w:t>
            </w:r>
            <w:r/>
          </w:p>
        </w:tc>
        <w:tc>
          <w:tcPr>
            <w:tcW w:w="984" w:type="dxa"/>
            <w:vAlign w:val="center"/>
            <w:textDirection w:val="lrTb"/>
            <w:noWrap w:val="false"/>
          </w:tcPr>
          <w:p>
            <w:pPr>
              <w:ind w:firstLine="420"/>
              <w:jc w:val="center"/>
              <w:keepNext/>
              <w:spacing w:before="62" w:after="62"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不锈钢</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4</w:t>
            </w:r>
            <w:r/>
          </w:p>
        </w:tc>
        <w:tc>
          <w:tcPr>
            <w:gridSpan w:val="3"/>
            <w:tcW w:w="4464" w:type="dxa"/>
            <w:vAlign w:val="center"/>
            <w:textDirection w:val="lrTb"/>
            <w:noWrap w:val="false"/>
          </w:tcPr>
          <w:p>
            <w:pPr>
              <w:jc w:val="center"/>
              <w:spacing w:before="62" w:after="62"/>
              <w:rPr>
                <w:sz w:val="18"/>
                <w:szCs w:val="18"/>
                <w:highlight w:val="none"/>
              </w:rPr>
            </w:pPr>
            <w:r>
              <w:rPr>
                <w:rFonts w:hint="eastAsia"/>
                <w:sz w:val="18"/>
                <w:szCs w:val="18"/>
                <w:highlight w:val="none"/>
              </w:rPr>
              <w:t xml:space="preserve">容量配置</w:t>
            </w:r>
            <w:r/>
          </w:p>
        </w:tc>
        <w:tc>
          <w:tcPr>
            <w:tcW w:w="984" w:type="dxa"/>
            <w:vAlign w:val="center"/>
            <w:textDirection w:val="lrTb"/>
            <w:noWrap w:val="false"/>
          </w:tcPr>
          <w:p>
            <w:pPr>
              <w:ind w:firstLine="420"/>
              <w:jc w:val="center"/>
              <w:keepNext/>
              <w:spacing w:before="62" w:after="62"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lang w:val="en-US" w:eastAsia="zh-CN"/>
              </w:rPr>
              <w:t xml:space="preserve">见图纸</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5</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投切元件型式</w:t>
            </w:r>
            <w:r/>
          </w:p>
        </w:tc>
        <w:tc>
          <w:tcPr>
            <w:tcW w:w="984" w:type="dxa"/>
            <w:vAlign w:val="center"/>
            <w:textDirection w:val="lrTb"/>
            <w:noWrap w:val="false"/>
          </w:tcPr>
          <w:p>
            <w:pPr>
              <w:ind w:firstLine="420"/>
              <w:jc w:val="center"/>
              <w:keepNext/>
              <w:spacing w:before="62" w:after="62"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（投标人提供）</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6</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投切元件响应时间</w:t>
            </w:r>
            <w:r/>
          </w:p>
        </w:tc>
        <w:tc>
          <w:tcPr>
            <w:tcW w:w="984" w:type="dxa"/>
            <w:vAlign w:val="center"/>
            <w:textDirection w:val="lrTb"/>
            <w:noWrap w:val="false"/>
          </w:tcPr>
          <w:p>
            <w:pPr>
              <w:jc w:val="center"/>
              <w:spacing w:before="62" w:after="62"/>
              <w:rPr>
                <w:sz w:val="18"/>
                <w:szCs w:val="18"/>
                <w:highlight w:val="none"/>
              </w:rPr>
            </w:pPr>
            <w:r>
              <w:rPr>
                <w:sz w:val="18"/>
                <w:szCs w:val="18"/>
                <w:highlight w:val="none"/>
              </w:rPr>
              <w:t xml:space="preserve">ms</w:t>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w:t>
            </w:r>
            <w:r>
              <w:rPr>
                <w:sz w:val="18"/>
                <w:szCs w:val="18"/>
                <w:highlight w:val="none"/>
              </w:rPr>
              <w:t xml:space="preserve">20</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7</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控制器</w:t>
            </w:r>
            <w:r/>
          </w:p>
        </w:tc>
        <w:tc>
          <w:tcPr>
            <w:tcW w:w="984" w:type="dxa"/>
            <w:vAlign w:val="center"/>
            <w:textDirection w:val="lrTb"/>
            <w:noWrap w:val="false"/>
          </w:tcPr>
          <w:p>
            <w:pPr>
              <w:ind w:firstLine="420"/>
              <w:jc w:val="center"/>
              <w:keepNext/>
              <w:spacing w:before="62" w:after="62"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满足</w:t>
            </w:r>
            <w:r>
              <w:rPr>
                <w:sz w:val="18"/>
                <w:szCs w:val="18"/>
                <w:highlight w:val="none"/>
              </w:rPr>
              <w:t xml:space="preserve">DL/T 597</w:t>
            </w:r>
            <w:r>
              <w:rPr>
                <w:rFonts w:hint="eastAsia"/>
                <w:sz w:val="18"/>
                <w:szCs w:val="18"/>
                <w:highlight w:val="none"/>
              </w:rPr>
              <w:t xml:space="preserve">要求</w:t>
            </w:r>
            <w:r/>
          </w:p>
        </w:tc>
      </w:tr>
      <w:tr>
        <w:trPr>
          <w:jc w:val="center"/>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六</w:t>
            </w:r>
            <w:r/>
          </w:p>
        </w:tc>
        <w:tc>
          <w:tcPr>
            <w:gridSpan w:val="5"/>
            <w:tcW w:w="8511" w:type="dxa"/>
            <w:vAlign w:val="center"/>
            <w:textDirection w:val="lrTb"/>
            <w:noWrap w:val="false"/>
          </w:tcPr>
          <w:p>
            <w:pPr>
              <w:jc w:val="center"/>
              <w:rPr>
                <w:sz w:val="18"/>
                <w:szCs w:val="18"/>
                <w:highlight w:val="none"/>
              </w:rPr>
            </w:pPr>
            <w:r>
              <w:rPr>
                <w:rFonts w:hint="eastAsia"/>
                <w:sz w:val="18"/>
                <w:szCs w:val="18"/>
                <w:highlight w:val="none"/>
              </w:rPr>
              <w:t xml:space="preserve">低压母线</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1</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低压出线回路</w:t>
            </w:r>
            <w:r/>
          </w:p>
        </w:tc>
        <w:tc>
          <w:tcPr>
            <w:tcW w:w="984" w:type="dxa"/>
            <w:vAlign w:val="center"/>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rFonts w:hint="eastAsia"/>
                <w:sz w:val="18"/>
                <w:szCs w:val="18"/>
                <w:highlight w:val="none"/>
              </w:rPr>
              <w:t xml:space="preserve">4路</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2</w:t>
            </w:r>
            <w:r/>
          </w:p>
        </w:tc>
        <w:tc>
          <w:tcPr>
            <w:gridSpan w:val="3"/>
            <w:tcW w:w="4464" w:type="dxa"/>
            <w:vAlign w:val="center"/>
            <w:textDirection w:val="lrTb"/>
            <w:noWrap w:val="false"/>
          </w:tcPr>
          <w:p>
            <w:pPr>
              <w:jc w:val="center"/>
              <w:rPr>
                <w:sz w:val="18"/>
                <w:szCs w:val="18"/>
                <w:highlight w:val="none"/>
              </w:rPr>
            </w:pPr>
            <w:r>
              <w:rPr>
                <w:rFonts w:hint="eastAsia"/>
                <w:sz w:val="18"/>
                <w:szCs w:val="18"/>
                <w:highlight w:val="none"/>
              </w:rPr>
              <w:t xml:space="preserve">母线材质</w:t>
            </w:r>
            <w:r/>
          </w:p>
        </w:tc>
        <w:tc>
          <w:tcPr>
            <w:tcW w:w="984" w:type="dxa"/>
            <w:vAlign w:val="center"/>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3063" w:type="dxa"/>
            <w:vAlign w:val="center"/>
            <w:textDirection w:val="lrTb"/>
            <w:noWrap w:val="false"/>
          </w:tcPr>
          <w:p>
            <w:pPr>
              <w:jc w:val="center"/>
              <w:rPr>
                <w:sz w:val="18"/>
                <w:szCs w:val="18"/>
                <w:highlight w:val="none"/>
              </w:rPr>
            </w:pPr>
            <w:r>
              <w:rPr>
                <w:sz w:val="18"/>
                <w:szCs w:val="18"/>
                <w:highlight w:val="none"/>
              </w:rPr>
              <w:t xml:space="preserve">T2</w:t>
            </w:r>
            <w:r>
              <w:rPr>
                <w:rFonts w:hint="eastAsia"/>
                <w:sz w:val="18"/>
                <w:szCs w:val="18"/>
                <w:highlight w:val="none"/>
              </w:rPr>
              <w:t xml:space="preserve">铜</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3</w:t>
            </w:r>
            <w:r/>
          </w:p>
        </w:tc>
        <w:tc>
          <w:tcPr>
            <w:gridSpan w:val="3"/>
            <w:tcW w:w="4464" w:type="dxa"/>
            <w:vAlign w:val="center"/>
            <w:textDirection w:val="lrTb"/>
            <w:noWrap w:val="false"/>
          </w:tcPr>
          <w:p>
            <w:pPr>
              <w:jc w:val="center"/>
              <w:spacing w:before="62" w:after="62"/>
              <w:rPr>
                <w:sz w:val="18"/>
                <w:szCs w:val="18"/>
                <w:highlight w:val="none"/>
              </w:rPr>
            </w:pPr>
            <w:r>
              <w:rPr>
                <w:rFonts w:hint="eastAsia"/>
                <w:sz w:val="18"/>
                <w:szCs w:val="18"/>
                <w:highlight w:val="none"/>
              </w:rPr>
              <w:t xml:space="preserve">主母线额定电流</w:t>
            </w:r>
            <w:r/>
          </w:p>
        </w:tc>
        <w:tc>
          <w:tcPr>
            <w:tcW w:w="984" w:type="dxa"/>
            <w:vAlign w:val="center"/>
            <w:textDirection w:val="lrTb"/>
            <w:noWrap w:val="false"/>
          </w:tcPr>
          <w:p>
            <w:pPr>
              <w:jc w:val="center"/>
              <w:spacing w:before="62" w:after="62"/>
              <w:rPr>
                <w:sz w:val="18"/>
                <w:szCs w:val="18"/>
                <w:highlight w:val="none"/>
              </w:rPr>
            </w:pPr>
            <w:r>
              <w:rPr>
                <w:sz w:val="18"/>
                <w:szCs w:val="18"/>
                <w:highlight w:val="none"/>
              </w:rPr>
              <w:t xml:space="preserve">A</w:t>
            </w:r>
            <w:r/>
          </w:p>
        </w:tc>
        <w:tc>
          <w:tcPr>
            <w:tcW w:w="3063" w:type="dxa"/>
            <w:vAlign w:val="center"/>
            <w:textDirection w:val="lrTb"/>
            <w:noWrap w:val="false"/>
          </w:tcPr>
          <w:p>
            <w:pPr>
              <w:jc w:val="center"/>
              <w:spacing w:before="62" w:after="62"/>
              <w:rPr>
                <w:sz w:val="18"/>
                <w:szCs w:val="18"/>
                <w:highlight w:val="none"/>
              </w:rPr>
            </w:pPr>
            <w:r>
              <w:rPr>
                <w:sz w:val="18"/>
                <w:szCs w:val="18"/>
                <w:highlight w:val="none"/>
              </w:rPr>
              <w:t xml:space="preserve">800</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4</w:t>
            </w:r>
            <w:r/>
          </w:p>
        </w:tc>
        <w:tc>
          <w:tcPr>
            <w:gridSpan w:val="3"/>
            <w:tcW w:w="4464" w:type="dxa"/>
            <w:vAlign w:val="center"/>
            <w:textDirection w:val="lrTb"/>
            <w:noWrap w:val="false"/>
          </w:tcPr>
          <w:p>
            <w:pPr>
              <w:jc w:val="center"/>
              <w:spacing w:before="62" w:after="62"/>
              <w:rPr>
                <w:sz w:val="18"/>
                <w:szCs w:val="18"/>
                <w:highlight w:val="none"/>
              </w:rPr>
            </w:pPr>
            <w:r>
              <w:rPr>
                <w:rFonts w:hint="eastAsia"/>
                <w:sz w:val="18"/>
                <w:szCs w:val="18"/>
                <w:highlight w:val="none"/>
              </w:rPr>
              <w:t xml:space="preserve">额定短时耐受电流</w:t>
            </w:r>
            <w:r/>
          </w:p>
        </w:tc>
        <w:tc>
          <w:tcPr>
            <w:tcW w:w="984" w:type="dxa"/>
            <w:vAlign w:val="center"/>
            <w:textDirection w:val="lrTb"/>
            <w:noWrap w:val="false"/>
          </w:tcPr>
          <w:p>
            <w:pPr>
              <w:jc w:val="center"/>
              <w:spacing w:before="62" w:after="62"/>
              <w:rPr>
                <w:sz w:val="18"/>
                <w:szCs w:val="18"/>
                <w:highlight w:val="none"/>
              </w:rPr>
            </w:pPr>
            <w:r>
              <w:rPr>
                <w:sz w:val="18"/>
                <w:szCs w:val="18"/>
                <w:highlight w:val="none"/>
              </w:rPr>
              <w:t xml:space="preserve">kA/s</w:t>
            </w:r>
            <w:r/>
          </w:p>
        </w:tc>
        <w:tc>
          <w:tcPr>
            <w:tcW w:w="3063" w:type="dxa"/>
            <w:vAlign w:val="center"/>
            <w:textDirection w:val="lrTb"/>
            <w:noWrap w:val="false"/>
          </w:tcPr>
          <w:p>
            <w:pPr>
              <w:jc w:val="center"/>
              <w:spacing w:before="62" w:after="62"/>
              <w:rPr>
                <w:sz w:val="18"/>
                <w:szCs w:val="18"/>
                <w:highlight w:val="none"/>
              </w:rPr>
            </w:pPr>
            <w:r>
              <w:rPr>
                <w:sz w:val="18"/>
                <w:szCs w:val="18"/>
                <w:highlight w:val="none"/>
              </w:rPr>
              <w:t xml:space="preserve">65/1</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5</w:t>
            </w:r>
            <w:r/>
          </w:p>
        </w:tc>
        <w:tc>
          <w:tcPr>
            <w:gridSpan w:val="3"/>
            <w:tcW w:w="4464" w:type="dxa"/>
            <w:vAlign w:val="center"/>
            <w:textDirection w:val="lrTb"/>
            <w:noWrap w:val="false"/>
          </w:tcPr>
          <w:p>
            <w:pPr>
              <w:jc w:val="center"/>
              <w:spacing w:before="62" w:after="62"/>
              <w:rPr>
                <w:sz w:val="18"/>
                <w:szCs w:val="18"/>
                <w:highlight w:val="none"/>
              </w:rPr>
            </w:pPr>
            <w:r>
              <w:rPr>
                <w:rFonts w:hint="eastAsia"/>
                <w:sz w:val="18"/>
                <w:szCs w:val="18"/>
                <w:highlight w:val="none"/>
              </w:rPr>
              <w:t xml:space="preserve">额定峰值耐受电流</w:t>
            </w:r>
            <w:r/>
          </w:p>
        </w:tc>
        <w:tc>
          <w:tcPr>
            <w:tcW w:w="984" w:type="dxa"/>
            <w:vAlign w:val="center"/>
            <w:textDirection w:val="lrTb"/>
            <w:noWrap w:val="false"/>
          </w:tcPr>
          <w:p>
            <w:pPr>
              <w:jc w:val="center"/>
              <w:spacing w:before="62" w:after="62"/>
              <w:rPr>
                <w:sz w:val="18"/>
                <w:szCs w:val="18"/>
                <w:highlight w:val="none"/>
              </w:rPr>
            </w:pPr>
            <w:r>
              <w:rPr>
                <w:sz w:val="18"/>
                <w:szCs w:val="18"/>
                <w:highlight w:val="none"/>
              </w:rPr>
              <w:t xml:space="preserve">kA</w:t>
            </w:r>
            <w:r/>
          </w:p>
        </w:tc>
        <w:tc>
          <w:tcPr>
            <w:tcW w:w="3063" w:type="dxa"/>
            <w:vAlign w:val="center"/>
            <w:textDirection w:val="lrTb"/>
            <w:noWrap w:val="false"/>
          </w:tcPr>
          <w:p>
            <w:pPr>
              <w:jc w:val="center"/>
              <w:spacing w:before="62" w:after="62"/>
              <w:rPr>
                <w:sz w:val="18"/>
                <w:szCs w:val="18"/>
                <w:highlight w:val="none"/>
              </w:rPr>
            </w:pPr>
            <w:r>
              <w:rPr>
                <w:rFonts w:hint="eastAsia"/>
                <w:sz w:val="18"/>
                <w:szCs w:val="18"/>
                <w:highlight w:val="none"/>
              </w:rPr>
              <w:t xml:space="preserve">（投标人提供）</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6</w:t>
            </w:r>
            <w:r/>
          </w:p>
        </w:tc>
        <w:tc>
          <w:tcPr>
            <w:gridSpan w:val="3"/>
            <w:tcW w:w="4464" w:type="dxa"/>
            <w:vAlign w:val="center"/>
            <w:textDirection w:val="lrTb"/>
            <w:noWrap w:val="false"/>
          </w:tcPr>
          <w:p>
            <w:pPr>
              <w:jc w:val="center"/>
              <w:spacing w:before="62" w:after="62"/>
              <w:rPr>
                <w:sz w:val="18"/>
                <w:szCs w:val="18"/>
                <w:highlight w:val="none"/>
              </w:rPr>
            </w:pPr>
            <w:r>
              <w:rPr>
                <w:rFonts w:hint="eastAsia"/>
                <w:sz w:val="18"/>
                <w:szCs w:val="18"/>
                <w:highlight w:val="none"/>
              </w:rPr>
              <w:t xml:space="preserve">导体截面</w:t>
            </w:r>
            <w:r/>
          </w:p>
        </w:tc>
        <w:tc>
          <w:tcPr>
            <w:tcW w:w="984" w:type="dxa"/>
            <w:vAlign w:val="center"/>
            <w:textDirection w:val="lrTb"/>
            <w:noWrap w:val="false"/>
          </w:tcPr>
          <w:p>
            <w:pPr>
              <w:jc w:val="center"/>
              <w:spacing w:before="62" w:after="62"/>
              <w:rPr>
                <w:sz w:val="18"/>
                <w:szCs w:val="18"/>
                <w:highlight w:val="none"/>
              </w:rPr>
            </w:pPr>
            <w:r>
              <w:rPr>
                <w:sz w:val="18"/>
                <w:szCs w:val="18"/>
                <w:highlight w:val="none"/>
              </w:rPr>
              <w:t xml:space="preserve">mm</w:t>
            </w:r>
            <w:r>
              <w:rPr>
                <w:sz w:val="18"/>
                <w:szCs w:val="18"/>
                <w:highlight w:val="none"/>
                <w:vertAlign w:val="superscript"/>
              </w:rPr>
              <w:t xml:space="preserve">2</w:t>
            </w:r>
            <w:r/>
          </w:p>
        </w:tc>
        <w:tc>
          <w:tcPr>
            <w:tcW w:w="3063" w:type="dxa"/>
            <w:vAlign w:val="center"/>
            <w:textDirection w:val="lrTb"/>
            <w:noWrap w:val="false"/>
          </w:tcPr>
          <w:p>
            <w:pPr>
              <w:jc w:val="center"/>
              <w:spacing w:before="62" w:after="62"/>
              <w:rPr>
                <w:sz w:val="18"/>
                <w:szCs w:val="18"/>
                <w:highlight w:val="none"/>
              </w:rPr>
            </w:pPr>
            <w:r>
              <w:rPr>
                <w:rFonts w:hint="eastAsia"/>
                <w:sz w:val="18"/>
                <w:szCs w:val="18"/>
                <w:highlight w:val="none"/>
              </w:rPr>
              <w:t xml:space="preserve">（投标人提供）</w:t>
            </w:r>
            <w:r/>
          </w:p>
        </w:tc>
      </w:tr>
      <w:tr>
        <w:trPr>
          <w:jc w:val="center"/>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七</w:t>
            </w:r>
            <w:r/>
          </w:p>
        </w:tc>
        <w:tc>
          <w:tcPr>
            <w:gridSpan w:val="5"/>
            <w:tcW w:w="8511" w:type="dxa"/>
            <w:vAlign w:val="center"/>
            <w:textDirection w:val="lrTb"/>
            <w:noWrap w:val="false"/>
          </w:tcPr>
          <w:p>
            <w:pPr>
              <w:jc w:val="center"/>
              <w:rPr>
                <w:sz w:val="18"/>
                <w:szCs w:val="18"/>
                <w:highlight w:val="none"/>
              </w:rPr>
            </w:pPr>
            <w:r>
              <w:rPr>
                <w:sz w:val="18"/>
                <w:szCs w:val="18"/>
                <w:highlight w:val="none"/>
              </w:rPr>
              <w:t xml:space="preserve">低压防雷及浪涌保护器</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1</w:t>
            </w:r>
            <w:r/>
          </w:p>
        </w:tc>
        <w:tc>
          <w:tcPr>
            <w:gridSpan w:val="3"/>
            <w:tcW w:w="4464" w:type="dxa"/>
            <w:textDirection w:val="lrTb"/>
            <w:noWrap w:val="false"/>
          </w:tcPr>
          <w:p>
            <w:pPr>
              <w:spacing w:line="400" w:lineRule="atLeast"/>
              <w:rPr>
                <w:sz w:val="18"/>
                <w:szCs w:val="18"/>
                <w:highlight w:val="none"/>
              </w:rPr>
            </w:pPr>
            <w:r>
              <w:rPr>
                <w:rFonts w:hint="eastAsia"/>
                <w:sz w:val="18"/>
                <w:szCs w:val="18"/>
                <w:highlight w:val="none"/>
              </w:rPr>
              <w:t xml:space="preserve">型号</w:t>
            </w:r>
            <w:r/>
          </w:p>
        </w:tc>
        <w:tc>
          <w:tcPr>
            <w:tcW w:w="984" w:type="dxa"/>
            <w:vAlign w:val="center"/>
            <w:textDirection w:val="lrTb"/>
            <w:noWrap w:val="false"/>
          </w:tcPr>
          <w:p>
            <w:pPr>
              <w:jc w:val="center"/>
              <w:spacing w:before="62" w:after="62"/>
              <w:rPr>
                <w:sz w:val="18"/>
                <w:szCs w:val="18"/>
                <w:highlight w:val="none"/>
              </w:rPr>
            </w:pPr>
            <w:r>
              <w:rPr>
                <w:sz w:val="18"/>
                <w:szCs w:val="18"/>
                <w:highlight w:val="none"/>
              </w:rPr>
            </w:r>
            <w:r/>
          </w:p>
        </w:tc>
        <w:tc>
          <w:tcPr>
            <w:tcW w:w="3063" w:type="dxa"/>
            <w:vAlign w:val="center"/>
            <w:textDirection w:val="lrTb"/>
            <w:noWrap w:val="false"/>
          </w:tcPr>
          <w:p>
            <w:pPr>
              <w:pStyle w:val="1153"/>
              <w:jc w:val="center"/>
              <w:rPr>
                <w:sz w:val="18"/>
                <w:szCs w:val="18"/>
                <w:highlight w:val="none"/>
              </w:rPr>
            </w:pPr>
            <w:r>
              <w:rPr>
                <w:rFonts w:hint="eastAsia"/>
                <w:sz w:val="18"/>
                <w:szCs w:val="18"/>
                <w:highlight w:val="none"/>
              </w:rPr>
              <w:t xml:space="preserve">（投标人提供）</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2</w:t>
            </w:r>
            <w:r/>
          </w:p>
        </w:tc>
        <w:tc>
          <w:tcPr>
            <w:gridSpan w:val="3"/>
            <w:tcW w:w="4464" w:type="dxa"/>
            <w:textDirection w:val="lrTb"/>
            <w:noWrap w:val="false"/>
          </w:tcPr>
          <w:p>
            <w:pPr>
              <w:spacing w:line="400" w:lineRule="atLeast"/>
              <w:rPr>
                <w:sz w:val="18"/>
                <w:szCs w:val="18"/>
                <w:highlight w:val="none"/>
              </w:rPr>
            </w:pPr>
            <w:r>
              <w:rPr>
                <w:rFonts w:hint="eastAsia"/>
                <w:sz w:val="18"/>
                <w:szCs w:val="18"/>
                <w:highlight w:val="none"/>
              </w:rPr>
              <w:t xml:space="preserve">标称工作电压</w:t>
            </w:r>
            <w:r/>
          </w:p>
        </w:tc>
        <w:tc>
          <w:tcPr>
            <w:tcW w:w="984" w:type="dxa"/>
            <w:vAlign w:val="center"/>
            <w:textDirection w:val="lrTb"/>
            <w:noWrap w:val="false"/>
          </w:tcPr>
          <w:p>
            <w:pPr>
              <w:jc w:val="center"/>
              <w:spacing w:before="62" w:after="62"/>
              <w:rPr>
                <w:sz w:val="18"/>
                <w:szCs w:val="18"/>
                <w:highlight w:val="none"/>
              </w:rPr>
            </w:pPr>
            <w:r>
              <w:rPr>
                <w:sz w:val="18"/>
                <w:szCs w:val="18"/>
                <w:highlight w:val="none"/>
              </w:rPr>
              <w:t xml:space="preserve">V</w:t>
            </w:r>
            <w:r/>
          </w:p>
        </w:tc>
        <w:tc>
          <w:tcPr>
            <w:tcW w:w="3063" w:type="dxa"/>
            <w:vAlign w:val="center"/>
            <w:textDirection w:val="lrTb"/>
            <w:noWrap w:val="false"/>
          </w:tcPr>
          <w:p>
            <w:pPr>
              <w:pStyle w:val="1153"/>
              <w:jc w:val="center"/>
              <w:rPr>
                <w:sz w:val="18"/>
                <w:szCs w:val="18"/>
                <w:highlight w:val="none"/>
              </w:rPr>
            </w:pPr>
            <w:r>
              <w:rPr>
                <w:sz w:val="18"/>
                <w:szCs w:val="18"/>
                <w:highlight w:val="none"/>
              </w:rPr>
              <w:t xml:space="preserve">400</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3</w:t>
            </w:r>
            <w:r/>
          </w:p>
        </w:tc>
        <w:tc>
          <w:tcPr>
            <w:gridSpan w:val="3"/>
            <w:tcW w:w="4464" w:type="dxa"/>
            <w:textDirection w:val="lrTb"/>
            <w:noWrap w:val="false"/>
          </w:tcPr>
          <w:p>
            <w:pPr>
              <w:spacing w:line="400" w:lineRule="atLeast"/>
              <w:rPr>
                <w:sz w:val="18"/>
                <w:szCs w:val="18"/>
                <w:highlight w:val="none"/>
              </w:rPr>
            </w:pPr>
            <w:r>
              <w:rPr>
                <w:rFonts w:hint="eastAsia"/>
                <w:sz w:val="18"/>
                <w:szCs w:val="18"/>
                <w:highlight w:val="none"/>
              </w:rPr>
              <w:t xml:space="preserve">最大持续工作电压</w:t>
            </w:r>
            <w:r/>
          </w:p>
        </w:tc>
        <w:tc>
          <w:tcPr>
            <w:tcW w:w="984" w:type="dxa"/>
            <w:vAlign w:val="center"/>
            <w:textDirection w:val="lrTb"/>
            <w:noWrap w:val="false"/>
          </w:tcPr>
          <w:p>
            <w:pPr>
              <w:jc w:val="center"/>
              <w:spacing w:before="62" w:after="62"/>
              <w:rPr>
                <w:sz w:val="18"/>
                <w:szCs w:val="18"/>
                <w:highlight w:val="none"/>
              </w:rPr>
            </w:pPr>
            <w:r>
              <w:rPr>
                <w:sz w:val="18"/>
                <w:szCs w:val="18"/>
                <w:highlight w:val="none"/>
              </w:rPr>
              <w:t xml:space="preserve">V</w:t>
            </w:r>
            <w:r/>
          </w:p>
        </w:tc>
        <w:tc>
          <w:tcPr>
            <w:tcW w:w="3063" w:type="dxa"/>
            <w:vAlign w:val="center"/>
            <w:textDirection w:val="lrTb"/>
            <w:noWrap w:val="false"/>
          </w:tcPr>
          <w:p>
            <w:pPr>
              <w:pStyle w:val="1153"/>
              <w:jc w:val="center"/>
              <w:rPr>
                <w:sz w:val="18"/>
                <w:szCs w:val="18"/>
                <w:highlight w:val="none"/>
              </w:rPr>
            </w:pPr>
            <w:r>
              <w:rPr>
                <w:rFonts w:hint="eastAsia"/>
                <w:sz w:val="18"/>
                <w:szCs w:val="18"/>
                <w:highlight w:val="none"/>
              </w:rPr>
              <w:t xml:space="preserve">（投标人提供）</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4</w:t>
            </w:r>
            <w:r/>
          </w:p>
        </w:tc>
        <w:tc>
          <w:tcPr>
            <w:gridSpan w:val="3"/>
            <w:tcW w:w="4464" w:type="dxa"/>
            <w:vAlign w:val="bottom"/>
            <w:textDirection w:val="lrTb"/>
            <w:noWrap w:val="false"/>
          </w:tcPr>
          <w:p>
            <w:pPr>
              <w:spacing w:before="74" w:after="74"/>
              <w:rPr>
                <w:sz w:val="18"/>
                <w:szCs w:val="18"/>
                <w:highlight w:val="none"/>
              </w:rPr>
            </w:pPr>
            <w:r>
              <w:rPr>
                <w:rFonts w:hint="eastAsia"/>
                <w:sz w:val="18"/>
                <w:szCs w:val="18"/>
                <w:highlight w:val="none"/>
              </w:rPr>
              <w:t xml:space="preserve">标称放电电流</w:t>
            </w:r>
            <w:r>
              <w:rPr>
                <w:sz w:val="18"/>
                <w:szCs w:val="18"/>
                <w:highlight w:val="none"/>
              </w:rPr>
              <w:t xml:space="preserve">(10/350</w:t>
            </w:r>
            <w:r>
              <w:rPr>
                <w:rFonts w:hint="eastAsia"/>
                <w:sz w:val="18"/>
                <w:szCs w:val="18"/>
                <w:highlight w:val="none"/>
              </w:rPr>
              <w:t xml:space="preserve">μ</w:t>
            </w:r>
            <w:r>
              <w:rPr>
                <w:sz w:val="18"/>
                <w:szCs w:val="18"/>
                <w:highlight w:val="none"/>
              </w:rPr>
              <w:t xml:space="preserve">s)</w:t>
            </w:r>
            <w:r/>
          </w:p>
        </w:tc>
        <w:tc>
          <w:tcPr>
            <w:tcW w:w="984" w:type="dxa"/>
            <w:vAlign w:val="center"/>
            <w:textDirection w:val="lrTb"/>
            <w:noWrap w:val="false"/>
          </w:tcPr>
          <w:p>
            <w:pPr>
              <w:jc w:val="center"/>
              <w:spacing w:before="74" w:after="74"/>
              <w:rPr>
                <w:sz w:val="18"/>
                <w:szCs w:val="18"/>
                <w:highlight w:val="none"/>
              </w:rPr>
            </w:pPr>
            <w:r>
              <w:rPr>
                <w:sz w:val="18"/>
                <w:szCs w:val="18"/>
                <w:highlight w:val="none"/>
              </w:rPr>
              <w:t xml:space="preserve">kA</w:t>
            </w:r>
            <w:r/>
          </w:p>
        </w:tc>
        <w:tc>
          <w:tcPr>
            <w:tcW w:w="3063" w:type="dxa"/>
            <w:vAlign w:val="center"/>
            <w:textDirection w:val="lrTb"/>
            <w:noWrap w:val="false"/>
          </w:tcPr>
          <w:p>
            <w:pPr>
              <w:jc w:val="center"/>
              <w:spacing w:before="74" w:after="74"/>
              <w:rPr>
                <w:sz w:val="18"/>
                <w:szCs w:val="18"/>
                <w:highlight w:val="none"/>
              </w:rPr>
            </w:pPr>
            <w:r>
              <w:rPr>
                <w:sz w:val="18"/>
                <w:szCs w:val="18"/>
                <w:highlight w:val="none"/>
              </w:rPr>
              <w:t xml:space="preserve">100</w:t>
            </w:r>
            <w:r/>
          </w:p>
        </w:tc>
      </w:tr>
      <w:tr>
        <w:trPr>
          <w:jc w:val="center"/>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5</w:t>
            </w:r>
            <w:r/>
          </w:p>
        </w:tc>
        <w:tc>
          <w:tcPr>
            <w:gridSpan w:val="3"/>
            <w:tcW w:w="4464" w:type="dxa"/>
            <w:vAlign w:val="bottom"/>
            <w:textDirection w:val="lrTb"/>
            <w:noWrap w:val="false"/>
          </w:tcPr>
          <w:p>
            <w:pPr>
              <w:spacing w:before="74" w:after="74"/>
              <w:rPr>
                <w:sz w:val="18"/>
                <w:szCs w:val="18"/>
                <w:highlight w:val="none"/>
              </w:rPr>
            </w:pPr>
            <w:r>
              <w:rPr>
                <w:rFonts w:hint="eastAsia"/>
                <w:sz w:val="18"/>
                <w:szCs w:val="18"/>
                <w:highlight w:val="none"/>
              </w:rPr>
              <w:t xml:space="preserve">最大冲击电流峰值</w:t>
            </w:r>
            <w:r>
              <w:rPr>
                <w:sz w:val="18"/>
                <w:szCs w:val="18"/>
                <w:highlight w:val="none"/>
              </w:rPr>
              <w:t xml:space="preserve"> I</w:t>
            </w:r>
            <w:r>
              <w:rPr>
                <w:sz w:val="18"/>
                <w:szCs w:val="18"/>
                <w:highlight w:val="none"/>
                <w:vertAlign w:val="subscript"/>
              </w:rPr>
              <w:t xml:space="preserve"> IMP</w:t>
            </w:r>
            <w:r>
              <w:rPr>
                <w:rFonts w:hint="eastAsia"/>
                <w:sz w:val="18"/>
                <w:szCs w:val="18"/>
                <w:highlight w:val="none"/>
              </w:rPr>
              <w:t xml:space="preserve">（</w:t>
            </w:r>
            <w:r>
              <w:rPr>
                <w:sz w:val="18"/>
                <w:szCs w:val="18"/>
                <w:highlight w:val="none"/>
              </w:rPr>
              <w:t xml:space="preserve">10/350</w:t>
            </w:r>
            <w:r>
              <w:rPr>
                <w:rFonts w:hint="eastAsia"/>
                <w:sz w:val="18"/>
                <w:szCs w:val="18"/>
                <w:highlight w:val="none"/>
              </w:rPr>
              <w:t xml:space="preserve">μ</w:t>
            </w:r>
            <w:r>
              <w:rPr>
                <w:sz w:val="18"/>
                <w:szCs w:val="18"/>
                <w:highlight w:val="none"/>
              </w:rPr>
              <w:t xml:space="preserve">s</w:t>
            </w:r>
            <w:r>
              <w:rPr>
                <w:rFonts w:hint="eastAsia"/>
                <w:sz w:val="18"/>
                <w:szCs w:val="18"/>
                <w:highlight w:val="none"/>
              </w:rPr>
              <w:t xml:space="preserve">）</w:t>
            </w:r>
            <w:r/>
          </w:p>
        </w:tc>
        <w:tc>
          <w:tcPr>
            <w:tcW w:w="984" w:type="dxa"/>
            <w:vAlign w:val="center"/>
            <w:textDirection w:val="lrTb"/>
            <w:noWrap w:val="false"/>
          </w:tcPr>
          <w:p>
            <w:pPr>
              <w:jc w:val="center"/>
              <w:spacing w:before="74" w:after="74"/>
              <w:rPr>
                <w:sz w:val="18"/>
                <w:szCs w:val="18"/>
                <w:highlight w:val="none"/>
              </w:rPr>
            </w:pPr>
            <w:r>
              <w:rPr>
                <w:sz w:val="18"/>
                <w:szCs w:val="18"/>
                <w:highlight w:val="none"/>
              </w:rPr>
              <w:t xml:space="preserve">kA</w:t>
            </w:r>
            <w:r/>
          </w:p>
        </w:tc>
        <w:tc>
          <w:tcPr>
            <w:tcW w:w="3063" w:type="dxa"/>
            <w:vAlign w:val="center"/>
            <w:textDirection w:val="lrTb"/>
            <w:noWrap w:val="false"/>
          </w:tcPr>
          <w:p>
            <w:pPr>
              <w:jc w:val="center"/>
              <w:spacing w:before="74" w:after="74"/>
              <w:rPr>
                <w:sz w:val="18"/>
                <w:szCs w:val="18"/>
                <w:highlight w:val="none"/>
              </w:rPr>
            </w:pPr>
            <w:r>
              <w:rPr>
                <w:rFonts w:hint="eastAsia"/>
                <w:sz w:val="18"/>
                <w:szCs w:val="18"/>
                <w:highlight w:val="none"/>
              </w:rPr>
              <w:t xml:space="preserve">≥7</w:t>
            </w:r>
            <w:r>
              <w:rPr>
                <w:sz w:val="18"/>
                <w:szCs w:val="18"/>
                <w:highlight w:val="none"/>
              </w:rPr>
              <w:t xml:space="preserve">5</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6</w:t>
            </w:r>
            <w:r/>
          </w:p>
        </w:tc>
        <w:tc>
          <w:tcPr>
            <w:gridSpan w:val="3"/>
            <w:tcW w:w="4464" w:type="dxa"/>
            <w:vAlign w:val="center"/>
            <w:textDirection w:val="lrTb"/>
            <w:noWrap w:val="false"/>
          </w:tcPr>
          <w:p>
            <w:pPr>
              <w:spacing w:before="74" w:after="74"/>
              <w:rPr>
                <w:sz w:val="18"/>
                <w:szCs w:val="18"/>
                <w:highlight w:val="none"/>
              </w:rPr>
            </w:pPr>
            <w:r>
              <w:rPr>
                <w:rFonts w:hint="eastAsia"/>
                <w:sz w:val="18"/>
                <w:szCs w:val="18"/>
                <w:highlight w:val="none"/>
              </w:rPr>
              <w:t xml:space="preserve">标称放电电流</w:t>
            </w:r>
            <w:r>
              <w:rPr>
                <w:sz w:val="18"/>
                <w:szCs w:val="18"/>
                <w:highlight w:val="none"/>
              </w:rPr>
              <w:t xml:space="preserve">(8/20</w:t>
            </w:r>
            <w:r>
              <w:rPr>
                <w:rFonts w:hint="eastAsia"/>
                <w:sz w:val="18"/>
                <w:szCs w:val="18"/>
                <w:highlight w:val="none"/>
              </w:rPr>
              <w:t xml:space="preserve">μ</w:t>
            </w:r>
            <w:r>
              <w:rPr>
                <w:sz w:val="18"/>
                <w:szCs w:val="18"/>
                <w:highlight w:val="none"/>
              </w:rPr>
              <w:t xml:space="preserve">S)</w:t>
            </w:r>
            <w:r/>
          </w:p>
        </w:tc>
        <w:tc>
          <w:tcPr>
            <w:tcW w:w="984" w:type="dxa"/>
            <w:vAlign w:val="center"/>
            <w:textDirection w:val="lrTb"/>
            <w:noWrap w:val="false"/>
          </w:tcPr>
          <w:p>
            <w:pPr>
              <w:jc w:val="center"/>
              <w:spacing w:before="74" w:after="74"/>
              <w:rPr>
                <w:sz w:val="18"/>
                <w:szCs w:val="18"/>
                <w:highlight w:val="none"/>
              </w:rPr>
            </w:pPr>
            <w:r>
              <w:rPr>
                <w:sz w:val="18"/>
                <w:szCs w:val="18"/>
                <w:highlight w:val="none"/>
              </w:rPr>
              <w:t xml:space="preserve">kA</w:t>
            </w:r>
            <w:r/>
          </w:p>
        </w:tc>
        <w:tc>
          <w:tcPr>
            <w:tcW w:w="3063" w:type="dxa"/>
            <w:vAlign w:val="center"/>
            <w:textDirection w:val="lrTb"/>
            <w:noWrap w:val="false"/>
          </w:tcPr>
          <w:p>
            <w:pPr>
              <w:jc w:val="center"/>
              <w:spacing w:before="74" w:after="74"/>
              <w:rPr>
                <w:sz w:val="18"/>
                <w:szCs w:val="18"/>
                <w:highlight w:val="none"/>
              </w:rPr>
            </w:pPr>
            <w:r>
              <w:rPr>
                <w:sz w:val="18"/>
                <w:szCs w:val="18"/>
                <w:highlight w:val="none"/>
              </w:rPr>
              <w:t xml:space="preserve">40</w:t>
            </w:r>
            <w:r/>
          </w:p>
        </w:tc>
      </w:tr>
      <w:tr>
        <w:trPr>
          <w:jc w:val="center"/>
          <w:tblHeader/>
        </w:trPr>
        <w:tc>
          <w:tcPr>
            <w:tcW w:w="900" w:type="dxa"/>
            <w:vAlign w:val="center"/>
            <w:textDirection w:val="lrTb"/>
            <w:noWrap w:val="false"/>
          </w:tcPr>
          <w:p>
            <w:pPr>
              <w:jc w:val="center"/>
              <w:rPr>
                <w:sz w:val="18"/>
                <w:szCs w:val="18"/>
                <w:highlight w:val="none"/>
              </w:rPr>
            </w:pPr>
            <w:r>
              <w:rPr>
                <w:sz w:val="18"/>
                <w:szCs w:val="18"/>
                <w:highlight w:val="none"/>
              </w:rPr>
              <w:t xml:space="preserve">7</w:t>
            </w:r>
            <w:r/>
          </w:p>
        </w:tc>
        <w:tc>
          <w:tcPr>
            <w:gridSpan w:val="3"/>
            <w:tcW w:w="4464" w:type="dxa"/>
            <w:textDirection w:val="lrTb"/>
            <w:noWrap w:val="false"/>
          </w:tcPr>
          <w:p>
            <w:pPr>
              <w:spacing w:line="400" w:lineRule="atLeast"/>
              <w:rPr>
                <w:sz w:val="18"/>
                <w:szCs w:val="18"/>
                <w:highlight w:val="none"/>
              </w:rPr>
            </w:pPr>
            <w:r>
              <w:rPr>
                <w:rFonts w:hint="eastAsia"/>
                <w:sz w:val="18"/>
                <w:szCs w:val="18"/>
                <w:highlight w:val="none"/>
              </w:rPr>
              <w:t xml:space="preserve">电压保护水平</w:t>
            </w:r>
            <w:r/>
          </w:p>
        </w:tc>
        <w:tc>
          <w:tcPr>
            <w:tcW w:w="984" w:type="dxa"/>
            <w:vAlign w:val="center"/>
            <w:textDirection w:val="lrTb"/>
            <w:noWrap w:val="false"/>
          </w:tcPr>
          <w:p>
            <w:pPr>
              <w:jc w:val="center"/>
              <w:spacing w:before="62" w:after="62"/>
              <w:rPr>
                <w:sz w:val="18"/>
                <w:szCs w:val="18"/>
                <w:highlight w:val="none"/>
              </w:rPr>
            </w:pPr>
            <w:r>
              <w:rPr>
                <w:sz w:val="18"/>
                <w:szCs w:val="18"/>
                <w:highlight w:val="none"/>
              </w:rPr>
              <w:t xml:space="preserve">kV</w:t>
            </w:r>
            <w:r/>
          </w:p>
        </w:tc>
        <w:tc>
          <w:tcPr>
            <w:tcW w:w="3063" w:type="dxa"/>
            <w:vAlign w:val="center"/>
            <w:textDirection w:val="lrTb"/>
            <w:noWrap w:val="false"/>
          </w:tcPr>
          <w:p>
            <w:pPr>
              <w:pStyle w:val="839"/>
              <w:tabs>
                <w:tab w:val="clear" w:pos="7143" w:leader="none"/>
                <w:tab w:val="clear" w:pos="14287" w:leader="none"/>
              </w:tabs>
              <w:rPr>
                <w:szCs w:val="18"/>
                <w:highlight w:val="none"/>
              </w:rPr>
              <w:pBdr>
                <w:bottom w:val="none" w:color="auto" w:sz="0" w:space="0"/>
              </w:pBdr>
            </w:pPr>
            <w:r>
              <w:rPr>
                <w:rFonts w:hint="eastAsia"/>
                <w:szCs w:val="18"/>
                <w:highlight w:val="none"/>
              </w:rPr>
              <w:t xml:space="preserve">（投标人提供）</w:t>
            </w:r>
            <w:r/>
          </w:p>
        </w:tc>
      </w:tr>
      <w:tr>
        <w:trPr>
          <w:jc w:val="center"/>
          <w:tblHeader/>
        </w:trPr>
        <w:tc>
          <w:tcPr>
            <w:tcW w:w="900" w:type="dxa"/>
            <w:vAlign w:val="center"/>
            <w:textDirection w:val="lrTb"/>
            <w:noWrap w:val="false"/>
          </w:tcPr>
          <w:p>
            <w:pPr>
              <w:jc w:val="center"/>
              <w:rPr>
                <w:sz w:val="18"/>
                <w:szCs w:val="18"/>
                <w:highlight w:val="none"/>
              </w:rPr>
            </w:pPr>
            <w:r>
              <w:rPr>
                <w:rFonts w:hint="eastAsia"/>
                <w:sz w:val="18"/>
                <w:szCs w:val="18"/>
                <w:highlight w:val="none"/>
              </w:rPr>
              <w:t xml:space="preserve">八</w:t>
            </w:r>
            <w:r/>
          </w:p>
        </w:tc>
        <w:tc>
          <w:tcPr>
            <w:gridSpan w:val="5"/>
            <w:tcW w:w="8511" w:type="dxa"/>
            <w:vAlign w:val="center"/>
            <w:textDirection w:val="lrTb"/>
            <w:noWrap w:val="false"/>
          </w:tcPr>
          <w:p>
            <w:pPr>
              <w:jc w:val="center"/>
              <w:rPr>
                <w:sz w:val="18"/>
                <w:szCs w:val="18"/>
                <w:highlight w:val="none"/>
              </w:rPr>
            </w:pPr>
            <w:r>
              <w:rPr>
                <w:rFonts w:hint="eastAsia"/>
                <w:sz w:val="18"/>
                <w:szCs w:val="18"/>
                <w:highlight w:val="none"/>
              </w:rPr>
              <w:t xml:space="preserve">箱体要求</w:t>
            </w:r>
            <w:r/>
          </w:p>
        </w:tc>
      </w:tr>
      <w:tr>
        <w:trPr>
          <w:jc w:val="center"/>
          <w:tblHeader/>
        </w:trPr>
        <w:tc>
          <w:tcPr>
            <w:tcBorders>
              <w:bottom w:val="single" w:color="auto" w:sz="8" w:space="0"/>
            </w:tcBorders>
            <w:tcW w:w="900" w:type="dxa"/>
            <w:vAlign w:val="center"/>
            <w:textDirection w:val="lrTb"/>
            <w:noWrap w:val="false"/>
          </w:tcPr>
          <w:p>
            <w:pPr>
              <w:jc w:val="center"/>
              <w:rPr>
                <w:sz w:val="18"/>
                <w:szCs w:val="18"/>
                <w:highlight w:val="none"/>
              </w:rPr>
            </w:pPr>
            <w:r>
              <w:rPr>
                <w:sz w:val="18"/>
                <w:szCs w:val="18"/>
                <w:highlight w:val="none"/>
              </w:rPr>
              <w:t xml:space="preserve">1</w:t>
            </w:r>
            <w:r/>
          </w:p>
        </w:tc>
        <w:tc>
          <w:tcPr>
            <w:gridSpan w:val="3"/>
            <w:tcBorders>
              <w:bottom w:val="single" w:color="auto" w:sz="8" w:space="0"/>
            </w:tcBorders>
            <w:tcW w:w="4464" w:type="dxa"/>
            <w:vAlign w:val="center"/>
            <w:textDirection w:val="lrTb"/>
            <w:noWrap w:val="false"/>
          </w:tcPr>
          <w:p>
            <w:pPr>
              <w:pStyle w:val="837"/>
              <w:jc w:val="center"/>
              <w:spacing w:before="56" w:after="56"/>
              <w:rPr>
                <w:highlight w:val="none"/>
              </w:rPr>
            </w:pPr>
            <w:r>
              <w:rPr>
                <w:rFonts w:hint="eastAsia"/>
                <w:highlight w:val="none"/>
              </w:rPr>
              <w:t xml:space="preserve">外形尺寸（长×宽×高）</w:t>
            </w:r>
            <w:r/>
          </w:p>
        </w:tc>
        <w:tc>
          <w:tcPr>
            <w:tcBorders>
              <w:bottom w:val="single" w:color="auto" w:sz="8" w:space="0"/>
            </w:tcBorders>
            <w:tcW w:w="984" w:type="dxa"/>
            <w:vAlign w:val="center"/>
            <w:textDirection w:val="lrTb"/>
            <w:noWrap w:val="false"/>
          </w:tcPr>
          <w:p>
            <w:pPr>
              <w:pStyle w:val="837"/>
              <w:jc w:val="center"/>
              <w:rPr>
                <w:highlight w:val="none"/>
              </w:rPr>
            </w:pPr>
            <w:r>
              <w:rPr>
                <w:highlight w:val="none"/>
              </w:rPr>
              <w:t xml:space="preserve">mm×mm×mm</w:t>
            </w:r>
            <w:r/>
          </w:p>
        </w:tc>
        <w:tc>
          <w:tcPr>
            <w:tcBorders>
              <w:bottom w:val="single" w:color="auto" w:sz="8" w:space="0"/>
            </w:tcBorders>
            <w:tcW w:w="3063" w:type="dxa"/>
            <w:vAlign w:val="center"/>
            <w:textDirection w:val="lrTb"/>
            <w:noWrap w:val="false"/>
          </w:tcPr>
          <w:p>
            <w:pPr>
              <w:pStyle w:val="962"/>
              <w:jc w:val="center"/>
              <w:spacing w:before="56" w:after="56"/>
              <w:rPr>
                <w:highlight w:val="none"/>
              </w:rPr>
            </w:pPr>
            <w:r>
              <w:rPr>
                <w:rFonts w:hint="eastAsia"/>
                <w:sz w:val="18"/>
                <w:szCs w:val="18"/>
                <w:highlight w:val="none"/>
              </w:rPr>
              <w:t xml:space="preserve">（投标人提供）</w:t>
            </w:r>
            <w:r/>
          </w:p>
        </w:tc>
      </w:tr>
      <w:tr>
        <w:trPr>
          <w:jc w:val="center"/>
          <w:trHeight w:val="304"/>
          <w:tblHeader/>
        </w:trPr>
        <w:tc>
          <w:tcPr>
            <w:tcBorders>
              <w:bottom w:val="single" w:color="auto" w:sz="8" w:space="0"/>
            </w:tcBorders>
            <w:tcW w:w="900" w:type="dxa"/>
            <w:vAlign w:val="center"/>
            <w:textDirection w:val="lrTb"/>
            <w:noWrap w:val="false"/>
          </w:tcPr>
          <w:p>
            <w:pPr>
              <w:jc w:val="center"/>
              <w:rPr>
                <w:sz w:val="18"/>
                <w:szCs w:val="18"/>
                <w:highlight w:val="none"/>
              </w:rPr>
            </w:pPr>
            <w:r>
              <w:rPr>
                <w:sz w:val="18"/>
                <w:szCs w:val="18"/>
                <w:highlight w:val="none"/>
              </w:rPr>
              <w:t xml:space="preserve">2</w:t>
            </w:r>
            <w:r/>
          </w:p>
        </w:tc>
        <w:tc>
          <w:tcPr>
            <w:gridSpan w:val="3"/>
            <w:tcBorders>
              <w:bottom w:val="single" w:color="auto" w:sz="8" w:space="0"/>
            </w:tcBorders>
            <w:tcW w:w="4464" w:type="dxa"/>
            <w:vAlign w:val="center"/>
            <w:textDirection w:val="lrTb"/>
            <w:noWrap w:val="false"/>
          </w:tcPr>
          <w:p>
            <w:pPr>
              <w:pStyle w:val="837"/>
              <w:jc w:val="center"/>
              <w:spacing w:before="56" w:after="56"/>
              <w:rPr>
                <w:highlight w:val="none"/>
              </w:rPr>
            </w:pPr>
            <w:r>
              <w:rPr>
                <w:rFonts w:hint="eastAsia"/>
                <w:highlight w:val="none"/>
              </w:rPr>
              <w:t xml:space="preserve">外壳</w:t>
            </w:r>
            <w:r>
              <w:rPr>
                <w:highlight w:val="none"/>
              </w:rPr>
              <w:t xml:space="preserve">材质</w:t>
            </w:r>
            <w:r/>
          </w:p>
        </w:tc>
        <w:tc>
          <w:tcPr>
            <w:tcBorders>
              <w:bottom w:val="single" w:color="auto" w:sz="8" w:space="0"/>
            </w:tcBorders>
            <w:tcW w:w="984" w:type="dxa"/>
            <w:vAlign w:val="center"/>
            <w:textDirection w:val="lrTb"/>
            <w:noWrap w:val="false"/>
          </w:tcPr>
          <w:p>
            <w:pPr>
              <w:pStyle w:val="837"/>
              <w:ind w:firstLine="420"/>
              <w:keepNext/>
              <w:spacing w:before="227" w:line="240" w:lineRule="exact"/>
              <w:rPr>
                <w:highlight w:val="none"/>
              </w:rPr>
            </w:pPr>
            <w:r>
              <w:rPr>
                <w:highlight w:val="none"/>
              </w:rPr>
            </w:r>
            <w:r/>
          </w:p>
        </w:tc>
        <w:tc>
          <w:tcPr>
            <w:tcBorders>
              <w:bottom w:val="single" w:color="auto" w:sz="8" w:space="0"/>
            </w:tcBorders>
            <w:tcW w:w="3063" w:type="dxa"/>
            <w:vAlign w:val="center"/>
            <w:textDirection w:val="lrTb"/>
            <w:noWrap w:val="false"/>
          </w:tcPr>
          <w:p>
            <w:pPr>
              <w:pStyle w:val="962"/>
              <w:jc w:val="center"/>
              <w:spacing w:before="56" w:after="56"/>
              <w:rPr>
                <w:szCs w:val="18"/>
                <w:highlight w:val="none"/>
              </w:rPr>
            </w:pPr>
            <w:r>
              <w:rPr>
                <w:rFonts w:hint="eastAsia"/>
                <w:highlight w:val="none"/>
              </w:rPr>
              <w:t xml:space="preserve">金属材质</w:t>
            </w:r>
            <w:r/>
          </w:p>
        </w:tc>
      </w:tr>
      <w:tr>
        <w:trPr>
          <w:jc w:val="center"/>
          <w:trHeight w:val="333"/>
          <w:tblHeader/>
        </w:trPr>
        <w:tc>
          <w:tcPr>
            <w:tcBorders>
              <w:bottom w:val="single" w:color="auto" w:sz="8" w:space="0"/>
            </w:tcBorders>
            <w:tcW w:w="900" w:type="dxa"/>
            <w:vAlign w:val="center"/>
            <w:textDirection w:val="lrTb"/>
            <w:noWrap w:val="false"/>
          </w:tcPr>
          <w:p>
            <w:pPr>
              <w:jc w:val="center"/>
              <w:rPr>
                <w:sz w:val="18"/>
                <w:szCs w:val="18"/>
                <w:highlight w:val="none"/>
              </w:rPr>
            </w:pPr>
            <w:r>
              <w:rPr>
                <w:sz w:val="18"/>
                <w:szCs w:val="18"/>
                <w:highlight w:val="none"/>
              </w:rPr>
              <w:t xml:space="preserve">3</w:t>
            </w:r>
            <w:r/>
          </w:p>
        </w:tc>
        <w:tc>
          <w:tcPr>
            <w:gridSpan w:val="3"/>
            <w:tcBorders>
              <w:bottom w:val="single" w:color="auto" w:sz="8" w:space="0"/>
            </w:tcBorders>
            <w:tcW w:w="4464" w:type="dxa"/>
            <w:vAlign w:val="center"/>
            <w:textDirection w:val="lrTb"/>
            <w:noWrap w:val="false"/>
          </w:tcPr>
          <w:p>
            <w:pPr>
              <w:pStyle w:val="837"/>
              <w:jc w:val="center"/>
              <w:spacing w:before="56" w:after="56"/>
              <w:rPr>
                <w:highlight w:val="none"/>
              </w:rPr>
            </w:pPr>
            <w:r>
              <w:rPr>
                <w:rFonts w:hint="eastAsia"/>
                <w:highlight w:val="none"/>
              </w:rPr>
              <w:t xml:space="preserve">防护等级</w:t>
            </w:r>
            <w:r/>
          </w:p>
        </w:tc>
        <w:tc>
          <w:tcPr>
            <w:tcBorders>
              <w:bottom w:val="single" w:color="auto" w:sz="8" w:space="0"/>
            </w:tcBorders>
            <w:tcW w:w="984" w:type="dxa"/>
            <w:vAlign w:val="center"/>
            <w:textDirection w:val="lrTb"/>
            <w:noWrap w:val="false"/>
          </w:tcPr>
          <w:p>
            <w:pPr>
              <w:pStyle w:val="837"/>
              <w:ind w:firstLine="420"/>
              <w:keepNext/>
              <w:spacing w:before="227" w:line="240" w:lineRule="exact"/>
              <w:rPr>
                <w:highlight w:val="none"/>
              </w:rPr>
            </w:pPr>
            <w:r>
              <w:rPr>
                <w:highlight w:val="none"/>
              </w:rPr>
            </w:r>
            <w:r/>
          </w:p>
        </w:tc>
        <w:tc>
          <w:tcPr>
            <w:tcBorders>
              <w:bottom w:val="single" w:color="auto" w:sz="8" w:space="0"/>
            </w:tcBorders>
            <w:tcW w:w="3063" w:type="dxa"/>
            <w:vAlign w:val="center"/>
            <w:textDirection w:val="lrTb"/>
            <w:noWrap w:val="false"/>
          </w:tcPr>
          <w:p>
            <w:pPr>
              <w:pStyle w:val="962"/>
              <w:jc w:val="center"/>
              <w:spacing w:before="56" w:after="56"/>
              <w:rPr>
                <w:szCs w:val="18"/>
                <w:highlight w:val="none"/>
              </w:rPr>
            </w:pPr>
            <w:r>
              <w:rPr>
                <w:szCs w:val="18"/>
                <w:highlight w:val="none"/>
              </w:rPr>
              <w:t xml:space="preserve">IP33D</w:t>
            </w:r>
            <w:r/>
          </w:p>
        </w:tc>
      </w:tr>
      <w:tr>
        <w:trPr>
          <w:jc w:val="center"/>
          <w:tblHeader/>
        </w:trPr>
        <w:tc>
          <w:tcPr>
            <w:tcBorders>
              <w:bottom w:val="single" w:color="auto" w:sz="8" w:space="0"/>
            </w:tcBorders>
            <w:tcW w:w="900" w:type="dxa"/>
            <w:vAlign w:val="center"/>
            <w:textDirection w:val="lrTb"/>
            <w:noWrap w:val="false"/>
          </w:tcPr>
          <w:p>
            <w:pPr>
              <w:jc w:val="center"/>
              <w:rPr>
                <w:sz w:val="18"/>
                <w:szCs w:val="18"/>
                <w:highlight w:val="none"/>
              </w:rPr>
            </w:pPr>
            <w:r>
              <w:rPr>
                <w:sz w:val="18"/>
                <w:szCs w:val="18"/>
                <w:highlight w:val="none"/>
              </w:rPr>
              <w:t xml:space="preserve">4</w:t>
            </w:r>
            <w:r/>
          </w:p>
        </w:tc>
        <w:tc>
          <w:tcPr>
            <w:gridSpan w:val="3"/>
            <w:tcBorders>
              <w:bottom w:val="single" w:color="auto" w:sz="8" w:space="0"/>
            </w:tcBorders>
            <w:tcW w:w="4464" w:type="dxa"/>
            <w:vAlign w:val="center"/>
            <w:textDirection w:val="lrTb"/>
            <w:noWrap w:val="false"/>
          </w:tcPr>
          <w:p>
            <w:pPr>
              <w:jc w:val="center"/>
              <w:rPr>
                <w:sz w:val="18"/>
                <w:szCs w:val="18"/>
                <w:highlight w:val="none"/>
              </w:rPr>
            </w:pPr>
            <w:r>
              <w:rPr>
                <w:rFonts w:hint="eastAsia"/>
                <w:sz w:val="18"/>
                <w:szCs w:val="18"/>
                <w:highlight w:val="none"/>
              </w:rPr>
              <w:t xml:space="preserve">外壳级别</w:t>
            </w:r>
            <w:r/>
          </w:p>
        </w:tc>
        <w:tc>
          <w:tcPr>
            <w:tcBorders>
              <w:bottom w:val="single" w:color="auto" w:sz="8" w:space="0"/>
            </w:tcBorders>
            <w:tcW w:w="984" w:type="dxa"/>
            <w:vAlign w:val="center"/>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Borders>
              <w:bottom w:val="single" w:color="auto" w:sz="8" w:space="0"/>
            </w:tcBorders>
            <w:tcW w:w="3063" w:type="dxa"/>
            <w:vAlign w:val="center"/>
            <w:textDirection w:val="lrTb"/>
            <w:noWrap w:val="false"/>
          </w:tcPr>
          <w:p>
            <w:pPr>
              <w:jc w:val="center"/>
              <w:rPr>
                <w:sz w:val="18"/>
                <w:szCs w:val="18"/>
                <w:highlight w:val="none"/>
              </w:rPr>
            </w:pPr>
            <w:r>
              <w:rPr>
                <w:sz w:val="18"/>
                <w:szCs w:val="18"/>
                <w:highlight w:val="none"/>
              </w:rPr>
              <w:t xml:space="preserve">10</w:t>
            </w:r>
            <w:r/>
          </w:p>
        </w:tc>
      </w:tr>
      <w:tr>
        <w:trPr>
          <w:jc w:val="center"/>
          <w:tblHeader/>
        </w:trPr>
        <w:tc>
          <w:tcPr>
            <w:gridSpan w:val="6"/>
            <w:tcBorders>
              <w:top w:val="single" w:color="auto" w:sz="8" w:space="0"/>
              <w:bottom w:val="single" w:color="auto" w:sz="8" w:space="0"/>
            </w:tcBorders>
            <w:tcW w:w="9411" w:type="dxa"/>
            <w:vAlign w:val="center"/>
            <w:textDirection w:val="lrTb"/>
            <w:noWrap w:val="false"/>
          </w:tcPr>
          <w:p>
            <w:pPr>
              <w:pStyle w:val="1160"/>
              <w:ind w:left="0" w:firstLine="0"/>
              <w:rPr>
                <w:rFonts w:ascii="Times New Roman"/>
                <w:highlight w:val="none"/>
              </w:rPr>
            </w:pPr>
            <w:r>
              <w:rPr>
                <w:rFonts w:hint="eastAsia" w:ascii="Times New Roman"/>
                <w:sz w:val="20"/>
                <w:highlight w:val="none"/>
              </w:rPr>
              <w:t xml:space="preserve">注：附表</w:t>
            </w:r>
            <w:r>
              <w:rPr>
                <w:rFonts w:ascii="Times New Roman"/>
                <w:sz w:val="20"/>
                <w:highlight w:val="none"/>
              </w:rPr>
              <w:t xml:space="preserve">1-1</w:t>
            </w:r>
            <w:r>
              <w:rPr>
                <w:rFonts w:hint="eastAsia" w:ascii="Times New Roman"/>
                <w:sz w:val="20"/>
                <w:highlight w:val="none"/>
              </w:rPr>
              <w:t xml:space="preserve">是本表的补充部分。</w:t>
            </w:r>
            <w:r/>
          </w:p>
        </w:tc>
      </w:tr>
    </w:tbl>
    <w:p>
      <w:pPr>
        <w:pStyle w:val="1152"/>
        <w:spacing w:before="156" w:after="156"/>
        <w:rPr>
          <w:highlight w:val="none"/>
        </w:rPr>
      </w:pPr>
      <w:r>
        <w:rPr>
          <w:rFonts w:hint="eastAsia"/>
          <w:highlight w:val="none"/>
        </w:rPr>
        <w:t xml:space="preserve">附表</w:t>
      </w:r>
      <w:r>
        <w:rPr>
          <w:rFonts w:eastAsia="宋体"/>
          <w:sz w:val="20"/>
          <w:szCs w:val="20"/>
          <w:highlight w:val="none"/>
        </w:rPr>
        <w:t xml:space="preserve">1-1</w:t>
      </w:r>
      <w:r>
        <w:rPr>
          <w:rFonts w:hint="eastAsia"/>
          <w:highlight w:val="none"/>
        </w:rPr>
        <w:t xml:space="preserve">　标准技术参数表</w:t>
      </w:r>
      <w:r/>
    </w:p>
    <w:tbl>
      <w:tblPr>
        <w:tblStyle w:val="827"/>
        <w:tblW w:w="9073" w:type="dxa"/>
        <w:jc w:val="center"/>
        <w:tblLayout w:type="fixed"/>
        <w:tblCellMar>
          <w:left w:w="108" w:type="dxa"/>
          <w:top w:w="0" w:type="dxa"/>
          <w:right w:w="108" w:type="dxa"/>
          <w:bottom w:w="0" w:type="dxa"/>
        </w:tblCellMar>
        <w:tblLook w:val="04A0" w:firstRow="1" w:lastRow="0" w:firstColumn="1" w:lastColumn="0" w:noHBand="0" w:noVBand="1"/>
      </w:tblPr>
      <w:tblGrid>
        <w:gridCol w:w="1074"/>
        <w:gridCol w:w="709"/>
        <w:gridCol w:w="1491"/>
        <w:gridCol w:w="936"/>
        <w:gridCol w:w="1045"/>
        <w:gridCol w:w="1391"/>
        <w:gridCol w:w="1449"/>
        <w:gridCol w:w="978"/>
      </w:tblGrid>
      <w:tr>
        <w:trPr>
          <w:jc w:val="center"/>
        </w:trPr>
        <w:tc>
          <w:tcPr>
            <w:tcBorders>
              <w:top w:val="single" w:color="000000" w:sz="8" w:space="0"/>
              <w:left w:val="single" w:color="000000" w:sz="8" w:space="0"/>
              <w:bottom w:val="single" w:color="000000" w:sz="8" w:space="0"/>
              <w:right w:val="single" w:color="000000" w:sz="8" w:space="0"/>
            </w:tcBorders>
            <w:tcW w:w="1074" w:type="dxa"/>
            <w:vAlign w:val="center"/>
            <w:textDirection w:val="lrTb"/>
            <w:noWrap w:val="false"/>
          </w:tcPr>
          <w:p>
            <w:pPr>
              <w:jc w:val="center"/>
              <w:widowControl/>
              <w:rPr>
                <w:sz w:val="18"/>
                <w:szCs w:val="18"/>
                <w:highlight w:val="none"/>
              </w:rPr>
            </w:pPr>
            <w:r>
              <w:rPr>
                <w:rFonts w:hint="eastAsia" w:ascii="宋体" w:hAnsi="宋体"/>
                <w:sz w:val="18"/>
                <w:szCs w:val="18"/>
                <w:highlight w:val="none"/>
              </w:rPr>
              <w:t xml:space="preserve">变压器容量</w:t>
            </w:r>
            <w:r>
              <w:rPr>
                <w:sz w:val="18"/>
                <w:szCs w:val="18"/>
                <w:highlight w:val="none"/>
              </w:rPr>
              <w:br/>
            </w:r>
            <w:r>
              <w:rPr>
                <w:rFonts w:hint="eastAsia" w:ascii="宋体" w:hAnsi="宋体"/>
                <w:sz w:val="18"/>
                <w:szCs w:val="18"/>
                <w:highlight w:val="none"/>
              </w:rPr>
              <w:t xml:space="preserve">（</w:t>
            </w:r>
            <w:r>
              <w:rPr>
                <w:sz w:val="18"/>
                <w:szCs w:val="18"/>
                <w:highlight w:val="none"/>
              </w:rPr>
              <w:t xml:space="preserve">kVA</w:t>
            </w:r>
            <w:r>
              <w:rPr>
                <w:rFonts w:hint="eastAsia" w:ascii="宋体" w:hAnsi="宋体"/>
                <w:sz w:val="18"/>
                <w:szCs w:val="18"/>
                <w:highlight w:val="none"/>
              </w:rPr>
              <w:t xml:space="preserve">）</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widowControl/>
              <w:rPr>
                <w:sz w:val="18"/>
                <w:szCs w:val="18"/>
                <w:highlight w:val="none"/>
              </w:rPr>
            </w:pPr>
            <w:r>
              <w:rPr>
                <w:rFonts w:hint="eastAsia" w:ascii="宋体" w:hAnsi="宋体"/>
                <w:sz w:val="18"/>
                <w:szCs w:val="18"/>
                <w:highlight w:val="none"/>
              </w:rPr>
              <w:t xml:space="preserve">高压</w:t>
            </w:r>
            <w:r>
              <w:rPr>
                <w:sz w:val="18"/>
                <w:szCs w:val="18"/>
                <w:highlight w:val="none"/>
              </w:rPr>
              <w:br/>
            </w:r>
            <w:r>
              <w:rPr>
                <w:rFonts w:hint="eastAsia" w:ascii="宋体" w:hAnsi="宋体"/>
                <w:sz w:val="18"/>
                <w:szCs w:val="18"/>
                <w:highlight w:val="none"/>
              </w:rPr>
              <w:t xml:space="preserve">（</w:t>
            </w:r>
            <w:r>
              <w:rPr>
                <w:sz w:val="18"/>
                <w:szCs w:val="18"/>
                <w:highlight w:val="none"/>
              </w:rPr>
              <w:t xml:space="preserve">kV</w:t>
            </w:r>
            <w:r>
              <w:rPr>
                <w:rFonts w:hint="eastAsia" w:ascii="宋体" w:hAnsi="宋体"/>
                <w:sz w:val="18"/>
                <w:szCs w:val="18"/>
                <w:highlight w:val="none"/>
              </w:rPr>
              <w:t xml:space="preserve">）</w:t>
            </w:r>
            <w:r/>
          </w:p>
        </w:tc>
        <w:tc>
          <w:tcPr>
            <w:tcBorders>
              <w:top w:val="single" w:color="000000" w:sz="8" w:space="0"/>
              <w:left w:val="none" w:color="000000" w:sz="4" w:space="0"/>
              <w:bottom w:val="single" w:color="000000" w:sz="8" w:space="0"/>
              <w:right w:val="single" w:color="000000" w:sz="8" w:space="0"/>
            </w:tcBorders>
            <w:tcW w:w="1491" w:type="dxa"/>
            <w:vAlign w:val="center"/>
            <w:textDirection w:val="lrTb"/>
            <w:noWrap w:val="false"/>
          </w:tcPr>
          <w:p>
            <w:pPr>
              <w:jc w:val="center"/>
              <w:widowControl/>
              <w:rPr>
                <w:sz w:val="18"/>
                <w:szCs w:val="18"/>
                <w:highlight w:val="none"/>
              </w:rPr>
            </w:pPr>
            <w:r>
              <w:rPr>
                <w:rFonts w:hint="eastAsia" w:ascii="宋体" w:hAnsi="宋体"/>
                <w:sz w:val="18"/>
                <w:szCs w:val="18"/>
                <w:highlight w:val="none"/>
              </w:rPr>
              <w:t xml:space="preserve">高压分接</w:t>
            </w:r>
            <w:r/>
          </w:p>
          <w:p>
            <w:pPr>
              <w:jc w:val="center"/>
              <w:widowControl/>
              <w:rPr>
                <w:sz w:val="18"/>
                <w:szCs w:val="18"/>
                <w:highlight w:val="none"/>
              </w:rPr>
            </w:pPr>
            <w:r>
              <w:rPr>
                <w:rFonts w:hint="eastAsia" w:ascii="宋体" w:hAnsi="宋体"/>
                <w:sz w:val="18"/>
                <w:szCs w:val="18"/>
                <w:highlight w:val="none"/>
              </w:rPr>
              <w:t xml:space="preserve">范围</w:t>
            </w:r>
            <w:r/>
          </w:p>
        </w:tc>
        <w:tc>
          <w:tcPr>
            <w:tcBorders>
              <w:top w:val="single" w:color="000000" w:sz="8" w:space="0"/>
              <w:left w:val="none" w:color="000000" w:sz="4" w:space="0"/>
              <w:bottom w:val="single" w:color="000000" w:sz="8" w:space="0"/>
              <w:right w:val="single" w:color="000000" w:sz="8" w:space="0"/>
            </w:tcBorders>
            <w:tcW w:w="936" w:type="dxa"/>
            <w:vAlign w:val="center"/>
            <w:textDirection w:val="lrTb"/>
            <w:noWrap w:val="false"/>
          </w:tcPr>
          <w:p>
            <w:pPr>
              <w:jc w:val="center"/>
              <w:widowControl/>
              <w:rPr>
                <w:sz w:val="18"/>
                <w:szCs w:val="18"/>
                <w:highlight w:val="none"/>
              </w:rPr>
            </w:pPr>
            <w:r>
              <w:rPr>
                <w:rFonts w:hint="eastAsia" w:ascii="宋体" w:hAnsi="宋体"/>
                <w:sz w:val="18"/>
                <w:szCs w:val="18"/>
                <w:highlight w:val="none"/>
              </w:rPr>
              <w:t xml:space="preserve">低压</w:t>
            </w:r>
            <w:r>
              <w:rPr>
                <w:sz w:val="18"/>
                <w:szCs w:val="18"/>
                <w:highlight w:val="none"/>
              </w:rPr>
              <w:br/>
            </w:r>
            <w:r>
              <w:rPr>
                <w:rFonts w:hint="eastAsia" w:ascii="宋体" w:hAnsi="宋体"/>
                <w:sz w:val="18"/>
                <w:szCs w:val="18"/>
                <w:highlight w:val="none"/>
              </w:rPr>
              <w:t xml:space="preserve">（</w:t>
            </w:r>
            <w:r>
              <w:rPr>
                <w:sz w:val="18"/>
                <w:szCs w:val="18"/>
                <w:highlight w:val="none"/>
              </w:rPr>
              <w:t xml:space="preserve">kV</w:t>
            </w:r>
            <w:r>
              <w:rPr>
                <w:rFonts w:hint="eastAsia" w:ascii="宋体" w:hAnsi="宋体"/>
                <w:sz w:val="18"/>
                <w:szCs w:val="18"/>
                <w:highlight w:val="none"/>
              </w:rPr>
              <w:t xml:space="preserve">）</w:t>
            </w:r>
            <w:r/>
          </w:p>
        </w:tc>
        <w:tc>
          <w:tcPr>
            <w:tcBorders>
              <w:top w:val="single" w:color="000000" w:sz="8" w:space="0"/>
              <w:left w:val="none" w:color="000000" w:sz="4" w:space="0"/>
              <w:bottom w:val="single" w:color="000000" w:sz="8" w:space="0"/>
              <w:right w:val="single" w:color="000000" w:sz="8" w:space="0"/>
            </w:tcBorders>
            <w:tcW w:w="1045" w:type="dxa"/>
            <w:vAlign w:val="center"/>
            <w:textDirection w:val="lrTb"/>
            <w:noWrap w:val="false"/>
          </w:tcPr>
          <w:p>
            <w:pPr>
              <w:ind w:left="105" w:right="-105"/>
              <w:jc w:val="center"/>
              <w:widowControl/>
              <w:rPr>
                <w:sz w:val="18"/>
                <w:szCs w:val="18"/>
                <w:highlight w:val="none"/>
              </w:rPr>
            </w:pPr>
            <w:r>
              <w:rPr>
                <w:rFonts w:hint="eastAsia" w:ascii="宋体" w:hAnsi="宋体"/>
                <w:sz w:val="18"/>
                <w:szCs w:val="18"/>
                <w:highlight w:val="none"/>
              </w:rPr>
              <w:t xml:space="preserve">联结组</w:t>
            </w:r>
            <w:r>
              <w:rPr>
                <w:sz w:val="18"/>
                <w:szCs w:val="18"/>
                <w:highlight w:val="none"/>
              </w:rPr>
              <w:br/>
            </w:r>
            <w:r>
              <w:rPr>
                <w:rFonts w:hint="eastAsia" w:ascii="宋体" w:hAnsi="宋体"/>
                <w:sz w:val="18"/>
                <w:szCs w:val="18"/>
                <w:highlight w:val="none"/>
              </w:rPr>
              <w:t xml:space="preserve">标号</w:t>
            </w:r>
            <w:r/>
          </w:p>
        </w:tc>
        <w:tc>
          <w:tcPr>
            <w:tcBorders>
              <w:top w:val="single" w:color="000000" w:sz="8" w:space="0"/>
              <w:left w:val="none" w:color="000000" w:sz="4" w:space="0"/>
              <w:bottom w:val="single" w:color="000000" w:sz="8" w:space="0"/>
              <w:right w:val="single" w:color="000000" w:sz="8" w:space="0"/>
            </w:tcBorders>
            <w:tcW w:w="1391" w:type="dxa"/>
            <w:vAlign w:val="center"/>
            <w:textDirection w:val="lrTb"/>
            <w:noWrap w:val="false"/>
          </w:tcPr>
          <w:p>
            <w:pPr>
              <w:jc w:val="center"/>
              <w:widowControl/>
              <w:rPr>
                <w:sz w:val="18"/>
                <w:szCs w:val="18"/>
                <w:highlight w:val="none"/>
              </w:rPr>
            </w:pPr>
            <w:r>
              <w:rPr>
                <w:rFonts w:hint="eastAsia" w:ascii="宋体" w:hAnsi="宋体"/>
                <w:sz w:val="18"/>
                <w:szCs w:val="18"/>
                <w:highlight w:val="none"/>
              </w:rPr>
              <w:t xml:space="preserve">空载损耗</w:t>
            </w:r>
            <w:r>
              <w:rPr>
                <w:sz w:val="18"/>
                <w:szCs w:val="18"/>
                <w:highlight w:val="none"/>
              </w:rPr>
              <w:br/>
            </w:r>
            <w:r>
              <w:rPr>
                <w:rFonts w:hint="eastAsia" w:ascii="宋体" w:hAnsi="宋体"/>
                <w:sz w:val="18"/>
                <w:szCs w:val="18"/>
                <w:highlight w:val="none"/>
              </w:rPr>
              <w:t xml:space="preserve">（</w:t>
            </w:r>
            <w:r>
              <w:rPr>
                <w:sz w:val="18"/>
                <w:szCs w:val="18"/>
                <w:highlight w:val="none"/>
              </w:rPr>
              <w:t xml:space="preserve">kW</w:t>
            </w:r>
            <w:r>
              <w:rPr>
                <w:rFonts w:hint="eastAsia" w:ascii="宋体" w:hAnsi="宋体"/>
                <w:sz w:val="18"/>
                <w:szCs w:val="18"/>
                <w:highlight w:val="none"/>
              </w:rPr>
              <w:t xml:space="preserve">）</w:t>
            </w:r>
            <w:r/>
          </w:p>
        </w:tc>
        <w:tc>
          <w:tcPr>
            <w:tcBorders>
              <w:top w:val="single" w:color="000000" w:sz="8" w:space="0"/>
              <w:left w:val="none" w:color="000000" w:sz="4" w:space="0"/>
              <w:bottom w:val="single" w:color="000000" w:sz="8" w:space="0"/>
              <w:right w:val="single" w:color="000000" w:sz="8" w:space="0"/>
            </w:tcBorders>
            <w:tcW w:w="1449" w:type="dxa"/>
            <w:vAlign w:val="center"/>
            <w:textDirection w:val="lrTb"/>
            <w:noWrap w:val="false"/>
          </w:tcPr>
          <w:p>
            <w:pPr>
              <w:jc w:val="center"/>
              <w:widowControl/>
              <w:rPr>
                <w:sz w:val="18"/>
                <w:szCs w:val="18"/>
                <w:highlight w:val="none"/>
              </w:rPr>
            </w:pPr>
            <w:r>
              <w:rPr>
                <w:rFonts w:hint="eastAsia" w:ascii="宋体" w:hAnsi="宋体"/>
                <w:sz w:val="18"/>
                <w:szCs w:val="18"/>
                <w:highlight w:val="none"/>
              </w:rPr>
              <w:t xml:space="preserve">负载损耗</w:t>
            </w:r>
            <w:r>
              <w:rPr>
                <w:sz w:val="18"/>
                <w:szCs w:val="18"/>
                <w:highlight w:val="none"/>
              </w:rPr>
              <w:br/>
            </w:r>
            <w:r>
              <w:rPr>
                <w:rFonts w:hint="eastAsia" w:ascii="宋体" w:hAnsi="宋体"/>
                <w:sz w:val="18"/>
                <w:szCs w:val="18"/>
                <w:highlight w:val="none"/>
              </w:rPr>
              <w:t xml:space="preserve">（</w:t>
            </w:r>
            <w:r>
              <w:rPr>
                <w:sz w:val="18"/>
                <w:szCs w:val="18"/>
                <w:highlight w:val="none"/>
              </w:rPr>
              <w:t xml:space="preserve">kW</w:t>
            </w:r>
            <w:r>
              <w:rPr>
                <w:rFonts w:hint="eastAsia" w:ascii="宋体" w:hAnsi="宋体"/>
                <w:sz w:val="18"/>
                <w:szCs w:val="18"/>
                <w:highlight w:val="none"/>
              </w:rPr>
              <w:t xml:space="preserve">）</w:t>
            </w:r>
            <w:r/>
          </w:p>
        </w:tc>
        <w:tc>
          <w:tcPr>
            <w:tcBorders>
              <w:top w:val="single" w:color="000000" w:sz="8" w:space="0"/>
              <w:left w:val="none" w:color="000000" w:sz="4" w:space="0"/>
              <w:bottom w:val="single" w:color="000000" w:sz="8" w:space="0"/>
              <w:right w:val="single" w:color="000000" w:sz="8" w:space="0"/>
            </w:tcBorders>
            <w:tcW w:w="978" w:type="dxa"/>
            <w:vAlign w:val="center"/>
            <w:textDirection w:val="lrTb"/>
            <w:noWrap w:val="false"/>
          </w:tcPr>
          <w:p>
            <w:pPr>
              <w:jc w:val="center"/>
              <w:widowControl/>
              <w:rPr>
                <w:sz w:val="18"/>
                <w:szCs w:val="18"/>
                <w:highlight w:val="none"/>
              </w:rPr>
            </w:pPr>
            <w:r>
              <w:rPr>
                <w:rFonts w:hint="eastAsia" w:ascii="宋体" w:hAnsi="宋体"/>
                <w:sz w:val="18"/>
                <w:szCs w:val="18"/>
                <w:highlight w:val="none"/>
              </w:rPr>
              <w:t xml:space="preserve">短路</w:t>
            </w:r>
            <w:r>
              <w:rPr>
                <w:sz w:val="18"/>
                <w:szCs w:val="18"/>
                <w:highlight w:val="none"/>
              </w:rPr>
              <w:br/>
            </w:r>
            <w:r>
              <w:rPr>
                <w:rFonts w:hint="eastAsia" w:ascii="宋体" w:hAnsi="宋体"/>
                <w:sz w:val="18"/>
                <w:szCs w:val="18"/>
                <w:highlight w:val="none"/>
              </w:rPr>
              <w:t xml:space="preserve">阻抗</w:t>
            </w:r>
            <w:r>
              <w:rPr>
                <w:sz w:val="18"/>
                <w:szCs w:val="18"/>
                <w:highlight w:val="none"/>
              </w:rPr>
              <w:br/>
            </w:r>
            <w:r>
              <w:rPr>
                <w:rFonts w:hint="eastAsia" w:ascii="宋体" w:hAnsi="宋体"/>
                <w:sz w:val="18"/>
                <w:szCs w:val="18"/>
                <w:highlight w:val="none"/>
              </w:rPr>
              <w:t xml:space="preserve">（</w:t>
            </w:r>
            <w:r>
              <w:rPr>
                <w:sz w:val="18"/>
                <w:szCs w:val="18"/>
                <w:highlight w:val="none"/>
              </w:rPr>
              <w:t xml:space="preserve">%</w:t>
            </w:r>
            <w:r>
              <w:rPr>
                <w:rFonts w:hint="eastAsia" w:ascii="宋体" w:hAnsi="宋体"/>
                <w:sz w:val="18"/>
                <w:szCs w:val="18"/>
                <w:highlight w:val="none"/>
              </w:rPr>
              <w:t xml:space="preserve">）</w:t>
            </w:r>
            <w:r/>
          </w:p>
        </w:tc>
      </w:tr>
      <w:tr>
        <w:trPr>
          <w:jc w:val="center"/>
        </w:trPr>
        <w:tc>
          <w:tcPr>
            <w:gridSpan w:val="8"/>
            <w:tcBorders>
              <w:top w:val="single" w:color="000000" w:sz="8" w:space="0"/>
              <w:left w:val="single" w:color="000000" w:sz="8" w:space="0"/>
              <w:bottom w:val="single" w:color="000000" w:sz="8" w:space="0"/>
              <w:right w:val="single" w:color="000000" w:sz="8" w:space="0"/>
            </w:tcBorders>
            <w:tcW w:w="9073" w:type="dxa"/>
            <w:vAlign w:val="center"/>
            <w:textDirection w:val="lrTb"/>
            <w:noWrap w:val="false"/>
          </w:tcPr>
          <w:p>
            <w:pPr>
              <w:ind w:left="420" w:right="420" w:hanging="360"/>
              <w:jc w:val="center"/>
              <w:spacing w:before="31" w:line="264" w:lineRule="auto"/>
              <w:widowControl/>
              <w:rPr>
                <w:sz w:val="18"/>
                <w:szCs w:val="18"/>
                <w:highlight w:val="none"/>
              </w:rPr>
            </w:pPr>
            <w:r>
              <w:rPr>
                <w:rFonts w:hint="eastAsia" w:ascii="宋体" w:hAnsi="宋体"/>
                <w:sz w:val="18"/>
                <w:szCs w:val="18"/>
                <w:highlight w:val="none"/>
              </w:rPr>
              <w:t xml:space="preserve">三相油浸无励磁调压</w:t>
            </w:r>
            <w:r/>
          </w:p>
        </w:tc>
      </w:tr>
      <w:tr>
        <w:trPr>
          <w:jc w:val="center"/>
          <w:trHeight w:val="414"/>
        </w:trPr>
        <w:tc>
          <w:tcPr>
            <w:tcBorders>
              <w:top w:val="single" w:color="000000" w:sz="8" w:space="0"/>
              <w:left w:val="single" w:color="000000" w:sz="8" w:space="0"/>
              <w:bottom w:val="single" w:color="000000" w:sz="8" w:space="0"/>
              <w:right w:val="single" w:color="000000" w:sz="8" w:space="0"/>
            </w:tcBorders>
            <w:tcW w:w="1074" w:type="dxa"/>
            <w:vAlign w:val="center"/>
            <w:textDirection w:val="lrTb"/>
            <w:noWrap w:val="false"/>
          </w:tcPr>
          <w:p>
            <w:pPr>
              <w:ind w:right="420"/>
              <w:jc w:val="center"/>
              <w:spacing w:before="31" w:line="264" w:lineRule="auto"/>
              <w:widowControl/>
              <w:rPr>
                <w:rFonts w:hint="default" w:ascii="宋体" w:hAnsi="宋体" w:eastAsia="宋体"/>
                <w:sz w:val="18"/>
                <w:szCs w:val="18"/>
                <w:highlight w:val="none"/>
                <w:lang w:val="en-US" w:eastAsia="zh-CN"/>
              </w:rPr>
            </w:pPr>
            <w:r>
              <w:rPr>
                <w:rFonts w:hint="eastAsia" w:ascii="宋体" w:hAnsi="宋体"/>
                <w:sz w:val="18"/>
                <w:szCs w:val="18"/>
                <w:highlight w:val="none"/>
                <w:lang w:val="en-US" w:eastAsia="zh-CN"/>
              </w:rPr>
              <w:t xml:space="preserve">250</w:t>
            </w:r>
            <w:r/>
          </w:p>
        </w:tc>
        <w:tc>
          <w:tcPr>
            <w:tcBorders>
              <w:top w:val="single" w:color="000000" w:sz="8" w:space="0"/>
              <w:left w:val="none" w:color="000000" w:sz="4" w:space="0"/>
              <w:bottom w:val="single" w:color="000000" w:sz="8" w:space="0"/>
              <w:right w:val="single" w:color="000000" w:sz="8" w:space="0"/>
            </w:tcBorders>
            <w:tcW w:w="709" w:type="dxa"/>
            <w:vAlign w:val="center"/>
            <w:vMerge w:val="restart"/>
            <w:textDirection w:val="lrTb"/>
            <w:noWrap w:val="false"/>
          </w:tcPr>
          <w:p>
            <w:pPr>
              <w:spacing w:before="227" w:line="240" w:lineRule="atLeast"/>
              <w:widowControl/>
              <w:rPr>
                <w:rFonts w:ascii="宋体" w:hAnsi="宋体"/>
                <w:sz w:val="18"/>
                <w:szCs w:val="18"/>
                <w:highlight w:val="none"/>
              </w:rPr>
            </w:pPr>
            <w:r>
              <w:rPr>
                <w:rFonts w:hint="eastAsia" w:ascii="宋体" w:hAnsi="宋体"/>
                <w:sz w:val="18"/>
                <w:szCs w:val="18"/>
                <w:highlight w:val="none"/>
              </w:rPr>
              <w:t xml:space="preserve">10</w:t>
            </w:r>
            <w:r/>
          </w:p>
          <w:p>
            <w:pPr>
              <w:spacing w:before="227" w:line="240" w:lineRule="atLeast"/>
              <w:widowControl/>
              <w:rPr>
                <w:rFonts w:ascii="宋体" w:hAnsi="宋体"/>
                <w:sz w:val="18"/>
                <w:szCs w:val="18"/>
                <w:highlight w:val="none"/>
              </w:rPr>
            </w:pPr>
            <w:r>
              <w:rPr>
                <w:rFonts w:hint="eastAsia" w:ascii="宋体" w:hAnsi="宋体"/>
                <w:sz w:val="18"/>
                <w:szCs w:val="18"/>
                <w:highlight w:val="none"/>
              </w:rPr>
              <w:t xml:space="preserve">10.5</w:t>
            </w:r>
            <w:r/>
          </w:p>
        </w:tc>
        <w:tc>
          <w:tcPr>
            <w:tcBorders>
              <w:top w:val="single" w:color="000000" w:sz="8" w:space="0"/>
              <w:left w:val="none" w:color="000000" w:sz="4" w:space="0"/>
              <w:bottom w:val="single" w:color="000000" w:sz="8" w:space="0"/>
              <w:right w:val="single" w:color="000000" w:sz="8" w:space="0"/>
            </w:tcBorders>
            <w:tcW w:w="1491" w:type="dxa"/>
            <w:vAlign w:val="center"/>
            <w:vMerge w:val="restart"/>
            <w:textDirection w:val="lrTb"/>
            <w:noWrap w:val="false"/>
          </w:tcPr>
          <w:p>
            <w:pPr>
              <w:spacing w:before="227" w:line="240" w:lineRule="atLeast"/>
              <w:widowControl/>
              <w:rPr>
                <w:rFonts w:ascii="宋体" w:hAnsi="宋体"/>
                <w:sz w:val="18"/>
                <w:szCs w:val="18"/>
                <w:highlight w:val="none"/>
              </w:rPr>
            </w:pPr>
            <w:r>
              <w:rPr>
                <w:rFonts w:hint="eastAsia" w:ascii="宋体" w:hAnsi="宋体"/>
                <w:sz w:val="18"/>
                <w:szCs w:val="18"/>
                <w:highlight w:val="none"/>
              </w:rPr>
              <w:t xml:space="preserve">±（</w:t>
            </w:r>
            <w:r>
              <w:rPr>
                <w:rFonts w:hint="eastAsia"/>
                <w:sz w:val="18"/>
                <w:szCs w:val="18"/>
                <w:highlight w:val="none"/>
              </w:rPr>
              <w:t xml:space="preserve">2</w:t>
            </w:r>
            <w:r>
              <w:rPr>
                <w:rFonts w:hint="eastAsia" w:ascii="宋体" w:hAnsi="宋体"/>
                <w:sz w:val="18"/>
                <w:szCs w:val="18"/>
                <w:highlight w:val="none"/>
              </w:rPr>
              <w:t xml:space="preserve">×</w:t>
            </w:r>
            <w:r>
              <w:rPr>
                <w:rFonts w:hint="eastAsia"/>
                <w:sz w:val="18"/>
                <w:szCs w:val="18"/>
                <w:highlight w:val="none"/>
              </w:rPr>
              <w:t xml:space="preserve">2.5%</w:t>
            </w:r>
            <w:r>
              <w:rPr>
                <w:rFonts w:hint="eastAsia" w:ascii="宋体" w:hAnsi="宋体"/>
                <w:sz w:val="18"/>
                <w:szCs w:val="18"/>
                <w:highlight w:val="none"/>
              </w:rPr>
              <w:t xml:space="preserve">）</w:t>
            </w:r>
            <w:r/>
          </w:p>
          <w:p>
            <w:pPr>
              <w:ind w:firstLine="420"/>
              <w:jc w:val="center"/>
              <w:spacing w:before="227" w:line="240" w:lineRule="atLeast"/>
              <w:widowControl/>
              <w:rPr>
                <w:sz w:val="18"/>
                <w:szCs w:val="18"/>
                <w:highlight w:val="none"/>
              </w:rPr>
            </w:pPr>
            <w:r>
              <w:rPr>
                <w:sz w:val="18"/>
                <w:szCs w:val="18"/>
                <w:highlight w:val="none"/>
              </w:rPr>
            </w:r>
            <w:r/>
          </w:p>
        </w:tc>
        <w:tc>
          <w:tcPr>
            <w:tcBorders>
              <w:top w:val="single" w:color="000000" w:sz="8" w:space="0"/>
              <w:left w:val="none" w:color="000000" w:sz="4" w:space="0"/>
              <w:bottom w:val="single" w:color="000000" w:sz="8" w:space="0"/>
              <w:right w:val="single" w:color="000000" w:sz="8" w:space="0"/>
            </w:tcBorders>
            <w:tcW w:w="936" w:type="dxa"/>
            <w:vAlign w:val="center"/>
            <w:vMerge w:val="restart"/>
            <w:textDirection w:val="lrTb"/>
            <w:noWrap w:val="false"/>
          </w:tcPr>
          <w:p>
            <w:pPr>
              <w:spacing w:before="227" w:line="240" w:lineRule="atLeast"/>
              <w:widowControl/>
              <w:rPr>
                <w:rFonts w:ascii="宋体" w:hAnsi="宋体"/>
                <w:sz w:val="18"/>
                <w:szCs w:val="18"/>
                <w:highlight w:val="none"/>
              </w:rPr>
            </w:pPr>
            <w:r>
              <w:rPr>
                <w:rFonts w:hint="eastAsia" w:ascii="宋体" w:hAnsi="宋体"/>
                <w:sz w:val="18"/>
                <w:szCs w:val="18"/>
                <w:highlight w:val="none"/>
              </w:rPr>
              <w:t xml:space="preserve">0.4</w:t>
            </w:r>
            <w:r/>
          </w:p>
          <w:p>
            <w:pPr>
              <w:ind w:firstLine="420"/>
              <w:jc w:val="center"/>
              <w:spacing w:before="227" w:line="240" w:lineRule="atLeast"/>
              <w:widowControl/>
              <w:rPr>
                <w:sz w:val="18"/>
                <w:szCs w:val="18"/>
                <w:highlight w:val="none"/>
              </w:rPr>
            </w:pPr>
            <w:r>
              <w:rPr>
                <w:sz w:val="18"/>
                <w:szCs w:val="18"/>
                <w:highlight w:val="none"/>
              </w:rPr>
            </w:r>
            <w:r/>
          </w:p>
        </w:tc>
        <w:tc>
          <w:tcPr>
            <w:tcBorders>
              <w:top w:val="single" w:color="000000" w:sz="8" w:space="0"/>
              <w:left w:val="none" w:color="000000" w:sz="4" w:space="0"/>
              <w:bottom w:val="single" w:color="000000" w:sz="8" w:space="0"/>
              <w:right w:val="single" w:color="000000" w:sz="8" w:space="0"/>
            </w:tcBorders>
            <w:tcW w:w="1045" w:type="dxa"/>
            <w:vAlign w:val="center"/>
            <w:vMerge w:val="restart"/>
            <w:textDirection w:val="lrTb"/>
            <w:noWrap w:val="false"/>
          </w:tcPr>
          <w:p>
            <w:pPr>
              <w:spacing w:before="227"/>
              <w:widowControl/>
              <w:rPr>
                <w:sz w:val="18"/>
                <w:szCs w:val="18"/>
                <w:highlight w:val="none"/>
              </w:rPr>
            </w:pPr>
            <w:r>
              <w:rPr>
                <w:rFonts w:hint="eastAsia" w:ascii="宋体" w:hAnsi="宋体"/>
                <w:sz w:val="18"/>
                <w:szCs w:val="18"/>
                <w:highlight w:val="none"/>
              </w:rPr>
              <w:t xml:space="preserve">Dyn11</w:t>
            </w:r>
            <w:r/>
          </w:p>
        </w:tc>
        <w:tc>
          <w:tcPr>
            <w:tcBorders>
              <w:top w:val="single" w:color="000000" w:sz="8" w:space="0"/>
              <w:left w:val="none" w:color="000000" w:sz="4" w:space="0"/>
              <w:bottom w:val="single" w:color="000000" w:sz="8" w:space="0"/>
              <w:right w:val="single" w:color="000000" w:sz="8" w:space="0"/>
            </w:tcBorders>
            <w:tcW w:w="1391" w:type="dxa"/>
            <w:vAlign w:val="center"/>
            <w:textDirection w:val="lrTb"/>
            <w:noWrap w:val="false"/>
          </w:tcPr>
          <w:p>
            <w:pPr>
              <w:jc w:val="center"/>
              <w:widowControl/>
              <w:rPr>
                <w:rFonts w:hint="default" w:ascii="宋体" w:hAnsi="宋体" w:eastAsia="宋体"/>
                <w:sz w:val="18"/>
                <w:szCs w:val="18"/>
                <w:highlight w:val="none"/>
                <w:lang w:val="en-US" w:eastAsia="zh-CN"/>
              </w:rPr>
            </w:pPr>
            <w:r>
              <w:rPr>
                <w:rFonts w:hint="eastAsia" w:ascii="宋体" w:hAnsi="宋体"/>
                <w:sz w:val="18"/>
                <w:szCs w:val="18"/>
                <w:highlight w:val="none"/>
                <w:lang w:val="en-US" w:eastAsia="zh-CN"/>
              </w:rPr>
              <w:t xml:space="preserve">0.26</w:t>
            </w:r>
            <w:r/>
          </w:p>
        </w:tc>
        <w:tc>
          <w:tcPr>
            <w:tcBorders>
              <w:top w:val="single" w:color="000000" w:sz="8" w:space="0"/>
              <w:left w:val="none" w:color="000000" w:sz="4" w:space="0"/>
              <w:bottom w:val="single" w:color="000000" w:sz="8" w:space="0"/>
              <w:right w:val="single" w:color="000000" w:sz="8" w:space="0"/>
            </w:tcBorders>
            <w:tcW w:w="1449" w:type="dxa"/>
            <w:vAlign w:val="center"/>
            <w:textDirection w:val="lrTb"/>
            <w:noWrap w:val="false"/>
          </w:tcPr>
          <w:p>
            <w:pPr>
              <w:jc w:val="center"/>
              <w:widowControl/>
              <w:rPr>
                <w:rFonts w:hint="default" w:eastAsia="宋体"/>
                <w:sz w:val="18"/>
                <w:szCs w:val="18"/>
                <w:highlight w:val="none"/>
                <w:lang w:val="en-US" w:eastAsia="zh-CN"/>
              </w:rPr>
            </w:pPr>
            <w:r>
              <w:rPr>
                <w:rFonts w:hint="eastAsia"/>
                <w:sz w:val="18"/>
                <w:szCs w:val="18"/>
                <w:highlight w:val="none"/>
                <w:lang w:val="en-US" w:eastAsia="zh-CN"/>
              </w:rPr>
              <w:t xml:space="preserve">2.56</w:t>
            </w:r>
            <w:r/>
          </w:p>
        </w:tc>
        <w:tc>
          <w:tcPr>
            <w:tcBorders>
              <w:top w:val="single" w:color="000000" w:sz="8" w:space="0"/>
              <w:left w:val="none" w:color="000000" w:sz="4" w:space="0"/>
              <w:bottom w:val="single" w:color="000000" w:sz="8" w:space="0"/>
              <w:right w:val="single" w:color="000000" w:sz="8" w:space="0"/>
            </w:tcBorders>
            <w:tcW w:w="978" w:type="dxa"/>
            <w:vAlign w:val="center"/>
            <w:vMerge w:val="restart"/>
            <w:textDirection w:val="lrTb"/>
            <w:noWrap w:val="false"/>
          </w:tcPr>
          <w:p>
            <w:pPr>
              <w:jc w:val="center"/>
              <w:widowControl/>
              <w:rPr>
                <w:sz w:val="18"/>
                <w:szCs w:val="18"/>
                <w:highlight w:val="none"/>
              </w:rPr>
            </w:pPr>
            <w:r>
              <w:rPr>
                <w:sz w:val="18"/>
                <w:szCs w:val="18"/>
                <w:highlight w:val="none"/>
              </w:rPr>
              <w:t xml:space="preserve">4.0</w:t>
            </w:r>
            <w:r/>
          </w:p>
        </w:tc>
      </w:tr>
      <w:tr>
        <w:trPr>
          <w:jc w:val="center"/>
          <w:trHeight w:val="414"/>
        </w:trPr>
        <w:tc>
          <w:tcPr>
            <w:tcBorders>
              <w:top w:val="single" w:color="000000" w:sz="8" w:space="0"/>
              <w:left w:val="single" w:color="000000" w:sz="8" w:space="0"/>
              <w:bottom w:val="single" w:color="000000" w:sz="8" w:space="0"/>
              <w:right w:val="single" w:color="000000" w:sz="8" w:space="0"/>
            </w:tcBorders>
            <w:tcW w:w="1074" w:type="dxa"/>
            <w:vAlign w:val="center"/>
            <w:textDirection w:val="lrTb"/>
            <w:noWrap w:val="false"/>
          </w:tcPr>
          <w:p>
            <w:pPr>
              <w:ind w:right="420"/>
              <w:jc w:val="center"/>
              <w:spacing w:before="31" w:line="264" w:lineRule="auto"/>
              <w:widowControl/>
              <w:rPr>
                <w:rFonts w:hint="default" w:ascii="宋体" w:hAnsi="宋体" w:eastAsia="宋体"/>
                <w:sz w:val="18"/>
                <w:szCs w:val="18"/>
                <w:highlight w:val="none"/>
                <w:lang w:val="en-US" w:eastAsia="zh-CN"/>
              </w:rPr>
            </w:pPr>
            <w:r>
              <w:rPr>
                <w:rFonts w:hint="eastAsia" w:ascii="宋体" w:hAnsi="宋体"/>
                <w:sz w:val="18"/>
                <w:szCs w:val="18"/>
                <w:highlight w:val="none"/>
                <w:lang w:val="en-US" w:eastAsia="zh-CN"/>
              </w:rPr>
              <w:t xml:space="preserve">315</w:t>
            </w:r>
            <w:r/>
          </w:p>
        </w:tc>
        <w:tc>
          <w:tcPr>
            <w:tcBorders>
              <w:left w:val="none" w:color="000000" w:sz="4" w:space="0"/>
              <w:right w:val="single" w:color="000000" w:sz="8" w:space="0"/>
            </w:tcBorders>
            <w:tcW w:w="709" w:type="dxa"/>
            <w:vAlign w:val="center"/>
            <w:vMerge w:val="continue"/>
            <w:textDirection w:val="lrTb"/>
            <w:noWrap w:val="false"/>
          </w:tcPr>
          <w:p>
            <w:pPr>
              <w:spacing w:before="227" w:line="240" w:lineRule="atLeast"/>
              <w:widowControl/>
              <w:rPr>
                <w:rFonts w:hint="eastAsia" w:ascii="宋体" w:hAnsi="宋体"/>
                <w:sz w:val="18"/>
                <w:szCs w:val="18"/>
                <w:highlight w:val="none"/>
              </w:rPr>
            </w:pPr>
            <w:r>
              <w:rPr>
                <w:rFonts w:hint="eastAsia" w:ascii="宋体" w:hAnsi="宋体"/>
                <w:sz w:val="18"/>
                <w:szCs w:val="18"/>
                <w:highlight w:val="none"/>
              </w:rPr>
            </w:r>
            <w:r/>
          </w:p>
        </w:tc>
        <w:tc>
          <w:tcPr>
            <w:tcBorders>
              <w:left w:val="none" w:color="000000" w:sz="4" w:space="0"/>
              <w:right w:val="single" w:color="000000" w:sz="8" w:space="0"/>
            </w:tcBorders>
            <w:tcW w:w="1491" w:type="dxa"/>
            <w:vAlign w:val="center"/>
            <w:vMerge w:val="continue"/>
            <w:textDirection w:val="lrTb"/>
            <w:noWrap w:val="false"/>
          </w:tcPr>
          <w:p>
            <w:pPr>
              <w:ind w:firstLine="420"/>
              <w:jc w:val="center"/>
              <w:spacing w:before="227" w:line="240" w:lineRule="atLeast"/>
              <w:widowControl/>
              <w:rPr>
                <w:sz w:val="18"/>
                <w:szCs w:val="18"/>
                <w:highlight w:val="none"/>
              </w:rPr>
            </w:pPr>
            <w:r>
              <w:rPr>
                <w:sz w:val="18"/>
                <w:szCs w:val="18"/>
                <w:highlight w:val="none"/>
              </w:rPr>
            </w:r>
            <w:r/>
          </w:p>
        </w:tc>
        <w:tc>
          <w:tcPr>
            <w:tcBorders>
              <w:left w:val="none" w:color="000000" w:sz="4" w:space="0"/>
              <w:right w:val="single" w:color="000000" w:sz="8" w:space="0"/>
            </w:tcBorders>
            <w:tcW w:w="936" w:type="dxa"/>
            <w:vAlign w:val="center"/>
            <w:vMerge w:val="continue"/>
            <w:textDirection w:val="lrTb"/>
            <w:noWrap w:val="false"/>
          </w:tcPr>
          <w:p>
            <w:pPr>
              <w:ind w:firstLine="420"/>
              <w:jc w:val="center"/>
              <w:spacing w:before="227" w:line="240" w:lineRule="atLeast"/>
              <w:widowControl/>
              <w:rPr>
                <w:sz w:val="18"/>
                <w:szCs w:val="18"/>
                <w:highlight w:val="none"/>
              </w:rPr>
            </w:pPr>
            <w:r>
              <w:rPr>
                <w:sz w:val="18"/>
                <w:szCs w:val="18"/>
                <w:highlight w:val="none"/>
              </w:rPr>
            </w:r>
            <w:r/>
          </w:p>
        </w:tc>
        <w:tc>
          <w:tcPr>
            <w:tcBorders>
              <w:left w:val="none" w:color="000000" w:sz="4" w:space="0"/>
              <w:right w:val="single" w:color="000000" w:sz="8" w:space="0"/>
            </w:tcBorders>
            <w:tcW w:w="1045" w:type="dxa"/>
            <w:vAlign w:val="center"/>
            <w:vMerge w:val="continue"/>
            <w:textDirection w:val="lrTb"/>
            <w:noWrap w:val="false"/>
          </w:tcPr>
          <w:p>
            <w:pPr>
              <w:spacing w:before="227"/>
              <w:widowControl/>
              <w:rPr>
                <w:rFonts w:hint="eastAsia" w:ascii="宋体" w:hAnsi="宋体"/>
                <w:sz w:val="18"/>
                <w:szCs w:val="18"/>
                <w:highlight w:val="none"/>
              </w:rPr>
            </w:pPr>
            <w:r>
              <w:rPr>
                <w:rFonts w:hint="eastAsia" w:ascii="宋体" w:hAnsi="宋体"/>
                <w:sz w:val="18"/>
                <w:szCs w:val="18"/>
                <w:highlight w:val="none"/>
              </w:rPr>
            </w:r>
            <w:r/>
          </w:p>
        </w:tc>
        <w:tc>
          <w:tcPr>
            <w:tcBorders>
              <w:top w:val="single" w:color="000000" w:sz="8" w:space="0"/>
              <w:left w:val="none" w:color="000000" w:sz="4" w:space="0"/>
              <w:bottom w:val="single" w:color="000000" w:sz="8" w:space="0"/>
              <w:right w:val="single" w:color="000000" w:sz="8" w:space="0"/>
            </w:tcBorders>
            <w:tcW w:w="1391" w:type="dxa"/>
            <w:vAlign w:val="center"/>
            <w:textDirection w:val="lrTb"/>
            <w:noWrap w:val="false"/>
          </w:tcPr>
          <w:p>
            <w:pPr>
              <w:jc w:val="center"/>
              <w:widowControl/>
              <w:rPr>
                <w:rFonts w:hint="default" w:ascii="宋体" w:hAnsi="宋体" w:eastAsia="宋体"/>
                <w:sz w:val="18"/>
                <w:szCs w:val="18"/>
                <w:highlight w:val="none"/>
                <w:lang w:val="en-US" w:eastAsia="zh-CN"/>
              </w:rPr>
            </w:pPr>
            <w:r>
              <w:rPr>
                <w:rFonts w:hint="eastAsia" w:ascii="宋体" w:hAnsi="宋体"/>
                <w:sz w:val="18"/>
                <w:szCs w:val="18"/>
                <w:highlight w:val="none"/>
                <w:lang w:val="en-US" w:eastAsia="zh-CN"/>
              </w:rPr>
              <w:t xml:space="preserve">0.305</w:t>
            </w:r>
            <w:r/>
          </w:p>
        </w:tc>
        <w:tc>
          <w:tcPr>
            <w:tcBorders>
              <w:top w:val="single" w:color="000000" w:sz="8" w:space="0"/>
              <w:left w:val="none" w:color="000000" w:sz="4" w:space="0"/>
              <w:bottom w:val="single" w:color="000000" w:sz="8" w:space="0"/>
              <w:right w:val="single" w:color="000000" w:sz="8" w:space="0"/>
            </w:tcBorders>
            <w:tcW w:w="1449" w:type="dxa"/>
            <w:vAlign w:val="center"/>
            <w:textDirection w:val="lrTb"/>
            <w:noWrap w:val="false"/>
          </w:tcPr>
          <w:p>
            <w:pPr>
              <w:jc w:val="center"/>
              <w:widowControl/>
              <w:rPr>
                <w:rFonts w:hint="default" w:ascii="宋体" w:hAnsi="宋体" w:eastAsia="宋体"/>
                <w:sz w:val="18"/>
                <w:szCs w:val="18"/>
                <w:highlight w:val="none"/>
                <w:lang w:val="en-US" w:eastAsia="zh-CN"/>
              </w:rPr>
            </w:pPr>
            <w:r>
              <w:rPr>
                <w:rFonts w:hint="eastAsia" w:ascii="宋体" w:hAnsi="宋体"/>
                <w:sz w:val="18"/>
                <w:szCs w:val="18"/>
                <w:highlight w:val="none"/>
                <w:lang w:val="en-US" w:eastAsia="zh-CN"/>
              </w:rPr>
              <w:t xml:space="preserve">3.065</w:t>
            </w:r>
            <w:r/>
          </w:p>
        </w:tc>
        <w:tc>
          <w:tcPr>
            <w:tcBorders>
              <w:left w:val="none" w:color="000000" w:sz="4" w:space="0"/>
              <w:right w:val="single" w:color="000000" w:sz="8" w:space="0"/>
            </w:tcBorders>
            <w:tcW w:w="978" w:type="dxa"/>
            <w:vAlign w:val="center"/>
            <w:vMerge w:val="continue"/>
            <w:textDirection w:val="lrTb"/>
            <w:noWrap w:val="false"/>
          </w:tcPr>
          <w:p>
            <w:pPr>
              <w:jc w:val="center"/>
              <w:widowControl/>
              <w:rPr>
                <w:sz w:val="18"/>
                <w:szCs w:val="18"/>
                <w:highlight w:val="none"/>
              </w:rPr>
            </w:pPr>
            <w:r>
              <w:rPr>
                <w:sz w:val="18"/>
                <w:szCs w:val="18"/>
                <w:highlight w:val="none"/>
              </w:rPr>
            </w:r>
            <w:r/>
          </w:p>
        </w:tc>
      </w:tr>
      <w:tr>
        <w:trPr>
          <w:jc w:val="center"/>
          <w:trHeight w:val="414"/>
        </w:trPr>
        <w:tc>
          <w:tcPr>
            <w:tcBorders>
              <w:top w:val="single" w:color="000000" w:sz="8" w:space="0"/>
              <w:left w:val="single" w:color="000000" w:sz="8" w:space="0"/>
              <w:bottom w:val="single" w:color="000000" w:sz="8" w:space="0"/>
              <w:right w:val="single" w:color="000000" w:sz="8" w:space="0"/>
            </w:tcBorders>
            <w:tcW w:w="1074" w:type="dxa"/>
            <w:vAlign w:val="center"/>
            <w:textDirection w:val="lrTb"/>
            <w:noWrap w:val="false"/>
          </w:tcPr>
          <w:p>
            <w:pPr>
              <w:ind w:right="420"/>
              <w:jc w:val="center"/>
              <w:spacing w:before="31" w:line="264" w:lineRule="auto"/>
              <w:widowControl/>
              <w:rPr>
                <w:rFonts w:hint="eastAsia" w:ascii="宋体" w:hAnsi="宋体"/>
                <w:sz w:val="18"/>
                <w:szCs w:val="18"/>
                <w:highlight w:val="none"/>
              </w:rPr>
            </w:pPr>
            <w:r>
              <w:rPr>
                <w:rFonts w:hint="eastAsia" w:ascii="宋体" w:hAnsi="宋体"/>
                <w:sz w:val="18"/>
                <w:szCs w:val="18"/>
                <w:highlight w:val="none"/>
              </w:rPr>
              <w:t xml:space="preserve">400</w:t>
            </w:r>
            <w:r/>
          </w:p>
        </w:tc>
        <w:tc>
          <w:tcPr>
            <w:tcBorders>
              <w:left w:val="none" w:color="000000" w:sz="4" w:space="0"/>
              <w:right w:val="single" w:color="000000" w:sz="8" w:space="0"/>
            </w:tcBorders>
            <w:tcW w:w="709" w:type="dxa"/>
            <w:vAlign w:val="center"/>
            <w:vMerge w:val="continue"/>
            <w:textDirection w:val="lrTb"/>
            <w:noWrap w:val="false"/>
          </w:tcPr>
          <w:p>
            <w:pPr>
              <w:spacing w:before="227" w:line="240" w:lineRule="atLeast"/>
              <w:widowControl/>
              <w:rPr>
                <w:rFonts w:hint="eastAsia" w:ascii="宋体" w:hAnsi="宋体"/>
                <w:sz w:val="18"/>
                <w:szCs w:val="18"/>
                <w:highlight w:val="none"/>
              </w:rPr>
            </w:pPr>
            <w:r>
              <w:rPr>
                <w:rFonts w:hint="eastAsia" w:ascii="宋体" w:hAnsi="宋体"/>
                <w:sz w:val="18"/>
                <w:szCs w:val="18"/>
                <w:highlight w:val="none"/>
              </w:rPr>
            </w:r>
            <w:r/>
          </w:p>
        </w:tc>
        <w:tc>
          <w:tcPr>
            <w:tcBorders>
              <w:left w:val="none" w:color="000000" w:sz="4" w:space="0"/>
              <w:right w:val="single" w:color="000000" w:sz="8" w:space="0"/>
            </w:tcBorders>
            <w:tcW w:w="1491" w:type="dxa"/>
            <w:vAlign w:val="center"/>
            <w:vMerge w:val="continue"/>
            <w:textDirection w:val="lrTb"/>
            <w:noWrap w:val="false"/>
          </w:tcPr>
          <w:p>
            <w:pPr>
              <w:ind w:firstLine="420"/>
              <w:jc w:val="center"/>
              <w:spacing w:before="227" w:line="240" w:lineRule="atLeast"/>
              <w:widowControl/>
              <w:rPr>
                <w:sz w:val="18"/>
                <w:szCs w:val="18"/>
                <w:highlight w:val="none"/>
              </w:rPr>
            </w:pPr>
            <w:r>
              <w:rPr>
                <w:sz w:val="18"/>
                <w:szCs w:val="18"/>
                <w:highlight w:val="none"/>
              </w:rPr>
            </w:r>
            <w:r/>
          </w:p>
        </w:tc>
        <w:tc>
          <w:tcPr>
            <w:tcBorders>
              <w:left w:val="none" w:color="000000" w:sz="4" w:space="0"/>
              <w:right w:val="single" w:color="000000" w:sz="8" w:space="0"/>
            </w:tcBorders>
            <w:tcW w:w="936" w:type="dxa"/>
            <w:vAlign w:val="center"/>
            <w:vMerge w:val="continue"/>
            <w:textDirection w:val="lrTb"/>
            <w:noWrap w:val="false"/>
          </w:tcPr>
          <w:p>
            <w:pPr>
              <w:ind w:firstLine="420"/>
              <w:jc w:val="center"/>
              <w:spacing w:before="227" w:line="240" w:lineRule="atLeast"/>
              <w:widowControl/>
              <w:rPr>
                <w:sz w:val="18"/>
                <w:szCs w:val="18"/>
                <w:highlight w:val="none"/>
              </w:rPr>
            </w:pPr>
            <w:r>
              <w:rPr>
                <w:sz w:val="18"/>
                <w:szCs w:val="18"/>
                <w:highlight w:val="none"/>
              </w:rPr>
            </w:r>
            <w:r/>
          </w:p>
        </w:tc>
        <w:tc>
          <w:tcPr>
            <w:tcBorders>
              <w:left w:val="none" w:color="000000" w:sz="4" w:space="0"/>
              <w:right w:val="single" w:color="000000" w:sz="8" w:space="0"/>
            </w:tcBorders>
            <w:tcW w:w="1045" w:type="dxa"/>
            <w:vAlign w:val="center"/>
            <w:vMerge w:val="continue"/>
            <w:textDirection w:val="lrTb"/>
            <w:noWrap w:val="false"/>
          </w:tcPr>
          <w:p>
            <w:pPr>
              <w:spacing w:before="227"/>
              <w:widowControl/>
              <w:rPr>
                <w:rFonts w:hint="eastAsia" w:ascii="宋体" w:hAnsi="宋体"/>
                <w:sz w:val="18"/>
                <w:szCs w:val="18"/>
                <w:highlight w:val="none"/>
              </w:rPr>
            </w:pPr>
            <w:r>
              <w:rPr>
                <w:rFonts w:hint="eastAsia" w:ascii="宋体" w:hAnsi="宋体"/>
                <w:sz w:val="18"/>
                <w:szCs w:val="18"/>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1391" w:type="dxa"/>
            <w:vAlign w:val="center"/>
            <w:textDirection w:val="lrTb"/>
            <w:noWrap w:val="false"/>
          </w:tcPr>
          <w:p>
            <w:pPr>
              <w:jc w:val="center"/>
              <w:widowControl/>
              <w:rPr>
                <w:rFonts w:hint="eastAsia" w:ascii="宋体" w:hAnsi="宋体" w:eastAsia="宋体" w:cs="Times New Roman"/>
                <w:sz w:val="18"/>
                <w:szCs w:val="18"/>
                <w:highlight w:val="none"/>
                <w:lang w:val="en-US" w:eastAsia="zh-CN" w:bidi="ar-SA"/>
              </w:rPr>
            </w:pPr>
            <w:r>
              <w:rPr>
                <w:rFonts w:hint="eastAsia" w:ascii="宋体" w:hAnsi="宋体"/>
                <w:sz w:val="18"/>
                <w:szCs w:val="18"/>
                <w:highlight w:val="none"/>
              </w:rPr>
              <w:t xml:space="preserve">0.3</w:t>
            </w:r>
            <w:r>
              <w:rPr>
                <w:rFonts w:hint="eastAsia" w:ascii="宋体" w:hAnsi="宋体"/>
                <w:sz w:val="18"/>
                <w:szCs w:val="18"/>
                <w:highlight w:val="none"/>
                <w:lang w:val="en-US" w:eastAsia="zh-CN"/>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449" w:type="dxa"/>
            <w:vAlign w:val="center"/>
            <w:textDirection w:val="lrTb"/>
            <w:noWrap w:val="false"/>
          </w:tcPr>
          <w:p>
            <w:pPr>
              <w:jc w:val="center"/>
              <w:widowControl/>
              <w:rPr>
                <w:rFonts w:hint="default" w:ascii="Times New Roman" w:hAnsi="Times New Roman" w:eastAsia="宋体" w:cs="Times New Roman"/>
                <w:sz w:val="18"/>
                <w:szCs w:val="18"/>
                <w:highlight w:val="none"/>
                <w:lang w:val="en-US" w:eastAsia="zh-CN" w:bidi="ar-SA"/>
              </w:rPr>
            </w:pPr>
            <w:r>
              <w:rPr>
                <w:rFonts w:hint="eastAsia" w:ascii="宋体" w:hAnsi="宋体"/>
                <w:sz w:val="18"/>
                <w:szCs w:val="18"/>
                <w:highlight w:val="none"/>
                <w:lang w:val="en-US" w:eastAsia="zh-CN"/>
              </w:rPr>
              <w:t xml:space="preserve">3.615</w:t>
            </w:r>
            <w:r/>
          </w:p>
        </w:tc>
        <w:tc>
          <w:tcPr>
            <w:tcBorders>
              <w:left w:val="none" w:color="000000" w:sz="4" w:space="0"/>
              <w:right w:val="single" w:color="000000" w:sz="8" w:space="0"/>
            </w:tcBorders>
            <w:tcW w:w="978" w:type="dxa"/>
            <w:vAlign w:val="center"/>
            <w:vMerge w:val="continue"/>
            <w:textDirection w:val="lrTb"/>
            <w:noWrap w:val="false"/>
          </w:tcPr>
          <w:p>
            <w:pPr>
              <w:jc w:val="center"/>
              <w:widowControl/>
              <w:rPr>
                <w:sz w:val="18"/>
                <w:szCs w:val="18"/>
                <w:highlight w:val="none"/>
              </w:rPr>
            </w:pPr>
            <w:r>
              <w:rPr>
                <w:sz w:val="18"/>
                <w:szCs w:val="18"/>
                <w:highlight w:val="none"/>
              </w:rPr>
            </w:r>
            <w:r/>
          </w:p>
        </w:tc>
      </w:tr>
      <w:tr>
        <w:trPr>
          <w:jc w:val="center"/>
          <w:trHeight w:val="430"/>
        </w:trPr>
        <w:tc>
          <w:tcPr>
            <w:tcBorders>
              <w:top w:val="single" w:color="000000" w:sz="8" w:space="0"/>
              <w:left w:val="single" w:color="000000" w:sz="8" w:space="0"/>
              <w:bottom w:val="single" w:color="000000" w:sz="8" w:space="0"/>
              <w:right w:val="single" w:color="000000" w:sz="8" w:space="0"/>
            </w:tcBorders>
            <w:tcW w:w="1074" w:type="dxa"/>
            <w:vAlign w:val="center"/>
            <w:textDirection w:val="lrTb"/>
            <w:noWrap w:val="false"/>
          </w:tcPr>
          <w:p>
            <w:pPr>
              <w:ind w:right="420"/>
              <w:jc w:val="center"/>
              <w:spacing w:before="31" w:line="264" w:lineRule="auto"/>
              <w:widowControl/>
              <w:rPr>
                <w:rFonts w:ascii="宋体" w:hAnsi="宋体"/>
                <w:sz w:val="18"/>
                <w:szCs w:val="18"/>
                <w:highlight w:val="none"/>
              </w:rPr>
            </w:pPr>
            <w:r>
              <w:rPr>
                <w:rFonts w:hint="eastAsia" w:ascii="宋体" w:hAnsi="宋体"/>
                <w:sz w:val="18"/>
                <w:szCs w:val="18"/>
                <w:highlight w:val="none"/>
              </w:rPr>
              <w:t xml:space="preserve">500</w:t>
            </w:r>
            <w:r/>
          </w:p>
        </w:tc>
        <w:tc>
          <w:tcPr>
            <w:tcBorders>
              <w:top w:val="single" w:color="000000" w:sz="8" w:space="0"/>
              <w:left w:val="none" w:color="000000" w:sz="4" w:space="0"/>
              <w:bottom w:val="single" w:color="000000" w:sz="8" w:space="0"/>
              <w:right w:val="single" w:color="000000" w:sz="8" w:space="0"/>
            </w:tcBorders>
            <w:tcW w:w="709" w:type="dxa"/>
            <w:vAlign w:val="center"/>
            <w:vMerge w:val="continue"/>
            <w:textDirection w:val="lrTb"/>
            <w:noWrap w:val="false"/>
          </w:tcPr>
          <w:p>
            <w:pPr>
              <w:jc w:val="left"/>
              <w:widowControl/>
              <w:rPr>
                <w:rFonts w:ascii="宋体" w:hAnsi="宋体"/>
                <w:sz w:val="18"/>
                <w:szCs w:val="18"/>
                <w:highlight w:val="none"/>
              </w:rPr>
            </w:pPr>
            <w:r>
              <w:rPr>
                <w:rFonts w:ascii="宋体" w:hAnsi="宋体"/>
                <w:sz w:val="18"/>
                <w:szCs w:val="18"/>
                <w:highlight w:val="none"/>
              </w:rPr>
            </w:r>
            <w:r/>
          </w:p>
        </w:tc>
        <w:tc>
          <w:tcPr>
            <w:tcBorders>
              <w:top w:val="single" w:color="000000" w:sz="8" w:space="0"/>
              <w:left w:val="none" w:color="000000" w:sz="4" w:space="0"/>
              <w:bottom w:val="single" w:color="000000" w:sz="8" w:space="0"/>
              <w:right w:val="single" w:color="000000" w:sz="8" w:space="0"/>
            </w:tcBorders>
            <w:tcW w:w="1491" w:type="dxa"/>
            <w:vAlign w:val="center"/>
            <w:vMerge w:val="continue"/>
            <w:textDirection w:val="lrTb"/>
            <w:noWrap w:val="false"/>
          </w:tcPr>
          <w:p>
            <w:pPr>
              <w:jc w:val="left"/>
              <w:widowControl/>
              <w:rPr>
                <w:sz w:val="18"/>
                <w:szCs w:val="18"/>
                <w:highlight w:val="none"/>
              </w:rPr>
            </w:pPr>
            <w:r>
              <w:rPr>
                <w:sz w:val="18"/>
                <w:szCs w:val="18"/>
                <w:highlight w:val="none"/>
              </w:rPr>
            </w:r>
            <w:r/>
          </w:p>
        </w:tc>
        <w:tc>
          <w:tcPr>
            <w:tcBorders>
              <w:top w:val="single" w:color="000000" w:sz="8" w:space="0"/>
              <w:left w:val="none" w:color="000000" w:sz="4" w:space="0"/>
              <w:bottom w:val="single" w:color="000000" w:sz="8" w:space="0"/>
              <w:right w:val="single" w:color="000000" w:sz="8" w:space="0"/>
            </w:tcBorders>
            <w:tcW w:w="936" w:type="dxa"/>
            <w:vAlign w:val="center"/>
            <w:vMerge w:val="continue"/>
            <w:textDirection w:val="lrTb"/>
            <w:noWrap w:val="false"/>
          </w:tcPr>
          <w:p>
            <w:pPr>
              <w:jc w:val="left"/>
              <w:widowControl/>
              <w:rPr>
                <w:sz w:val="18"/>
                <w:szCs w:val="18"/>
                <w:highlight w:val="none"/>
              </w:rPr>
            </w:pPr>
            <w:r>
              <w:rPr>
                <w:sz w:val="18"/>
                <w:szCs w:val="18"/>
                <w:highlight w:val="none"/>
              </w:rPr>
            </w:r>
            <w:r/>
          </w:p>
        </w:tc>
        <w:tc>
          <w:tcPr>
            <w:tcBorders>
              <w:top w:val="single" w:color="000000" w:sz="8" w:space="0"/>
              <w:left w:val="none" w:color="000000" w:sz="4" w:space="0"/>
              <w:bottom w:val="single" w:color="000000" w:sz="8" w:space="0"/>
              <w:right w:val="single" w:color="000000" w:sz="8" w:space="0"/>
            </w:tcBorders>
            <w:tcW w:w="1045" w:type="dxa"/>
            <w:vAlign w:val="center"/>
            <w:vMerge w:val="continue"/>
            <w:textDirection w:val="lrTb"/>
            <w:noWrap w:val="false"/>
          </w:tcPr>
          <w:p>
            <w:pPr>
              <w:jc w:val="left"/>
              <w:widowControl/>
              <w:rPr>
                <w:sz w:val="18"/>
                <w:szCs w:val="18"/>
                <w:highlight w:val="none"/>
              </w:rPr>
            </w:pPr>
            <w:r>
              <w:rPr>
                <w:sz w:val="18"/>
                <w:szCs w:val="18"/>
                <w:highlight w:val="none"/>
              </w:rPr>
            </w:r>
            <w:r/>
          </w:p>
        </w:tc>
        <w:tc>
          <w:tcPr>
            <w:tcBorders>
              <w:top w:val="single" w:color="000000" w:sz="8" w:space="0"/>
              <w:left w:val="none" w:color="000000" w:sz="4" w:space="0"/>
              <w:bottom w:val="single" w:color="000000" w:sz="8" w:space="0"/>
              <w:right w:val="single" w:color="000000" w:sz="8" w:space="0"/>
            </w:tcBorders>
            <w:tcW w:w="1391" w:type="dxa"/>
            <w:vAlign w:val="center"/>
            <w:textDirection w:val="lrTb"/>
            <w:noWrap w:val="false"/>
          </w:tcPr>
          <w:p>
            <w:pPr>
              <w:jc w:val="center"/>
              <w:widowControl/>
              <w:rPr>
                <w:rFonts w:hint="default" w:ascii="宋体" w:hAnsi="宋体" w:eastAsia="宋体"/>
                <w:sz w:val="18"/>
                <w:szCs w:val="18"/>
                <w:highlight w:val="none"/>
                <w:lang w:val="en-US" w:eastAsia="zh-CN"/>
              </w:rPr>
            </w:pPr>
            <w:r>
              <w:rPr>
                <w:rFonts w:hint="eastAsia" w:ascii="宋体" w:hAnsi="宋体"/>
                <w:sz w:val="18"/>
                <w:szCs w:val="18"/>
                <w:highlight w:val="none"/>
              </w:rPr>
              <w:t xml:space="preserve">0.</w:t>
            </w:r>
            <w:r>
              <w:rPr>
                <w:rFonts w:hint="eastAsia" w:ascii="宋体" w:hAnsi="宋体"/>
                <w:sz w:val="18"/>
                <w:szCs w:val="18"/>
                <w:highlight w:val="none"/>
                <w:lang w:val="en-US" w:eastAsia="zh-CN"/>
              </w:rPr>
              <w:t xml:space="preserve">43</w:t>
            </w:r>
            <w:r/>
          </w:p>
        </w:tc>
        <w:tc>
          <w:tcPr>
            <w:tcBorders>
              <w:top w:val="single" w:color="000000" w:sz="8" w:space="0"/>
              <w:left w:val="none" w:color="000000" w:sz="4" w:space="0"/>
              <w:bottom w:val="single" w:color="000000" w:sz="8" w:space="0"/>
              <w:right w:val="single" w:color="000000" w:sz="8" w:space="0"/>
            </w:tcBorders>
            <w:tcW w:w="1449" w:type="dxa"/>
            <w:vAlign w:val="center"/>
            <w:textDirection w:val="lrTb"/>
            <w:noWrap w:val="false"/>
          </w:tcPr>
          <w:p>
            <w:pPr>
              <w:jc w:val="center"/>
              <w:widowControl/>
              <w:rPr>
                <w:rFonts w:hint="default" w:eastAsia="宋体"/>
                <w:sz w:val="18"/>
                <w:szCs w:val="18"/>
                <w:highlight w:val="none"/>
                <w:lang w:val="en-US" w:eastAsia="zh-CN"/>
              </w:rPr>
            </w:pPr>
            <w:r>
              <w:rPr>
                <w:rFonts w:hint="eastAsia" w:ascii="宋体" w:hAnsi="宋体"/>
                <w:sz w:val="18"/>
                <w:szCs w:val="18"/>
                <w:highlight w:val="none"/>
                <w:lang w:val="en-US" w:eastAsia="zh-CN"/>
              </w:rPr>
              <w:t xml:space="preserve">4.33</w:t>
            </w:r>
            <w:r/>
          </w:p>
        </w:tc>
        <w:tc>
          <w:tcPr>
            <w:tcBorders>
              <w:top w:val="single" w:color="000000" w:sz="8" w:space="0"/>
              <w:left w:val="none" w:color="000000" w:sz="4" w:space="0"/>
              <w:bottom w:val="single" w:color="000000" w:sz="8" w:space="0"/>
              <w:right w:val="single" w:color="000000" w:sz="8" w:space="0"/>
            </w:tcBorders>
            <w:tcW w:w="978" w:type="dxa"/>
            <w:vAlign w:val="center"/>
            <w:vMerge w:val="continue"/>
            <w:textDirection w:val="lrTb"/>
            <w:noWrap w:val="false"/>
          </w:tcPr>
          <w:p>
            <w:pPr>
              <w:jc w:val="left"/>
              <w:widowControl/>
              <w:rPr>
                <w:rFonts w:ascii="宋体" w:hAnsi="宋体"/>
                <w:sz w:val="18"/>
                <w:szCs w:val="18"/>
                <w:highlight w:val="none"/>
              </w:rPr>
            </w:pPr>
            <w:r>
              <w:rPr>
                <w:rFonts w:ascii="宋体" w:hAnsi="宋体"/>
                <w:sz w:val="18"/>
                <w:szCs w:val="18"/>
                <w:highlight w:val="none"/>
              </w:rPr>
            </w:r>
            <w:r/>
          </w:p>
        </w:tc>
      </w:tr>
      <w:tr>
        <w:trPr>
          <w:jc w:val="center"/>
        </w:trPr>
        <w:tc>
          <w:tcPr>
            <w:gridSpan w:val="8"/>
            <w:tcBorders>
              <w:top w:val="single" w:color="000000" w:sz="8" w:space="0"/>
              <w:left w:val="single" w:color="000000" w:sz="8" w:space="0"/>
              <w:bottom w:val="single" w:color="000000" w:sz="8" w:space="0"/>
              <w:right w:val="single" w:color="000000" w:sz="8" w:space="0"/>
            </w:tcBorders>
            <w:tcW w:w="9073" w:type="dxa"/>
            <w:vAlign w:val="center"/>
            <w:textDirection w:val="lrTb"/>
            <w:noWrap w:val="false"/>
          </w:tcPr>
          <w:p>
            <w:pPr>
              <w:spacing w:before="156" w:after="156"/>
              <w:widowControl/>
              <w:rPr>
                <w:rFonts w:ascii="宋体" w:hAnsi="宋体"/>
                <w:sz w:val="18"/>
                <w:szCs w:val="18"/>
                <w:highlight w:val="none"/>
              </w:rPr>
            </w:pPr>
            <w:r>
              <w:rPr>
                <w:rFonts w:hint="eastAsia" w:ascii="宋体" w:hAnsi="宋体"/>
                <w:sz w:val="18"/>
                <w:szCs w:val="18"/>
                <w:highlight w:val="none"/>
              </w:rPr>
              <w:t xml:space="preserve">注：空负载损耗修订参考标准 </w:t>
            </w:r>
            <w:r>
              <w:rPr>
                <w:rFonts w:hint="eastAsia"/>
                <w:sz w:val="18"/>
                <w:szCs w:val="18"/>
                <w:highlight w:val="none"/>
              </w:rPr>
              <w:t xml:space="preserve">GB20052-202</w:t>
            </w:r>
            <w:r>
              <w:rPr>
                <w:rFonts w:hint="eastAsia"/>
                <w:sz w:val="18"/>
                <w:szCs w:val="18"/>
                <w:highlight w:val="none"/>
                <w:lang w:val="en-US" w:eastAsia="zh-CN"/>
              </w:rPr>
              <w:t xml:space="preserve">4</w:t>
            </w:r>
            <w:r>
              <w:rPr>
                <w:rFonts w:hint="eastAsia"/>
                <w:sz w:val="18"/>
                <w:szCs w:val="18"/>
                <w:highlight w:val="none"/>
              </w:rPr>
              <w:t xml:space="preserve">电力</w:t>
            </w:r>
            <w:r>
              <w:rPr>
                <w:rFonts w:hint="eastAsia" w:ascii="宋体" w:hAnsi="宋体"/>
                <w:sz w:val="18"/>
                <w:szCs w:val="18"/>
                <w:highlight w:val="none"/>
              </w:rPr>
              <w:t xml:space="preserve">变压器能效限定值及能效等级。</w:t>
            </w:r>
            <w:r/>
          </w:p>
        </w:tc>
      </w:tr>
    </w:tbl>
    <w:p>
      <w:pPr>
        <w:rPr>
          <w:highlight w:val="none"/>
        </w:rPr>
      </w:pPr>
      <w:r>
        <w:rPr>
          <w:highlight w:val="none"/>
        </w:rPr>
      </w:r>
      <w:r/>
    </w:p>
    <w:p>
      <w:pPr>
        <w:rPr>
          <w:highlight w:val="none"/>
        </w:rPr>
      </w:pPr>
      <w:r>
        <w:rPr>
          <w:highlight w:val="none"/>
        </w:rPr>
      </w:r>
      <w:r/>
    </w:p>
    <w:p>
      <w:pPr>
        <w:pStyle w:val="1149"/>
        <w:spacing w:line="480" w:lineRule="auto"/>
        <w:rPr>
          <w:rFonts w:eastAsia="黑体"/>
          <w:sz w:val="21"/>
          <w:szCs w:val="21"/>
          <w:highlight w:val="none"/>
        </w:rPr>
        <w:outlineLvl w:val="0"/>
      </w:pPr>
      <w:r/>
      <w:bookmarkStart w:id="302" w:name="_Toc426033512"/>
      <w:r/>
      <w:bookmarkStart w:id="303" w:name="_Toc426096997"/>
      <w:r/>
      <w:bookmarkStart w:id="304" w:name="_Toc454978643"/>
      <w:r>
        <w:rPr>
          <w:rFonts w:eastAsia="黑体"/>
          <w:sz w:val="21"/>
          <w:szCs w:val="21"/>
          <w:highlight w:val="none"/>
        </w:rPr>
        <w:br w:type="page" w:clear="all"/>
      </w:r>
      <w:bookmarkStart w:id="305" w:name="_Toc15187"/>
      <w:r/>
      <w:bookmarkStart w:id="306" w:name="_Toc29031"/>
      <w:r/>
      <w:bookmarkStart w:id="307" w:name="_Toc26641"/>
      <w:r/>
      <w:bookmarkStart w:id="308" w:name="_Toc12884"/>
      <w:r/>
      <w:bookmarkStart w:id="309" w:name="_Toc15995"/>
      <w:r>
        <w:rPr>
          <w:rFonts w:eastAsia="黑体"/>
          <w:sz w:val="21"/>
          <w:szCs w:val="21"/>
          <w:highlight w:val="none"/>
        </w:rPr>
        <w:t xml:space="preserve">2</w:t>
      </w:r>
      <w:r>
        <w:rPr>
          <w:rFonts w:hint="eastAsia" w:eastAsia="黑体"/>
          <w:sz w:val="21"/>
          <w:szCs w:val="21"/>
          <w:highlight w:val="none"/>
        </w:rPr>
        <w:t xml:space="preserve">　</w:t>
      </w:r>
      <w:bookmarkEnd w:id="302"/>
      <w:r>
        <w:rPr>
          <w:rFonts w:hint="eastAsia" w:eastAsia="黑体"/>
          <w:sz w:val="21"/>
          <w:szCs w:val="21"/>
          <w:highlight w:val="none"/>
        </w:rPr>
        <w:t xml:space="preserve">主要组部件材料表</w:t>
      </w:r>
      <w:bookmarkEnd w:id="303"/>
      <w:r/>
      <w:bookmarkEnd w:id="304"/>
      <w:r/>
      <w:bookmarkEnd w:id="305"/>
      <w:r/>
      <w:bookmarkEnd w:id="306"/>
      <w:r/>
      <w:bookmarkEnd w:id="307"/>
      <w:r/>
      <w:bookmarkEnd w:id="308"/>
      <w:r/>
      <w:bookmarkEnd w:id="309"/>
      <w:r/>
      <w:r/>
    </w:p>
    <w:p>
      <w:pPr>
        <w:ind w:firstLine="425"/>
        <w:rPr>
          <w:szCs w:val="21"/>
          <w:highlight w:val="none"/>
        </w:rPr>
      </w:pPr>
      <w:r>
        <w:rPr>
          <w:rFonts w:hint="eastAsia"/>
          <w:szCs w:val="21"/>
          <w:highlight w:val="none"/>
        </w:rPr>
        <w:t xml:space="preserve">组件材料配置表包括产品型号、组部件名称、供应商名称、原产地等信息，具体内容和格式根据招标项目情况进行编制。</w:t>
      </w:r>
      <w:r/>
    </w:p>
    <w:tbl>
      <w:tblPr>
        <w:tblStyle w:val="827"/>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287"/>
        <w:gridCol w:w="1995"/>
        <w:gridCol w:w="1575"/>
        <w:gridCol w:w="1470"/>
        <w:gridCol w:w="1995"/>
      </w:tblGrid>
      <w:tr>
        <w:trPr>
          <w:trHeight w:val="397"/>
        </w:trPr>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widowControl/>
              <w:rPr>
                <w:sz w:val="18"/>
                <w:szCs w:val="21"/>
                <w:highlight w:val="none"/>
              </w:rPr>
            </w:pPr>
            <w:r>
              <w:rPr>
                <w:rFonts w:hint="eastAsia"/>
                <w:sz w:val="18"/>
                <w:szCs w:val="21"/>
                <w:highlight w:val="none"/>
              </w:rPr>
              <w:t xml:space="preserve">产品型号</w:t>
            </w:r>
            <w:r/>
          </w:p>
        </w:tc>
        <w:tc>
          <w:tcPr>
            <w:gridSpan w:val="2"/>
            <w:tcBorders>
              <w:top w:val="single" w:color="auto" w:sz="4" w:space="0"/>
              <w:left w:val="single" w:color="auto" w:sz="4" w:space="0"/>
              <w:bottom w:val="single" w:color="auto" w:sz="4" w:space="0"/>
              <w:right w:val="single" w:color="auto" w:sz="4" w:space="0"/>
            </w:tcBorders>
            <w:tcW w:w="3282" w:type="dxa"/>
            <w:vAlign w:val="center"/>
            <w:textDirection w:val="lrTb"/>
            <w:noWrap w:val="false"/>
          </w:tcPr>
          <w:p>
            <w:pPr>
              <w:jc w:val="center"/>
              <w:widowControl/>
              <w:rPr>
                <w:sz w:val="18"/>
                <w:szCs w:val="21"/>
                <w:highlight w:val="none"/>
              </w:rPr>
            </w:pPr>
            <w:r>
              <w:rPr>
                <w:rFonts w:hint="eastAsia"/>
                <w:sz w:val="18"/>
                <w:szCs w:val="21"/>
                <w:highlight w:val="none"/>
              </w:rPr>
              <w:t xml:space="preserve">组部件名称</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sz w:val="18"/>
                <w:szCs w:val="21"/>
                <w:highlight w:val="none"/>
              </w:rPr>
            </w:pPr>
            <w:r>
              <w:rPr>
                <w:rFonts w:hint="eastAsia"/>
                <w:sz w:val="18"/>
                <w:szCs w:val="21"/>
                <w:highlight w:val="none"/>
              </w:rPr>
              <w:t xml:space="preserve">供应商名称</w:t>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widowControl/>
              <w:rPr>
                <w:sz w:val="18"/>
                <w:szCs w:val="21"/>
                <w:highlight w:val="none"/>
              </w:rPr>
            </w:pPr>
            <w:r>
              <w:rPr>
                <w:rFonts w:hint="eastAsia"/>
                <w:sz w:val="18"/>
                <w:szCs w:val="21"/>
                <w:highlight w:val="none"/>
              </w:rPr>
              <w:t xml:space="preserve">原产地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widowControl/>
              <w:rPr>
                <w:sz w:val="18"/>
                <w:szCs w:val="21"/>
                <w:highlight w:val="none"/>
              </w:rPr>
            </w:pPr>
            <w:r>
              <w:rPr>
                <w:rFonts w:hint="eastAsia"/>
                <w:sz w:val="18"/>
                <w:szCs w:val="21"/>
                <w:highlight w:val="none"/>
              </w:rPr>
              <w:t xml:space="preserve">备注</w:t>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Align w:val="center"/>
            <w:vMerge w:val="restart"/>
            <w:textDirection w:val="lrTb"/>
            <w:noWrap w:val="false"/>
          </w:tcPr>
          <w:p>
            <w:pPr>
              <w:jc w:val="center"/>
              <w:rPr>
                <w:sz w:val="18"/>
                <w:szCs w:val="21"/>
                <w:highlight w:val="none"/>
              </w:rPr>
            </w:pPr>
            <w:r>
              <w:rPr>
                <w:rFonts w:hint="eastAsia"/>
                <w:sz w:val="18"/>
                <w:szCs w:val="24"/>
                <w:highlight w:val="none"/>
              </w:rPr>
              <w:t xml:space="preserve">环网柜</w:t>
            </w:r>
            <w:r/>
          </w:p>
        </w:tc>
        <w:tc>
          <w:tcPr>
            <w:tcW w:w="1995" w:type="dxa"/>
            <w:vAlign w:val="center"/>
            <w:textDirection w:val="lrTb"/>
            <w:noWrap w:val="false"/>
          </w:tcPr>
          <w:p>
            <w:pPr>
              <w:jc w:val="center"/>
              <w:widowControl/>
              <w:rPr>
                <w:sz w:val="18"/>
                <w:szCs w:val="21"/>
                <w:highlight w:val="none"/>
              </w:rPr>
            </w:pPr>
            <w:r>
              <w:rPr>
                <w:rFonts w:hint="eastAsia"/>
                <w:sz w:val="18"/>
                <w:szCs w:val="21"/>
                <w:highlight w:val="none"/>
              </w:rPr>
              <w:t xml:space="preserve">气箱</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Merge w:val="continue"/>
            <w:textDirection w:val="lrTb"/>
            <w:noWrap w:val="false"/>
          </w:tcPr>
          <w:p>
            <w:pPr>
              <w:ind w:firstLine="420"/>
              <w:jc w:val="center"/>
              <w:keepNext/>
              <w:spacing w:before="227" w:line="240" w:lineRule="exact"/>
              <w:rPr>
                <w:sz w:val="18"/>
                <w:szCs w:val="21"/>
                <w:highlight w:val="none"/>
              </w:rPr>
            </w:pPr>
            <w:r>
              <w:rPr>
                <w:sz w:val="18"/>
                <w:szCs w:val="21"/>
                <w:highlight w:val="none"/>
              </w:rPr>
            </w:r>
            <w:r/>
          </w:p>
        </w:tc>
        <w:tc>
          <w:tcPr>
            <w:tcW w:w="1995" w:type="dxa"/>
            <w:vAlign w:val="center"/>
            <w:textDirection w:val="lrTb"/>
            <w:noWrap w:val="false"/>
          </w:tcPr>
          <w:p>
            <w:pPr>
              <w:jc w:val="center"/>
              <w:widowControl/>
              <w:rPr>
                <w:sz w:val="18"/>
                <w:szCs w:val="21"/>
                <w:highlight w:val="none"/>
              </w:rPr>
            </w:pPr>
            <w:r>
              <w:rPr>
                <w:rFonts w:hint="eastAsia"/>
                <w:sz w:val="18"/>
                <w:szCs w:val="21"/>
                <w:highlight w:val="none"/>
              </w:rPr>
              <w:t xml:space="preserve">操动机构</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Merge w:val="continue"/>
            <w:textDirection w:val="lrTb"/>
            <w:noWrap w:val="false"/>
          </w:tcPr>
          <w:p>
            <w:pPr>
              <w:ind w:firstLine="420"/>
              <w:jc w:val="center"/>
              <w:keepNext/>
              <w:spacing w:before="227" w:line="240" w:lineRule="exact"/>
              <w:rPr>
                <w:sz w:val="18"/>
                <w:szCs w:val="21"/>
                <w:highlight w:val="none"/>
              </w:rPr>
            </w:pPr>
            <w:r>
              <w:rPr>
                <w:sz w:val="18"/>
                <w:szCs w:val="21"/>
                <w:highlight w:val="none"/>
              </w:rPr>
            </w:r>
            <w:r/>
          </w:p>
        </w:tc>
        <w:tc>
          <w:tcPr>
            <w:tcW w:w="1995" w:type="dxa"/>
            <w:vAlign w:val="center"/>
            <w:textDirection w:val="lrTb"/>
            <w:noWrap w:val="false"/>
          </w:tcPr>
          <w:p>
            <w:pPr>
              <w:jc w:val="center"/>
              <w:widowControl/>
              <w:rPr>
                <w:sz w:val="18"/>
                <w:szCs w:val="21"/>
                <w:highlight w:val="none"/>
              </w:rPr>
            </w:pPr>
            <w:r>
              <w:rPr>
                <w:rFonts w:hint="eastAsia"/>
                <w:sz w:val="18"/>
                <w:szCs w:val="21"/>
                <w:highlight w:val="none"/>
              </w:rPr>
              <w:t xml:space="preserve">真空灭弧室</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Merge w:val="continue"/>
            <w:textDirection w:val="lrTb"/>
            <w:noWrap w:val="false"/>
          </w:tcPr>
          <w:p>
            <w:pPr>
              <w:ind w:firstLine="420"/>
              <w:jc w:val="center"/>
              <w:keepNext/>
              <w:spacing w:before="227" w:line="240" w:lineRule="exact"/>
              <w:rPr>
                <w:sz w:val="18"/>
                <w:szCs w:val="21"/>
                <w:highlight w:val="none"/>
              </w:rPr>
            </w:pPr>
            <w:r>
              <w:rPr>
                <w:sz w:val="18"/>
                <w:szCs w:val="21"/>
                <w:highlight w:val="none"/>
              </w:rPr>
            </w:r>
            <w:r/>
          </w:p>
        </w:tc>
        <w:tc>
          <w:tcPr>
            <w:tcW w:w="1995" w:type="dxa"/>
            <w:vAlign w:val="center"/>
            <w:textDirection w:val="lrTb"/>
            <w:noWrap w:val="false"/>
          </w:tcPr>
          <w:p>
            <w:pPr>
              <w:jc w:val="center"/>
              <w:widowControl/>
              <w:rPr>
                <w:sz w:val="18"/>
                <w:szCs w:val="21"/>
                <w:highlight w:val="none"/>
              </w:rPr>
            </w:pPr>
            <w:r>
              <w:rPr>
                <w:rFonts w:hint="eastAsia"/>
                <w:sz w:val="18"/>
                <w:szCs w:val="21"/>
                <w:highlight w:val="none"/>
              </w:rPr>
              <w:t xml:space="preserve">电流互感器</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Merge w:val="continue"/>
            <w:textDirection w:val="lrTb"/>
            <w:noWrap w:val="false"/>
          </w:tcPr>
          <w:p>
            <w:pPr>
              <w:ind w:firstLine="420"/>
              <w:jc w:val="center"/>
              <w:keepNext/>
              <w:spacing w:before="227" w:line="240" w:lineRule="exact"/>
              <w:rPr>
                <w:sz w:val="18"/>
                <w:highlight w:val="none"/>
              </w:rPr>
            </w:pPr>
            <w:r>
              <w:rPr>
                <w:sz w:val="18"/>
                <w:highlight w:val="none"/>
              </w:rPr>
            </w:r>
            <w:r/>
          </w:p>
        </w:tc>
        <w:tc>
          <w:tcPr>
            <w:tcW w:w="1995" w:type="dxa"/>
            <w:vAlign w:val="center"/>
            <w:textDirection w:val="lrTb"/>
            <w:noWrap w:val="false"/>
          </w:tcPr>
          <w:p>
            <w:pPr>
              <w:jc w:val="center"/>
              <w:widowControl/>
              <w:rPr>
                <w:sz w:val="18"/>
                <w:szCs w:val="21"/>
                <w:highlight w:val="none"/>
              </w:rPr>
            </w:pPr>
            <w:r>
              <w:rPr>
                <w:rFonts w:hint="eastAsia"/>
                <w:sz w:val="18"/>
                <w:szCs w:val="21"/>
                <w:highlight w:val="none"/>
              </w:rPr>
              <w:t xml:space="preserve">避雷器</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pStyle w:val="839"/>
              <w:ind w:firstLine="420"/>
              <w:keepNext/>
              <w:spacing w:before="227" w:line="240" w:lineRule="exact"/>
              <w:widowControl/>
              <w:tabs>
                <w:tab w:val="clear" w:pos="7143" w:leader="none"/>
                <w:tab w:val="clear" w:pos="14287" w:leader="none"/>
              </w:tabs>
              <w:rPr>
                <w:szCs w:val="21"/>
                <w:highlight w:val="none"/>
              </w:rPr>
              <w:pBdr>
                <w:bottom w:val="none" w:color="auto" w:sz="0" w:space="0"/>
              </w:pBdr>
            </w:pPr>
            <w:r>
              <w:rPr>
                <w:szCs w:val="21"/>
                <w:highlight w:val="none"/>
              </w:rPr>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Merge w:val="continue"/>
            <w:textDirection w:val="lrTb"/>
            <w:noWrap w:val="false"/>
          </w:tcPr>
          <w:p>
            <w:pPr>
              <w:ind w:firstLine="420"/>
              <w:jc w:val="center"/>
              <w:keepNext/>
              <w:spacing w:before="227" w:line="240" w:lineRule="exact"/>
              <w:rPr>
                <w:sz w:val="18"/>
                <w:szCs w:val="18"/>
                <w:highlight w:val="none"/>
              </w:rPr>
            </w:pPr>
            <w:r>
              <w:rPr>
                <w:sz w:val="18"/>
                <w:szCs w:val="18"/>
                <w:highlight w:val="none"/>
              </w:rPr>
            </w:r>
            <w:r/>
          </w:p>
        </w:tc>
        <w:tc>
          <w:tcPr>
            <w:tcW w:w="1995" w:type="dxa"/>
            <w:vAlign w:val="center"/>
            <w:textDirection w:val="lrTb"/>
            <w:noWrap w:val="false"/>
          </w:tcPr>
          <w:p>
            <w:pPr>
              <w:jc w:val="center"/>
              <w:widowControl/>
              <w:rPr>
                <w:sz w:val="18"/>
                <w:szCs w:val="21"/>
                <w:highlight w:val="none"/>
              </w:rPr>
            </w:pPr>
            <w:r>
              <w:rPr>
                <w:rFonts w:hint="eastAsia"/>
                <w:sz w:val="18"/>
                <w:szCs w:val="18"/>
                <w:highlight w:val="none"/>
              </w:rPr>
              <w:t xml:space="preserve">接地开关</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Merge w:val="continue"/>
            <w:textDirection w:val="lrTb"/>
            <w:noWrap w:val="false"/>
          </w:tcPr>
          <w:p>
            <w:pPr>
              <w:ind w:firstLine="420"/>
              <w:jc w:val="center"/>
              <w:keepNext/>
              <w:spacing w:before="227" w:line="240" w:lineRule="exact"/>
              <w:rPr>
                <w:sz w:val="18"/>
                <w:szCs w:val="21"/>
                <w:highlight w:val="none"/>
              </w:rPr>
            </w:pPr>
            <w:r>
              <w:rPr>
                <w:sz w:val="18"/>
                <w:szCs w:val="21"/>
                <w:highlight w:val="none"/>
              </w:rPr>
            </w:r>
            <w:r/>
          </w:p>
        </w:tc>
        <w:tc>
          <w:tcPr>
            <w:tcW w:w="1995" w:type="dxa"/>
            <w:vAlign w:val="center"/>
            <w:textDirection w:val="lrTb"/>
            <w:noWrap w:val="false"/>
          </w:tcPr>
          <w:p>
            <w:pPr>
              <w:jc w:val="center"/>
              <w:widowControl/>
              <w:rPr>
                <w:sz w:val="18"/>
                <w:szCs w:val="21"/>
                <w:highlight w:val="none"/>
              </w:rPr>
            </w:pPr>
            <w:r>
              <w:rPr>
                <w:rFonts w:hint="eastAsia"/>
                <w:sz w:val="18"/>
                <w:szCs w:val="18"/>
                <w:highlight w:val="none"/>
              </w:rPr>
              <w:t xml:space="preserve">带电显示器</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Merge w:val="continue"/>
            <w:textDirection w:val="lrTb"/>
            <w:noWrap w:val="false"/>
          </w:tcPr>
          <w:p>
            <w:pPr>
              <w:ind w:firstLine="420"/>
              <w:jc w:val="center"/>
              <w:keepNext/>
              <w:spacing w:before="227" w:line="240" w:lineRule="exact"/>
              <w:rPr>
                <w:sz w:val="18"/>
                <w:szCs w:val="21"/>
                <w:highlight w:val="none"/>
              </w:rPr>
            </w:pPr>
            <w:r>
              <w:rPr>
                <w:sz w:val="18"/>
                <w:szCs w:val="21"/>
                <w:highlight w:val="none"/>
              </w:rPr>
            </w:r>
            <w:r/>
          </w:p>
        </w:tc>
        <w:tc>
          <w:tcPr>
            <w:tcW w:w="1995" w:type="dxa"/>
            <w:vAlign w:val="center"/>
            <w:textDirection w:val="lrTb"/>
            <w:noWrap w:val="false"/>
          </w:tcPr>
          <w:p>
            <w:pPr>
              <w:jc w:val="center"/>
              <w:widowControl/>
              <w:rPr>
                <w:sz w:val="18"/>
                <w:szCs w:val="18"/>
                <w:highlight w:val="none"/>
              </w:rPr>
            </w:pPr>
            <w:r>
              <w:rPr>
                <w:rFonts w:hint="eastAsia"/>
                <w:sz w:val="18"/>
                <w:szCs w:val="18"/>
                <w:highlight w:val="none"/>
              </w:rPr>
              <w:t xml:space="preserve">故障指示器</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Merge w:val="continue"/>
            <w:textDirection w:val="lrTb"/>
            <w:noWrap w:val="false"/>
          </w:tcPr>
          <w:p>
            <w:pPr>
              <w:ind w:firstLine="420"/>
              <w:jc w:val="center"/>
              <w:keepNext/>
              <w:spacing w:before="227" w:line="240" w:lineRule="exact"/>
              <w:rPr>
                <w:sz w:val="18"/>
                <w:szCs w:val="21"/>
                <w:highlight w:val="none"/>
              </w:rPr>
            </w:pPr>
            <w:r>
              <w:rPr>
                <w:sz w:val="18"/>
                <w:szCs w:val="21"/>
                <w:highlight w:val="none"/>
              </w:rPr>
            </w:r>
            <w:r/>
          </w:p>
        </w:tc>
        <w:tc>
          <w:tcPr>
            <w:tcW w:w="1995" w:type="dxa"/>
            <w:vAlign w:val="center"/>
            <w:textDirection w:val="lrTb"/>
            <w:noWrap w:val="false"/>
          </w:tcPr>
          <w:p>
            <w:pPr>
              <w:jc w:val="center"/>
              <w:widowControl/>
              <w:rPr>
                <w:sz w:val="18"/>
                <w:szCs w:val="18"/>
                <w:highlight w:val="none"/>
              </w:rPr>
            </w:pPr>
            <w:r>
              <w:rPr>
                <w:rFonts w:hint="eastAsia"/>
                <w:sz w:val="18"/>
                <w:szCs w:val="18"/>
                <w:highlight w:val="none"/>
              </w:rPr>
              <w:t xml:space="preserve">电缆附件</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gridSpan w:val="2"/>
            <w:tcW w:w="3282" w:type="dxa"/>
            <w:vAlign w:val="center"/>
            <w:textDirection w:val="lrTb"/>
            <w:noWrap w:val="false"/>
          </w:tcPr>
          <w:p>
            <w:pPr>
              <w:jc w:val="center"/>
              <w:widowControl/>
              <w:rPr>
                <w:sz w:val="18"/>
                <w:szCs w:val="21"/>
                <w:highlight w:val="none"/>
              </w:rPr>
            </w:pPr>
            <w:r>
              <w:rPr>
                <w:rFonts w:hint="eastAsia"/>
                <w:sz w:val="18"/>
                <w:szCs w:val="21"/>
                <w:highlight w:val="none"/>
              </w:rPr>
              <w:t xml:space="preserve">变压器</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Align w:val="center"/>
            <w:vMerge w:val="restart"/>
            <w:textDirection w:val="lrTb"/>
            <w:noWrap w:val="false"/>
          </w:tcPr>
          <w:p>
            <w:pPr>
              <w:widowControl/>
              <w:rPr>
                <w:sz w:val="18"/>
                <w:szCs w:val="21"/>
                <w:highlight w:val="none"/>
              </w:rPr>
            </w:pPr>
            <w:r>
              <w:rPr>
                <w:rFonts w:hint="eastAsia"/>
                <w:sz w:val="18"/>
                <w:szCs w:val="21"/>
                <w:highlight w:val="none"/>
              </w:rPr>
              <w:t xml:space="preserve">低压单元</w:t>
            </w:r>
            <w:r/>
          </w:p>
        </w:tc>
        <w:tc>
          <w:tcPr>
            <w:tcW w:w="1995" w:type="dxa"/>
            <w:vAlign w:val="center"/>
            <w:textDirection w:val="lrTb"/>
            <w:noWrap w:val="false"/>
          </w:tcPr>
          <w:p>
            <w:pPr>
              <w:jc w:val="center"/>
              <w:widowControl/>
              <w:rPr>
                <w:sz w:val="18"/>
                <w:szCs w:val="21"/>
                <w:highlight w:val="none"/>
              </w:rPr>
            </w:pPr>
            <w:r>
              <w:rPr>
                <w:rFonts w:hint="eastAsia"/>
                <w:sz w:val="18"/>
                <w:szCs w:val="21"/>
                <w:highlight w:val="none"/>
              </w:rPr>
              <w:t xml:space="preserve">塑壳断路器</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Merge w:val="continue"/>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jc w:val="center"/>
              <w:widowControl/>
              <w:rPr>
                <w:sz w:val="18"/>
                <w:szCs w:val="21"/>
                <w:highlight w:val="none"/>
              </w:rPr>
            </w:pPr>
            <w:r>
              <w:rPr>
                <w:rFonts w:hint="eastAsia"/>
                <w:sz w:val="18"/>
                <w:szCs w:val="21"/>
                <w:highlight w:val="none"/>
              </w:rPr>
              <w:t xml:space="preserve">电流互感器</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Merge w:val="continue"/>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jc w:val="center"/>
              <w:widowControl/>
              <w:rPr>
                <w:sz w:val="18"/>
                <w:szCs w:val="21"/>
                <w:highlight w:val="none"/>
              </w:rPr>
            </w:pPr>
            <w:r>
              <w:rPr>
                <w:rFonts w:hint="eastAsia"/>
                <w:sz w:val="18"/>
                <w:szCs w:val="21"/>
                <w:highlight w:val="none"/>
              </w:rPr>
              <w:t xml:space="preserve">电流表</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Merge w:val="continue"/>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jc w:val="center"/>
              <w:widowControl/>
              <w:rPr>
                <w:sz w:val="18"/>
                <w:szCs w:val="21"/>
                <w:highlight w:val="none"/>
              </w:rPr>
            </w:pPr>
            <w:r>
              <w:rPr>
                <w:rFonts w:hint="eastAsia"/>
                <w:sz w:val="18"/>
                <w:szCs w:val="21"/>
                <w:highlight w:val="none"/>
              </w:rPr>
              <w:t xml:space="preserve">电压表</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r>
        <w:trPr>
          <w:trHeight w:val="397"/>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Merge w:val="continue"/>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jc w:val="center"/>
              <w:widowControl/>
              <w:rPr>
                <w:sz w:val="18"/>
                <w:szCs w:val="21"/>
                <w:highlight w:val="none"/>
              </w:rPr>
            </w:pPr>
            <w:r>
              <w:rPr>
                <w:rFonts w:hint="eastAsia"/>
                <w:sz w:val="18"/>
                <w:szCs w:val="21"/>
                <w:highlight w:val="none"/>
              </w:rPr>
              <w:t xml:space="preserve">电容器</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r>
        <w:trPr>
          <w:trHeight w:val="419"/>
        </w:trPr>
        <w:tc>
          <w:tcPr>
            <w:tcW w:w="1236"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287" w:type="dxa"/>
            <w:vMerge w:val="continue"/>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jc w:val="center"/>
              <w:widowControl/>
              <w:rPr>
                <w:sz w:val="18"/>
                <w:szCs w:val="21"/>
                <w:highlight w:val="none"/>
              </w:rPr>
            </w:pPr>
            <w:r>
              <w:rPr>
                <w:sz w:val="18"/>
                <w:szCs w:val="24"/>
                <w:highlight w:val="none"/>
              </w:rPr>
              <w:t xml:space="preserve">浪涌保护器</w:t>
            </w:r>
            <w:r/>
          </w:p>
        </w:tc>
        <w:tc>
          <w:tcPr>
            <w:tcW w:w="157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470"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c>
          <w:tcPr>
            <w:tcW w:w="1995" w:type="dxa"/>
            <w:vAlign w:val="center"/>
            <w:textDirection w:val="lrTb"/>
            <w:noWrap w:val="false"/>
          </w:tcPr>
          <w:p>
            <w:pPr>
              <w:ind w:firstLine="420"/>
              <w:jc w:val="center"/>
              <w:keepNext/>
              <w:spacing w:before="227" w:line="240" w:lineRule="exact"/>
              <w:widowControl/>
              <w:rPr>
                <w:sz w:val="18"/>
                <w:szCs w:val="21"/>
                <w:highlight w:val="none"/>
              </w:rPr>
            </w:pPr>
            <w:r>
              <w:rPr>
                <w:sz w:val="18"/>
                <w:szCs w:val="21"/>
                <w:highlight w:val="none"/>
              </w:rPr>
            </w:r>
            <w:r/>
          </w:p>
        </w:tc>
      </w:tr>
    </w:tbl>
    <w:p>
      <w:pPr>
        <w:keepLines w:val="0"/>
        <w:keepNext w:val="0"/>
        <w:pageBreakBefore w:val="0"/>
        <w:widowControl w:val="off"/>
        <w:rPr>
          <w:rFonts w:ascii="Times New Roman" w:hAnsi="Times New Roman" w:eastAsia="黑体" w:cs="Times New Roman"/>
          <w:sz w:val="21"/>
          <w:szCs w:val="21"/>
          <w:highlight w:val="none"/>
          <w:lang w:val="en-US" w:eastAsia="zh-CN" w:bidi="ar-SA"/>
        </w:rPr>
        <w:outlineLvl w:val="0"/>
      </w:pPr>
      <w:r>
        <w:rPr>
          <w:szCs w:val="21"/>
          <w:highlight w:val="none"/>
        </w:rPr>
        <w:br w:type="page" w:clear="all"/>
      </w:r>
      <w:bookmarkStart w:id="310" w:name="_Toc426033513"/>
      <w:r/>
      <w:bookmarkStart w:id="311" w:name="_Toc25200"/>
      <w:r/>
      <w:bookmarkStart w:id="312" w:name="_Toc6642"/>
      <w:r/>
      <w:bookmarkStart w:id="313" w:name="_Toc13421"/>
      <w:r/>
      <w:bookmarkStart w:id="314" w:name="_Toc454978644"/>
      <w:r/>
      <w:bookmarkStart w:id="315" w:name="_Toc426096998"/>
      <w:r/>
      <w:bookmarkStart w:id="316" w:name="_Toc30250"/>
      <w:r/>
      <w:bookmarkStart w:id="317" w:name="_Toc13380"/>
      <w:r>
        <w:rPr>
          <w:rFonts w:ascii="Times New Roman" w:hAnsi="Times New Roman" w:eastAsia="黑体" w:cs="Times New Roman"/>
          <w:sz w:val="21"/>
          <w:szCs w:val="21"/>
          <w:highlight w:val="none"/>
          <w:lang w:val="en-US" w:eastAsia="zh-CN" w:bidi="ar-SA"/>
        </w:rPr>
        <w:t xml:space="preserve">3</w:t>
      </w:r>
      <w:r>
        <w:rPr>
          <w:rFonts w:hint="eastAsia" w:ascii="Times New Roman" w:hAnsi="Times New Roman" w:eastAsia="黑体" w:cs="Times New Roman"/>
          <w:sz w:val="21"/>
          <w:szCs w:val="21"/>
          <w:highlight w:val="none"/>
          <w:lang w:val="en-US" w:eastAsia="zh-CN" w:bidi="ar-SA"/>
        </w:rPr>
        <w:t xml:space="preserve">　</w:t>
      </w:r>
      <w:bookmarkEnd w:id="310"/>
      <w:r>
        <w:rPr>
          <w:rFonts w:hint="eastAsia" w:ascii="Times New Roman" w:hAnsi="Times New Roman" w:eastAsia="黑体" w:cs="Times New Roman"/>
          <w:sz w:val="21"/>
          <w:szCs w:val="21"/>
          <w:highlight w:val="none"/>
          <w:lang w:val="en-US" w:eastAsia="zh-CN" w:bidi="ar-SA"/>
        </w:rPr>
        <w:t xml:space="preserve">使用环境条件表</w:t>
      </w:r>
      <w:bookmarkEnd w:id="311"/>
      <w:r/>
      <w:bookmarkEnd w:id="312"/>
      <w:r/>
      <w:bookmarkEnd w:id="313"/>
      <w:r/>
      <w:bookmarkEnd w:id="314"/>
      <w:r/>
      <w:bookmarkEnd w:id="315"/>
      <w:r/>
      <w:bookmarkEnd w:id="316"/>
      <w:r/>
      <w:bookmarkEnd w:id="317"/>
      <w:r/>
      <w:r/>
    </w:p>
    <w:p>
      <w:pPr>
        <w:ind w:firstLine="425"/>
        <w:rPr>
          <w:szCs w:val="21"/>
          <w:highlight w:val="none"/>
        </w:rPr>
      </w:pPr>
      <w:r>
        <w:rPr>
          <w:szCs w:val="21"/>
          <w:highlight w:val="none"/>
        </w:rPr>
        <w:t xml:space="preserve">10kV</w:t>
      </w:r>
      <w:r>
        <w:rPr>
          <w:rFonts w:hint="eastAsia"/>
          <w:szCs w:val="21"/>
          <w:highlight w:val="none"/>
        </w:rPr>
        <w:t xml:space="preserve">欧式箱式变电站专用技术规范使用环境条件见表</w:t>
      </w:r>
      <w:r>
        <w:rPr>
          <w:szCs w:val="21"/>
          <w:highlight w:val="none"/>
        </w:rPr>
        <w:t xml:space="preserve">2。特殊环境要求根据项目情况进行编制。</w:t>
      </w:r>
      <w:r/>
    </w:p>
    <w:p>
      <w:pPr>
        <w:pStyle w:val="1152"/>
        <w:tabs>
          <w:tab w:val="center" w:pos="4706" w:leader="none"/>
          <w:tab w:val="right" w:pos="9214" w:leader="none"/>
        </w:tabs>
        <w:rPr>
          <w:highlight w:val="none"/>
        </w:rPr>
      </w:pPr>
      <w:r>
        <w:rPr>
          <w:rFonts w:hint="eastAsia"/>
          <w:spacing w:val="30"/>
          <w:highlight w:val="none"/>
        </w:rPr>
        <w:t xml:space="preserve">表</w:t>
      </w:r>
      <w:r>
        <w:rPr>
          <w:spacing w:val="30"/>
          <w:highlight w:val="none"/>
        </w:rPr>
        <w:t xml:space="preserve">2　使用环境条件表</w:t>
      </w:r>
      <w:r/>
    </w:p>
    <w:tbl>
      <w:tblPr>
        <w:tblStyle w:val="827"/>
        <w:tblW w:w="941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1444"/>
        <w:gridCol w:w="70"/>
        <w:gridCol w:w="2347"/>
        <w:gridCol w:w="1429"/>
        <w:gridCol w:w="3023"/>
      </w:tblGrid>
      <w:tr>
        <w:trPr>
          <w:jc w:val="center"/>
        </w:trPr>
        <w:tc>
          <w:tcPr>
            <w:tcBorders>
              <w:top w:val="single" w:color="auto" w:sz="8" w:space="0"/>
              <w:bottom w:val="single" w:color="auto" w:sz="8" w:space="0"/>
            </w:tcBorders>
            <w:tcW w:w="1098" w:type="dxa"/>
            <w:vAlign w:val="center"/>
            <w:textDirection w:val="lrTb"/>
            <w:noWrap w:val="false"/>
          </w:tcPr>
          <w:p>
            <w:pPr>
              <w:jc w:val="center"/>
              <w:rPr>
                <w:sz w:val="18"/>
                <w:szCs w:val="18"/>
                <w:highlight w:val="none"/>
              </w:rPr>
            </w:pPr>
            <w:r>
              <w:rPr>
                <w:sz w:val="18"/>
                <w:szCs w:val="18"/>
                <w:highlight w:val="none"/>
              </w:rPr>
              <w:t xml:space="preserve">序号</w:t>
            </w:r>
            <w:r/>
          </w:p>
        </w:tc>
        <w:tc>
          <w:tcPr>
            <w:gridSpan w:val="3"/>
            <w:tcBorders>
              <w:top w:val="single" w:color="auto" w:sz="8" w:space="0"/>
              <w:bottom w:val="single" w:color="auto" w:sz="8" w:space="0"/>
            </w:tcBorders>
            <w:tcW w:w="3861" w:type="dxa"/>
            <w:vAlign w:val="center"/>
            <w:textDirection w:val="lrTb"/>
            <w:noWrap w:val="false"/>
          </w:tcPr>
          <w:p>
            <w:pPr>
              <w:jc w:val="center"/>
              <w:rPr>
                <w:sz w:val="18"/>
                <w:szCs w:val="18"/>
                <w:highlight w:val="none"/>
              </w:rPr>
            </w:pPr>
            <w:r>
              <w:rPr>
                <w:sz w:val="18"/>
                <w:szCs w:val="18"/>
                <w:highlight w:val="none"/>
              </w:rPr>
              <w:t xml:space="preserve">名　　称</w:t>
            </w:r>
            <w:r/>
          </w:p>
        </w:tc>
        <w:tc>
          <w:tcPr>
            <w:tcBorders>
              <w:top w:val="single" w:color="auto" w:sz="8" w:space="0"/>
              <w:bottom w:val="single" w:color="auto" w:sz="8" w:space="0"/>
            </w:tcBorders>
            <w:tcW w:w="1429" w:type="dxa"/>
            <w:vAlign w:val="center"/>
            <w:textDirection w:val="lrTb"/>
            <w:noWrap w:val="false"/>
          </w:tcPr>
          <w:p>
            <w:pPr>
              <w:jc w:val="center"/>
              <w:rPr>
                <w:sz w:val="18"/>
                <w:szCs w:val="18"/>
                <w:highlight w:val="none"/>
              </w:rPr>
            </w:pPr>
            <w:r>
              <w:rPr>
                <w:sz w:val="18"/>
                <w:szCs w:val="18"/>
                <w:highlight w:val="none"/>
              </w:rPr>
              <w:t xml:space="preserve">单位</w:t>
            </w:r>
            <w:r/>
          </w:p>
        </w:tc>
        <w:tc>
          <w:tcPr>
            <w:tcBorders>
              <w:top w:val="single" w:color="auto" w:sz="8" w:space="0"/>
              <w:bottom w:val="single" w:color="auto" w:sz="8" w:space="0"/>
            </w:tcBorders>
            <w:tcW w:w="3023" w:type="dxa"/>
            <w:vAlign w:val="center"/>
            <w:textDirection w:val="lrTb"/>
            <w:noWrap w:val="false"/>
          </w:tcPr>
          <w:p>
            <w:pPr>
              <w:jc w:val="center"/>
              <w:rPr>
                <w:sz w:val="18"/>
                <w:szCs w:val="18"/>
                <w:highlight w:val="none"/>
              </w:rPr>
            </w:pPr>
            <w:r>
              <w:rPr>
                <w:rFonts w:hint="eastAsia"/>
                <w:sz w:val="18"/>
                <w:szCs w:val="18"/>
                <w:highlight w:val="none"/>
              </w:rPr>
              <w:t xml:space="preserve">项目需求值</w:t>
            </w:r>
            <w:r/>
          </w:p>
        </w:tc>
      </w:tr>
      <w:tr>
        <w:trPr>
          <w:jc w:val="center"/>
        </w:trPr>
        <w:tc>
          <w:tcPr>
            <w:tcBorders>
              <w:top w:val="single" w:color="auto" w:sz="8" w:space="0"/>
            </w:tcBorders>
            <w:tcW w:w="1098" w:type="dxa"/>
            <w:vAlign w:val="center"/>
            <w:textDirection w:val="lrTb"/>
            <w:noWrap w:val="false"/>
          </w:tcPr>
          <w:p>
            <w:pPr>
              <w:jc w:val="center"/>
              <w:rPr>
                <w:sz w:val="18"/>
                <w:szCs w:val="18"/>
                <w:highlight w:val="none"/>
              </w:rPr>
            </w:pPr>
            <w:r>
              <w:rPr>
                <w:sz w:val="18"/>
                <w:szCs w:val="18"/>
                <w:highlight w:val="none"/>
              </w:rPr>
              <w:t xml:space="preserve">1</w:t>
            </w:r>
            <w:r/>
          </w:p>
        </w:tc>
        <w:tc>
          <w:tcPr>
            <w:gridSpan w:val="3"/>
            <w:tcBorders>
              <w:top w:val="single" w:color="auto" w:sz="8" w:space="0"/>
            </w:tcBorders>
            <w:tcW w:w="3861" w:type="dxa"/>
            <w:vAlign w:val="center"/>
            <w:textDirection w:val="lrTb"/>
            <w:noWrap w:val="false"/>
          </w:tcPr>
          <w:p>
            <w:pPr>
              <w:jc w:val="center"/>
              <w:rPr>
                <w:sz w:val="18"/>
                <w:szCs w:val="18"/>
                <w:highlight w:val="none"/>
              </w:rPr>
            </w:pPr>
            <w:r>
              <w:rPr>
                <w:rFonts w:hint="eastAsia"/>
                <w:sz w:val="18"/>
                <w:szCs w:val="18"/>
                <w:highlight w:val="none"/>
              </w:rPr>
              <w:t xml:space="preserve">额定</w:t>
            </w:r>
            <w:r>
              <w:rPr>
                <w:sz w:val="18"/>
                <w:szCs w:val="18"/>
                <w:highlight w:val="none"/>
              </w:rPr>
              <w:t xml:space="preserve">电压</w:t>
            </w:r>
            <w:r/>
          </w:p>
        </w:tc>
        <w:tc>
          <w:tcPr>
            <w:tcBorders>
              <w:top w:val="single" w:color="auto" w:sz="8" w:space="0"/>
            </w:tcBorders>
            <w:tcW w:w="1429" w:type="dxa"/>
            <w:vAlign w:val="center"/>
            <w:textDirection w:val="lrTb"/>
            <w:noWrap w:val="false"/>
          </w:tcPr>
          <w:p>
            <w:pPr>
              <w:jc w:val="center"/>
              <w:rPr>
                <w:sz w:val="18"/>
                <w:szCs w:val="18"/>
                <w:highlight w:val="none"/>
              </w:rPr>
            </w:pPr>
            <w:r>
              <w:rPr>
                <w:sz w:val="18"/>
                <w:szCs w:val="18"/>
                <w:highlight w:val="none"/>
              </w:rPr>
              <w:t xml:space="preserve">kV</w:t>
            </w:r>
            <w:r/>
          </w:p>
        </w:tc>
        <w:tc>
          <w:tcPr>
            <w:tcBorders>
              <w:top w:val="single" w:color="auto" w:sz="8" w:space="0"/>
            </w:tcBorders>
            <w:tcW w:w="3023" w:type="dxa"/>
            <w:vAlign w:val="center"/>
            <w:textDirection w:val="lrTb"/>
            <w:noWrap w:val="false"/>
          </w:tcPr>
          <w:p>
            <w:pPr>
              <w:jc w:val="center"/>
              <w:rPr>
                <w:sz w:val="18"/>
                <w:szCs w:val="18"/>
                <w:highlight w:val="none"/>
              </w:rPr>
            </w:pPr>
            <w:r>
              <w:rPr>
                <w:sz w:val="18"/>
                <w:szCs w:val="18"/>
                <w:highlight w:val="none"/>
              </w:rPr>
              <w:t xml:space="preserve">10</w:t>
            </w:r>
            <w:r/>
          </w:p>
        </w:tc>
      </w:tr>
      <w:tr>
        <w:trPr>
          <w:jc w:val="center"/>
        </w:trPr>
        <w:tc>
          <w:tcPr>
            <w:tcW w:w="1098" w:type="dxa"/>
            <w:vAlign w:val="center"/>
            <w:textDirection w:val="lrTb"/>
            <w:noWrap w:val="false"/>
          </w:tcPr>
          <w:p>
            <w:pPr>
              <w:jc w:val="center"/>
              <w:rPr>
                <w:sz w:val="18"/>
                <w:szCs w:val="18"/>
                <w:highlight w:val="none"/>
              </w:rPr>
            </w:pPr>
            <w:r>
              <w:rPr>
                <w:sz w:val="18"/>
                <w:szCs w:val="18"/>
                <w:highlight w:val="none"/>
              </w:rPr>
              <w:t xml:space="preserve">2</w:t>
            </w:r>
            <w:r/>
          </w:p>
        </w:tc>
        <w:tc>
          <w:tcPr>
            <w:gridSpan w:val="3"/>
            <w:tcW w:w="3861" w:type="dxa"/>
            <w:vAlign w:val="center"/>
            <w:textDirection w:val="lrTb"/>
            <w:noWrap w:val="false"/>
          </w:tcPr>
          <w:p>
            <w:pPr>
              <w:jc w:val="center"/>
              <w:rPr>
                <w:sz w:val="18"/>
                <w:szCs w:val="18"/>
                <w:highlight w:val="none"/>
              </w:rPr>
            </w:pPr>
            <w:r>
              <w:rPr>
                <w:sz w:val="18"/>
                <w:szCs w:val="18"/>
                <w:highlight w:val="none"/>
              </w:rPr>
              <w:t xml:space="preserve">最高运行电压</w:t>
            </w:r>
            <w:r/>
          </w:p>
        </w:tc>
        <w:tc>
          <w:tcPr>
            <w:tcW w:w="1429" w:type="dxa"/>
            <w:vAlign w:val="center"/>
            <w:textDirection w:val="lrTb"/>
            <w:noWrap w:val="false"/>
          </w:tcPr>
          <w:p>
            <w:pPr>
              <w:jc w:val="center"/>
              <w:rPr>
                <w:sz w:val="18"/>
                <w:szCs w:val="18"/>
                <w:highlight w:val="none"/>
              </w:rPr>
            </w:pPr>
            <w:r>
              <w:rPr>
                <w:sz w:val="18"/>
                <w:szCs w:val="18"/>
                <w:highlight w:val="none"/>
              </w:rPr>
              <w:t xml:space="preserve">kV</w:t>
            </w:r>
            <w:r/>
          </w:p>
        </w:tc>
        <w:tc>
          <w:tcPr>
            <w:tcW w:w="3023" w:type="dxa"/>
            <w:vAlign w:val="center"/>
            <w:textDirection w:val="lrTb"/>
            <w:noWrap w:val="false"/>
          </w:tcPr>
          <w:p>
            <w:pPr>
              <w:jc w:val="center"/>
              <w:rPr>
                <w:sz w:val="18"/>
                <w:szCs w:val="18"/>
                <w:highlight w:val="none"/>
              </w:rPr>
            </w:pPr>
            <w:r>
              <w:rPr>
                <w:sz w:val="18"/>
                <w:szCs w:val="18"/>
                <w:highlight w:val="none"/>
              </w:rPr>
              <w:t xml:space="preserve">12</w:t>
            </w:r>
            <w:r/>
          </w:p>
        </w:tc>
      </w:tr>
      <w:tr>
        <w:trPr>
          <w:jc w:val="center"/>
        </w:trPr>
        <w:tc>
          <w:tcPr>
            <w:tcW w:w="1098" w:type="dxa"/>
            <w:vAlign w:val="center"/>
            <w:textDirection w:val="lrTb"/>
            <w:noWrap w:val="false"/>
          </w:tcPr>
          <w:p>
            <w:pPr>
              <w:jc w:val="center"/>
              <w:rPr>
                <w:sz w:val="18"/>
                <w:szCs w:val="18"/>
                <w:highlight w:val="none"/>
              </w:rPr>
            </w:pPr>
            <w:r>
              <w:rPr>
                <w:sz w:val="18"/>
                <w:szCs w:val="18"/>
                <w:highlight w:val="none"/>
              </w:rPr>
              <w:t xml:space="preserve">3</w:t>
            </w:r>
            <w:r/>
          </w:p>
        </w:tc>
        <w:tc>
          <w:tcPr>
            <w:gridSpan w:val="3"/>
            <w:tcW w:w="3861" w:type="dxa"/>
            <w:vAlign w:val="center"/>
            <w:textDirection w:val="lrTb"/>
            <w:noWrap w:val="false"/>
          </w:tcPr>
          <w:p>
            <w:pPr>
              <w:jc w:val="center"/>
              <w:rPr>
                <w:sz w:val="18"/>
                <w:szCs w:val="18"/>
                <w:highlight w:val="none"/>
              </w:rPr>
            </w:pPr>
            <w:r>
              <w:rPr>
                <w:sz w:val="18"/>
                <w:szCs w:val="18"/>
                <w:highlight w:val="none"/>
              </w:rPr>
              <w:t xml:space="preserve">系统中性点接地方式</w:t>
            </w:r>
            <w:r/>
          </w:p>
        </w:tc>
        <w:tc>
          <w:tcPr>
            <w:tcW w:w="1429" w:type="dxa"/>
            <w:vAlign w:val="center"/>
            <w:textDirection w:val="lrTb"/>
            <w:noWrap w:val="false"/>
          </w:tcPr>
          <w:p>
            <w:pPr>
              <w:jc w:val="center"/>
              <w:rPr>
                <w:sz w:val="18"/>
                <w:szCs w:val="18"/>
                <w:highlight w:val="none"/>
              </w:rPr>
            </w:pPr>
            <w:r>
              <w:rPr>
                <w:sz w:val="18"/>
                <w:szCs w:val="18"/>
                <w:highlight w:val="none"/>
              </w:rPr>
            </w:r>
            <w:r/>
          </w:p>
        </w:tc>
        <w:tc>
          <w:tcPr>
            <w:tcW w:w="3023" w:type="dxa"/>
            <w:vAlign w:val="center"/>
            <w:textDirection w:val="lrTb"/>
            <w:noWrap w:val="false"/>
          </w:tcPr>
          <w:p>
            <w:pPr>
              <w:jc w:val="center"/>
              <w:rPr>
                <w:sz w:val="18"/>
                <w:szCs w:val="18"/>
                <w:highlight w:val="none"/>
              </w:rPr>
            </w:pPr>
            <w:r>
              <w:rPr>
                <w:rFonts w:hint="eastAsia"/>
                <w:sz w:val="18"/>
                <w:szCs w:val="18"/>
                <w:highlight w:val="none"/>
              </w:rPr>
              <w:t xml:space="preserve">中性点非有效接地</w:t>
            </w:r>
            <w:r/>
          </w:p>
        </w:tc>
      </w:tr>
      <w:tr>
        <w:trPr>
          <w:jc w:val="center"/>
        </w:trPr>
        <w:tc>
          <w:tcPr>
            <w:tcW w:w="1098" w:type="dxa"/>
            <w:vAlign w:val="center"/>
            <w:textDirection w:val="lrTb"/>
            <w:noWrap w:val="false"/>
          </w:tcPr>
          <w:p>
            <w:pPr>
              <w:jc w:val="center"/>
              <w:rPr>
                <w:sz w:val="18"/>
                <w:szCs w:val="18"/>
                <w:highlight w:val="none"/>
              </w:rPr>
            </w:pPr>
            <w:r>
              <w:rPr>
                <w:sz w:val="18"/>
                <w:szCs w:val="18"/>
                <w:highlight w:val="none"/>
              </w:rPr>
              <w:t xml:space="preserve">4</w:t>
            </w:r>
            <w:r/>
          </w:p>
        </w:tc>
        <w:tc>
          <w:tcPr>
            <w:gridSpan w:val="3"/>
            <w:tcW w:w="3861" w:type="dxa"/>
            <w:vAlign w:val="center"/>
            <w:textDirection w:val="lrTb"/>
            <w:noWrap w:val="false"/>
          </w:tcPr>
          <w:p>
            <w:pPr>
              <w:jc w:val="center"/>
              <w:rPr>
                <w:sz w:val="18"/>
                <w:szCs w:val="18"/>
                <w:highlight w:val="none"/>
              </w:rPr>
            </w:pPr>
            <w:r>
              <w:rPr>
                <w:rFonts w:hint="eastAsia"/>
                <w:sz w:val="18"/>
                <w:szCs w:val="18"/>
                <w:highlight w:val="none"/>
              </w:rPr>
              <w:t xml:space="preserve">额定</w:t>
            </w:r>
            <w:r>
              <w:rPr>
                <w:sz w:val="18"/>
                <w:szCs w:val="18"/>
                <w:highlight w:val="none"/>
              </w:rPr>
              <w:t xml:space="preserve">频率</w:t>
            </w:r>
            <w:r/>
          </w:p>
        </w:tc>
        <w:tc>
          <w:tcPr>
            <w:tcW w:w="1429" w:type="dxa"/>
            <w:vAlign w:val="center"/>
            <w:textDirection w:val="lrTb"/>
            <w:noWrap w:val="false"/>
          </w:tcPr>
          <w:p>
            <w:pPr>
              <w:jc w:val="center"/>
              <w:rPr>
                <w:sz w:val="18"/>
                <w:szCs w:val="18"/>
                <w:highlight w:val="none"/>
              </w:rPr>
            </w:pPr>
            <w:r>
              <w:rPr>
                <w:sz w:val="18"/>
                <w:szCs w:val="18"/>
                <w:highlight w:val="none"/>
              </w:rPr>
              <w:t xml:space="preserve">Hz</w:t>
            </w:r>
            <w:r/>
          </w:p>
        </w:tc>
        <w:tc>
          <w:tcPr>
            <w:tcW w:w="3023" w:type="dxa"/>
            <w:vAlign w:val="center"/>
            <w:textDirection w:val="lrTb"/>
            <w:noWrap w:val="false"/>
          </w:tcPr>
          <w:p>
            <w:pPr>
              <w:jc w:val="center"/>
              <w:rPr>
                <w:sz w:val="18"/>
                <w:szCs w:val="18"/>
                <w:highlight w:val="none"/>
              </w:rPr>
            </w:pPr>
            <w:r>
              <w:rPr>
                <w:sz w:val="18"/>
                <w:szCs w:val="18"/>
                <w:highlight w:val="none"/>
              </w:rPr>
              <w:t xml:space="preserve">50</w:t>
            </w:r>
            <w:r/>
          </w:p>
        </w:tc>
      </w:tr>
      <w:tr>
        <w:trPr>
          <w:jc w:val="center"/>
        </w:trPr>
        <w:tc>
          <w:tcPr>
            <w:tcW w:w="1098" w:type="dxa"/>
            <w:vAlign w:val="center"/>
            <w:textDirection w:val="lrTb"/>
            <w:noWrap w:val="false"/>
          </w:tcPr>
          <w:p>
            <w:pPr>
              <w:jc w:val="center"/>
              <w:rPr>
                <w:sz w:val="18"/>
                <w:szCs w:val="18"/>
                <w:highlight w:val="none"/>
              </w:rPr>
            </w:pPr>
            <w:r>
              <w:rPr>
                <w:sz w:val="18"/>
                <w:szCs w:val="18"/>
                <w:highlight w:val="none"/>
              </w:rPr>
              <w:t xml:space="preserve">5</w:t>
            </w:r>
            <w:r/>
          </w:p>
        </w:tc>
        <w:tc>
          <w:tcPr>
            <w:gridSpan w:val="3"/>
            <w:tcW w:w="3861" w:type="dxa"/>
            <w:vAlign w:val="center"/>
            <w:textDirection w:val="lrTb"/>
            <w:noWrap w:val="false"/>
          </w:tcPr>
          <w:p>
            <w:pPr>
              <w:jc w:val="center"/>
              <w:rPr>
                <w:sz w:val="18"/>
                <w:szCs w:val="18"/>
                <w:highlight w:val="none"/>
              </w:rPr>
            </w:pPr>
            <w:r>
              <w:rPr>
                <w:rFonts w:hint="eastAsia"/>
                <w:sz w:val="18"/>
                <w:szCs w:val="18"/>
                <w:highlight w:val="none"/>
              </w:rPr>
              <w:t xml:space="preserve">污秽等级</w:t>
            </w:r>
            <w:r/>
          </w:p>
        </w:tc>
        <w:tc>
          <w:tcPr>
            <w:tcW w:w="1429" w:type="dxa"/>
            <w:vAlign w:val="center"/>
            <w:textDirection w:val="lrTb"/>
            <w:noWrap w:val="false"/>
          </w:tcPr>
          <w:p>
            <w:pPr>
              <w:jc w:val="center"/>
              <w:rPr>
                <w:sz w:val="18"/>
                <w:szCs w:val="18"/>
                <w:highlight w:val="none"/>
              </w:rPr>
            </w:pPr>
            <w:r>
              <w:rPr>
                <w:sz w:val="18"/>
                <w:szCs w:val="18"/>
                <w:highlight w:val="none"/>
              </w:rPr>
            </w:r>
            <w:r/>
          </w:p>
        </w:tc>
        <w:tc>
          <w:tcPr>
            <w:tcW w:w="3023" w:type="dxa"/>
            <w:vAlign w:val="center"/>
            <w:textDirection w:val="lrTb"/>
            <w:noWrap w:val="false"/>
          </w:tcPr>
          <w:p>
            <w:pPr>
              <w:jc w:val="center"/>
              <w:rPr>
                <w:sz w:val="18"/>
                <w:szCs w:val="18"/>
                <w:highlight w:val="none"/>
              </w:rPr>
            </w:pPr>
            <w:r>
              <w:rPr>
                <w:sz w:val="18"/>
                <w:szCs w:val="18"/>
                <w:highlight w:val="none"/>
              </w:rPr>
              <w:t xml:space="preserve">d</w:t>
            </w:r>
            <w:r/>
          </w:p>
        </w:tc>
      </w:tr>
      <w:tr>
        <w:trPr>
          <w:jc w:val="center"/>
        </w:trPr>
        <w:tc>
          <w:tcPr>
            <w:tcW w:w="1098" w:type="dxa"/>
            <w:vAlign w:val="center"/>
            <w:vMerge w:val="restart"/>
            <w:textDirection w:val="lrTb"/>
            <w:noWrap w:val="false"/>
          </w:tcPr>
          <w:p>
            <w:pPr>
              <w:jc w:val="center"/>
              <w:rPr>
                <w:sz w:val="18"/>
                <w:szCs w:val="18"/>
                <w:highlight w:val="none"/>
              </w:rPr>
            </w:pPr>
            <w:r>
              <w:rPr>
                <w:sz w:val="18"/>
                <w:szCs w:val="18"/>
                <w:highlight w:val="none"/>
              </w:rPr>
              <w:t xml:space="preserve">6</w:t>
            </w:r>
            <w:r/>
          </w:p>
        </w:tc>
        <w:tc>
          <w:tcPr>
            <w:gridSpan w:val="2"/>
            <w:tcW w:w="1514" w:type="dxa"/>
            <w:vAlign w:val="center"/>
            <w:vMerge w:val="restart"/>
            <w:textDirection w:val="lrTb"/>
            <w:noWrap w:val="false"/>
          </w:tcPr>
          <w:p>
            <w:pPr>
              <w:jc w:val="center"/>
              <w:rPr>
                <w:sz w:val="18"/>
                <w:szCs w:val="18"/>
                <w:highlight w:val="none"/>
              </w:rPr>
            </w:pPr>
            <w:r>
              <w:rPr>
                <w:sz w:val="18"/>
                <w:szCs w:val="18"/>
                <w:highlight w:val="none"/>
              </w:rPr>
              <w:t xml:space="preserve">环境温度</w:t>
            </w:r>
            <w:r/>
          </w:p>
        </w:tc>
        <w:tc>
          <w:tcPr>
            <w:tcW w:w="2347" w:type="dxa"/>
            <w:vAlign w:val="center"/>
            <w:textDirection w:val="lrTb"/>
            <w:noWrap w:val="false"/>
          </w:tcPr>
          <w:p>
            <w:pPr>
              <w:jc w:val="center"/>
              <w:rPr>
                <w:sz w:val="18"/>
                <w:szCs w:val="18"/>
                <w:highlight w:val="none"/>
              </w:rPr>
            </w:pPr>
            <w:r>
              <w:rPr>
                <w:sz w:val="18"/>
                <w:szCs w:val="18"/>
                <w:highlight w:val="none"/>
              </w:rPr>
              <w:t xml:space="preserve">最高日温度</w:t>
            </w:r>
            <w:r/>
          </w:p>
        </w:tc>
        <w:tc>
          <w:tcPr>
            <w:tcW w:w="1429" w:type="dxa"/>
            <w:vAlign w:val="center"/>
            <w:vMerge w:val="restart"/>
            <w:textDirection w:val="lrTb"/>
            <w:noWrap w:val="false"/>
          </w:tcPr>
          <w:p>
            <w:pPr>
              <w:jc w:val="center"/>
              <w:rPr>
                <w:sz w:val="18"/>
                <w:szCs w:val="18"/>
                <w:highlight w:val="none"/>
              </w:rPr>
            </w:pPr>
            <w:r>
              <w:rPr>
                <w:rFonts w:hint="eastAsia"/>
                <w:sz w:val="18"/>
                <w:szCs w:val="18"/>
                <w:highlight w:val="none"/>
              </w:rPr>
              <w:t xml:space="preserve">℃</w:t>
            </w:r>
            <w:r/>
          </w:p>
        </w:tc>
        <w:tc>
          <w:tcPr>
            <w:tcW w:w="3023" w:type="dxa"/>
            <w:vAlign w:val="center"/>
            <w:vMerge w:val="restart"/>
            <w:textDirection w:val="lrTb"/>
            <w:noWrap w:val="false"/>
          </w:tcPr>
          <w:p>
            <w:pPr>
              <w:jc w:val="center"/>
              <w:rPr>
                <w:sz w:val="18"/>
                <w:szCs w:val="18"/>
                <w:highlight w:val="none"/>
              </w:rPr>
            </w:pPr>
            <w:r>
              <w:rPr>
                <w:sz w:val="18"/>
                <w:szCs w:val="18"/>
                <w:highlight w:val="none"/>
              </w:rPr>
              <w:t xml:space="preserve">40</w:t>
            </w:r>
            <w:r/>
          </w:p>
        </w:tc>
      </w:tr>
      <w:tr>
        <w:trPr>
          <w:jc w:val="center"/>
        </w:trPr>
        <w:tc>
          <w:tcPr>
            <w:tcW w:w="1098" w:type="dxa"/>
            <w:vAlign w:val="center"/>
            <w:vMerge w:val="continue"/>
            <w:textDirection w:val="lrTb"/>
            <w:noWrap w:val="false"/>
          </w:tcPr>
          <w:p>
            <w:pPr>
              <w:jc w:val="center"/>
              <w:rPr>
                <w:sz w:val="18"/>
                <w:szCs w:val="18"/>
                <w:highlight w:val="none"/>
              </w:rPr>
            </w:pPr>
            <w:r>
              <w:rPr>
                <w:sz w:val="18"/>
                <w:szCs w:val="18"/>
                <w:highlight w:val="none"/>
              </w:rPr>
            </w:r>
            <w:r/>
          </w:p>
        </w:tc>
        <w:tc>
          <w:tcPr>
            <w:gridSpan w:val="2"/>
            <w:tcW w:w="1514" w:type="dxa"/>
            <w:vAlign w:val="center"/>
            <w:vMerge w:val="continue"/>
            <w:textDirection w:val="lrTb"/>
            <w:noWrap w:val="false"/>
          </w:tcPr>
          <w:p>
            <w:pPr>
              <w:jc w:val="center"/>
              <w:rPr>
                <w:sz w:val="18"/>
                <w:szCs w:val="18"/>
                <w:highlight w:val="none"/>
              </w:rPr>
            </w:pPr>
            <w:r>
              <w:rPr>
                <w:sz w:val="18"/>
                <w:szCs w:val="18"/>
                <w:highlight w:val="none"/>
              </w:rPr>
            </w:r>
            <w:r/>
          </w:p>
        </w:tc>
        <w:tc>
          <w:tcPr>
            <w:tcW w:w="2347" w:type="dxa"/>
            <w:vAlign w:val="center"/>
            <w:textDirection w:val="lrTb"/>
            <w:noWrap w:val="false"/>
          </w:tcPr>
          <w:p>
            <w:pPr>
              <w:jc w:val="center"/>
              <w:rPr>
                <w:sz w:val="18"/>
                <w:szCs w:val="18"/>
                <w:highlight w:val="none"/>
              </w:rPr>
            </w:pPr>
            <w:r>
              <w:rPr>
                <w:rFonts w:hint="eastAsia"/>
                <w:sz w:val="18"/>
                <w:szCs w:val="18"/>
                <w:highlight w:val="none"/>
              </w:rPr>
              <w:t xml:space="preserve">最低日温度</w:t>
            </w:r>
            <w:r/>
          </w:p>
        </w:tc>
        <w:tc>
          <w:tcPr>
            <w:tcW w:w="1429" w:type="dxa"/>
            <w:vAlign w:val="center"/>
            <w:vMerge w:val="continue"/>
            <w:textDirection w:val="lrTb"/>
            <w:noWrap w:val="false"/>
          </w:tcPr>
          <w:p>
            <w:pPr>
              <w:jc w:val="center"/>
              <w:rPr>
                <w:sz w:val="18"/>
                <w:szCs w:val="18"/>
                <w:highlight w:val="none"/>
              </w:rPr>
            </w:pPr>
            <w:r>
              <w:rPr>
                <w:sz w:val="18"/>
                <w:szCs w:val="18"/>
                <w:highlight w:val="none"/>
              </w:rPr>
            </w:r>
            <w:r/>
          </w:p>
        </w:tc>
        <w:tc>
          <w:tcPr>
            <w:tcW w:w="3023" w:type="dxa"/>
            <w:vAlign w:val="center"/>
            <w:textDirection w:val="lrTb"/>
            <w:noWrap w:val="false"/>
          </w:tcPr>
          <w:p>
            <w:pPr>
              <w:jc w:val="center"/>
              <w:rPr>
                <w:sz w:val="18"/>
                <w:szCs w:val="18"/>
                <w:highlight w:val="none"/>
              </w:rPr>
            </w:pPr>
            <w:r>
              <w:rPr>
                <w:sz w:val="18"/>
                <w:szCs w:val="18"/>
                <w:highlight w:val="none"/>
              </w:rPr>
              <w:t xml:space="preserve">-40</w:t>
            </w:r>
            <w:r/>
          </w:p>
        </w:tc>
      </w:tr>
      <w:tr>
        <w:trPr>
          <w:jc w:val="center"/>
        </w:trPr>
        <w:tc>
          <w:tcPr>
            <w:tcW w:w="1098" w:type="dxa"/>
            <w:vAlign w:val="center"/>
            <w:vMerge w:val="continue"/>
            <w:textDirection w:val="lrTb"/>
            <w:noWrap w:val="false"/>
          </w:tcPr>
          <w:p>
            <w:pPr>
              <w:jc w:val="center"/>
              <w:rPr>
                <w:sz w:val="18"/>
                <w:szCs w:val="18"/>
                <w:highlight w:val="none"/>
              </w:rPr>
            </w:pPr>
            <w:r>
              <w:rPr>
                <w:sz w:val="18"/>
                <w:szCs w:val="18"/>
                <w:highlight w:val="none"/>
              </w:rPr>
            </w:r>
            <w:r/>
          </w:p>
        </w:tc>
        <w:tc>
          <w:tcPr>
            <w:gridSpan w:val="2"/>
            <w:tcW w:w="1514" w:type="dxa"/>
            <w:vAlign w:val="center"/>
            <w:vMerge w:val="continue"/>
            <w:textDirection w:val="lrTb"/>
            <w:noWrap w:val="false"/>
          </w:tcPr>
          <w:p>
            <w:pPr>
              <w:jc w:val="center"/>
              <w:rPr>
                <w:sz w:val="18"/>
                <w:szCs w:val="18"/>
                <w:highlight w:val="none"/>
              </w:rPr>
            </w:pPr>
            <w:r>
              <w:rPr>
                <w:sz w:val="18"/>
                <w:szCs w:val="18"/>
                <w:highlight w:val="none"/>
              </w:rPr>
            </w:r>
            <w:r/>
          </w:p>
        </w:tc>
        <w:tc>
          <w:tcPr>
            <w:tcW w:w="2347" w:type="dxa"/>
            <w:vAlign w:val="center"/>
            <w:textDirection w:val="lrTb"/>
            <w:noWrap w:val="false"/>
          </w:tcPr>
          <w:p>
            <w:pPr>
              <w:jc w:val="center"/>
              <w:rPr>
                <w:sz w:val="18"/>
                <w:szCs w:val="18"/>
                <w:highlight w:val="none"/>
              </w:rPr>
            </w:pPr>
            <w:r>
              <w:rPr>
                <w:sz w:val="18"/>
                <w:szCs w:val="18"/>
                <w:highlight w:val="none"/>
              </w:rPr>
              <w:t xml:space="preserve">最大日温差</w:t>
            </w:r>
            <w:r/>
          </w:p>
        </w:tc>
        <w:tc>
          <w:tcPr>
            <w:tcW w:w="1429" w:type="dxa"/>
            <w:vAlign w:val="center"/>
            <w:textDirection w:val="lrTb"/>
            <w:noWrap w:val="false"/>
          </w:tcPr>
          <w:p>
            <w:pPr>
              <w:jc w:val="center"/>
              <w:rPr>
                <w:sz w:val="18"/>
                <w:szCs w:val="18"/>
                <w:highlight w:val="none"/>
              </w:rPr>
            </w:pPr>
            <w:r>
              <w:rPr>
                <w:sz w:val="18"/>
                <w:szCs w:val="18"/>
                <w:highlight w:val="none"/>
              </w:rPr>
              <w:t xml:space="preserve">K</w:t>
            </w:r>
            <w:r/>
          </w:p>
        </w:tc>
        <w:tc>
          <w:tcPr>
            <w:tcW w:w="3023" w:type="dxa"/>
            <w:vAlign w:val="center"/>
            <w:textDirection w:val="lrTb"/>
            <w:noWrap w:val="false"/>
          </w:tcPr>
          <w:p>
            <w:pPr>
              <w:jc w:val="center"/>
              <w:rPr>
                <w:sz w:val="18"/>
                <w:szCs w:val="18"/>
                <w:highlight w:val="none"/>
              </w:rPr>
            </w:pPr>
            <w:r>
              <w:rPr>
                <w:sz w:val="18"/>
                <w:szCs w:val="18"/>
                <w:highlight w:val="none"/>
              </w:rPr>
              <w:t xml:space="preserve">25</w:t>
            </w:r>
            <w:r/>
          </w:p>
        </w:tc>
      </w:tr>
      <w:tr>
        <w:trPr>
          <w:jc w:val="center"/>
        </w:trPr>
        <w:tc>
          <w:tcPr>
            <w:tcW w:w="1098" w:type="dxa"/>
            <w:vAlign w:val="center"/>
            <w:vMerge w:val="continue"/>
            <w:textDirection w:val="lrTb"/>
            <w:noWrap w:val="false"/>
          </w:tcPr>
          <w:p>
            <w:pPr>
              <w:jc w:val="center"/>
              <w:rPr>
                <w:sz w:val="18"/>
                <w:szCs w:val="18"/>
                <w:highlight w:val="none"/>
              </w:rPr>
            </w:pPr>
            <w:r>
              <w:rPr>
                <w:sz w:val="18"/>
                <w:szCs w:val="18"/>
                <w:highlight w:val="none"/>
              </w:rPr>
            </w:r>
            <w:r/>
          </w:p>
        </w:tc>
        <w:tc>
          <w:tcPr>
            <w:gridSpan w:val="2"/>
            <w:tcW w:w="1514" w:type="dxa"/>
            <w:vAlign w:val="center"/>
            <w:vMerge w:val="continue"/>
            <w:textDirection w:val="lrTb"/>
            <w:noWrap w:val="false"/>
          </w:tcPr>
          <w:p>
            <w:pPr>
              <w:jc w:val="center"/>
              <w:rPr>
                <w:sz w:val="18"/>
                <w:szCs w:val="18"/>
                <w:highlight w:val="none"/>
              </w:rPr>
            </w:pPr>
            <w:r>
              <w:rPr>
                <w:sz w:val="18"/>
                <w:szCs w:val="18"/>
                <w:highlight w:val="none"/>
              </w:rPr>
            </w:r>
            <w:r/>
          </w:p>
        </w:tc>
        <w:tc>
          <w:tcPr>
            <w:tcW w:w="2347" w:type="dxa"/>
            <w:vAlign w:val="center"/>
            <w:textDirection w:val="lrTb"/>
            <w:noWrap w:val="false"/>
          </w:tcPr>
          <w:p>
            <w:pPr>
              <w:jc w:val="center"/>
              <w:rPr>
                <w:sz w:val="18"/>
                <w:szCs w:val="18"/>
                <w:highlight w:val="none"/>
              </w:rPr>
            </w:pPr>
            <w:r>
              <w:rPr>
                <w:rFonts w:hint="eastAsia"/>
                <w:sz w:val="18"/>
                <w:szCs w:val="18"/>
                <w:highlight w:val="none"/>
              </w:rPr>
              <w:t xml:space="preserve">最热月平均温度</w:t>
            </w:r>
            <w:r/>
          </w:p>
        </w:tc>
        <w:tc>
          <w:tcPr>
            <w:tcW w:w="1429" w:type="dxa"/>
            <w:vAlign w:val="center"/>
            <w:vMerge w:val="restart"/>
            <w:textDirection w:val="lrTb"/>
            <w:noWrap w:val="false"/>
          </w:tcPr>
          <w:p>
            <w:pPr>
              <w:jc w:val="center"/>
              <w:rPr>
                <w:sz w:val="18"/>
                <w:szCs w:val="18"/>
                <w:highlight w:val="none"/>
              </w:rPr>
            </w:pPr>
            <w:r>
              <w:rPr>
                <w:rFonts w:hint="eastAsia"/>
                <w:sz w:val="18"/>
                <w:szCs w:val="18"/>
                <w:highlight w:val="none"/>
              </w:rPr>
              <w:t xml:space="preserve">℃</w:t>
            </w:r>
            <w:r/>
          </w:p>
        </w:tc>
        <w:tc>
          <w:tcPr>
            <w:tcW w:w="3023" w:type="dxa"/>
            <w:vAlign w:val="center"/>
            <w:vMerge w:val="restart"/>
            <w:textDirection w:val="lrTb"/>
            <w:noWrap w:val="false"/>
          </w:tcPr>
          <w:p>
            <w:pPr>
              <w:jc w:val="center"/>
              <w:rPr>
                <w:sz w:val="18"/>
                <w:szCs w:val="18"/>
                <w:highlight w:val="none"/>
              </w:rPr>
            </w:pPr>
            <w:r>
              <w:rPr>
                <w:rFonts w:hint="eastAsia"/>
                <w:sz w:val="18"/>
                <w:szCs w:val="18"/>
                <w:highlight w:val="none"/>
              </w:rPr>
              <w:t xml:space="preserve">（由项目单位提供）</w:t>
            </w:r>
            <w:r/>
          </w:p>
        </w:tc>
      </w:tr>
      <w:tr>
        <w:trPr>
          <w:jc w:val="center"/>
        </w:trPr>
        <w:tc>
          <w:tcPr>
            <w:tcW w:w="1098" w:type="dxa"/>
            <w:vAlign w:val="center"/>
            <w:vMerge w:val="continue"/>
            <w:textDirection w:val="lrTb"/>
            <w:noWrap w:val="false"/>
          </w:tcPr>
          <w:p>
            <w:pPr>
              <w:jc w:val="center"/>
              <w:rPr>
                <w:sz w:val="18"/>
                <w:szCs w:val="18"/>
                <w:highlight w:val="none"/>
              </w:rPr>
            </w:pPr>
            <w:r>
              <w:rPr>
                <w:sz w:val="18"/>
                <w:szCs w:val="18"/>
                <w:highlight w:val="none"/>
              </w:rPr>
            </w:r>
            <w:r/>
          </w:p>
        </w:tc>
        <w:tc>
          <w:tcPr>
            <w:gridSpan w:val="2"/>
            <w:tcW w:w="1514" w:type="dxa"/>
            <w:vAlign w:val="center"/>
            <w:vMerge w:val="continue"/>
            <w:textDirection w:val="lrTb"/>
            <w:noWrap w:val="false"/>
          </w:tcPr>
          <w:p>
            <w:pPr>
              <w:jc w:val="center"/>
              <w:rPr>
                <w:sz w:val="18"/>
                <w:szCs w:val="18"/>
                <w:highlight w:val="none"/>
              </w:rPr>
            </w:pPr>
            <w:r>
              <w:rPr>
                <w:sz w:val="18"/>
                <w:szCs w:val="18"/>
                <w:highlight w:val="none"/>
              </w:rPr>
            </w:r>
            <w:r/>
          </w:p>
        </w:tc>
        <w:tc>
          <w:tcPr>
            <w:tcW w:w="2347" w:type="dxa"/>
            <w:vAlign w:val="center"/>
            <w:textDirection w:val="lrTb"/>
            <w:noWrap w:val="false"/>
          </w:tcPr>
          <w:p>
            <w:pPr>
              <w:jc w:val="center"/>
              <w:rPr>
                <w:sz w:val="18"/>
                <w:szCs w:val="18"/>
                <w:highlight w:val="none"/>
              </w:rPr>
            </w:pPr>
            <w:r>
              <w:rPr>
                <w:rFonts w:hint="eastAsia"/>
                <w:sz w:val="18"/>
                <w:szCs w:val="18"/>
                <w:highlight w:val="none"/>
              </w:rPr>
              <w:t xml:space="preserve">最高年平均温度</w:t>
            </w:r>
            <w:r/>
          </w:p>
        </w:tc>
        <w:tc>
          <w:tcPr>
            <w:tcW w:w="1429" w:type="dxa"/>
            <w:vAlign w:val="center"/>
            <w:vMerge w:val="continue"/>
            <w:textDirection w:val="lrTb"/>
            <w:noWrap w:val="false"/>
          </w:tcPr>
          <w:p>
            <w:pPr>
              <w:jc w:val="center"/>
              <w:rPr>
                <w:sz w:val="18"/>
                <w:szCs w:val="18"/>
                <w:highlight w:val="none"/>
              </w:rPr>
            </w:pPr>
            <w:r>
              <w:rPr>
                <w:sz w:val="18"/>
                <w:szCs w:val="18"/>
                <w:highlight w:val="none"/>
              </w:rPr>
            </w:r>
            <w:r/>
          </w:p>
        </w:tc>
        <w:tc>
          <w:tcPr>
            <w:tcW w:w="3023" w:type="dxa"/>
            <w:vAlign w:val="center"/>
            <w:textDirection w:val="lrTb"/>
            <w:noWrap w:val="false"/>
          </w:tcPr>
          <w:p>
            <w:pPr>
              <w:jc w:val="center"/>
              <w:rPr>
                <w:sz w:val="18"/>
                <w:szCs w:val="18"/>
                <w:highlight w:val="none"/>
              </w:rPr>
            </w:pPr>
            <w:r>
              <w:rPr>
                <w:rFonts w:hint="eastAsia"/>
                <w:sz w:val="18"/>
                <w:szCs w:val="18"/>
                <w:highlight w:val="none"/>
              </w:rPr>
              <w:t xml:space="preserve">（由项目单位提供）</w:t>
            </w:r>
            <w:r/>
          </w:p>
        </w:tc>
      </w:tr>
      <w:tr>
        <w:trPr>
          <w:jc w:val="center"/>
        </w:trPr>
        <w:tc>
          <w:tcPr>
            <w:tcW w:w="1098" w:type="dxa"/>
            <w:vAlign w:val="center"/>
            <w:vMerge w:val="restart"/>
            <w:textDirection w:val="lrTb"/>
            <w:noWrap w:val="false"/>
          </w:tcPr>
          <w:p>
            <w:pPr>
              <w:jc w:val="center"/>
              <w:rPr>
                <w:sz w:val="18"/>
                <w:szCs w:val="18"/>
                <w:highlight w:val="none"/>
              </w:rPr>
            </w:pPr>
            <w:r>
              <w:rPr>
                <w:sz w:val="18"/>
                <w:szCs w:val="18"/>
                <w:highlight w:val="none"/>
              </w:rPr>
              <w:t xml:space="preserve">7</w:t>
            </w:r>
            <w:r/>
          </w:p>
        </w:tc>
        <w:tc>
          <w:tcPr>
            <w:gridSpan w:val="2"/>
            <w:tcW w:w="1514" w:type="dxa"/>
            <w:vAlign w:val="center"/>
            <w:vMerge w:val="restart"/>
            <w:textDirection w:val="lrTb"/>
            <w:noWrap w:val="false"/>
          </w:tcPr>
          <w:p>
            <w:pPr>
              <w:jc w:val="center"/>
              <w:rPr>
                <w:sz w:val="18"/>
                <w:szCs w:val="18"/>
                <w:highlight w:val="none"/>
              </w:rPr>
            </w:pPr>
            <w:r>
              <w:rPr>
                <w:sz w:val="18"/>
                <w:szCs w:val="18"/>
                <w:highlight w:val="none"/>
              </w:rPr>
              <w:t xml:space="preserve">湿度</w:t>
            </w:r>
            <w:r/>
          </w:p>
        </w:tc>
        <w:tc>
          <w:tcPr>
            <w:tcW w:w="2347" w:type="dxa"/>
            <w:vAlign w:val="center"/>
            <w:textDirection w:val="lrTb"/>
            <w:noWrap w:val="false"/>
          </w:tcPr>
          <w:p>
            <w:pPr>
              <w:jc w:val="center"/>
              <w:rPr>
                <w:sz w:val="18"/>
                <w:szCs w:val="18"/>
                <w:highlight w:val="none"/>
              </w:rPr>
            </w:pPr>
            <w:r>
              <w:rPr>
                <w:rFonts w:hint="eastAsia"/>
                <w:sz w:val="18"/>
                <w:szCs w:val="18"/>
                <w:highlight w:val="none"/>
              </w:rPr>
              <w:t xml:space="preserve">日相对湿度平均值</w:t>
            </w:r>
            <w:r/>
          </w:p>
        </w:tc>
        <w:tc>
          <w:tcPr>
            <w:tcW w:w="1429" w:type="dxa"/>
            <w:vAlign w:val="center"/>
            <w:vMerge w:val="restart"/>
            <w:textDirection w:val="lrTb"/>
            <w:noWrap w:val="false"/>
          </w:tcPr>
          <w:p>
            <w:pPr>
              <w:jc w:val="center"/>
              <w:rPr>
                <w:sz w:val="18"/>
                <w:szCs w:val="18"/>
                <w:highlight w:val="none"/>
              </w:rPr>
            </w:pPr>
            <w:r>
              <w:rPr>
                <w:sz w:val="18"/>
                <w:szCs w:val="18"/>
                <w:highlight w:val="none"/>
              </w:rPr>
              <w:t xml:space="preserve">%</w:t>
            </w:r>
            <w:r/>
          </w:p>
        </w:tc>
        <w:tc>
          <w:tcPr>
            <w:tcW w:w="3023" w:type="dxa"/>
            <w:vAlign w:val="center"/>
            <w:vMerge w:val="restart"/>
            <w:textDirection w:val="lrTb"/>
            <w:noWrap w:val="false"/>
          </w:tcPr>
          <w:p>
            <w:pPr>
              <w:jc w:val="center"/>
              <w:rPr>
                <w:sz w:val="18"/>
                <w:szCs w:val="18"/>
                <w:highlight w:val="none"/>
              </w:rPr>
            </w:pPr>
            <w:r>
              <w:rPr>
                <w:rFonts w:hint="eastAsia"/>
                <w:sz w:val="18"/>
                <w:szCs w:val="18"/>
                <w:highlight w:val="none"/>
              </w:rPr>
              <w:t xml:space="preserve">（由项目单位提供）</w:t>
            </w:r>
            <w:r/>
          </w:p>
        </w:tc>
      </w:tr>
      <w:tr>
        <w:trPr>
          <w:jc w:val="center"/>
        </w:trPr>
        <w:tc>
          <w:tcPr>
            <w:tcW w:w="1098" w:type="dxa"/>
            <w:vAlign w:val="center"/>
            <w:vMerge w:val="continue"/>
            <w:textDirection w:val="lrTb"/>
            <w:noWrap w:val="false"/>
          </w:tcPr>
          <w:p>
            <w:pPr>
              <w:jc w:val="center"/>
              <w:rPr>
                <w:sz w:val="18"/>
                <w:szCs w:val="18"/>
                <w:highlight w:val="none"/>
              </w:rPr>
            </w:pPr>
            <w:r>
              <w:rPr>
                <w:sz w:val="18"/>
                <w:szCs w:val="18"/>
                <w:highlight w:val="none"/>
              </w:rPr>
            </w:r>
            <w:r/>
          </w:p>
        </w:tc>
        <w:tc>
          <w:tcPr>
            <w:gridSpan w:val="2"/>
            <w:tcW w:w="1514" w:type="dxa"/>
            <w:vAlign w:val="center"/>
            <w:vMerge w:val="continue"/>
            <w:textDirection w:val="lrTb"/>
            <w:noWrap w:val="false"/>
          </w:tcPr>
          <w:p>
            <w:pPr>
              <w:jc w:val="center"/>
              <w:rPr>
                <w:sz w:val="18"/>
                <w:szCs w:val="18"/>
                <w:highlight w:val="none"/>
              </w:rPr>
            </w:pPr>
            <w:r>
              <w:rPr>
                <w:sz w:val="18"/>
                <w:szCs w:val="18"/>
                <w:highlight w:val="none"/>
              </w:rPr>
            </w:r>
            <w:r/>
          </w:p>
        </w:tc>
        <w:tc>
          <w:tcPr>
            <w:tcW w:w="2347" w:type="dxa"/>
            <w:vAlign w:val="center"/>
            <w:textDirection w:val="lrTb"/>
            <w:noWrap w:val="false"/>
          </w:tcPr>
          <w:p>
            <w:pPr>
              <w:jc w:val="center"/>
              <w:rPr>
                <w:sz w:val="18"/>
                <w:szCs w:val="18"/>
                <w:highlight w:val="none"/>
              </w:rPr>
            </w:pPr>
            <w:r>
              <w:rPr>
                <w:rFonts w:hint="eastAsia"/>
                <w:sz w:val="18"/>
                <w:szCs w:val="18"/>
                <w:highlight w:val="none"/>
              </w:rPr>
              <w:t xml:space="preserve">月相对湿度平均值</w:t>
            </w:r>
            <w:r/>
          </w:p>
        </w:tc>
        <w:tc>
          <w:tcPr>
            <w:tcW w:w="1429" w:type="dxa"/>
            <w:vAlign w:val="center"/>
            <w:vMerge w:val="continue"/>
            <w:textDirection w:val="lrTb"/>
            <w:noWrap w:val="false"/>
          </w:tcPr>
          <w:p>
            <w:pPr>
              <w:jc w:val="center"/>
              <w:rPr>
                <w:sz w:val="18"/>
                <w:szCs w:val="18"/>
                <w:highlight w:val="none"/>
              </w:rPr>
            </w:pPr>
            <w:r>
              <w:rPr>
                <w:sz w:val="18"/>
                <w:szCs w:val="18"/>
                <w:highlight w:val="none"/>
              </w:rPr>
            </w:r>
            <w:r/>
          </w:p>
        </w:tc>
        <w:tc>
          <w:tcPr>
            <w:tcW w:w="3023" w:type="dxa"/>
            <w:vAlign w:val="center"/>
            <w:textDirection w:val="lrTb"/>
            <w:noWrap w:val="false"/>
          </w:tcPr>
          <w:p>
            <w:pPr>
              <w:jc w:val="center"/>
              <w:rPr>
                <w:sz w:val="18"/>
                <w:szCs w:val="18"/>
                <w:highlight w:val="none"/>
              </w:rPr>
            </w:pPr>
            <w:r>
              <w:rPr>
                <w:rFonts w:hint="eastAsia"/>
                <w:sz w:val="18"/>
                <w:szCs w:val="18"/>
                <w:highlight w:val="none"/>
              </w:rPr>
              <w:t xml:space="preserve">（由项目单位提供）</w:t>
            </w:r>
            <w:r/>
          </w:p>
        </w:tc>
      </w:tr>
      <w:tr>
        <w:trPr>
          <w:jc w:val="center"/>
        </w:trPr>
        <w:tc>
          <w:tcPr>
            <w:tcW w:w="1098" w:type="dxa"/>
            <w:vAlign w:val="center"/>
            <w:textDirection w:val="lrTb"/>
            <w:noWrap w:val="false"/>
          </w:tcPr>
          <w:p>
            <w:pPr>
              <w:jc w:val="center"/>
              <w:rPr>
                <w:sz w:val="18"/>
                <w:szCs w:val="18"/>
                <w:highlight w:val="none"/>
              </w:rPr>
            </w:pPr>
            <w:r>
              <w:rPr>
                <w:sz w:val="18"/>
                <w:szCs w:val="18"/>
                <w:highlight w:val="none"/>
              </w:rPr>
              <w:t xml:space="preserve">8</w:t>
            </w:r>
            <w:r/>
          </w:p>
        </w:tc>
        <w:tc>
          <w:tcPr>
            <w:gridSpan w:val="3"/>
            <w:tcW w:w="3861" w:type="dxa"/>
            <w:vAlign w:val="center"/>
            <w:textDirection w:val="lrTb"/>
            <w:noWrap w:val="false"/>
          </w:tcPr>
          <w:p>
            <w:pPr>
              <w:jc w:val="center"/>
              <w:rPr>
                <w:sz w:val="18"/>
                <w:szCs w:val="18"/>
                <w:highlight w:val="none"/>
              </w:rPr>
            </w:pPr>
            <w:r>
              <w:rPr>
                <w:sz w:val="18"/>
                <w:szCs w:val="18"/>
                <w:highlight w:val="none"/>
              </w:rPr>
              <w:t xml:space="preserve">海拔高度</w:t>
            </w:r>
            <w:r/>
          </w:p>
        </w:tc>
        <w:tc>
          <w:tcPr>
            <w:tcW w:w="1429" w:type="dxa"/>
            <w:vAlign w:val="center"/>
            <w:textDirection w:val="lrTb"/>
            <w:noWrap w:val="false"/>
          </w:tcPr>
          <w:p>
            <w:pPr>
              <w:jc w:val="center"/>
              <w:rPr>
                <w:sz w:val="18"/>
                <w:szCs w:val="18"/>
                <w:highlight w:val="none"/>
              </w:rPr>
            </w:pPr>
            <w:r>
              <w:rPr>
                <w:sz w:val="18"/>
                <w:szCs w:val="18"/>
                <w:highlight w:val="none"/>
              </w:rPr>
              <w:t xml:space="preserve">m</w:t>
            </w:r>
            <w:r/>
          </w:p>
        </w:tc>
        <w:tc>
          <w:tcPr>
            <w:tcW w:w="3023" w:type="dxa"/>
            <w:vAlign w:val="center"/>
            <w:textDirection w:val="lrTb"/>
            <w:noWrap w:val="false"/>
          </w:tcPr>
          <w:p>
            <w:pPr>
              <w:jc w:val="center"/>
              <w:rPr>
                <w:sz w:val="18"/>
                <w:szCs w:val="18"/>
                <w:highlight w:val="none"/>
              </w:rPr>
            </w:pPr>
            <w:r>
              <w:rPr>
                <w:rFonts w:hint="eastAsia"/>
                <w:sz w:val="18"/>
                <w:szCs w:val="18"/>
                <w:highlight w:val="none"/>
              </w:rPr>
              <w:t xml:space="preserve">≤</w:t>
            </w:r>
            <w:r>
              <w:rPr>
                <w:sz w:val="18"/>
                <w:szCs w:val="18"/>
                <w:highlight w:val="none"/>
              </w:rPr>
              <w:t xml:space="preserve">1000</w:t>
            </w:r>
            <w:r/>
          </w:p>
        </w:tc>
      </w:tr>
      <w:tr>
        <w:trPr>
          <w:jc w:val="center"/>
        </w:trPr>
        <w:tc>
          <w:tcPr>
            <w:tcW w:w="1098" w:type="dxa"/>
            <w:vAlign w:val="center"/>
            <w:textDirection w:val="lrTb"/>
            <w:noWrap w:val="false"/>
          </w:tcPr>
          <w:p>
            <w:pPr>
              <w:jc w:val="center"/>
              <w:rPr>
                <w:sz w:val="18"/>
                <w:szCs w:val="18"/>
                <w:highlight w:val="none"/>
              </w:rPr>
            </w:pPr>
            <w:r>
              <w:rPr>
                <w:sz w:val="18"/>
                <w:szCs w:val="18"/>
                <w:highlight w:val="none"/>
              </w:rPr>
              <w:t xml:space="preserve">9</w:t>
            </w:r>
            <w:r/>
          </w:p>
        </w:tc>
        <w:tc>
          <w:tcPr>
            <w:gridSpan w:val="3"/>
            <w:tcW w:w="3861" w:type="dxa"/>
            <w:vAlign w:val="center"/>
            <w:textDirection w:val="lrTb"/>
            <w:noWrap w:val="false"/>
          </w:tcPr>
          <w:p>
            <w:pPr>
              <w:jc w:val="center"/>
              <w:rPr>
                <w:sz w:val="18"/>
                <w:szCs w:val="18"/>
                <w:highlight w:val="none"/>
              </w:rPr>
            </w:pPr>
            <w:r>
              <w:rPr>
                <w:sz w:val="18"/>
                <w:szCs w:val="18"/>
                <w:highlight w:val="none"/>
              </w:rPr>
              <w:t xml:space="preserve">太阳辐射强度</w:t>
            </w:r>
            <w:r/>
          </w:p>
        </w:tc>
        <w:tc>
          <w:tcPr>
            <w:tcW w:w="1429" w:type="dxa"/>
            <w:vAlign w:val="center"/>
            <w:textDirection w:val="lrTb"/>
            <w:noWrap w:val="false"/>
          </w:tcPr>
          <w:p>
            <w:pPr>
              <w:jc w:val="center"/>
              <w:rPr>
                <w:sz w:val="18"/>
                <w:szCs w:val="18"/>
                <w:highlight w:val="none"/>
              </w:rPr>
            </w:pPr>
            <w:r>
              <w:rPr>
                <w:sz w:val="18"/>
                <w:szCs w:val="18"/>
                <w:highlight w:val="none"/>
              </w:rPr>
              <w:t xml:space="preserve">W</w:t>
            </w:r>
            <w:r>
              <w:rPr>
                <w:rFonts w:hint="eastAsia"/>
                <w:sz w:val="18"/>
                <w:szCs w:val="18"/>
                <w:highlight w:val="none"/>
              </w:rPr>
              <w:t xml:space="preserve">/</w:t>
            </w:r>
            <w:r>
              <w:rPr>
                <w:sz w:val="18"/>
                <w:szCs w:val="18"/>
                <w:highlight w:val="none"/>
              </w:rPr>
              <w:t xml:space="preserve">m</w:t>
            </w:r>
            <w:r>
              <w:rPr>
                <w:sz w:val="18"/>
                <w:szCs w:val="18"/>
                <w:highlight w:val="none"/>
                <w:vertAlign w:val="superscript"/>
              </w:rPr>
              <w:t xml:space="preserve">2</w:t>
            </w:r>
            <w:r/>
          </w:p>
        </w:tc>
        <w:tc>
          <w:tcPr>
            <w:tcW w:w="3023" w:type="dxa"/>
            <w:vAlign w:val="center"/>
            <w:textDirection w:val="lrTb"/>
            <w:noWrap w:val="false"/>
          </w:tcPr>
          <w:p>
            <w:pPr>
              <w:jc w:val="center"/>
              <w:rPr>
                <w:sz w:val="18"/>
                <w:szCs w:val="18"/>
                <w:highlight w:val="none"/>
              </w:rPr>
            </w:pPr>
            <w:r>
              <w:rPr>
                <w:rFonts w:hint="eastAsia"/>
                <w:sz w:val="18"/>
                <w:szCs w:val="18"/>
                <w:highlight w:val="none"/>
              </w:rPr>
              <w:t xml:space="preserve">1000</w:t>
            </w:r>
            <w:r/>
          </w:p>
        </w:tc>
      </w:tr>
      <w:tr>
        <w:trPr>
          <w:jc w:val="center"/>
        </w:trPr>
        <w:tc>
          <w:tcPr>
            <w:tcBorders>
              <w:top w:val="single" w:color="auto" w:sz="8" w:space="0"/>
              <w:bottom w:val="single" w:color="auto" w:sz="8" w:space="0"/>
            </w:tcBorders>
            <w:tcW w:w="1098" w:type="dxa"/>
            <w:vAlign w:val="center"/>
            <w:textDirection w:val="lrTb"/>
            <w:noWrap w:val="false"/>
          </w:tcPr>
          <w:p>
            <w:pPr>
              <w:jc w:val="center"/>
              <w:rPr>
                <w:sz w:val="18"/>
                <w:szCs w:val="18"/>
                <w:highlight w:val="none"/>
              </w:rPr>
            </w:pPr>
            <w:r>
              <w:rPr>
                <w:sz w:val="18"/>
                <w:szCs w:val="18"/>
                <w:highlight w:val="none"/>
              </w:rPr>
              <w:t xml:space="preserve">10</w:t>
            </w:r>
            <w:r/>
          </w:p>
        </w:tc>
        <w:tc>
          <w:tcPr>
            <w:gridSpan w:val="3"/>
            <w:tcBorders>
              <w:top w:val="single" w:color="auto" w:sz="8" w:space="0"/>
              <w:bottom w:val="single" w:color="auto" w:sz="8" w:space="0"/>
            </w:tcBorders>
            <w:tcW w:w="3861" w:type="dxa"/>
            <w:vAlign w:val="center"/>
            <w:textDirection w:val="lrTb"/>
            <w:noWrap w:val="false"/>
          </w:tcPr>
          <w:p>
            <w:pPr>
              <w:jc w:val="center"/>
              <w:rPr>
                <w:sz w:val="18"/>
                <w:szCs w:val="18"/>
                <w:highlight w:val="none"/>
              </w:rPr>
            </w:pPr>
            <w:r>
              <w:rPr>
                <w:rFonts w:hint="eastAsia"/>
                <w:sz w:val="18"/>
                <w:szCs w:val="18"/>
                <w:highlight w:val="none"/>
              </w:rPr>
              <w:t xml:space="preserve">最大覆冰厚度</w:t>
            </w:r>
            <w:r/>
          </w:p>
        </w:tc>
        <w:tc>
          <w:tcPr>
            <w:tcBorders>
              <w:top w:val="single" w:color="auto" w:sz="8" w:space="0"/>
              <w:bottom w:val="single" w:color="auto" w:sz="8" w:space="0"/>
            </w:tcBorders>
            <w:tcW w:w="1429" w:type="dxa"/>
            <w:vAlign w:val="center"/>
            <w:textDirection w:val="lrTb"/>
            <w:noWrap w:val="false"/>
          </w:tcPr>
          <w:p>
            <w:pPr>
              <w:jc w:val="center"/>
              <w:rPr>
                <w:sz w:val="18"/>
                <w:szCs w:val="18"/>
                <w:highlight w:val="none"/>
              </w:rPr>
            </w:pPr>
            <w:r>
              <w:rPr>
                <w:sz w:val="18"/>
                <w:szCs w:val="18"/>
                <w:highlight w:val="none"/>
              </w:rPr>
              <w:t xml:space="preserve">mm</w:t>
            </w:r>
            <w:r/>
          </w:p>
        </w:tc>
        <w:tc>
          <w:tcPr>
            <w:tcBorders>
              <w:top w:val="single" w:color="auto" w:sz="8" w:space="0"/>
              <w:bottom w:val="single" w:color="auto" w:sz="8" w:space="0"/>
            </w:tcBorders>
            <w:tcW w:w="3023" w:type="dxa"/>
            <w:vAlign w:val="center"/>
            <w:textDirection w:val="lrTb"/>
            <w:noWrap w:val="false"/>
          </w:tcPr>
          <w:p>
            <w:pPr>
              <w:jc w:val="center"/>
              <w:rPr>
                <w:sz w:val="18"/>
                <w:szCs w:val="18"/>
                <w:highlight w:val="none"/>
              </w:rPr>
            </w:pPr>
            <w:r>
              <w:rPr>
                <w:sz w:val="18"/>
                <w:szCs w:val="18"/>
                <w:highlight w:val="none"/>
              </w:rPr>
              <w:t xml:space="preserve">20</w:t>
            </w:r>
            <w:r/>
          </w:p>
        </w:tc>
      </w:tr>
      <w:tr>
        <w:trPr>
          <w:jc w:val="center"/>
        </w:trPr>
        <w:tc>
          <w:tcPr>
            <w:tcBorders>
              <w:top w:val="single" w:color="auto" w:sz="8" w:space="0"/>
              <w:bottom w:val="single" w:color="auto" w:sz="4" w:space="0"/>
            </w:tcBorders>
            <w:tcW w:w="1098" w:type="dxa"/>
            <w:vAlign w:val="center"/>
            <w:textDirection w:val="lrTb"/>
            <w:noWrap w:val="false"/>
          </w:tcPr>
          <w:p>
            <w:pPr>
              <w:jc w:val="center"/>
              <w:rPr>
                <w:sz w:val="18"/>
                <w:szCs w:val="18"/>
                <w:highlight w:val="none"/>
              </w:rPr>
            </w:pPr>
            <w:r>
              <w:rPr>
                <w:sz w:val="18"/>
                <w:szCs w:val="18"/>
                <w:highlight w:val="none"/>
              </w:rPr>
              <w:t xml:space="preserve">11</w:t>
            </w:r>
            <w:r/>
          </w:p>
        </w:tc>
        <w:tc>
          <w:tcPr>
            <w:gridSpan w:val="3"/>
            <w:tcBorders>
              <w:top w:val="single" w:color="auto" w:sz="8" w:space="0"/>
              <w:bottom w:val="single" w:color="auto" w:sz="4" w:space="0"/>
            </w:tcBorders>
            <w:tcW w:w="3861" w:type="dxa"/>
            <w:vAlign w:val="center"/>
            <w:textDirection w:val="lrTb"/>
            <w:noWrap w:val="false"/>
          </w:tcPr>
          <w:p>
            <w:pPr>
              <w:jc w:val="center"/>
              <w:rPr>
                <w:sz w:val="18"/>
                <w:szCs w:val="18"/>
                <w:highlight w:val="none"/>
              </w:rPr>
            </w:pPr>
            <w:r>
              <w:rPr>
                <w:rFonts w:hint="eastAsia"/>
                <w:sz w:val="18"/>
                <w:szCs w:val="18"/>
                <w:highlight w:val="none"/>
              </w:rPr>
              <w:t xml:space="preserve">离地面高</w:t>
            </w:r>
            <w:r>
              <w:rPr>
                <w:sz w:val="18"/>
                <w:szCs w:val="18"/>
                <w:highlight w:val="none"/>
              </w:rPr>
              <w:t xml:space="preserve">10m处，维持10min的平均最大风速</w:t>
            </w:r>
            <w:r/>
          </w:p>
        </w:tc>
        <w:tc>
          <w:tcPr>
            <w:tcBorders>
              <w:top w:val="single" w:color="auto" w:sz="8" w:space="0"/>
              <w:bottom w:val="single" w:color="auto" w:sz="4" w:space="0"/>
            </w:tcBorders>
            <w:tcW w:w="1429" w:type="dxa"/>
            <w:vAlign w:val="center"/>
            <w:textDirection w:val="lrTb"/>
            <w:noWrap w:val="false"/>
          </w:tcPr>
          <w:p>
            <w:pPr>
              <w:jc w:val="center"/>
              <w:rPr>
                <w:sz w:val="18"/>
                <w:szCs w:val="18"/>
                <w:highlight w:val="none"/>
              </w:rPr>
            </w:pPr>
            <w:r>
              <w:rPr>
                <w:sz w:val="18"/>
                <w:szCs w:val="18"/>
                <w:highlight w:val="none"/>
              </w:rPr>
              <w:t xml:space="preserve">m/s</w:t>
            </w:r>
            <w:r/>
          </w:p>
        </w:tc>
        <w:tc>
          <w:tcPr>
            <w:tcBorders>
              <w:top w:val="single" w:color="auto" w:sz="8" w:space="0"/>
              <w:bottom w:val="single" w:color="auto" w:sz="4" w:space="0"/>
            </w:tcBorders>
            <w:tcW w:w="3023" w:type="dxa"/>
            <w:vAlign w:val="center"/>
            <w:textDirection w:val="lrTb"/>
            <w:noWrap w:val="false"/>
          </w:tcPr>
          <w:p>
            <w:pPr>
              <w:jc w:val="center"/>
              <w:rPr>
                <w:sz w:val="18"/>
                <w:szCs w:val="18"/>
                <w:highlight w:val="none"/>
              </w:rPr>
            </w:pPr>
            <w:r>
              <w:rPr>
                <w:sz w:val="18"/>
                <w:szCs w:val="18"/>
                <w:highlight w:val="none"/>
              </w:rPr>
              <w:t xml:space="preserve">35</w:t>
            </w:r>
            <w:r/>
          </w:p>
        </w:tc>
      </w:tr>
      <w:tr>
        <w:trPr>
          <w:jc w:val="center"/>
        </w:trPr>
        <w:tc>
          <w:tcPr>
            <w:tcBorders>
              <w:top w:val="single" w:color="auto" w:sz="4" w:space="0"/>
            </w:tcBorders>
            <w:tcW w:w="1098" w:type="dxa"/>
            <w:vAlign w:val="center"/>
            <w:vMerge w:val="restart"/>
            <w:textDirection w:val="lrTb"/>
            <w:noWrap w:val="false"/>
          </w:tcPr>
          <w:p>
            <w:pPr>
              <w:jc w:val="center"/>
              <w:rPr>
                <w:sz w:val="18"/>
                <w:szCs w:val="18"/>
                <w:highlight w:val="none"/>
              </w:rPr>
            </w:pPr>
            <w:r>
              <w:rPr>
                <w:sz w:val="18"/>
                <w:szCs w:val="18"/>
                <w:highlight w:val="none"/>
              </w:rPr>
              <w:t xml:space="preserve">12</w:t>
            </w:r>
            <w:r/>
          </w:p>
        </w:tc>
        <w:tc>
          <w:tcPr>
            <w:tcBorders>
              <w:top w:val="single" w:color="auto" w:sz="4" w:space="0"/>
            </w:tcBorders>
            <w:tcW w:w="1444" w:type="dxa"/>
            <w:vAlign w:val="center"/>
            <w:vMerge w:val="restart"/>
            <w:textDirection w:val="lrTb"/>
            <w:noWrap w:val="false"/>
          </w:tcPr>
          <w:p>
            <w:pPr>
              <w:jc w:val="center"/>
              <w:rPr>
                <w:sz w:val="18"/>
                <w:szCs w:val="18"/>
                <w:highlight w:val="none"/>
              </w:rPr>
            </w:pPr>
            <w:r>
              <w:rPr>
                <w:sz w:val="18"/>
                <w:szCs w:val="18"/>
                <w:highlight w:val="none"/>
              </w:rPr>
              <w:t xml:space="preserve">耐受地震能力</w:t>
            </w:r>
            <w:r/>
          </w:p>
        </w:tc>
        <w:tc>
          <w:tcPr>
            <w:gridSpan w:val="2"/>
            <w:tcBorders>
              <w:top w:val="single" w:color="auto" w:sz="4" w:space="0"/>
            </w:tcBorders>
            <w:tcW w:w="2417" w:type="dxa"/>
            <w:vAlign w:val="center"/>
            <w:textDirection w:val="lrTb"/>
            <w:noWrap w:val="false"/>
          </w:tcPr>
          <w:p>
            <w:pPr>
              <w:jc w:val="center"/>
              <w:rPr>
                <w:sz w:val="18"/>
                <w:szCs w:val="18"/>
                <w:highlight w:val="none"/>
              </w:rPr>
            </w:pPr>
            <w:r>
              <w:rPr>
                <w:rFonts w:hint="eastAsia"/>
                <w:sz w:val="18"/>
                <w:szCs w:val="18"/>
                <w:highlight w:val="none"/>
              </w:rPr>
              <w:t xml:space="preserve">地面水平加速度</w:t>
            </w:r>
            <w:r/>
          </w:p>
        </w:tc>
        <w:tc>
          <w:tcPr>
            <w:tcBorders>
              <w:top w:val="single" w:color="auto" w:sz="4" w:space="0"/>
            </w:tcBorders>
            <w:tcW w:w="1429" w:type="dxa"/>
            <w:vAlign w:val="center"/>
            <w:textDirection w:val="lrTb"/>
            <w:noWrap w:val="false"/>
          </w:tcPr>
          <w:p>
            <w:pPr>
              <w:jc w:val="center"/>
              <w:rPr>
                <w:sz w:val="18"/>
                <w:szCs w:val="18"/>
                <w:highlight w:val="none"/>
              </w:rPr>
            </w:pPr>
            <w:r>
              <w:rPr>
                <w:sz w:val="18"/>
                <w:szCs w:val="18"/>
                <w:highlight w:val="none"/>
              </w:rPr>
              <w:t xml:space="preserve">m/s</w:t>
            </w:r>
            <w:r>
              <w:rPr>
                <w:sz w:val="18"/>
                <w:szCs w:val="18"/>
                <w:highlight w:val="none"/>
                <w:vertAlign w:val="superscript"/>
              </w:rPr>
              <w:t xml:space="preserve">2</w:t>
            </w:r>
            <w:r/>
          </w:p>
        </w:tc>
        <w:tc>
          <w:tcPr>
            <w:tcBorders>
              <w:top w:val="single" w:color="auto" w:sz="4" w:space="0"/>
            </w:tcBorders>
            <w:tcW w:w="3023" w:type="dxa"/>
            <w:vAlign w:val="center"/>
            <w:textDirection w:val="lrTb"/>
            <w:noWrap w:val="false"/>
          </w:tcPr>
          <w:p>
            <w:pPr>
              <w:jc w:val="center"/>
              <w:rPr>
                <w:sz w:val="18"/>
                <w:szCs w:val="18"/>
                <w:highlight w:val="none"/>
              </w:rPr>
            </w:pPr>
            <w:r>
              <w:rPr>
                <w:sz w:val="18"/>
                <w:szCs w:val="18"/>
                <w:highlight w:val="none"/>
              </w:rPr>
              <w:t xml:space="preserve">2</w:t>
            </w:r>
            <w:r/>
          </w:p>
        </w:tc>
      </w:tr>
      <w:tr>
        <w:trPr>
          <w:jc w:val="center"/>
        </w:trPr>
        <w:tc>
          <w:tcPr>
            <w:tcW w:w="1098" w:type="dxa"/>
            <w:vAlign w:val="center"/>
            <w:vMerge w:val="continue"/>
            <w:textDirection w:val="lrTb"/>
            <w:noWrap w:val="false"/>
          </w:tcPr>
          <w:p>
            <w:pPr>
              <w:jc w:val="center"/>
              <w:rPr>
                <w:sz w:val="18"/>
                <w:szCs w:val="18"/>
                <w:highlight w:val="none"/>
              </w:rPr>
            </w:pPr>
            <w:r>
              <w:rPr>
                <w:sz w:val="18"/>
                <w:szCs w:val="18"/>
                <w:highlight w:val="none"/>
              </w:rPr>
            </w:r>
            <w:r/>
          </w:p>
        </w:tc>
        <w:tc>
          <w:tcPr>
            <w:tcW w:w="1444" w:type="dxa"/>
            <w:vAlign w:val="center"/>
            <w:vMerge w:val="continue"/>
            <w:textDirection w:val="lrTb"/>
            <w:noWrap w:val="false"/>
          </w:tcPr>
          <w:p>
            <w:pPr>
              <w:jc w:val="center"/>
              <w:rPr>
                <w:sz w:val="18"/>
                <w:szCs w:val="18"/>
                <w:highlight w:val="none"/>
              </w:rPr>
            </w:pPr>
            <w:r>
              <w:rPr>
                <w:sz w:val="18"/>
                <w:szCs w:val="18"/>
                <w:highlight w:val="none"/>
              </w:rPr>
            </w:r>
            <w:r/>
          </w:p>
        </w:tc>
        <w:tc>
          <w:tcPr>
            <w:gridSpan w:val="2"/>
            <w:tcW w:w="2417" w:type="dxa"/>
            <w:vAlign w:val="center"/>
            <w:textDirection w:val="lrTb"/>
            <w:noWrap w:val="false"/>
          </w:tcPr>
          <w:p>
            <w:pPr>
              <w:jc w:val="center"/>
              <w:rPr>
                <w:sz w:val="18"/>
                <w:szCs w:val="18"/>
                <w:highlight w:val="none"/>
              </w:rPr>
            </w:pPr>
            <w:r>
              <w:rPr>
                <w:rFonts w:hint="eastAsia"/>
                <w:sz w:val="18"/>
                <w:szCs w:val="18"/>
                <w:highlight w:val="none"/>
              </w:rPr>
              <w:t xml:space="preserve">正弦共振</w:t>
            </w:r>
            <w:r>
              <w:rPr>
                <w:sz w:val="18"/>
                <w:szCs w:val="18"/>
                <w:highlight w:val="none"/>
              </w:rPr>
              <w:t xml:space="preserve">3个周期安全系数</w:t>
            </w:r>
            <w:r/>
          </w:p>
        </w:tc>
        <w:tc>
          <w:tcPr>
            <w:tcW w:w="1429" w:type="dxa"/>
            <w:vAlign w:val="center"/>
            <w:textDirection w:val="lrTb"/>
            <w:noWrap w:val="false"/>
          </w:tcPr>
          <w:p>
            <w:pPr>
              <w:jc w:val="center"/>
              <w:rPr>
                <w:sz w:val="18"/>
                <w:szCs w:val="18"/>
                <w:highlight w:val="none"/>
              </w:rPr>
            </w:pPr>
            <w:r>
              <w:rPr>
                <w:sz w:val="18"/>
                <w:szCs w:val="18"/>
                <w:highlight w:val="none"/>
              </w:rPr>
            </w:r>
            <w:r/>
          </w:p>
        </w:tc>
        <w:tc>
          <w:tcPr>
            <w:tcW w:w="3023" w:type="dxa"/>
            <w:vAlign w:val="center"/>
            <w:textDirection w:val="lrTb"/>
            <w:noWrap w:val="false"/>
          </w:tcPr>
          <w:p>
            <w:pPr>
              <w:jc w:val="center"/>
              <w:rPr>
                <w:sz w:val="18"/>
                <w:szCs w:val="18"/>
                <w:highlight w:val="none"/>
              </w:rPr>
            </w:pPr>
            <w:r>
              <w:rPr>
                <w:rFonts w:hint="eastAsia"/>
                <w:sz w:val="18"/>
                <w:szCs w:val="18"/>
                <w:highlight w:val="none"/>
              </w:rPr>
              <w:t xml:space="preserve">≥</w:t>
            </w:r>
            <w:r>
              <w:rPr>
                <w:sz w:val="18"/>
                <w:szCs w:val="18"/>
                <w:highlight w:val="none"/>
              </w:rPr>
              <w:t xml:space="preserve">1.67</w:t>
            </w:r>
            <w:r/>
          </w:p>
        </w:tc>
      </w:tr>
      <w:tr>
        <w:trPr>
          <w:jc w:val="center"/>
        </w:trPr>
        <w:tc>
          <w:tcPr>
            <w:tcW w:w="1098" w:type="dxa"/>
            <w:vAlign w:val="center"/>
            <w:textDirection w:val="lrTb"/>
            <w:noWrap w:val="false"/>
          </w:tcPr>
          <w:p>
            <w:pPr>
              <w:jc w:val="center"/>
              <w:rPr>
                <w:sz w:val="18"/>
                <w:szCs w:val="18"/>
                <w:highlight w:val="none"/>
              </w:rPr>
            </w:pPr>
            <w:r>
              <w:rPr>
                <w:sz w:val="18"/>
                <w:szCs w:val="18"/>
                <w:highlight w:val="none"/>
              </w:rPr>
              <w:t xml:space="preserve">13</w:t>
            </w:r>
            <w:r/>
          </w:p>
        </w:tc>
        <w:tc>
          <w:tcPr>
            <w:gridSpan w:val="3"/>
            <w:tcW w:w="3861" w:type="dxa"/>
            <w:vAlign w:val="center"/>
            <w:textDirection w:val="lrTb"/>
            <w:noWrap w:val="false"/>
          </w:tcPr>
          <w:p>
            <w:pPr>
              <w:jc w:val="center"/>
              <w:rPr>
                <w:sz w:val="18"/>
                <w:szCs w:val="18"/>
                <w:highlight w:val="none"/>
              </w:rPr>
            </w:pPr>
            <w:r>
              <w:rPr>
                <w:sz w:val="18"/>
                <w:szCs w:val="18"/>
                <w:highlight w:val="none"/>
              </w:rPr>
              <w:t xml:space="preserve">安装场所（户</w:t>
            </w:r>
            <w:r>
              <w:rPr>
                <w:rFonts w:hint="eastAsia"/>
                <w:sz w:val="18"/>
                <w:szCs w:val="18"/>
                <w:highlight w:val="none"/>
              </w:rPr>
              <w:t xml:space="preserve">外</w:t>
            </w:r>
            <w:r>
              <w:rPr>
                <w:sz w:val="18"/>
                <w:szCs w:val="18"/>
                <w:highlight w:val="none"/>
              </w:rPr>
              <w:t xml:space="preserve">/户外）</w:t>
            </w:r>
            <w:r/>
          </w:p>
        </w:tc>
        <w:tc>
          <w:tcPr>
            <w:tcW w:w="1429" w:type="dxa"/>
            <w:vAlign w:val="center"/>
            <w:textDirection w:val="lrTb"/>
            <w:noWrap w:val="false"/>
          </w:tcPr>
          <w:p>
            <w:pPr>
              <w:jc w:val="center"/>
              <w:rPr>
                <w:sz w:val="18"/>
                <w:szCs w:val="18"/>
                <w:highlight w:val="none"/>
              </w:rPr>
            </w:pPr>
            <w:r>
              <w:rPr>
                <w:sz w:val="18"/>
                <w:szCs w:val="18"/>
                <w:highlight w:val="none"/>
              </w:rPr>
            </w:r>
            <w:r/>
          </w:p>
        </w:tc>
        <w:tc>
          <w:tcPr>
            <w:tcW w:w="3023" w:type="dxa"/>
            <w:vAlign w:val="center"/>
            <w:textDirection w:val="lrTb"/>
            <w:noWrap w:val="false"/>
          </w:tcPr>
          <w:p>
            <w:pPr>
              <w:jc w:val="center"/>
              <w:rPr>
                <w:sz w:val="18"/>
                <w:szCs w:val="18"/>
                <w:highlight w:val="none"/>
              </w:rPr>
            </w:pPr>
            <w:r>
              <w:rPr>
                <w:rFonts w:hint="eastAsia"/>
                <w:sz w:val="18"/>
                <w:szCs w:val="18"/>
                <w:highlight w:val="none"/>
              </w:rPr>
              <w:t xml:space="preserve">（</w:t>
            </w:r>
            <w:r>
              <w:rPr>
                <w:sz w:val="18"/>
                <w:szCs w:val="18"/>
                <w:highlight w:val="none"/>
              </w:rPr>
              <w:t xml:space="preserve">项目单位提供</w:t>
            </w:r>
            <w:r>
              <w:rPr>
                <w:rFonts w:hint="eastAsia"/>
                <w:sz w:val="18"/>
                <w:szCs w:val="18"/>
                <w:highlight w:val="none"/>
              </w:rPr>
              <w:t xml:space="preserve">）</w:t>
            </w:r>
            <w:r/>
          </w:p>
        </w:tc>
      </w:tr>
    </w:tbl>
    <w:p>
      <w:pPr>
        <w:pStyle w:val="840"/>
        <w:rPr>
          <w:rFonts w:hint="default"/>
          <w:highlight w:val="none"/>
          <w:lang w:val="en-US" w:eastAsia="zh-CN"/>
        </w:rPr>
      </w:pPr>
      <w:r>
        <w:rPr>
          <w:rFonts w:hint="default"/>
          <w:highlight w:val="none"/>
          <w:lang w:val="en-US" w:eastAsia="zh-CN"/>
        </w:rPr>
      </w:r>
      <w:r/>
    </w:p>
    <w:p>
      <w:pPr>
        <w:pStyle w:val="893"/>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 xml:space="preserve">六</w:t>
      </w:r>
      <w:r>
        <w:rPr>
          <w:rFonts w:hint="eastAsia" w:ascii="仿宋" w:hAnsi="仿宋" w:eastAsia="仿宋" w:cs="仿宋"/>
          <w:b/>
          <w:bCs/>
          <w:sz w:val="24"/>
          <w:highlight w:val="none"/>
        </w:rPr>
        <w:t xml:space="preserve">、项目</w:t>
      </w:r>
      <w:r>
        <w:rPr>
          <w:rFonts w:hint="eastAsia" w:ascii="仿宋" w:hAnsi="仿宋" w:eastAsia="仿宋" w:cs="仿宋"/>
          <w:b/>
          <w:bCs/>
          <w:sz w:val="24"/>
          <w:highlight w:val="none"/>
          <w:lang w:val="zh-CN"/>
        </w:rPr>
        <w:t xml:space="preserve">要求</w:t>
      </w:r>
      <w:bookmarkStart w:id="318" w:name="_Hlk111147967"/>
      <w:r/>
      <w:bookmarkEnd w:id="318"/>
      <w:r/>
      <w:r/>
    </w:p>
    <w:p>
      <w:pPr>
        <w:ind w:right="32" w:firstLine="42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1、中标供应商应负责承担范围内的设备供应（包括设备技术文件）、运输、检测、卸货、竣工验收、培训、技术服务和保修等工作。</w:t>
      </w:r>
      <w:r/>
    </w:p>
    <w:p>
      <w:pPr>
        <w:ind w:right="32" w:firstLine="42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2、交货位置为采购方指定地点，由此产生的运费、施工费等所需费用由中标供应商承担，报价应包含一切与项目工作相关的费用。</w:t>
      </w:r>
      <w:r/>
    </w:p>
    <w:p>
      <w:pPr>
        <w:ind w:right="32"/>
        <w:spacing w:line="440" w:lineRule="exact"/>
        <w:rPr>
          <w:rFonts w:ascii="宋体" w:hAnsi="宋体" w:cs="宋体"/>
          <w:b/>
          <w:bCs/>
          <w:sz w:val="24"/>
          <w:highlight w:val="none"/>
        </w:rPr>
      </w:pPr>
      <w:r>
        <w:rPr>
          <w:rFonts w:hint="eastAsia" w:ascii="仿宋" w:hAnsi="仿宋" w:eastAsia="仿宋" w:cs="仿宋"/>
          <w:b/>
          <w:bCs/>
          <w:sz w:val="24"/>
          <w:highlight w:val="none"/>
          <w:lang w:val="en-US" w:eastAsia="zh-CN"/>
        </w:rPr>
        <w:t xml:space="preserve">七</w:t>
      </w:r>
      <w:r>
        <w:rPr>
          <w:rFonts w:hint="eastAsia" w:ascii="仿宋" w:hAnsi="仿宋" w:eastAsia="仿宋" w:cs="仿宋"/>
          <w:b/>
          <w:bCs/>
          <w:sz w:val="24"/>
          <w:highlight w:val="none"/>
        </w:rPr>
        <w:t xml:space="preserve">、材料要求：</w:t>
      </w:r>
      <w:r/>
    </w:p>
    <w:p>
      <w:pPr>
        <w:ind w:right="32" w:firstLine="420"/>
        <w:spacing w:line="4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1、中标人所投设备必须是厂商原装的、全新的，型号、性能及指标符合国家及招标文件提出的有关技术、质量、安全标准，材料到场后必须经过采购人和监理验收并出具书面验收合格报告。</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r>
      <w:r/>
    </w:p>
    <w:p>
      <w:pPr>
        <w:ind w:right="32"/>
        <w:spacing w:line="440" w:lineRule="exact"/>
        <w:rPr>
          <w:rFonts w:ascii="仿宋" w:hAnsi="仿宋" w:eastAsia="仿宋" w:cs="仿宋"/>
          <w:b/>
          <w:bCs/>
          <w:sz w:val="24"/>
          <w:highlight w:val="none"/>
        </w:rPr>
      </w:pPr>
      <w:r>
        <w:rPr>
          <w:rFonts w:hint="eastAsia" w:ascii="仿宋" w:hAnsi="仿宋" w:eastAsia="仿宋" w:cs="仿宋"/>
          <w:b/>
          <w:bCs/>
          <w:sz w:val="24"/>
          <w:highlight w:val="none"/>
          <w:lang w:val="en-US" w:eastAsia="zh-CN"/>
        </w:rPr>
        <w:t xml:space="preserve">八</w:t>
      </w:r>
      <w:r>
        <w:rPr>
          <w:rFonts w:hint="eastAsia" w:ascii="仿宋" w:hAnsi="仿宋" w:eastAsia="仿宋" w:cs="仿宋"/>
          <w:b/>
          <w:bCs/>
          <w:sz w:val="24"/>
          <w:highlight w:val="none"/>
        </w:rPr>
        <w:t xml:space="preserve">、项目验收</w:t>
      </w:r>
      <w:r/>
    </w:p>
    <w:p>
      <w:pPr>
        <w:ind w:right="32" w:firstLine="420"/>
        <w:spacing w:line="4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中标人应给出详细的验收方案，包括验收项目、验收标准，验收实施办法等。验收由采购人与中标人及相关人员依国家有关标准、合同及有关附件要求进行。</w:t>
      </w:r>
      <w:r/>
    </w:p>
    <w:p>
      <w:pPr>
        <w:ind w:right="32"/>
        <w:spacing w:line="440" w:lineRule="exact"/>
        <w:rPr>
          <w:rFonts w:ascii="宋体" w:hAnsi="宋体" w:cs="宋体"/>
          <w:b/>
          <w:bCs/>
          <w:sz w:val="24"/>
          <w:highlight w:val="none"/>
        </w:rPr>
      </w:pPr>
      <w:r>
        <w:rPr>
          <w:rFonts w:hint="eastAsia" w:ascii="仿宋" w:hAnsi="仿宋" w:eastAsia="仿宋" w:cs="仿宋"/>
          <w:b/>
          <w:bCs/>
          <w:sz w:val="24"/>
          <w:highlight w:val="none"/>
          <w:lang w:val="en-US" w:eastAsia="zh-CN"/>
        </w:rPr>
        <w:t xml:space="preserve">九</w:t>
      </w:r>
      <w:r>
        <w:rPr>
          <w:rFonts w:hint="eastAsia" w:ascii="仿宋" w:hAnsi="仿宋" w:eastAsia="仿宋" w:cs="仿宋"/>
          <w:b/>
          <w:bCs/>
          <w:sz w:val="24"/>
          <w:highlight w:val="none"/>
        </w:rPr>
        <w:t xml:space="preserve">、质保期及售后服务</w:t>
      </w:r>
      <w:r/>
    </w:p>
    <w:p>
      <w:pPr>
        <w:ind w:right="32" w:firstLine="420"/>
        <w:spacing w:line="4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从项目验收合格之日起</w:t>
      </w:r>
      <w:r>
        <w:rPr>
          <w:rFonts w:hint="eastAsia" w:ascii="仿宋" w:hAnsi="仿宋" w:eastAsia="仿宋" w:cs="仿宋"/>
          <w:b/>
          <w:bCs/>
          <w:color w:val="000000"/>
          <w:sz w:val="24"/>
          <w:highlight w:val="none"/>
          <w:u w:val="single"/>
        </w:rPr>
        <w:t xml:space="preserve">三年</w:t>
      </w:r>
      <w:r>
        <w:rPr>
          <w:rFonts w:hint="eastAsia" w:ascii="宋体" w:hAnsi="宋体" w:cs="宋体"/>
          <w:sz w:val="24"/>
          <w:highlight w:val="none"/>
        </w:rPr>
        <w:t xml:space="preserve">；</w:t>
      </w:r>
      <w:r>
        <w:rPr>
          <w:rFonts w:hint="eastAsia" w:ascii="仿宋" w:hAnsi="仿宋" w:eastAsia="仿宋" w:cs="仿宋"/>
          <w:color w:val="000000"/>
          <w:sz w:val="24"/>
          <w:highlight w:val="none"/>
        </w:rPr>
        <w:t xml:space="preserve">质保期内免费提供维修。质保期内实行“三包”，遇产品质量问题，中标供应商应提供24小时电话服务热线，中标供应商接到采购人的设备故障通知后,应在2小时内作出响应，不超过72小时内解决故障。3个工作日未能排除故障或现场不能修复的保修期顺延，并须提供同品牌、型号备用设备，如因厂家设备更新换代，中标供应商可以用对等型号或更高级的型号更换。</w:t>
      </w:r>
      <w:r/>
    </w:p>
    <w:p>
      <w:pPr>
        <w:jc w:val="left"/>
        <w:spacing w:line="360" w:lineRule="auto"/>
        <w:widowControl/>
        <w:rPr>
          <w:rFonts w:ascii="仿宋" w:hAnsi="仿宋" w:eastAsia="仿宋" w:cs="仿宋"/>
          <w:b/>
          <w:bCs/>
          <w:sz w:val="24"/>
          <w:highlight w:val="none"/>
        </w:rPr>
      </w:pPr>
      <w:r>
        <w:rPr>
          <w:rFonts w:hint="eastAsia" w:ascii="仿宋" w:hAnsi="仿宋" w:eastAsia="仿宋" w:cs="仿宋"/>
          <w:b/>
          <w:bCs/>
          <w:sz w:val="24"/>
          <w:highlight w:val="none"/>
          <w:lang w:val="en-US" w:eastAsia="zh-CN"/>
        </w:rPr>
        <w:t xml:space="preserve">十</w:t>
      </w:r>
      <w:r>
        <w:rPr>
          <w:rFonts w:hint="eastAsia" w:ascii="仿宋" w:hAnsi="仿宋" w:eastAsia="仿宋" w:cs="仿宋"/>
          <w:b/>
          <w:bCs/>
          <w:sz w:val="24"/>
          <w:highlight w:val="none"/>
        </w:rPr>
        <w:t xml:space="preserve">、质量保证</w:t>
      </w:r>
      <w:r/>
    </w:p>
    <w:p>
      <w:pPr>
        <w:ind w:right="32" w:firstLine="420"/>
        <w:spacing w:line="4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1、凡所提供的设备：质保期内因质量问题而发生零配件损坏，均由中标供应商免费更换；如因厂家设备更新换代，中标供应商可以用对等型号或更高级的型号更换。</w:t>
      </w:r>
      <w:r/>
    </w:p>
    <w:p>
      <w:pPr>
        <w:ind w:right="32" w:firstLine="420"/>
        <w:spacing w:line="44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2、中标人提供的货物必须是原厂生产的、全新的、未使用过的，并完全符合原厂质量检测标准和国家质量检测标准、行业标准。</w:t>
      </w:r>
      <w:r/>
    </w:p>
    <w:p>
      <w:pPr>
        <w:ind w:right="32" w:firstLine="420"/>
        <w:spacing w:line="360" w:lineRule="auto"/>
        <w:rPr>
          <w:rFonts w:ascii="宋体" w:hAnsi="宋体" w:cs="宋体"/>
          <w:sz w:val="24"/>
          <w:highlight w:val="none"/>
        </w:rPr>
      </w:pPr>
      <w:r>
        <w:rPr>
          <w:rFonts w:hint="eastAsia" w:ascii="仿宋" w:hAnsi="仿宋" w:eastAsia="仿宋" w:cs="仿宋"/>
          <w:color w:val="000000"/>
          <w:sz w:val="24"/>
          <w:highlight w:val="none"/>
        </w:rPr>
        <w:t xml:space="preserve">3、中标供应商保证合同项下提供的设备不侵犯任何第三方的专利、商标或版权。否则，中标供应商须承担对第三方的专利或版权的侵权责任并承担因此而发生的所有费用。</w:t>
      </w:r>
      <w:r/>
    </w:p>
    <w:p>
      <w:pPr>
        <w:rPr>
          <w:rFonts w:hint="eastAsia" w:eastAsia="宋体"/>
          <w:highlight w:val="none"/>
          <w:lang w:eastAsia="zh-CN"/>
        </w:rPr>
      </w:pPr>
      <w:r>
        <w:rPr>
          <w:rFonts w:hint="eastAsia" w:ascii="宋体" w:hAnsi="宋体" w:cs="宋体"/>
          <w:b/>
          <w:color w:val="000000"/>
          <w:sz w:val="24"/>
          <w:highlight w:val="none"/>
        </w:rPr>
        <w:t xml:space="preserve">十</w:t>
      </w:r>
      <w:r>
        <w:rPr>
          <w:rFonts w:hint="eastAsia" w:ascii="宋体" w:hAnsi="宋体" w:cs="宋体"/>
          <w:b/>
          <w:color w:val="000000"/>
          <w:sz w:val="24"/>
          <w:highlight w:val="none"/>
        </w:rPr>
        <w:t xml:space="preserve">一、其他要求见招标文件第五章《拟签订的合同文本》</w:t>
      </w:r>
      <w:r>
        <w:rPr>
          <w:rFonts w:hint="eastAsia" w:ascii="宋体" w:hAnsi="宋体" w:cs="宋体"/>
          <w:b/>
          <w:color w:val="000000"/>
          <w:sz w:val="24"/>
          <w:highlight w:val="none"/>
          <w:lang w:eastAsia="zh-CN"/>
        </w:rPr>
        <w:t xml:space="preserve">。</w:t>
      </w:r>
      <w:r/>
    </w:p>
    <w:p>
      <w:pPr>
        <w:spacing w:line="360" w:lineRule="auto"/>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jc w:val="center"/>
        <w:spacing w:line="23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5"/>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第七章投标文件相关格式</w:t>
      </w:r>
      <w:r/>
    </w:p>
    <w:p>
      <w:pPr>
        <w:ind w:firstLine="640"/>
        <w:jc w:val="center"/>
        <w:spacing w:line="23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一、投标函格式</w:t>
      </w:r>
      <w:r/>
    </w:p>
    <w:p>
      <w:pPr>
        <w:spacing w:line="2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cs="宋体"/>
          <w:sz w:val="24"/>
          <w:szCs w:val="24"/>
          <w:u w:val="single"/>
          <w:lang w:eastAsia="zh-CN"/>
        </w:rPr>
        <w:t xml:space="preserve">徐州市铜山区教育局（机关）</w:t>
      </w:r>
      <w:r/>
    </w:p>
    <w:p>
      <w:pPr>
        <w:ind w:firstLine="600"/>
        <w:spacing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cs="宋体"/>
          <w:sz w:val="24"/>
          <w:szCs w:val="24"/>
          <w:lang w:eastAsia="zh-CN"/>
        </w:rPr>
        <w:t xml:space="preserve">JSZC-320312-XZZX-G2025-0006</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w:t>
      </w:r>
      <w:r>
        <w:rPr>
          <w:rFonts w:hint="eastAsia" w:ascii="宋体" w:hAnsi="宋体" w:eastAsia="宋体" w:cs="宋体"/>
          <w:sz w:val="24"/>
          <w:szCs w:val="24"/>
        </w:rPr>
        <w:t xml:space="preserve">姓名</w:t>
      </w:r>
      <w:r>
        <w:rPr>
          <w:rFonts w:hint="eastAsia" w:ascii="宋体" w:hAnsi="宋体" w:cs="宋体"/>
          <w:sz w:val="24"/>
          <w:szCs w:val="24"/>
          <w:lang w:eastAsia="zh-CN"/>
        </w:rPr>
        <w:t xml:space="preserve">）</w:t>
      </w:r>
      <w:r>
        <w:rPr>
          <w:rFonts w:hint="eastAsia" w:ascii="宋体" w:hAnsi="宋体" w:eastAsia="宋体" w:cs="宋体"/>
          <w:sz w:val="24"/>
          <w:szCs w:val="24"/>
        </w:rPr>
        <w:t xml:space="preserve">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 投标人同意在授予合同后，按照有关规定支付公证费</w:t>
      </w:r>
      <w:r>
        <w:rPr>
          <w:rFonts w:hint="eastAsia" w:ascii="宋体" w:hAnsi="宋体" w:cs="宋体"/>
          <w:sz w:val="24"/>
          <w:szCs w:val="24"/>
          <w:lang w:eastAsia="zh-CN"/>
        </w:rPr>
        <w:t xml:space="preserve">（</w:t>
      </w:r>
      <w:r>
        <w:rPr>
          <w:rFonts w:hint="eastAsia" w:ascii="宋体" w:hAnsi="宋体" w:eastAsia="宋体" w:cs="宋体"/>
          <w:sz w:val="24"/>
          <w:szCs w:val="24"/>
        </w:rPr>
        <w:t xml:space="preserve">如有</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right="29"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 采购人或采购代理机构有权将我单位本项目的《开标一览表》和《分项价格表》予以公示，公示的方式由</w:t>
      </w:r>
      <w:r>
        <w:rPr>
          <w:rFonts w:hint="eastAsia" w:ascii="宋体" w:hAnsi="宋体" w:cs="宋体"/>
          <w:sz w:val="24"/>
          <w:szCs w:val="24"/>
          <w:lang w:eastAsia="zh-CN"/>
        </w:rPr>
        <w:t xml:space="preserve">徐州众信项目管理咨询有限公司</w:t>
      </w:r>
      <w:r>
        <w:rPr>
          <w:rFonts w:hint="eastAsia" w:ascii="宋体" w:hAnsi="宋体" w:eastAsia="宋体" w:cs="宋体"/>
          <w:sz w:val="24"/>
          <w:szCs w:val="24"/>
        </w:rPr>
        <w:t xml:space="preserve">确定。</w:t>
      </w:r>
      <w:r/>
    </w:p>
    <w:p>
      <w:pPr>
        <w:ind w:right="29"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.与本投标有关的一切正式往来信函请寄：</w:t>
      </w:r>
      <w:r/>
    </w:p>
    <w:p>
      <w:pPr>
        <w:ind w:firstLine="12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2700"/>
        <w:spacing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2700"/>
        <w:spacing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27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rPr>
          <w:rFonts w:hint="eastAsia" w:ascii="宋体" w:hAnsi="宋体" w:eastAsia="宋体" w:cs="宋体"/>
        </w:rPr>
        <w:br w:type="page" w:clear="all"/>
      </w:r>
      <w:r/>
    </w:p>
    <w:p>
      <w:pPr>
        <w:ind w:firstLine="640"/>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二、开标一览表格式</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spacing w:line="51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JSZC-320312-XZZX-G2025-0006</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铜山区中小学教室空调配备项目（电力箱变设备）</w:t>
      </w:r>
      <w:r>
        <w:rPr>
          <w:rFonts w:hint="eastAsia" w:ascii="宋体" w:hAnsi="宋体" w:eastAsia="宋体" w:cs="宋体"/>
          <w:sz w:val="24"/>
          <w:szCs w:val="24"/>
        </w:rPr>
        <w:t xml:space="preserve"> </w:t>
      </w:r>
      <w:r/>
    </w:p>
    <w:p>
      <w:pPr>
        <w:ind w:firstLine="4080"/>
        <w:rPr>
          <w:rFonts w:hint="eastAsia" w:ascii="宋体" w:hAnsi="宋体" w:eastAsia="宋体" w:cs="宋体"/>
          <w:sz w:val="24"/>
          <w:szCs w:val="24"/>
        </w:rPr>
      </w:pPr>
      <w:r>
        <w:rPr>
          <w:rFonts w:hint="eastAsia" w:ascii="宋体" w:hAnsi="宋体" w:cs="宋体"/>
          <w:sz w:val="24"/>
          <w:highlight w:val="none"/>
        </w:rPr>
        <w:t xml:space="preserve">货币单位：人民币</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《开标一览表》（政府采购客户端工具输入报价自动生成，加盖电子签章</w:t>
      </w:r>
      <w:r>
        <w:rPr>
          <w:rFonts w:hint="eastAsia" w:ascii="宋体" w:hAnsi="宋体" w:cs="宋体"/>
          <w:b/>
          <w:bCs/>
          <w:sz w:val="24"/>
          <w:highlight w:val="none"/>
          <w:lang w:val="en-US" w:eastAsia="zh-CN"/>
        </w:rPr>
        <w:t xml:space="preserve">上传</w:t>
      </w:r>
      <w:r>
        <w:rPr>
          <w:rFonts w:hint="eastAsia" w:ascii="宋体" w:hAnsi="宋体" w:cs="宋体"/>
          <w:b/>
          <w:bCs/>
          <w:sz w:val="24"/>
          <w:highlight w:val="none"/>
        </w:rPr>
        <w:t xml:space="preserve">）</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00"/>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JSZC-320312-XZZX-G2025-0006</w:t>
      </w:r>
      <w:r/>
    </w:p>
    <w:p>
      <w:pPr>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铜山区中小学教室空调配备项目（电力箱变设备）</w:t>
      </w:r>
      <w:r/>
    </w:p>
    <w:p>
      <w:pPr>
        <w:jc w:val="right"/>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tbl>
      <w:tblPr>
        <w:tblStyle w:val="82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jc w:val="left"/>
        <w:widowControl/>
        <w:rPr>
          <w:rFonts w:hint="eastAsia" w:ascii="宋体" w:hAnsi="宋体" w:eastAsia="宋体" w:cs="宋体"/>
          <w:sz w:val="24"/>
          <w:szCs w:val="24"/>
        </w:rPr>
      </w:pPr>
      <w:r>
        <w:rPr>
          <w:rFonts w:hint="eastAsia" w:ascii="宋体" w:hAnsi="宋体" w:eastAsia="宋体" w:cs="宋体"/>
          <w:b/>
          <w:bCs/>
          <w:sz w:val="24"/>
          <w:szCs w:val="24"/>
        </w:rPr>
        <w:t xml:space="preserve">1、本表中“产品制造企业的划分”以《政府采购促进中小企业发展管理办法》（财库</w:t>
      </w:r>
      <w:r>
        <w:rPr>
          <w:rFonts w:hint="eastAsia" w:ascii="宋体" w:hAnsi="宋体" w:cs="宋体"/>
          <w:b/>
          <w:bCs/>
          <w:sz w:val="24"/>
          <w:szCs w:val="24"/>
          <w:lang w:eastAsia="zh-CN"/>
        </w:rPr>
        <w:t xml:space="preserve">〔2020〕46号</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和《工业和信息化部、国家统计局、国家发展和改革委员会、财政部关于印发中小企业划型标准规定的通知》（工信部联企业</w:t>
      </w:r>
      <w:r>
        <w:rPr>
          <w:rFonts w:hint="eastAsia" w:ascii="宋体" w:hAnsi="宋体" w:cs="宋体"/>
          <w:sz w:val="24"/>
          <w:szCs w:val="24"/>
          <w:lang w:eastAsia="zh-CN"/>
        </w:rPr>
        <w:t xml:space="preserve">〔2011〕300号</w:t>
      </w:r>
      <w:r>
        <w:rPr>
          <w:rFonts w:hint="eastAsia" w:ascii="宋体" w:hAnsi="宋体" w:eastAsia="宋体" w:cs="宋体"/>
          <w:sz w:val="24"/>
          <w:szCs w:val="24"/>
        </w:rPr>
        <w:t xml:space="preserve">）的规定为准。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3、享受政府采购支持政策的残疾人福利性单位的条件以《三部门联合发布关于促进残疾人就业政府采购政策的通知》（财库〔2017〕141号）规定为准。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注：1、如果不提供详细分项报价将视为没有实质性响应招标文件。</w:t>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ind w:firstLine="562"/>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四、偏离表格式</w:t>
      </w:r>
      <w:r/>
    </w:p>
    <w:p>
      <w:pPr>
        <w:spacing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JSZC-320312-XZZX-G2025-0006</w:t>
      </w:r>
      <w:r/>
    </w:p>
    <w:p>
      <w:pPr>
        <w:spacing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铜山区中小学教室空调配备项目（电力箱变设备）</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bl>
      <w:tblPr>
        <w:tblStyle w:val="827"/>
        <w:tblW w:w="10192" w:type="dxa"/>
        <w:tblInd w:w="-4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3"/>
        <w:gridCol w:w="1515"/>
        <w:gridCol w:w="1830"/>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名称</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bCs/>
          <w:sz w:val="32"/>
          <w:szCs w:val="32"/>
        </w:rPr>
      </w:r>
      <w:r/>
    </w:p>
    <w:p>
      <w:pPr>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五、授权委托书及法定代表人身份证明书格式</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（一）授权委托书</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委托人：</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负责人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职务：</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统一社会信用代码：</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受托人：        性别：男（女）</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  岁      民族：  族</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职务：</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身份证号：</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兹委托（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）全权代表我企业（公司）参与（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cs="宋体"/>
          <w:sz w:val="24"/>
          <w:szCs w:val="24"/>
          <w:lang w:eastAsia="zh-CN"/>
        </w:rPr>
        <w:t xml:space="preserve">JSZC-320312-XZZX-G2025-0006</w:t>
      </w:r>
      <w:r>
        <w:rPr>
          <w:rFonts w:hint="eastAsia" w:ascii="宋体" w:hAnsi="宋体" w:eastAsia="宋体" w:cs="宋体"/>
          <w:sz w:val="24"/>
          <w:szCs w:val="24"/>
        </w:rPr>
        <w:t xml:space="preserve">）的招、投标活动及签订合同。（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）以我企业（公司）名义所为的法律行为及签署的文件，我企业（公司）均予以认可。有关法律责任均由我企业（公司）承担。（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）无转委托权。</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委托期限自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w:t>
      </w:r>
      <w:r/>
    </w:p>
    <w:p>
      <w:pPr>
        <w:ind w:firstLine="63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特此授权委托。</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委托人（电子签章）：</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法定代表人</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负责人</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（签字或盖章）： </w:t>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受托人（签字或盖章）：</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900"/>
        <w:ind w:left="0" w:firstLine="602"/>
        <w:rPr>
          <w:rFonts w:hint="eastAsia" w:ascii="宋体" w:hAnsi="宋体" w:eastAsia="宋体" w:cs="宋体"/>
          <w:sz w:val="24"/>
          <w:szCs w:val="24"/>
        </w:rPr>
      </w:pPr>
      <w:r>
        <w:rPr>
          <w:rFonts w:hint="eastAsia" w:ascii="宋体" w:hAnsi="宋体" w:eastAsia="宋体" w:cs="宋体"/>
          <w:b/>
          <w:bCs/>
          <w:sz w:val="24"/>
          <w:szCs w:val="24"/>
        </w:rPr>
        <w:t xml:space="preserve">受托人联系方式：</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邮箱：</w:t>
      </w:r>
      <w:r/>
    </w:p>
    <w:p>
      <w:pPr>
        <w:ind w:right="600" w:firstLine="615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年  月 日</w:t>
      </w:r>
      <w:r>
        <w:rPr>
          <w:rFonts w:hint="eastAsia" w:ascii="宋体" w:hAnsi="宋体" w:eastAsia="宋体" w:cs="宋体"/>
          <w:sz w:val="24"/>
          <w:szCs w:val="24"/>
        </w:rPr>
        <w:t xml:space="preserve"> </w:t>
      </w:r>
      <w:r/>
    </w:p>
    <w:p>
      <w:pPr>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受托人身份证扫描件附后</w:t>
      </w:r>
      <w:r>
        <w:rPr>
          <w:rFonts w:hint="eastAsia" w:ascii="宋体" w:hAnsi="宋体" w:cs="宋体"/>
          <w:b/>
          <w:bCs/>
          <w:sz w:val="24"/>
          <w:szCs w:val="24"/>
          <w:lang w:eastAsia="zh-CN"/>
        </w:rPr>
        <w:t xml:space="preserve">）</w:t>
      </w:r>
      <w:r/>
    </w:p>
    <w:p>
      <w:pPr>
        <w:ind w:firstLine="447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 </w:t>
      </w:r>
      <w:r/>
    </w:p>
    <w:p>
      <w:pPr>
        <w:ind w:firstLine="600"/>
        <w:jc w:val="center"/>
        <w:spacing w:before="100" w:after="100"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bCs/>
          <w:sz w:val="32"/>
          <w:szCs w:val="32"/>
        </w:rPr>
      </w:r>
      <w:r/>
    </w:p>
    <w:p>
      <w:pPr>
        <w:jc w:val="center"/>
        <w:spacing w:before="100" w:after="100"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（二）法定代表人身份证明书</w:t>
      </w:r>
      <w:r/>
    </w:p>
    <w:p>
      <w:pPr>
        <w:pStyle w:val="910"/>
        <w:rPr>
          <w:rFonts w:hint="eastAsia" w:ascii="宋体" w:hAnsi="宋体" w:eastAsia="宋体" w:cs="宋体"/>
        </w:rPr>
      </w:pPr>
      <w:r>
        <w:rPr>
          <w:rFonts w:hint="eastAsia" w:ascii="宋体" w:hAnsi="宋体" w:eastAsia="宋体" w:cs="宋体"/>
        </w:rPr>
      </w:r>
      <w:r/>
    </w:p>
    <w:p>
      <w:pPr>
        <w:pStyle w:val="889"/>
        <w:ind w:firstLine="480"/>
        <w:spacing w:line="500" w:lineRule="exact"/>
        <w:tabs>
          <w:tab w:val="left" w:pos="720" w:leader="none"/>
          <w:tab w:val="left" w:pos="900" w:leader="none"/>
        </w:tabs>
        <w:rPr>
          <w:rFonts w:hint="eastAsia" w:ascii="宋体" w:hAnsi="宋体" w:eastAsia="宋体" w:cs="宋体"/>
          <w:sz w:val="24"/>
        </w:rPr>
      </w:pPr>
      <w:r>
        <w:rPr>
          <w:rFonts w:hint="eastAsia" w:ascii="宋体" w:hAnsi="宋体" w:eastAsia="宋体" w:cs="宋体"/>
          <w:sz w:val="24"/>
        </w:rPr>
      </w:r>
      <w:r/>
    </w:p>
    <w:p>
      <w:pPr>
        <w:pStyle w:val="889"/>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单位名称：</w:t>
      </w:r>
      <w:r/>
    </w:p>
    <w:p>
      <w:pPr>
        <w:pStyle w:val="889"/>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地址：</w:t>
      </w:r>
      <w:r/>
    </w:p>
    <w:p>
      <w:pPr>
        <w:pStyle w:val="889"/>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姓名：            性别：    </w:t>
      </w:r>
      <w:r/>
    </w:p>
    <w:p>
      <w:pPr>
        <w:pStyle w:val="889"/>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身份证号：        职务：</w:t>
      </w:r>
      <w:r/>
    </w:p>
    <w:p>
      <w:pPr>
        <w:pStyle w:val="889"/>
        <w:ind w:firstLine="96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889"/>
        <w:ind w:firstLine="60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系我企业（公司）的法定代表人。</w:t>
      </w:r>
      <w:r/>
    </w:p>
    <w:p>
      <w:pPr>
        <w:pStyle w:val="889"/>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pStyle w:val="889"/>
        <w:ind w:firstLine="480"/>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特此证明。</w:t>
      </w:r>
      <w:r/>
    </w:p>
    <w:p>
      <w:pPr>
        <w:pStyle w:val="889"/>
        <w:ind w:firstLine="480"/>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法定代表人（签字或盖章）：</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pStyle w:val="889"/>
        <w:jc w:val="right"/>
        <w:spacing w:line="360" w:lineRule="auto"/>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pStyle w:val="889"/>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9"/>
        <w:spacing w:line="360" w:lineRule="auto"/>
        <w:tabs>
          <w:tab w:val="left" w:pos="720" w:leader="none"/>
          <w:tab w:val="left" w:pos="900" w:leader="none"/>
        </w:tabs>
        <w:rPr>
          <w:rFonts w:hint="eastAsia" w:ascii="宋体" w:hAnsi="宋体" w:eastAsia="宋体" w:cs="宋体"/>
          <w:b/>
          <w:bCs/>
          <w:sz w:val="24"/>
          <w:szCs w:val="24"/>
        </w:rPr>
      </w:pP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法定代表人身份证原件扫描件附后）</w:t>
      </w:r>
      <w:r/>
    </w:p>
    <w:p>
      <w:pPr>
        <w:rPr>
          <w:rFonts w:hint="eastAsia" w:ascii="宋体" w:hAnsi="宋体" w:eastAsia="宋体" w:cs="宋体"/>
          <w:b/>
          <w:bCs/>
          <w:sz w:val="24"/>
          <w:szCs w:val="24"/>
        </w:rP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bCs/>
          <w:sz w:val="24"/>
          <w:szCs w:val="24"/>
        </w:rPr>
      </w:r>
      <w:r/>
    </w:p>
    <w:p>
      <w:pPr>
        <w:ind w:firstLine="600"/>
        <w:jc w:val="center"/>
        <w:spacing w:before="100" w:after="100"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六、中小企业声明函格式</w:t>
      </w:r>
      <w:r/>
    </w:p>
    <w:p>
      <w:pPr>
        <w:spacing w:before="100" w:after="100" w:line="288"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spacing w:before="100" w:after="10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JSZC-320312-XZZX-G2025-0006</w:t>
      </w:r>
      <w:r/>
    </w:p>
    <w:p>
      <w:pPr>
        <w:spacing w:before="100" w:after="10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铜山区中小学教室空调配备项目（电力箱变设备）</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w:t>
      </w:r>
      <w:r>
        <w:rPr>
          <w:rFonts w:hint="eastAsia" w:ascii="宋体" w:hAnsi="宋体" w:cs="宋体"/>
          <w:sz w:val="24"/>
          <w:szCs w:val="24"/>
          <w:lang w:eastAsia="zh-CN"/>
        </w:rPr>
        <w:t xml:space="preserve">〔2020〕46号</w:t>
      </w:r>
      <w:r>
        <w:rPr>
          <w:rFonts w:hint="eastAsia" w:ascii="宋体" w:hAnsi="宋体" w:eastAsia="宋体" w:cs="宋体"/>
          <w:sz w:val="24"/>
          <w:szCs w:val="24"/>
        </w:rPr>
        <w:t xml:space="preserve">）的规定，本公司参加（</w:t>
      </w:r>
      <w:r>
        <w:rPr>
          <w:rFonts w:hint="eastAsia" w:ascii="宋体" w:hAnsi="宋体" w:cs="宋体"/>
          <w:sz w:val="24"/>
          <w:szCs w:val="24"/>
          <w:u w:val="single"/>
          <w:lang w:eastAsia="zh-CN"/>
        </w:rPr>
        <w:t xml:space="preserve">徐州市铜山区教育局（机关）</w:t>
      </w:r>
      <w:r>
        <w:rPr>
          <w:rFonts w:hint="eastAsia" w:ascii="宋体" w:hAnsi="宋体" w:eastAsia="宋体" w:cs="宋体"/>
          <w:sz w:val="24"/>
          <w:szCs w:val="24"/>
        </w:rPr>
        <w:t xml:space="preserve">）的（</w:t>
      </w:r>
      <w:r>
        <w:rPr>
          <w:rFonts w:hint="eastAsia" w:ascii="宋体" w:hAnsi="宋体" w:cs="宋体"/>
          <w:sz w:val="24"/>
          <w:szCs w:val="24"/>
          <w:u w:val="single"/>
          <w:lang w:eastAsia="zh-CN"/>
        </w:rPr>
        <w:t xml:space="preserve">铜山区中小学教室空调配备项目（电力箱变设备）</w:t>
      </w:r>
      <w:r>
        <w:rPr>
          <w:rFonts w:hint="eastAsia" w:ascii="宋体" w:hAnsi="宋体" w:eastAsia="宋体" w:cs="宋体"/>
          <w:sz w:val="24"/>
          <w:szCs w:val="24"/>
        </w:rPr>
        <w:t xml:space="preserve">）采购活动，提供的货物全部由符合政策要求的中小企业制造。相关企业的具体情况如下：</w:t>
      </w:r>
      <w:r/>
    </w:p>
    <w:p>
      <w:pPr>
        <w:pStyle w:val="937"/>
        <w:ind w:left="0" w:firstLine="56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）（企业名称），从业人员（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万元），属于（中型企业、小型企业、微型企业，</w:t>
      </w:r>
      <w:r>
        <w:rPr>
          <w:rFonts w:hint="eastAsia" w:ascii="宋体" w:hAnsi="宋体" w:eastAsia="宋体" w:cs="宋体"/>
          <w:color w:val="ff0000"/>
          <w:sz w:val="24"/>
          <w:szCs w:val="24"/>
        </w:rPr>
        <w:t xml:space="preserve">请勾选！</w:t>
      </w:r>
      <w:r>
        <w:rPr>
          <w:rFonts w:hint="eastAsia" w:ascii="宋体" w:hAnsi="宋体" w:eastAsia="宋体" w:cs="宋体"/>
          <w:sz w:val="24"/>
          <w:szCs w:val="24"/>
        </w:rPr>
        <w:t xml:space="preserve">）；</w:t>
      </w:r>
      <w:r/>
    </w:p>
    <w:p>
      <w:pPr>
        <w:pStyle w:val="937"/>
        <w:ind w:left="0" w:firstLine="560"/>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pStyle w:val="937"/>
        <w:ind w:left="0" w:firstLine="560"/>
        <w:spacing w:line="24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937"/>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937"/>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企业名称（电子签章）：</w:t>
      </w:r>
      <w:r/>
    </w:p>
    <w:p>
      <w:pPr>
        <w:pStyle w:val="937"/>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日期：  年  月  日</w:t>
      </w:r>
      <w:r/>
    </w:p>
    <w:p>
      <w:pPr>
        <w:spacing w:line="480" w:lineRule="exact"/>
        <w:rPr>
          <w:rFonts w:hint="eastAsia" w:ascii="宋体" w:hAnsi="宋体" w:eastAsia="宋体" w:cs="宋体"/>
          <w:b w:val="0"/>
          <w:bCs/>
          <w:sz w:val="24"/>
          <w:szCs w:val="24"/>
        </w:rPr>
      </w:pPr>
      <w:r>
        <w:rPr>
          <w:rFonts w:hint="eastAsia" w:ascii="宋体" w:hAnsi="宋体" w:cs="宋体"/>
          <w:b w:val="0"/>
          <w:bCs/>
          <w:sz w:val="24"/>
          <w:highlight w:val="none"/>
        </w:rPr>
        <w:t xml:space="preserve">备注：本采购项目所属行业为“工业”。</w:t>
      </w:r>
      <w:r/>
    </w:p>
    <w:p>
      <w:pPr>
        <w:pStyle w:val="937"/>
        <w:ind w:left="0"/>
        <w:jc w:val="left"/>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说明：</w:t>
      </w:r>
      <w:r/>
    </w:p>
    <w:p>
      <w:pPr>
        <w:pStyle w:val="937"/>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lang w:eastAsia="zh-CN"/>
        </w:rPr>
        <w:t xml:space="preserve">〔2011〕300号</w:t>
      </w:r>
      <w:r>
        <w:rPr>
          <w:rFonts w:hint="eastAsia" w:ascii="宋体" w:hAnsi="宋体" w:eastAsia="宋体" w:cs="宋体"/>
          <w:b w:val="0"/>
          <w:bCs/>
          <w:sz w:val="24"/>
          <w:szCs w:val="24"/>
        </w:rPr>
        <w:t xml:space="preserve">）的规定为准。</w:t>
      </w:r>
      <w:r/>
    </w:p>
    <w:p>
      <w:pPr>
        <w:pStyle w:val="937"/>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2、从业人员、营业收入、资产总额填报供应商上一年度数据，无上一年度数据的新成立企业可不填报。</w:t>
      </w:r>
      <w:r/>
    </w:p>
    <w:p>
      <w:pPr>
        <w:pStyle w:val="937"/>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3、中标、成交供应商为小型、微型企业的，采购人或者其委托的采购代理机构有权随中标、成交结果同时公告其《中小企业声明函》，接受社会监督。</w:t>
      </w:r>
      <w:r/>
    </w:p>
    <w:p>
      <w:pPr>
        <w:pStyle w:val="937"/>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4、执行江苏省财政厅关于进一步加大政府采购支持中小企业力度的通知（苏财购〔2022〕45号）的规定。</w:t>
      </w:r>
      <w:r/>
    </w:p>
    <w:p>
      <w:pPr>
        <w:pStyle w:val="937"/>
        <w:ind w:left="0"/>
        <w:spacing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5、供应商提供的《中小企业声明函》与事实不符的，依照《</w:t>
      </w:r>
      <w:r>
        <w:rPr>
          <w:rFonts w:hint="eastAsia" w:ascii="宋体" w:hAnsi="宋体" w:cs="宋体"/>
          <w:b w:val="0"/>
          <w:bCs/>
          <w:sz w:val="24"/>
          <w:szCs w:val="24"/>
          <w:lang w:eastAsia="zh-CN"/>
        </w:rPr>
        <w:t xml:space="preserve">中华人民共和国政府采购法</w:t>
      </w:r>
      <w:r>
        <w:rPr>
          <w:rFonts w:hint="eastAsia" w:ascii="宋体" w:hAnsi="宋体" w:eastAsia="宋体" w:cs="宋体"/>
          <w:b w:val="0"/>
          <w:bCs/>
          <w:sz w:val="24"/>
          <w:szCs w:val="24"/>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965" cy="7592695"/>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9pt;height:597.9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rPr>
        <w:br w:type="page" w:clear="all"/>
      </w:r>
      <w:r/>
    </w:p>
    <w:p>
      <w:pPr>
        <w:ind w:firstLine="600"/>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七、残疾人福利性单位声明函</w:t>
      </w:r>
      <w:r/>
    </w:p>
    <w:p>
      <w:pPr>
        <w:jc w:val="center"/>
        <w:spacing w:line="479" w:lineRule="atLeast"/>
        <w:rPr>
          <w:rFonts w:hint="eastAsia" w:ascii="宋体" w:hAnsi="宋体" w:eastAsia="宋体" w:cs="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4"/>
          <w:szCs w:val="24"/>
        </w:rPr>
        <w:t xml:space="preserve">（如投标人不属于残疾人福利性单位不需要提供此声明函）</w:t>
      </w:r>
      <w:r/>
    </w:p>
    <w:p>
      <w:pPr>
        <w:spacing w:line="360" w:lineRule="auto"/>
        <w:rPr>
          <w:rFonts w:hint="eastAsia" w:ascii="宋体" w:hAnsi="宋体" w:eastAsia="宋体" w:cs="宋体"/>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r>
      <w:r/>
    </w:p>
    <w:p>
      <w:pPr>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项目编号：</w:t>
      </w:r>
      <w:r>
        <w:rPr>
          <w:rFonts w:hint="eastAsia" w:ascii="宋体" w:hAnsi="宋体" w:cs="宋体"/>
          <w:spacing w:val="6"/>
          <w:sz w:val="24"/>
          <w:szCs w:val="24"/>
          <w:lang w:eastAsia="zh-CN"/>
        </w:rPr>
        <w:t xml:space="preserve">JSZC-320312-XZZX-G2025-0006</w:t>
      </w:r>
      <w:r/>
    </w:p>
    <w:p>
      <w:pPr>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项目名称：</w:t>
      </w:r>
      <w:r>
        <w:rPr>
          <w:rFonts w:hint="eastAsia" w:ascii="宋体" w:hAnsi="宋体" w:cs="宋体"/>
          <w:spacing w:val="6"/>
          <w:sz w:val="24"/>
          <w:szCs w:val="24"/>
          <w:lang w:eastAsia="zh-CN"/>
        </w:rPr>
        <w:t xml:space="preserve">铜山区中小学教室空调配备项目（电力箱变设备）</w:t>
      </w:r>
      <w:r/>
    </w:p>
    <w:p>
      <w:pPr>
        <w:ind w:firstLine="624"/>
        <w:spacing w:line="360" w:lineRule="auto"/>
        <w:rPr>
          <w:rFonts w:hint="eastAsia" w:ascii="宋体" w:hAnsi="宋体" w:eastAsia="宋体" w:cs="宋体"/>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cs="宋体"/>
          <w:spacing w:val="6"/>
          <w:sz w:val="24"/>
          <w:szCs w:val="24"/>
          <w:lang w:eastAsia="zh-CN"/>
        </w:rPr>
        <w:t xml:space="preserve">〔2017〕141号</w:t>
      </w:r>
      <w:r>
        <w:rPr>
          <w:rFonts w:hint="eastAsia" w:ascii="宋体" w:hAnsi="宋体" w:eastAsia="宋体" w:cs="宋体"/>
          <w:spacing w:val="6"/>
          <w:sz w:val="24"/>
          <w:szCs w:val="24"/>
        </w:rPr>
        <w:t xml:space="preserve">）的规定，本单位为符合条件的残疾人福利性单位，且本单位参加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ind w:firstLine="255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45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24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我单位在参加</w:t>
      </w:r>
      <w:r>
        <w:rPr>
          <w:rFonts w:hint="eastAsia" w:ascii="宋体" w:hAnsi="宋体" w:cs="宋体"/>
          <w:sz w:val="24"/>
          <w:szCs w:val="24"/>
          <w:u w:val="single"/>
          <w:lang w:eastAsia="zh-CN"/>
        </w:rPr>
        <w:t xml:space="preserve">铜山区中小学教室空调配备项目（电力箱变设备）</w:t>
      </w:r>
      <w:r>
        <w:rPr>
          <w:rFonts w:hint="eastAsia" w:ascii="宋体" w:hAnsi="宋体" w:eastAsia="宋体" w:cs="宋体"/>
          <w:sz w:val="24"/>
          <w:szCs w:val="24"/>
        </w:rPr>
        <w:t xml:space="preserve">项目（项目编号：</w:t>
      </w:r>
      <w:r>
        <w:rPr>
          <w:rFonts w:hint="eastAsia" w:ascii="宋体" w:hAnsi="宋体" w:cs="宋体"/>
          <w:sz w:val="24"/>
          <w:szCs w:val="24"/>
          <w:lang w:eastAsia="zh-CN"/>
        </w:rPr>
        <w:t xml:space="preserve">JSZC-320312-XZZX-G2025-0006</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我单位对上述声明的真实性负责。如有虚假，将依法承担相应责任。</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285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45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30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300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sz w:val="30"/>
        </w:rPr>
      </w:r>
      <w:r/>
    </w:p>
    <w:p>
      <w:pPr>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九、</w:t>
      </w:r>
      <w:r>
        <w:rPr>
          <w:rFonts w:hint="eastAsia" w:ascii="宋体" w:hAnsi="宋体" w:eastAsia="宋体" w:cs="宋体"/>
          <w:b/>
          <w:bCs/>
          <w:sz w:val="28"/>
          <w:szCs w:val="28"/>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铜山区中小学教室空调配备项目（电力箱变设备）</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JSZC-320312-XZZX-G2025-0006</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铜山区中小学教室空调配备项目（电力箱变设备）</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JSZC-320312-XZZX-G2025-0006</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56"/>
        <w:rPr>
          <w:rFonts w:hint="eastAsia"/>
        </w:rPr>
      </w:pPr>
      <w:r>
        <w:rPr>
          <w:rFonts w:hint="eastAsia"/>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left"/>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rPr>
          <w:rFonts w:hint="eastAsia"/>
          <w:lang w:val="en-US" w:eastAsia="zh-CN"/>
        </w:rPr>
      </w:pPr>
      <w:r>
        <w:rPr>
          <w:rFonts w:hint="eastAsia"/>
          <w:lang w:val="en-US" w:eastAsia="zh-CN"/>
        </w:rPr>
      </w:r>
      <w:r/>
    </w:p>
    <w:p>
      <w:pPr>
        <w:pStyle w:val="856"/>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rPr>
          <w:rFonts w:hint="eastAsia"/>
          <w:lang w:val="en-US" w:eastAsia="zh-CN"/>
        </w:rPr>
      </w:pPr>
      <w:r>
        <w:rPr>
          <w:rFonts w:hint="eastAsia"/>
          <w:lang w:val="en-US" w:eastAsia="zh-CN"/>
        </w:rPr>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center"/>
        <w:spacing w:line="479" w:lineRule="atLeast"/>
        <w:rPr>
          <w:rFonts w:hint="eastAsia" w:ascii="宋体" w:hAnsi="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r>
      <w:r/>
    </w:p>
    <w:p>
      <w:pPr>
        <w:jc w:val="center"/>
        <w:spacing w:line="479" w:lineRule="atLeast"/>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lang w:val="en-US" w:eastAsia="zh-CN"/>
        </w:rPr>
        <w:t xml:space="preserve">十</w:t>
      </w:r>
      <w:r>
        <w:rPr>
          <w:rFonts w:hint="eastAsia" w:ascii="宋体" w:hAnsi="宋体" w:eastAsia="宋体" w:cs="宋体"/>
          <w:b/>
          <w:bCs/>
          <w:sz w:val="28"/>
          <w:szCs w:val="28"/>
        </w:rPr>
        <w:t xml:space="preserve">、预付款保函支付条款模板</w:t>
      </w:r>
      <w:r/>
    </w:p>
    <w:p>
      <w:pPr>
        <w:ind w:firstLine="605"/>
        <w:spacing w:line="47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符合条件一：提交预付款保函的</w:t>
      </w:r>
      <w:r/>
    </w:p>
    <w:p>
      <w:pPr>
        <w:ind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（1）合同签订且乙方向甲方出具预付款保函后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        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乙方需提交的支付文件：乙方出具的全额正式发票。</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（2）验收合格后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05"/>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w:t>
      </w:r>
      <w:r/>
    </w:p>
    <w:p>
      <w:pPr>
        <w:ind w:firstLine="605"/>
        <w:spacing w:line="47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符合条件二：不提交预付款保函的</w:t>
      </w:r>
      <w:r/>
    </w:p>
    <w:p>
      <w:pPr>
        <w:ind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（1）合同签订后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乙方需提交的支付文件：乙方出具的全额正式发票。</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（2）验收合格后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05"/>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w:t>
      </w:r>
      <w:r/>
    </w:p>
    <w:p>
      <w:pPr>
        <w:spacing w:line="47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left="140" w:firstLine="605"/>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cs="宋体"/>
          <w:b/>
          <w:sz w:val="24"/>
          <w:szCs w:val="24"/>
          <w:lang w:eastAsia="zh-CN"/>
        </w:rPr>
        <w:t xml:space="preserve">：</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2、付款条件二中，预付款比例设定应符合《关于做好政府采购支持企业发展有关事项的通知》</w:t>
      </w:r>
      <w:r>
        <w:rPr>
          <w:rFonts w:hint="eastAsia" w:ascii="宋体" w:hAnsi="宋体" w:cs="宋体"/>
          <w:sz w:val="24"/>
          <w:szCs w:val="24"/>
          <w:lang w:eastAsia="zh-CN"/>
        </w:rPr>
        <w:t xml:space="preserve">（</w:t>
      </w:r>
      <w:r>
        <w:rPr>
          <w:rFonts w:hint="eastAsia" w:ascii="宋体" w:hAnsi="宋体" w:eastAsia="宋体" w:cs="宋体"/>
          <w:sz w:val="24"/>
          <w:szCs w:val="24"/>
        </w:rPr>
        <w:t xml:space="preserve">苏财购〔2020〕52号</w:t>
      </w:r>
      <w:r>
        <w:rPr>
          <w:rFonts w:hint="eastAsia" w:ascii="宋体" w:hAnsi="宋体" w:cs="宋体"/>
          <w:sz w:val="24"/>
          <w:szCs w:val="24"/>
          <w:lang w:eastAsia="zh-CN"/>
        </w:rPr>
        <w:t xml:space="preserve">）</w:t>
      </w:r>
      <w:r>
        <w:rPr>
          <w:rFonts w:hint="eastAsia" w:ascii="宋体" w:hAnsi="宋体" w:eastAsia="宋体" w:cs="宋体"/>
          <w:sz w:val="24"/>
          <w:szCs w:val="24"/>
        </w:rPr>
        <w:t xml:space="preserve">要求。</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sectPr>
      <w:footnotePr/>
      <w:endnotePr/>
      <w:type w:val="nextPage"/>
      <w:pgSz w:w="11906" w:h="16838" w:orient="portrait"/>
      <w:pgMar w:top="1440" w:right="1803" w:bottom="1440"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EU-F1">
    <w:panose1 w:val="020B0503020202020204"/>
  </w:font>
  <w:font w:name="PMingLiU">
    <w:panose1 w:val="02020500000000000000"/>
  </w:font>
  <w:font w:name="Symbol">
    <w:panose1 w:val="05050102010706020507"/>
  </w:font>
  <w:font w:name="新宋体">
    <w:panose1 w:val="02010609030101010101"/>
  </w:font>
  <w:font w:name="Calibri">
    <w:panose1 w:val="020F0502020204030204"/>
  </w:font>
  <w:font w:name="微软简楷体">
    <w:panose1 w:val="020B050302020202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0.2pt;height:11.6pt;mso-wrap-distance-left:9.0pt;mso-wrap-distance-top:0.0pt;mso-wrap-distance-right:9.0pt;mso-wrap-distance-bottom:0.0pt;visibility:visible;" filled="f" stroked="f">
              <v:textbox inset="0,0,0,0">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pBdr>
        <w:bottom w:val="single" w:color="000000"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180" w:firstLine="0"/>
      </w:pPr>
      <w:rPr>
        <w:rFonts w:hint="eastAsia" w:ascii="宋体" w:hAnsi="宋体" w:eastAsia="宋体"/>
        <w:b w:val="0"/>
        <w:i w:val="0"/>
        <w:sz w:val="21"/>
      </w:rPr>
    </w:lvl>
    <w:lvl w:ilvl="2">
      <w:start w:val="1"/>
      <w:numFmt w:val="decimal"/>
      <w:isLgl w:val="false"/>
      <w:suff w:val="nothing"/>
      <w:lvlText w:val="%1%2.%3　"/>
      <w:lvlJc w:val="left"/>
      <w:pPr>
        <w:ind w:left="0" w:firstLine="0"/>
      </w:pPr>
      <w:rPr>
        <w:rFonts w:hint="eastAsia" w:ascii="宋体" w:hAnsi="宋体" w:eastAsia="宋体"/>
        <w:b w:val="0"/>
        <w:i w:val="0"/>
        <w:sz w:val="21"/>
      </w:rPr>
    </w:lvl>
    <w:lvl w:ilvl="3">
      <w:start w:val="1"/>
      <w:numFmt w:val="decimal"/>
      <w:pStyle w:val="1151"/>
      <w:isLgl w:val="false"/>
      <w:suff w:val="nothing"/>
      <w:lvlText w:val="%1%2.%3.%4　"/>
      <w:lvlJc w:val="left"/>
      <w:pPr>
        <w:ind w:left="900" w:firstLine="0"/>
      </w:pPr>
      <w:rPr>
        <w:rFonts w:hint="eastAsia" w:ascii="宋体" w:hAnsi="宋体" w:eastAsia="宋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28"/>
    <w:next w:val="828"/>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Block Text"/>
    <w:basedOn w:val="816"/>
    <w:uiPriority w:val="0"/>
    <w:qFormat/>
    <w:pPr>
      <w:ind w:left="256" w:right="6" w:firstLine="624"/>
    </w:pPr>
    <w:rPr>
      <w:rFonts w:eastAsia="仿宋_GB2312"/>
      <w:sz w:val="28"/>
    </w:rPr>
  </w:style>
  <w:style w:type="paragraph" w:styleId="829">
    <w:name w:val="toc 7"/>
    <w:basedOn w:val="816"/>
    <w:next w:val="816"/>
    <w:uiPriority w:val="39"/>
    <w:unhideWhenUsed/>
    <w:qFormat/>
    <w:pPr>
      <w:ind w:left="1701" w:right="0" w:firstLine="0"/>
      <w:spacing w:after="57"/>
    </w:pPr>
  </w:style>
  <w:style w:type="paragraph" w:styleId="830">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1">
    <w:name w:val="Body Text Indent"/>
    <w:basedOn w:val="816"/>
    <w:next w:val="832"/>
    <w:uiPriority w:val="0"/>
    <w:qFormat/>
    <w:pPr>
      <w:ind w:left="420"/>
      <w:spacing w:after="120"/>
    </w:pPr>
  </w:style>
  <w:style w:type="paragraph" w:styleId="832">
    <w:name w:val="envelope return"/>
    <w:basedOn w:val="816"/>
    <w:uiPriority w:val="99"/>
    <w:unhideWhenUsed/>
    <w:qFormat/>
    <w:rPr>
      <w:rFonts w:ascii="Arial" w:hAnsi="Arial"/>
    </w:rPr>
  </w:style>
  <w:style w:type="paragraph" w:styleId="833">
    <w:name w:val="toc 5"/>
    <w:basedOn w:val="816"/>
    <w:next w:val="816"/>
    <w:uiPriority w:val="39"/>
    <w:unhideWhenUsed/>
    <w:qFormat/>
    <w:pPr>
      <w:ind w:left="1134" w:right="0" w:firstLine="0"/>
      <w:spacing w:after="57"/>
    </w:pPr>
  </w:style>
  <w:style w:type="paragraph" w:styleId="834">
    <w:name w:val="toc 3"/>
    <w:basedOn w:val="816"/>
    <w:next w:val="816"/>
    <w:uiPriority w:val="39"/>
    <w:unhideWhenUsed/>
    <w:qFormat/>
    <w:pPr>
      <w:ind w:left="567" w:right="0" w:firstLine="0"/>
      <w:spacing w:after="57"/>
    </w:pPr>
  </w:style>
  <w:style w:type="paragraph" w:styleId="835">
    <w:name w:val="toc 8"/>
    <w:basedOn w:val="816"/>
    <w:next w:val="816"/>
    <w:uiPriority w:val="39"/>
    <w:unhideWhenUsed/>
    <w:qFormat/>
    <w:pPr>
      <w:ind w:left="1984" w:right="0" w:firstLine="0"/>
      <w:spacing w:after="57"/>
    </w:pPr>
  </w:style>
  <w:style w:type="paragraph" w:styleId="836">
    <w:name w:val="endnote text"/>
    <w:basedOn w:val="816"/>
    <w:uiPriority w:val="99"/>
    <w:semiHidden/>
    <w:unhideWhenUsed/>
    <w:qFormat/>
    <w:pPr>
      <w:spacing w:after="0" w:line="240" w:lineRule="auto"/>
    </w:pPr>
    <w:rPr>
      <w:sz w:val="20"/>
    </w:rPr>
  </w:style>
  <w:style w:type="paragraph" w:styleId="837">
    <w:name w:val="Balloon Text"/>
    <w:basedOn w:val="816"/>
    <w:uiPriority w:val="0"/>
    <w:qFormat/>
    <w:rPr>
      <w:sz w:val="18"/>
      <w:szCs w:val="18"/>
    </w:rPr>
  </w:style>
  <w:style w:type="paragraph" w:styleId="838">
    <w:name w:val="Footer"/>
    <w:basedOn w:val="816"/>
    <w:uiPriority w:val="99"/>
    <w:unhideWhenUsed/>
    <w:qFormat/>
    <w:pPr>
      <w:spacing w:after="0" w:line="240" w:lineRule="auto"/>
      <w:tabs>
        <w:tab w:val="center" w:pos="7143" w:leader="none"/>
        <w:tab w:val="right" w:pos="14287" w:leader="none"/>
      </w:tabs>
    </w:pPr>
  </w:style>
  <w:style w:type="paragraph" w:styleId="839">
    <w:name w:val="Header"/>
    <w:basedOn w:val="816"/>
    <w:uiPriority w:val="99"/>
    <w:unhideWhenUsed/>
    <w:qFormat/>
    <w:pPr>
      <w:spacing w:after="0" w:line="240" w:lineRule="auto"/>
      <w:tabs>
        <w:tab w:val="center" w:pos="7143" w:leader="none"/>
        <w:tab w:val="right" w:pos="14287" w:leader="none"/>
      </w:tabs>
    </w:pPr>
  </w:style>
  <w:style w:type="paragraph" w:styleId="840">
    <w:name w:val="toc 1"/>
    <w:basedOn w:val="816"/>
    <w:next w:val="816"/>
    <w:uiPriority w:val="39"/>
    <w:unhideWhenUsed/>
    <w:qFormat/>
    <w:pPr>
      <w:ind w:left="0" w:right="0" w:firstLine="0"/>
      <w:spacing w:after="57"/>
    </w:pPr>
  </w:style>
  <w:style w:type="paragraph" w:styleId="841">
    <w:name w:val="toc 4"/>
    <w:basedOn w:val="816"/>
    <w:next w:val="816"/>
    <w:uiPriority w:val="39"/>
    <w:unhideWhenUsed/>
    <w:qFormat/>
    <w:pPr>
      <w:ind w:left="850" w:right="0" w:firstLine="0"/>
      <w:spacing w:after="57"/>
    </w:pPr>
  </w:style>
  <w:style w:type="paragraph" w:styleId="842">
    <w:name w:val="Subtitle"/>
    <w:basedOn w:val="816"/>
    <w:next w:val="816"/>
    <w:uiPriority w:val="11"/>
    <w:qFormat/>
    <w:pPr>
      <w:spacing w:before="200" w:after="200"/>
    </w:pPr>
    <w:rPr>
      <w:sz w:val="24"/>
      <w:szCs w:val="24"/>
    </w:rPr>
  </w:style>
  <w:style w:type="paragraph" w:styleId="843">
    <w:name w:val="footnote text"/>
    <w:basedOn w:val="816"/>
    <w:uiPriority w:val="99"/>
    <w:semiHidden/>
    <w:unhideWhenUsed/>
    <w:qFormat/>
    <w:pPr>
      <w:spacing w:after="40" w:line="240" w:lineRule="auto"/>
    </w:pPr>
    <w:rPr>
      <w:sz w:val="18"/>
    </w:rPr>
  </w:style>
  <w:style w:type="paragraph" w:styleId="844">
    <w:name w:val="toc 6"/>
    <w:basedOn w:val="816"/>
    <w:next w:val="816"/>
    <w:uiPriority w:val="39"/>
    <w:unhideWhenUsed/>
    <w:qFormat/>
    <w:pPr>
      <w:ind w:left="1417" w:right="0" w:firstLine="0"/>
      <w:spacing w:after="57"/>
    </w:pPr>
  </w:style>
  <w:style w:type="paragraph" w:styleId="845">
    <w:name w:val="table of figures"/>
    <w:basedOn w:val="816"/>
    <w:next w:val="816"/>
    <w:uiPriority w:val="99"/>
    <w:unhideWhenUsed/>
    <w:qFormat/>
    <w:pPr>
      <w:spacing w:after="0" w:afterAutospacing="0"/>
    </w:pPr>
  </w:style>
  <w:style w:type="paragraph" w:styleId="846">
    <w:name w:val="toc 2"/>
    <w:basedOn w:val="816"/>
    <w:next w:val="816"/>
    <w:uiPriority w:val="39"/>
    <w:unhideWhenUsed/>
    <w:qFormat/>
    <w:pPr>
      <w:ind w:left="283" w:right="0" w:firstLine="0"/>
      <w:spacing w:after="57"/>
    </w:pPr>
  </w:style>
  <w:style w:type="paragraph" w:styleId="847">
    <w:name w:val="toc 9"/>
    <w:basedOn w:val="816"/>
    <w:next w:val="816"/>
    <w:uiPriority w:val="39"/>
    <w:unhideWhenUsed/>
    <w:qFormat/>
    <w:pPr>
      <w:ind w:left="2268" w:right="0" w:firstLine="0"/>
      <w:spacing w:after="57"/>
    </w:pPr>
  </w:style>
  <w:style w:type="paragraph" w:styleId="848">
    <w:name w:val="Normal (Web)"/>
    <w:basedOn w:val="816"/>
    <w:uiPriority w:val="0"/>
    <w:qFormat/>
    <w:pPr>
      <w:jc w:val="left"/>
      <w:spacing w:before="100" w:beforeAutospacing="1" w:after="100" w:afterAutospacing="1"/>
      <w:widowControl/>
    </w:pPr>
    <w:rPr>
      <w:rFonts w:ascii="宋体" w:hAnsi="宋体"/>
      <w:sz w:val="24"/>
    </w:rPr>
  </w:style>
  <w:style w:type="paragraph" w:styleId="849">
    <w:name w:val="Title"/>
    <w:basedOn w:val="816"/>
    <w:next w:val="816"/>
    <w:uiPriority w:val="10"/>
    <w:qFormat/>
    <w:pPr>
      <w:contextualSpacing/>
      <w:spacing w:before="300" w:after="200"/>
    </w:pPr>
    <w:rPr>
      <w:sz w:val="48"/>
      <w:szCs w:val="48"/>
    </w:rPr>
  </w:style>
  <w:style w:type="paragraph" w:styleId="850">
    <w:name w:val="Body Text First Indent 2"/>
    <w:basedOn w:val="831"/>
    <w:next w:val="816"/>
    <w:uiPriority w:val="99"/>
    <w:unhideWhenUsed/>
    <w:qFormat/>
    <w:pPr>
      <w:ind w:left="420" w:firstLine="420"/>
      <w:spacing w:after="120"/>
    </w:pPr>
    <w:rPr>
      <w:rFonts w:ascii="Times New Roman" w:hAnsi="Times New Roman" w:eastAsia="宋体"/>
      <w:sz w:val="21"/>
      <w:szCs w:val="24"/>
    </w:rPr>
  </w:style>
  <w:style w:type="table" w:styleId="8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14:textFill>
        <w14:solidFill>
          <w14:schemeClr w14:val="hlink"/>
        </w14:solidFill>
      </w14:textFill>
    </w:rPr>
  </w:style>
  <w:style w:type="character" w:styleId="854">
    <w:name w:val="footnote reference"/>
    <w:uiPriority w:val="99"/>
    <w:unhideWhenUsed/>
    <w:qFormat/>
    <w:rPr>
      <w:vertAlign w:val="superscript"/>
    </w:rPr>
  </w:style>
  <w:style w:type="paragraph" w:styleId="855" w:customStyle="1">
    <w:name w:val="信息标题1"/>
    <w:basedOn w:val="816"/>
    <w:next w:val="856"/>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56" w:customStyle="1">
    <w:name w:val="正文文本12"/>
    <w:basedOn w:val="816"/>
    <w:next w:val="816"/>
    <w:uiPriority w:val="99"/>
    <w:qFormat/>
    <w:pPr>
      <w:spacing w:after="120"/>
    </w:pPr>
  </w:style>
  <w:style w:type="paragraph" w:styleId="857" w:customStyle="1">
    <w:name w:val="标题 112"/>
    <w:basedOn w:val="816"/>
    <w:next w:val="816"/>
    <w:link w:val="927"/>
    <w:uiPriority w:val="9"/>
    <w:qFormat/>
    <w:pPr>
      <w:keepLines/>
      <w:keepNext/>
      <w:spacing w:before="480" w:after="200"/>
      <w:outlineLvl w:val="0"/>
    </w:pPr>
    <w:rPr>
      <w:rFonts w:ascii="Arial" w:hAnsi="Arial" w:eastAsia="Arial" w:cs="Arial"/>
      <w:sz w:val="40"/>
      <w:szCs w:val="40"/>
    </w:rPr>
  </w:style>
  <w:style w:type="paragraph" w:styleId="858" w:customStyle="1">
    <w:name w:val="标题 212"/>
    <w:basedOn w:val="816"/>
    <w:next w:val="816"/>
    <w:link w:val="869"/>
    <w:uiPriority w:val="9"/>
    <w:unhideWhenUsed/>
    <w:qFormat/>
    <w:pPr>
      <w:keepLines/>
      <w:keepNext/>
      <w:spacing w:before="360" w:after="200"/>
      <w:outlineLvl w:val="1"/>
    </w:pPr>
    <w:rPr>
      <w:rFonts w:ascii="Arial" w:hAnsi="Arial" w:eastAsia="Arial" w:cs="Arial"/>
      <w:sz w:val="34"/>
    </w:rPr>
  </w:style>
  <w:style w:type="paragraph" w:styleId="859" w:customStyle="1">
    <w:name w:val="标题 311"/>
    <w:basedOn w:val="816"/>
    <w:next w:val="816"/>
    <w:link w:val="870"/>
    <w:uiPriority w:val="9"/>
    <w:unhideWhenUsed/>
    <w:qFormat/>
    <w:pPr>
      <w:keepLines/>
      <w:keepNext/>
      <w:spacing w:before="320" w:after="200"/>
      <w:outlineLvl w:val="2"/>
    </w:pPr>
    <w:rPr>
      <w:rFonts w:ascii="Arial" w:hAnsi="Arial" w:eastAsia="Arial" w:cs="Arial"/>
      <w:sz w:val="30"/>
      <w:szCs w:val="30"/>
    </w:rPr>
  </w:style>
  <w:style w:type="paragraph" w:styleId="860" w:customStyle="1">
    <w:name w:val="标题 411"/>
    <w:basedOn w:val="816"/>
    <w:next w:val="816"/>
    <w:link w:val="871"/>
    <w:uiPriority w:val="9"/>
    <w:unhideWhenUsed/>
    <w:qFormat/>
    <w:pPr>
      <w:keepLines/>
      <w:keepNext/>
      <w:spacing w:before="320" w:after="200"/>
      <w:outlineLvl w:val="3"/>
    </w:pPr>
    <w:rPr>
      <w:rFonts w:ascii="Arial" w:hAnsi="Arial" w:eastAsia="Arial" w:cs="Arial"/>
      <w:b/>
      <w:bCs/>
      <w:sz w:val="26"/>
      <w:szCs w:val="26"/>
    </w:rPr>
  </w:style>
  <w:style w:type="paragraph" w:styleId="861" w:customStyle="1">
    <w:name w:val="标题 511"/>
    <w:basedOn w:val="816"/>
    <w:next w:val="816"/>
    <w:link w:val="872"/>
    <w:uiPriority w:val="9"/>
    <w:unhideWhenUsed/>
    <w:qFormat/>
    <w:pPr>
      <w:keepLines/>
      <w:keepNext/>
      <w:spacing w:before="320" w:after="200"/>
      <w:outlineLvl w:val="4"/>
    </w:pPr>
    <w:rPr>
      <w:rFonts w:ascii="Arial" w:hAnsi="Arial" w:eastAsia="Arial" w:cs="Arial"/>
      <w:b/>
      <w:bCs/>
      <w:sz w:val="24"/>
      <w:szCs w:val="24"/>
    </w:rPr>
  </w:style>
  <w:style w:type="paragraph" w:styleId="862" w:customStyle="1">
    <w:name w:val="标题 611"/>
    <w:basedOn w:val="816"/>
    <w:next w:val="816"/>
    <w:link w:val="873"/>
    <w:uiPriority w:val="9"/>
    <w:unhideWhenUsed/>
    <w:qFormat/>
    <w:pPr>
      <w:keepLines/>
      <w:keepNext/>
      <w:spacing w:before="320" w:after="200"/>
      <w:outlineLvl w:val="5"/>
    </w:pPr>
    <w:rPr>
      <w:rFonts w:ascii="Arial" w:hAnsi="Arial" w:eastAsia="Arial" w:cs="Arial"/>
      <w:b/>
      <w:bCs/>
      <w:sz w:val="22"/>
      <w:szCs w:val="22"/>
    </w:rPr>
  </w:style>
  <w:style w:type="paragraph" w:styleId="863" w:customStyle="1">
    <w:name w:val="标题 711"/>
    <w:basedOn w:val="816"/>
    <w:next w:val="816"/>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864" w:customStyle="1">
    <w:name w:val="标题 811"/>
    <w:basedOn w:val="816"/>
    <w:next w:val="816"/>
    <w:link w:val="875"/>
    <w:uiPriority w:val="9"/>
    <w:unhideWhenUsed/>
    <w:qFormat/>
    <w:pPr>
      <w:keepLines/>
      <w:keepNext/>
      <w:spacing w:before="320" w:after="200"/>
      <w:outlineLvl w:val="7"/>
    </w:pPr>
    <w:rPr>
      <w:rFonts w:ascii="Arial" w:hAnsi="Arial" w:eastAsia="Arial" w:cs="Arial"/>
      <w:i/>
      <w:iCs/>
      <w:sz w:val="22"/>
      <w:szCs w:val="22"/>
    </w:rPr>
  </w:style>
  <w:style w:type="paragraph" w:styleId="865" w:customStyle="1">
    <w:name w:val="标题 911"/>
    <w:basedOn w:val="816"/>
    <w:next w:val="816"/>
    <w:link w:val="876"/>
    <w:uiPriority w:val="9"/>
    <w:unhideWhenUsed/>
    <w:qFormat/>
    <w:pPr>
      <w:keepLines/>
      <w:keepNext/>
      <w:spacing w:before="320" w:after="200"/>
      <w:outlineLvl w:val="8"/>
    </w:pPr>
    <w:rPr>
      <w:rFonts w:ascii="Arial" w:hAnsi="Arial" w:eastAsia="Arial" w:cs="Arial"/>
      <w:i/>
      <w:iCs/>
      <w:sz w:val="21"/>
      <w:szCs w:val="21"/>
    </w:rPr>
  </w:style>
  <w:style w:type="character" w:styleId="866" w:customStyle="1">
    <w:name w:val="默认段落字体12"/>
    <w:link w:val="816"/>
    <w:uiPriority w:val="1"/>
    <w:unhideWhenUsed/>
    <w:qFormat/>
  </w:style>
  <w:style w:type="table" w:styleId="867" w:customStyle="1">
    <w:name w:val="普通表格12"/>
    <w:uiPriority w:val="99"/>
    <w:unhideWhenUsed/>
    <w:qFormat/>
    <w:tblPr/>
  </w:style>
  <w:style w:type="character" w:styleId="868" w:customStyle="1">
    <w:name w:val="Heading 1 Char"/>
    <w:link w:val="857"/>
    <w:uiPriority w:val="9"/>
    <w:qFormat/>
    <w:rPr>
      <w:rFonts w:ascii="Arial" w:hAnsi="Arial" w:eastAsia="Arial" w:cs="Arial"/>
      <w:sz w:val="40"/>
      <w:szCs w:val="40"/>
    </w:rPr>
  </w:style>
  <w:style w:type="character" w:styleId="869" w:customStyle="1">
    <w:name w:val="Heading 2 Char"/>
    <w:link w:val="858"/>
    <w:uiPriority w:val="9"/>
    <w:qFormat/>
    <w:rPr>
      <w:rFonts w:ascii="Arial" w:hAnsi="Arial" w:eastAsia="Arial" w:cs="Arial"/>
      <w:sz w:val="34"/>
    </w:rPr>
  </w:style>
  <w:style w:type="character" w:styleId="870" w:customStyle="1">
    <w:name w:val="Heading 3 Char"/>
    <w:link w:val="859"/>
    <w:uiPriority w:val="9"/>
    <w:qFormat/>
    <w:rPr>
      <w:rFonts w:ascii="Arial" w:hAnsi="Arial" w:eastAsia="Arial" w:cs="Arial"/>
      <w:sz w:val="30"/>
      <w:szCs w:val="30"/>
    </w:rPr>
  </w:style>
  <w:style w:type="character" w:styleId="871" w:customStyle="1">
    <w:name w:val="Heading 4 Char"/>
    <w:link w:val="860"/>
    <w:uiPriority w:val="9"/>
    <w:qFormat/>
    <w:rPr>
      <w:rFonts w:ascii="Arial" w:hAnsi="Arial" w:eastAsia="Arial" w:cs="Arial"/>
      <w:b/>
      <w:bCs/>
      <w:sz w:val="26"/>
      <w:szCs w:val="26"/>
    </w:rPr>
  </w:style>
  <w:style w:type="character" w:styleId="872" w:customStyle="1">
    <w:name w:val="Heading 5 Char"/>
    <w:link w:val="861"/>
    <w:uiPriority w:val="9"/>
    <w:qFormat/>
    <w:rPr>
      <w:rFonts w:ascii="Arial" w:hAnsi="Arial" w:eastAsia="Arial" w:cs="Arial"/>
      <w:b/>
      <w:bCs/>
      <w:sz w:val="24"/>
      <w:szCs w:val="24"/>
    </w:rPr>
  </w:style>
  <w:style w:type="character" w:styleId="873" w:customStyle="1">
    <w:name w:val="Heading 6 Char"/>
    <w:link w:val="862"/>
    <w:uiPriority w:val="9"/>
    <w:qFormat/>
    <w:rPr>
      <w:rFonts w:ascii="Arial" w:hAnsi="Arial" w:eastAsia="Arial" w:cs="Arial"/>
      <w:b/>
      <w:bCs/>
      <w:sz w:val="22"/>
      <w:szCs w:val="22"/>
    </w:rPr>
  </w:style>
  <w:style w:type="character" w:styleId="874" w:customStyle="1">
    <w:name w:val="Heading 7 Char"/>
    <w:link w:val="863"/>
    <w:uiPriority w:val="9"/>
    <w:qFormat/>
    <w:rPr>
      <w:rFonts w:ascii="Arial" w:hAnsi="Arial" w:eastAsia="Arial" w:cs="Arial"/>
      <w:b/>
      <w:bCs/>
      <w:i/>
      <w:iCs/>
      <w:sz w:val="22"/>
      <w:szCs w:val="22"/>
    </w:rPr>
  </w:style>
  <w:style w:type="character" w:styleId="875" w:customStyle="1">
    <w:name w:val="Heading 8 Char"/>
    <w:link w:val="864"/>
    <w:uiPriority w:val="9"/>
    <w:qFormat/>
    <w:rPr>
      <w:rFonts w:ascii="Arial" w:hAnsi="Arial" w:eastAsia="Arial" w:cs="Arial"/>
      <w:i/>
      <w:iCs/>
      <w:sz w:val="22"/>
      <w:szCs w:val="22"/>
    </w:rPr>
  </w:style>
  <w:style w:type="character" w:styleId="876" w:customStyle="1">
    <w:name w:val="Heading 9 Char"/>
    <w:link w:val="865"/>
    <w:uiPriority w:val="9"/>
    <w:qFormat/>
    <w:rPr>
      <w:rFonts w:ascii="Arial" w:hAnsi="Arial" w:eastAsia="Arial" w:cs="Arial"/>
      <w:i/>
      <w:iCs/>
      <w:sz w:val="21"/>
      <w:szCs w:val="21"/>
    </w:rPr>
  </w:style>
  <w:style w:type="paragraph" w:styleId="877" w:customStyle="1">
    <w:name w:val="目录 711"/>
    <w:basedOn w:val="816"/>
    <w:next w:val="816"/>
    <w:uiPriority w:val="39"/>
    <w:unhideWhenUsed/>
    <w:qFormat/>
    <w:pPr>
      <w:ind w:left="1701" w:right="0" w:firstLine="0"/>
      <w:spacing w:after="57"/>
    </w:pPr>
  </w:style>
  <w:style w:type="paragraph" w:styleId="878" w:customStyle="1">
    <w:name w:val="题注11"/>
    <w:basedOn w:val="816"/>
    <w:next w:val="816"/>
    <w:uiPriority w:val="35"/>
    <w:unhideWhenUsed/>
    <w:qFormat/>
    <w:pPr>
      <w:spacing w:line="276" w:lineRule="auto"/>
    </w:pPr>
    <w:rPr>
      <w:b/>
      <w:bCs/>
      <w:color w:val="4f81bd"/>
      <w:sz w:val="18"/>
      <w:szCs w:val="18"/>
    </w:rPr>
  </w:style>
  <w:style w:type="paragraph" w:styleId="879" w:customStyle="1">
    <w:name w:val="批注文字11"/>
    <w:basedOn w:val="816"/>
    <w:uiPriority w:val="99"/>
    <w:unhideWhenUsed/>
    <w:qFormat/>
    <w:pPr>
      <w:jc w:val="left"/>
    </w:pPr>
  </w:style>
  <w:style w:type="paragraph" w:styleId="880" w:customStyle="1">
    <w:name w:val="正文文本11"/>
    <w:basedOn w:val="816"/>
    <w:next w:val="881"/>
    <w:uiPriority w:val="0"/>
    <w:qFormat/>
    <w:pPr>
      <w:spacing w:line="300" w:lineRule="auto"/>
    </w:pPr>
    <w:rPr>
      <w:rFonts w:eastAsia="微软简楷体"/>
      <w:sz w:val="30"/>
    </w:rPr>
  </w:style>
  <w:style w:type="paragraph" w:styleId="881" w:customStyle="1">
    <w:name w:val="一级条标题"/>
    <w:basedOn w:val="882"/>
    <w:next w:val="896"/>
    <w:uiPriority w:val="0"/>
    <w:qFormat/>
    <w:pPr>
      <w:ind w:left="907" w:hanging="907"/>
      <w:spacing w:before="0" w:after="0"/>
      <w:tabs>
        <w:tab w:val="left" w:pos="810" w:leader="none"/>
        <w:tab w:val="left" w:pos="907" w:leader="none"/>
        <w:tab w:val="left" w:pos="1265" w:leader="none"/>
      </w:tabs>
      <w:outlineLvl w:val="2"/>
    </w:pPr>
    <w:rPr>
      <w:rFonts w:hint="eastAsia" w:hAnsi="宋体"/>
      <w:sz w:val="20"/>
      <w:szCs w:val="20"/>
    </w:rPr>
  </w:style>
  <w:style w:type="paragraph" w:styleId="882" w:customStyle="1">
    <w:name w:val="章标题"/>
    <w:next w:val="8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3" w:customStyle="1">
    <w:name w:val="正文1"/>
    <w:basedOn w:val="884"/>
    <w:next w:val="895"/>
    <w:uiPriority w:val="0"/>
    <w:qFormat/>
    <w:pPr>
      <w:jc w:val="left"/>
      <w:spacing w:line="360" w:lineRule="atLeast"/>
    </w:pPr>
    <w:rPr>
      <w:rFonts w:ascii="宋体" w:hAnsi="Calibri" w:eastAsia="宋体" w:cs="Times New Roman"/>
      <w:sz w:val="24"/>
      <w:szCs w:val="20"/>
    </w:rPr>
  </w:style>
  <w:style w:type="paragraph" w:styleId="884" w:customStyle="1">
    <w:name w:val="正文112"/>
    <w:next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页脚1"/>
    <w:basedOn w:val="886"/>
    <w:uiPriority w:val="99"/>
    <w:qFormat/>
    <w:pPr>
      <w:jc w:val="left"/>
      <w:tabs>
        <w:tab w:val="center" w:pos="4153" w:leader="none"/>
        <w:tab w:val="right" w:pos="8306" w:leader="none"/>
      </w:tabs>
    </w:pPr>
    <w:rPr>
      <w:sz w:val="18"/>
      <w:szCs w:val="18"/>
    </w:rPr>
  </w:style>
  <w:style w:type="paragraph" w:styleId="886" w:customStyle="1">
    <w:name w:val="正文113"/>
    <w:next w:val="887"/>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87" w:customStyle="1">
    <w:name w:val="BodyText1I21"/>
    <w:basedOn w:val="888"/>
    <w:uiPriority w:val="0"/>
    <w:qFormat/>
    <w:pPr>
      <w:ind w:firstLine="420"/>
      <w:jc w:val="both"/>
      <w:spacing w:line="240" w:lineRule="auto"/>
    </w:pPr>
    <w:rPr>
      <w:sz w:val="21"/>
      <w:lang w:val="en-US" w:eastAsia="zh-CN"/>
    </w:rPr>
  </w:style>
  <w:style w:type="paragraph" w:styleId="888" w:customStyle="1">
    <w:name w:val="正文文本缩进11"/>
    <w:basedOn w:val="889"/>
    <w:next w:val="892"/>
    <w:uiPriority w:val="0"/>
    <w:qFormat/>
    <w:pPr>
      <w:ind w:left="420"/>
      <w:spacing w:after="120"/>
    </w:pPr>
    <w:rPr>
      <w:rFonts w:ascii="Arial" w:hAnsi="Arial" w:eastAsia="Arial"/>
    </w:rPr>
  </w:style>
  <w:style w:type="paragraph" w:styleId="889" w:customStyle="1">
    <w:name w:val="正文12"/>
    <w:next w:val="8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0" w:customStyle="1">
    <w:name w:val="脚注文本1"/>
    <w:basedOn w:val="883"/>
    <w:next w:val="891"/>
    <w:uiPriority w:val="0"/>
    <w:qFormat/>
    <w:rPr>
      <w:rFonts w:eastAsia="Times New Roman"/>
      <w:sz w:val="18"/>
      <w:szCs w:val="18"/>
    </w:rPr>
  </w:style>
  <w:style w:type="paragraph" w:styleId="891" w:customStyle="1">
    <w:name w:val="索引 51"/>
    <w:basedOn w:val="883"/>
    <w:next w:val="883"/>
    <w:uiPriority w:val="0"/>
    <w:qFormat/>
    <w:pPr>
      <w:ind w:left="798"/>
    </w:pPr>
    <w:rPr>
      <w:rFonts w:ascii="Calibri" w:hAnsi="Calibri"/>
    </w:rPr>
  </w:style>
  <w:style w:type="paragraph" w:styleId="892" w:customStyle="1">
    <w:name w:val="寄信人地址1"/>
    <w:basedOn w:val="893"/>
    <w:uiPriority w:val="0"/>
    <w:qFormat/>
    <w:rPr>
      <w:rFonts w:ascii="Arial" w:hAnsi="Arial" w:eastAsia="宋体"/>
      <w:sz w:val="22"/>
      <w:szCs w:val="22"/>
    </w:rPr>
  </w:style>
  <w:style w:type="paragraph" w:styleId="893" w:customStyle="1">
    <w:name w:val="正文11"/>
    <w:next w:val="8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4" w:customStyle="1">
    <w:name w:val="目录 11"/>
    <w:basedOn w:val="893"/>
    <w:next w:val="883"/>
    <w:uiPriority w:val="0"/>
    <w:qFormat/>
    <w:pPr>
      <w:jc w:val="left"/>
      <w:spacing w:after="100" w:line="259" w:lineRule="auto"/>
      <w:widowControl/>
    </w:pPr>
    <w:rPr>
      <w:rFonts w:ascii="Calibri" w:hAnsi="Calibri"/>
      <w:sz w:val="22"/>
      <w:szCs w:val="22"/>
    </w:rPr>
  </w:style>
  <w:style w:type="paragraph" w:styleId="895" w:customStyle="1">
    <w:name w:val="首行缩进"/>
    <w:basedOn w:val="883"/>
    <w:next w:val="883"/>
    <w:uiPriority w:val="0"/>
    <w:qFormat/>
    <w:pPr>
      <w:ind w:firstLine="420"/>
    </w:pPr>
    <w:rPr>
      <w:sz w:val="21"/>
    </w:rPr>
  </w:style>
  <w:style w:type="paragraph" w:styleId="896" w:customStyle="1">
    <w:name w:val="段"/>
    <w:basedOn w:val="883"/>
    <w:uiPriority w:val="0"/>
    <w:qFormat/>
    <w:pPr>
      <w:ind w:firstLine="200"/>
      <w:widowControl/>
    </w:pPr>
    <w:rPr>
      <w:sz w:val="20"/>
    </w:rPr>
  </w:style>
  <w:style w:type="paragraph" w:styleId="897" w:customStyle="1">
    <w:name w:val="正文111"/>
    <w:next w:val="8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8" w:customStyle="1">
    <w:name w:val="目录 111"/>
    <w:basedOn w:val="816"/>
    <w:next w:val="897"/>
    <w:uiPriority w:val="39"/>
    <w:unhideWhenUsed/>
    <w:qFormat/>
    <w:pPr>
      <w:ind w:left="0" w:right="0" w:firstLine="0"/>
      <w:spacing w:after="57"/>
    </w:pPr>
  </w:style>
  <w:style w:type="paragraph" w:styleId="899" w:customStyle="1">
    <w:name w:val="索引 41"/>
    <w:basedOn w:val="883"/>
    <w:next w:val="883"/>
    <w:uiPriority w:val="0"/>
    <w:qFormat/>
    <w:pPr>
      <w:ind w:left="600"/>
    </w:pPr>
    <w:rPr>
      <w:rFonts w:ascii="Calibri" w:hAnsi="Calibri"/>
      <w:sz w:val="22"/>
      <w:szCs w:val="22"/>
    </w:rPr>
  </w:style>
  <w:style w:type="paragraph" w:styleId="900" w:customStyle="1">
    <w:name w:val="文本块11"/>
    <w:basedOn w:val="816"/>
    <w:uiPriority w:val="99"/>
    <w:unhideWhenUsed/>
    <w:qFormat/>
    <w:pPr>
      <w:ind w:left="1440" w:right="1440"/>
      <w:spacing w:after="120"/>
    </w:pPr>
  </w:style>
  <w:style w:type="paragraph" w:styleId="901" w:customStyle="1">
    <w:name w:val="目录 511"/>
    <w:basedOn w:val="816"/>
    <w:next w:val="816"/>
    <w:uiPriority w:val="39"/>
    <w:unhideWhenUsed/>
    <w:qFormat/>
    <w:pPr>
      <w:ind w:left="1134" w:right="0" w:firstLine="0"/>
      <w:spacing w:after="57"/>
    </w:pPr>
  </w:style>
  <w:style w:type="paragraph" w:styleId="902" w:customStyle="1">
    <w:name w:val="目录 311"/>
    <w:basedOn w:val="816"/>
    <w:next w:val="816"/>
    <w:uiPriority w:val="39"/>
    <w:unhideWhenUsed/>
    <w:qFormat/>
    <w:pPr>
      <w:ind w:left="567" w:right="0" w:firstLine="0"/>
      <w:spacing w:after="57"/>
    </w:pPr>
  </w:style>
  <w:style w:type="paragraph" w:styleId="903" w:customStyle="1">
    <w:name w:val="目录 811"/>
    <w:basedOn w:val="816"/>
    <w:next w:val="816"/>
    <w:uiPriority w:val="39"/>
    <w:unhideWhenUsed/>
    <w:qFormat/>
    <w:pPr>
      <w:ind w:left="1984" w:right="0" w:firstLine="0"/>
      <w:spacing w:after="57"/>
    </w:pPr>
  </w:style>
  <w:style w:type="paragraph" w:styleId="904" w:customStyle="1">
    <w:name w:val="尾注文本11"/>
    <w:basedOn w:val="816"/>
    <w:link w:val="905"/>
    <w:uiPriority w:val="99"/>
    <w:unhideWhenUsed/>
    <w:qFormat/>
    <w:pPr>
      <w:spacing w:after="0" w:line="240" w:lineRule="auto"/>
    </w:pPr>
    <w:rPr>
      <w:sz w:val="20"/>
    </w:rPr>
  </w:style>
  <w:style w:type="character" w:styleId="905" w:customStyle="1">
    <w:name w:val="Endnote Text Char"/>
    <w:link w:val="904"/>
    <w:uiPriority w:val="99"/>
    <w:qFormat/>
    <w:rPr>
      <w:sz w:val="20"/>
    </w:rPr>
  </w:style>
  <w:style w:type="paragraph" w:styleId="906" w:customStyle="1">
    <w:name w:val="页脚12"/>
    <w:basedOn w:val="816"/>
    <w:link w:val="907"/>
    <w:uiPriority w:val="99"/>
    <w:unhideWhenUsed/>
    <w:qFormat/>
    <w:pPr>
      <w:spacing w:after="0" w:line="240" w:lineRule="auto"/>
      <w:tabs>
        <w:tab w:val="center" w:pos="7143" w:leader="none"/>
        <w:tab w:val="right" w:pos="14287" w:leader="none"/>
      </w:tabs>
    </w:pPr>
  </w:style>
  <w:style w:type="character" w:styleId="907" w:customStyle="1">
    <w:name w:val="Caption Char"/>
    <w:link w:val="906"/>
    <w:uiPriority w:val="99"/>
    <w:qFormat/>
  </w:style>
  <w:style w:type="paragraph" w:styleId="908" w:customStyle="1">
    <w:name w:val="页眉12"/>
    <w:basedOn w:val="816"/>
    <w:link w:val="909"/>
    <w:uiPriority w:val="99"/>
    <w:unhideWhenUsed/>
    <w:qFormat/>
    <w:pPr>
      <w:spacing w:after="0" w:line="240" w:lineRule="auto"/>
      <w:tabs>
        <w:tab w:val="center" w:pos="7143" w:leader="none"/>
        <w:tab w:val="right" w:pos="14287" w:leader="none"/>
      </w:tabs>
    </w:pPr>
  </w:style>
  <w:style w:type="character" w:styleId="909" w:customStyle="1">
    <w:name w:val="Header Char"/>
    <w:link w:val="908"/>
    <w:uiPriority w:val="99"/>
    <w:qFormat/>
  </w:style>
  <w:style w:type="paragraph" w:styleId="910" w:customStyle="1">
    <w:name w:val="目录 112"/>
    <w:basedOn w:val="816"/>
    <w:next w:val="816"/>
    <w:uiPriority w:val="39"/>
    <w:unhideWhenUsed/>
    <w:qFormat/>
    <w:pPr>
      <w:ind w:left="0" w:right="0" w:firstLine="0"/>
      <w:spacing w:after="57"/>
    </w:pPr>
  </w:style>
  <w:style w:type="paragraph" w:styleId="911" w:customStyle="1">
    <w:name w:val="目录 411"/>
    <w:basedOn w:val="816"/>
    <w:next w:val="816"/>
    <w:uiPriority w:val="39"/>
    <w:unhideWhenUsed/>
    <w:qFormat/>
    <w:pPr>
      <w:ind w:left="850" w:right="0" w:firstLine="0"/>
      <w:spacing w:after="57"/>
    </w:pPr>
  </w:style>
  <w:style w:type="paragraph" w:styleId="912" w:customStyle="1">
    <w:name w:val="副标题11"/>
    <w:basedOn w:val="816"/>
    <w:next w:val="816"/>
    <w:link w:val="913"/>
    <w:uiPriority w:val="11"/>
    <w:qFormat/>
    <w:pPr>
      <w:spacing w:before="200" w:after="200"/>
    </w:pPr>
    <w:rPr>
      <w:sz w:val="24"/>
      <w:szCs w:val="24"/>
    </w:rPr>
  </w:style>
  <w:style w:type="character" w:styleId="913" w:customStyle="1">
    <w:name w:val="Subtitle Char"/>
    <w:link w:val="912"/>
    <w:uiPriority w:val="11"/>
    <w:qFormat/>
    <w:rPr>
      <w:sz w:val="24"/>
      <w:szCs w:val="24"/>
    </w:rPr>
  </w:style>
  <w:style w:type="paragraph" w:styleId="914" w:customStyle="1">
    <w:name w:val="脚注文本12"/>
    <w:basedOn w:val="816"/>
    <w:link w:val="915"/>
    <w:uiPriority w:val="99"/>
    <w:unhideWhenUsed/>
    <w:qFormat/>
    <w:pPr>
      <w:spacing w:after="40" w:line="240" w:lineRule="auto"/>
    </w:pPr>
    <w:rPr>
      <w:sz w:val="18"/>
    </w:rPr>
  </w:style>
  <w:style w:type="character" w:styleId="915" w:customStyle="1">
    <w:name w:val="Footnote Text Char"/>
    <w:link w:val="914"/>
    <w:uiPriority w:val="99"/>
    <w:qFormat/>
    <w:rPr>
      <w:sz w:val="18"/>
    </w:rPr>
  </w:style>
  <w:style w:type="paragraph" w:styleId="916" w:customStyle="1">
    <w:name w:val="目录 611"/>
    <w:basedOn w:val="816"/>
    <w:next w:val="816"/>
    <w:uiPriority w:val="39"/>
    <w:unhideWhenUsed/>
    <w:qFormat/>
    <w:pPr>
      <w:ind w:left="1417" w:right="0" w:firstLine="0"/>
      <w:spacing w:after="57"/>
    </w:pPr>
  </w:style>
  <w:style w:type="paragraph" w:styleId="917" w:customStyle="1">
    <w:name w:val="图表目录11"/>
    <w:basedOn w:val="816"/>
    <w:next w:val="816"/>
    <w:uiPriority w:val="99"/>
    <w:unhideWhenUsed/>
    <w:qFormat/>
    <w:pPr>
      <w:spacing w:after="0" w:afterAutospacing="0"/>
    </w:pPr>
  </w:style>
  <w:style w:type="paragraph" w:styleId="918" w:customStyle="1">
    <w:name w:val="目录 211"/>
    <w:basedOn w:val="816"/>
    <w:next w:val="816"/>
    <w:uiPriority w:val="39"/>
    <w:unhideWhenUsed/>
    <w:qFormat/>
    <w:pPr>
      <w:ind w:left="283" w:right="0" w:firstLine="0"/>
      <w:spacing w:after="57"/>
    </w:pPr>
  </w:style>
  <w:style w:type="paragraph" w:styleId="919" w:customStyle="1">
    <w:name w:val="目录 911"/>
    <w:basedOn w:val="816"/>
    <w:next w:val="816"/>
    <w:uiPriority w:val="39"/>
    <w:unhideWhenUsed/>
    <w:qFormat/>
    <w:pPr>
      <w:ind w:left="2268" w:right="0" w:firstLine="0"/>
      <w:spacing w:after="57"/>
    </w:pPr>
  </w:style>
  <w:style w:type="paragraph" w:styleId="920" w:customStyle="1">
    <w:name w:val="普通(网站)11"/>
    <w:basedOn w:val="816"/>
    <w:uiPriority w:val="0"/>
    <w:qFormat/>
    <w:pPr>
      <w:spacing w:beforeAutospacing="1" w:afterAutospacing="1"/>
    </w:pPr>
  </w:style>
  <w:style w:type="paragraph" w:styleId="921" w:customStyle="1">
    <w:name w:val="标题11"/>
    <w:basedOn w:val="816"/>
    <w:next w:val="816"/>
    <w:link w:val="922"/>
    <w:uiPriority w:val="10"/>
    <w:qFormat/>
    <w:pPr>
      <w:contextualSpacing/>
      <w:spacing w:before="300" w:after="200"/>
    </w:pPr>
    <w:rPr>
      <w:sz w:val="48"/>
      <w:szCs w:val="48"/>
    </w:rPr>
  </w:style>
  <w:style w:type="character" w:styleId="922" w:customStyle="1">
    <w:name w:val="Title Char"/>
    <w:link w:val="921"/>
    <w:uiPriority w:val="10"/>
    <w:qFormat/>
    <w:rPr>
      <w:sz w:val="48"/>
      <w:szCs w:val="48"/>
    </w:rPr>
  </w:style>
  <w:style w:type="table" w:styleId="923" w:customStyle="1">
    <w:name w:val="网格型12"/>
    <w:uiPriority w:val="59"/>
    <w:qFormat/>
    <w:pPr>
      <w:spacing w:after="0" w:line="240" w:lineRule="auto"/>
    </w:pPr>
    <w:tblPr/>
  </w:style>
  <w:style w:type="character" w:styleId="924" w:customStyle="1">
    <w:name w:val="尾注引用11"/>
    <w:link w:val="816"/>
    <w:uiPriority w:val="99"/>
    <w:unhideWhenUsed/>
    <w:qFormat/>
    <w:rPr>
      <w:vertAlign w:val="superscript"/>
    </w:rPr>
  </w:style>
  <w:style w:type="character" w:styleId="925" w:customStyle="1">
    <w:name w:val="超链接12"/>
    <w:link w:val="816"/>
    <w:uiPriority w:val="99"/>
    <w:unhideWhenUsed/>
    <w:qFormat/>
    <w:rPr>
      <w:color w:val="0000ff"/>
      <w:u w:val="single"/>
    </w:rPr>
  </w:style>
  <w:style w:type="character" w:styleId="926" w:customStyle="1">
    <w:name w:val="脚注引用11"/>
    <w:link w:val="816"/>
    <w:uiPriority w:val="99"/>
    <w:unhideWhenUsed/>
    <w:qFormat/>
    <w:rPr>
      <w:vertAlign w:val="superscript"/>
    </w:rPr>
  </w:style>
  <w:style w:type="character" w:styleId="927" w:customStyle="1">
    <w:name w:val="标题 1 字符"/>
    <w:link w:val="857"/>
    <w:uiPriority w:val="9"/>
    <w:qFormat/>
    <w:rPr>
      <w:rFonts w:ascii="Arial" w:hAnsi="Arial" w:eastAsia="Arial" w:cs="Arial"/>
      <w:sz w:val="40"/>
      <w:szCs w:val="40"/>
    </w:rPr>
  </w:style>
  <w:style w:type="character" w:styleId="928" w:customStyle="1">
    <w:name w:val="NormalCharacter11"/>
    <w:link w:val="816"/>
    <w:uiPriority w:val="0"/>
    <w:semiHidden/>
    <w:qFormat/>
    <w:rPr>
      <w:rFonts w:ascii="Times New Roman" w:hAnsi="Times New Roman"/>
      <w:sz w:val="21"/>
      <w:szCs w:val="24"/>
      <w:lang w:val="en-US" w:eastAsia="zh-CN" w:bidi="ar-SA"/>
    </w:rPr>
  </w:style>
  <w:style w:type="paragraph" w:styleId="929">
    <w:name w:val="List Paragraph"/>
    <w:basedOn w:val="816"/>
    <w:uiPriority w:val="34"/>
    <w:qFormat/>
    <w:pPr>
      <w:contextualSpacing/>
      <w:ind w:left="720"/>
    </w:pPr>
  </w:style>
  <w:style w:type="paragraph" w:styleId="930">
    <w:name w:val="No Spacing"/>
    <w:uiPriority w:val="1"/>
    <w:qFormat/>
    <w:pPr>
      <w:spacing w:before="0" w:after="0" w:line="240" w:lineRule="auto"/>
    </w:pPr>
    <w:rPr>
      <w:rFonts w:hint="default" w:ascii="Times New Roman" w:hAnsi="Times New Roman" w:eastAsia="宋体" w:cs="Times New Roman"/>
    </w:rPr>
  </w:style>
  <w:style w:type="paragraph" w:styleId="931">
    <w:name w:val="Quote"/>
    <w:basedOn w:val="816"/>
    <w:next w:val="816"/>
    <w:link w:val="932"/>
    <w:uiPriority w:val="29"/>
    <w:qFormat/>
    <w:pPr>
      <w:ind w:left="720" w:right="720"/>
    </w:pPr>
    <w:rPr>
      <w:i/>
    </w:rPr>
  </w:style>
  <w:style w:type="character" w:styleId="932" w:customStyle="1">
    <w:name w:val="Quote Char"/>
    <w:link w:val="931"/>
    <w:uiPriority w:val="29"/>
    <w:qFormat/>
    <w:rPr>
      <w:i/>
    </w:rPr>
  </w:style>
  <w:style w:type="paragraph" w:styleId="933">
    <w:name w:val="Intense Quote"/>
    <w:basedOn w:val="816"/>
    <w:next w:val="816"/>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customStyle="1">
    <w:name w:val="Intense Quote Char"/>
    <w:link w:val="933"/>
    <w:uiPriority w:val="30"/>
    <w:qFormat/>
    <w:rPr>
      <w:i/>
    </w:rPr>
  </w:style>
  <w:style w:type="paragraph" w:styleId="935" w:customStyle="1">
    <w:name w:val="标题 111"/>
    <w:basedOn w:val="816"/>
    <w:next w:val="893"/>
    <w:uiPriority w:val="9"/>
    <w:qFormat/>
    <w:pPr>
      <w:keepLines/>
      <w:keepNext/>
      <w:spacing w:before="480" w:after="200"/>
      <w:outlineLvl w:val="0"/>
    </w:pPr>
    <w:rPr>
      <w:rFonts w:ascii="Arial" w:hAnsi="Arial" w:eastAsia="Arial" w:cs="Arial"/>
      <w:sz w:val="40"/>
      <w:szCs w:val="40"/>
    </w:rPr>
  </w:style>
  <w:style w:type="paragraph" w:styleId="936" w:customStyle="1">
    <w:name w:val="正文首行缩进 21"/>
    <w:basedOn w:val="937"/>
    <w:next w:val="889"/>
    <w:uiPriority w:val="0"/>
    <w:qFormat/>
    <w:pPr>
      <w:ind w:firstLine="420"/>
    </w:pPr>
  </w:style>
  <w:style w:type="paragraph" w:styleId="937" w:customStyle="1">
    <w:name w:val="正文文本缩进1"/>
    <w:basedOn w:val="816"/>
    <w:next w:val="892"/>
    <w:uiPriority w:val="0"/>
    <w:qFormat/>
    <w:pPr>
      <w:ind w:left="420"/>
      <w:spacing w:after="120"/>
    </w:pPr>
    <w:rPr>
      <w:rFonts w:ascii="Calibri" w:hAnsi="Calibri"/>
    </w:rPr>
  </w:style>
  <w:style w:type="paragraph" w:styleId="938" w:customStyle="1">
    <w:name w:val="正文首行缩进1"/>
    <w:basedOn w:val="880"/>
    <w:next w:val="936"/>
    <w:uiPriority w:val="0"/>
    <w:qFormat/>
    <w:pPr>
      <w:ind w:firstLine="420"/>
    </w:pPr>
    <w:rPr>
      <w:rFonts w:ascii="仿宋_GB2312" w:hAnsi="Times New Roman" w:eastAsia="仿宋_GB2312"/>
      <w:sz w:val="30"/>
      <w:szCs w:val="30"/>
    </w:rPr>
  </w:style>
  <w:style w:type="paragraph" w:styleId="939" w:customStyle="1">
    <w:name w:val="标题 211"/>
    <w:basedOn w:val="816"/>
    <w:next w:val="816"/>
    <w:link w:val="940"/>
    <w:uiPriority w:val="9"/>
    <w:qFormat/>
    <w:pPr>
      <w:keepLines/>
      <w:keepNext/>
      <w:spacing w:before="360" w:after="200"/>
      <w:outlineLvl w:val="1"/>
    </w:pPr>
    <w:rPr>
      <w:rFonts w:ascii="Arial" w:hAnsi="Arial" w:eastAsia="Arial" w:cs="Arial"/>
      <w:sz w:val="34"/>
    </w:rPr>
  </w:style>
  <w:style w:type="character" w:styleId="940" w:customStyle="1">
    <w:name w:val="标题 2 字符"/>
    <w:link w:val="939"/>
    <w:uiPriority w:val="9"/>
    <w:qFormat/>
    <w:rPr>
      <w:rFonts w:ascii="Arial" w:hAnsi="Arial" w:eastAsia="Arial" w:cs="Arial"/>
      <w:sz w:val="34"/>
    </w:rPr>
  </w:style>
  <w:style w:type="paragraph" w:styleId="941" w:customStyle="1">
    <w:name w:val="标题 31"/>
    <w:basedOn w:val="816"/>
    <w:next w:val="816"/>
    <w:link w:val="942"/>
    <w:uiPriority w:val="9"/>
    <w:qFormat/>
    <w:pPr>
      <w:keepLines/>
      <w:keepNext/>
      <w:spacing w:before="320" w:after="200"/>
      <w:outlineLvl w:val="2"/>
    </w:pPr>
    <w:rPr>
      <w:rFonts w:ascii="Arial" w:hAnsi="Arial" w:eastAsia="Arial" w:cs="Arial"/>
      <w:sz w:val="30"/>
      <w:szCs w:val="30"/>
    </w:rPr>
  </w:style>
  <w:style w:type="character" w:styleId="942" w:customStyle="1">
    <w:name w:val="标题 3 字符"/>
    <w:link w:val="941"/>
    <w:uiPriority w:val="9"/>
    <w:qFormat/>
    <w:rPr>
      <w:rFonts w:ascii="Arial" w:hAnsi="Arial" w:eastAsia="Arial" w:cs="Arial"/>
      <w:sz w:val="30"/>
      <w:szCs w:val="30"/>
    </w:rPr>
  </w:style>
  <w:style w:type="paragraph" w:styleId="943" w:customStyle="1">
    <w:name w:val="标题 41"/>
    <w:basedOn w:val="816"/>
    <w:next w:val="893"/>
    <w:link w:val="944"/>
    <w:uiPriority w:val="9"/>
    <w:qFormat/>
    <w:pPr>
      <w:keepLines/>
      <w:keepNext/>
      <w:spacing w:before="320" w:after="200"/>
      <w:outlineLvl w:val="3"/>
    </w:pPr>
    <w:rPr>
      <w:rFonts w:ascii="Arial" w:hAnsi="Arial" w:eastAsia="Arial" w:cs="Arial"/>
      <w:b/>
      <w:bCs/>
      <w:sz w:val="26"/>
      <w:szCs w:val="26"/>
    </w:rPr>
  </w:style>
  <w:style w:type="character" w:styleId="944" w:customStyle="1">
    <w:name w:val="标题 4 字符"/>
    <w:link w:val="943"/>
    <w:uiPriority w:val="9"/>
    <w:qFormat/>
    <w:rPr>
      <w:rFonts w:ascii="Arial" w:hAnsi="Arial" w:eastAsia="Arial" w:cs="Arial"/>
      <w:b/>
      <w:bCs/>
      <w:sz w:val="26"/>
      <w:szCs w:val="26"/>
    </w:rPr>
  </w:style>
  <w:style w:type="paragraph" w:styleId="945" w:customStyle="1">
    <w:name w:val="标题 51"/>
    <w:basedOn w:val="816"/>
    <w:next w:val="816"/>
    <w:link w:val="946"/>
    <w:uiPriority w:val="9"/>
    <w:qFormat/>
    <w:pPr>
      <w:keepLines/>
      <w:keepNext/>
      <w:spacing w:before="320" w:after="200"/>
      <w:outlineLvl w:val="4"/>
    </w:pPr>
    <w:rPr>
      <w:rFonts w:ascii="Arial" w:hAnsi="Arial" w:eastAsia="Arial" w:cs="Arial"/>
      <w:b/>
      <w:bCs/>
      <w:sz w:val="24"/>
      <w:szCs w:val="24"/>
    </w:rPr>
  </w:style>
  <w:style w:type="character" w:styleId="946" w:customStyle="1">
    <w:name w:val="标题 5 字符"/>
    <w:link w:val="945"/>
    <w:uiPriority w:val="9"/>
    <w:qFormat/>
    <w:rPr>
      <w:rFonts w:ascii="Arial" w:hAnsi="Arial" w:eastAsia="Arial" w:cs="Arial"/>
      <w:b/>
      <w:bCs/>
      <w:sz w:val="24"/>
      <w:szCs w:val="24"/>
    </w:rPr>
  </w:style>
  <w:style w:type="paragraph" w:styleId="947" w:customStyle="1">
    <w:name w:val="标题 61"/>
    <w:basedOn w:val="816"/>
    <w:next w:val="816"/>
    <w:link w:val="948"/>
    <w:uiPriority w:val="9"/>
    <w:qFormat/>
    <w:pPr>
      <w:keepLines/>
      <w:keepNext/>
      <w:spacing w:before="320" w:after="200"/>
      <w:outlineLvl w:val="5"/>
    </w:pPr>
    <w:rPr>
      <w:rFonts w:ascii="Arial" w:hAnsi="Arial" w:eastAsia="Arial" w:cs="Arial"/>
      <w:b/>
      <w:bCs/>
      <w:sz w:val="22"/>
      <w:szCs w:val="22"/>
    </w:rPr>
  </w:style>
  <w:style w:type="character" w:styleId="948" w:customStyle="1">
    <w:name w:val="标题 6 字符"/>
    <w:link w:val="947"/>
    <w:uiPriority w:val="9"/>
    <w:qFormat/>
    <w:rPr>
      <w:rFonts w:ascii="Arial" w:hAnsi="Arial" w:eastAsia="Arial" w:cs="Arial"/>
      <w:b/>
      <w:bCs/>
      <w:sz w:val="22"/>
      <w:szCs w:val="22"/>
    </w:rPr>
  </w:style>
  <w:style w:type="paragraph" w:styleId="949" w:customStyle="1">
    <w:name w:val="标题 71"/>
    <w:basedOn w:val="816"/>
    <w:next w:val="816"/>
    <w:link w:val="950"/>
    <w:uiPriority w:val="9"/>
    <w:qFormat/>
    <w:pPr>
      <w:keepLines/>
      <w:keepNext/>
      <w:spacing w:before="320" w:after="200"/>
      <w:outlineLvl w:val="6"/>
    </w:pPr>
    <w:rPr>
      <w:rFonts w:ascii="Arial" w:hAnsi="Arial" w:eastAsia="Arial" w:cs="Arial"/>
      <w:b/>
      <w:bCs/>
      <w:i/>
      <w:iCs/>
      <w:sz w:val="22"/>
      <w:szCs w:val="22"/>
    </w:rPr>
  </w:style>
  <w:style w:type="character" w:styleId="950" w:customStyle="1">
    <w:name w:val="标题 7 字符"/>
    <w:link w:val="949"/>
    <w:uiPriority w:val="9"/>
    <w:qFormat/>
    <w:rPr>
      <w:rFonts w:ascii="Arial" w:hAnsi="Arial" w:eastAsia="Arial" w:cs="Arial"/>
      <w:b/>
      <w:bCs/>
      <w:i/>
      <w:iCs/>
      <w:sz w:val="22"/>
      <w:szCs w:val="22"/>
    </w:rPr>
  </w:style>
  <w:style w:type="paragraph" w:styleId="951" w:customStyle="1">
    <w:name w:val="标题 81"/>
    <w:basedOn w:val="816"/>
    <w:next w:val="816"/>
    <w:link w:val="952"/>
    <w:uiPriority w:val="9"/>
    <w:qFormat/>
    <w:pPr>
      <w:keepLines/>
      <w:keepNext/>
      <w:spacing w:before="320" w:after="200"/>
      <w:outlineLvl w:val="7"/>
    </w:pPr>
    <w:rPr>
      <w:rFonts w:ascii="Arial" w:hAnsi="Arial" w:eastAsia="Arial" w:cs="Arial"/>
      <w:i/>
      <w:iCs/>
      <w:sz w:val="22"/>
      <w:szCs w:val="22"/>
    </w:rPr>
  </w:style>
  <w:style w:type="character" w:styleId="952" w:customStyle="1">
    <w:name w:val="标题 8 字符"/>
    <w:link w:val="951"/>
    <w:uiPriority w:val="9"/>
    <w:qFormat/>
    <w:rPr>
      <w:rFonts w:ascii="Arial" w:hAnsi="Arial" w:eastAsia="Arial" w:cs="Arial"/>
      <w:i/>
      <w:iCs/>
      <w:sz w:val="22"/>
      <w:szCs w:val="22"/>
    </w:rPr>
  </w:style>
  <w:style w:type="paragraph" w:styleId="953" w:customStyle="1">
    <w:name w:val="标题 91"/>
    <w:basedOn w:val="816"/>
    <w:next w:val="816"/>
    <w:link w:val="954"/>
    <w:uiPriority w:val="9"/>
    <w:qFormat/>
    <w:pPr>
      <w:keepLines/>
      <w:keepNext/>
      <w:spacing w:before="320" w:after="200"/>
      <w:outlineLvl w:val="8"/>
    </w:pPr>
    <w:rPr>
      <w:rFonts w:ascii="Arial" w:hAnsi="Arial" w:eastAsia="Arial" w:cs="Arial"/>
      <w:i/>
      <w:iCs/>
      <w:sz w:val="21"/>
      <w:szCs w:val="21"/>
    </w:rPr>
  </w:style>
  <w:style w:type="character" w:styleId="954" w:customStyle="1">
    <w:name w:val="标题 9 字符"/>
    <w:link w:val="953"/>
    <w:uiPriority w:val="9"/>
    <w:qFormat/>
    <w:rPr>
      <w:rFonts w:ascii="Arial" w:hAnsi="Arial" w:eastAsia="Arial" w:cs="Arial"/>
      <w:i/>
      <w:iCs/>
      <w:sz w:val="21"/>
      <w:szCs w:val="21"/>
    </w:rPr>
  </w:style>
  <w:style w:type="character" w:styleId="955" w:customStyle="1">
    <w:name w:val="默认段落字体11"/>
    <w:link w:val="816"/>
    <w:uiPriority w:val="1"/>
    <w:unhideWhenUsed/>
    <w:qFormat/>
  </w:style>
  <w:style w:type="table" w:styleId="956" w:customStyle="1">
    <w:name w:val="普通表格11"/>
    <w:uiPriority w:val="99"/>
    <w:unhideWhenUsed/>
    <w:qFormat/>
    <w:tblPr/>
  </w:style>
  <w:style w:type="character" w:styleId="957" w:customStyle="1">
    <w:name w:val="脚注引用1"/>
    <w:link w:val="816"/>
    <w:uiPriority w:val="99"/>
    <w:unhideWhenUsed/>
    <w:qFormat/>
    <w:rPr>
      <w:vertAlign w:val="superscript"/>
    </w:rPr>
  </w:style>
  <w:style w:type="character" w:styleId="958" w:customStyle="1">
    <w:name w:val="尾注引用1"/>
    <w:link w:val="816"/>
    <w:uiPriority w:val="99"/>
    <w:unhideWhenUsed/>
    <w:qFormat/>
    <w:rPr>
      <w:vertAlign w:val="superscript"/>
    </w:rPr>
  </w:style>
  <w:style w:type="character" w:styleId="959" w:customStyle="1">
    <w:name w:val="超链接11"/>
    <w:link w:val="816"/>
    <w:uiPriority w:val="99"/>
    <w:unhideWhenUsed/>
    <w:qFormat/>
    <w:rPr>
      <w:color w:val="0000ff"/>
      <w:u w:val="single"/>
    </w:rPr>
  </w:style>
  <w:style w:type="character" w:styleId="960" w:customStyle="1">
    <w:name w:val="Footer Char"/>
    <w:link w:val="816"/>
    <w:uiPriority w:val="99"/>
    <w:qFormat/>
  </w:style>
  <w:style w:type="character" w:styleId="961" w:customStyle="1">
    <w:name w:val="批注框文本 字符"/>
    <w:link w:val="962"/>
    <w:uiPriority w:val="0"/>
    <w:qFormat/>
    <w:rPr>
      <w:rFonts w:ascii="Times New Roman" w:hAnsi="Times New Roman" w:eastAsia="宋体" w:cs="Times New Roman"/>
      <w:sz w:val="18"/>
      <w:szCs w:val="18"/>
    </w:rPr>
  </w:style>
  <w:style w:type="paragraph" w:styleId="962" w:customStyle="1">
    <w:name w:val="批注框文本1"/>
    <w:basedOn w:val="816"/>
    <w:link w:val="961"/>
    <w:uiPriority w:val="0"/>
    <w:qFormat/>
    <w:rPr>
      <w:sz w:val="18"/>
      <w:szCs w:val="18"/>
    </w:rPr>
  </w:style>
  <w:style w:type="character" w:styleId="963" w:customStyle="1">
    <w:name w:val="标题 字符"/>
    <w:link w:val="964"/>
    <w:uiPriority w:val="10"/>
    <w:qFormat/>
    <w:rPr>
      <w:sz w:val="48"/>
      <w:szCs w:val="48"/>
    </w:rPr>
  </w:style>
  <w:style w:type="paragraph" w:styleId="964" w:customStyle="1">
    <w:name w:val="标题1"/>
    <w:basedOn w:val="816"/>
    <w:next w:val="816"/>
    <w:link w:val="963"/>
    <w:uiPriority w:val="10"/>
    <w:qFormat/>
    <w:pPr>
      <w:contextualSpacing/>
      <w:spacing w:before="300" w:after="200"/>
    </w:pPr>
    <w:rPr>
      <w:sz w:val="48"/>
      <w:szCs w:val="48"/>
    </w:rPr>
  </w:style>
  <w:style w:type="character" w:styleId="965" w:customStyle="1">
    <w:name w:val="副标题 字符"/>
    <w:link w:val="966"/>
    <w:uiPriority w:val="11"/>
    <w:qFormat/>
    <w:rPr>
      <w:sz w:val="24"/>
      <w:szCs w:val="24"/>
    </w:rPr>
  </w:style>
  <w:style w:type="paragraph" w:styleId="966" w:customStyle="1">
    <w:name w:val="副标题1"/>
    <w:basedOn w:val="816"/>
    <w:next w:val="816"/>
    <w:link w:val="965"/>
    <w:uiPriority w:val="11"/>
    <w:qFormat/>
    <w:pPr>
      <w:spacing w:before="200" w:after="200"/>
    </w:pPr>
    <w:rPr>
      <w:sz w:val="24"/>
      <w:szCs w:val="24"/>
    </w:rPr>
  </w:style>
  <w:style w:type="character" w:styleId="967" w:customStyle="1">
    <w:name w:val="页眉 字符"/>
    <w:link w:val="968"/>
    <w:uiPriority w:val="99"/>
    <w:qFormat/>
  </w:style>
  <w:style w:type="paragraph" w:styleId="968" w:customStyle="1">
    <w:name w:val="页眉11"/>
    <w:basedOn w:val="816"/>
    <w:link w:val="967"/>
    <w:uiPriority w:val="99"/>
    <w:unhideWhenUsed/>
    <w:qFormat/>
    <w:pPr>
      <w:spacing w:after="0" w:line="240" w:lineRule="auto"/>
      <w:tabs>
        <w:tab w:val="center" w:pos="7143" w:leader="none"/>
        <w:tab w:val="right" w:pos="14287" w:leader="none"/>
      </w:tabs>
    </w:pPr>
  </w:style>
  <w:style w:type="character" w:styleId="969" w:customStyle="1">
    <w:name w:val="font121"/>
    <w:link w:val="816"/>
    <w:uiPriority w:val="0"/>
    <w:qFormat/>
    <w:rPr>
      <w:rFonts w:hint="eastAsia" w:ascii="宋体" w:hAnsi="宋体" w:eastAsia="宋体" w:cs="宋体"/>
      <w:color w:val="000000"/>
      <w:sz w:val="18"/>
      <w:szCs w:val="18"/>
      <w:u w:val="none"/>
    </w:rPr>
  </w:style>
  <w:style w:type="character" w:styleId="970" w:customStyle="1">
    <w:name w:val="明显引用 字符"/>
    <w:link w:val="971"/>
    <w:uiPriority w:val="30"/>
    <w:qFormat/>
    <w:rPr>
      <w:i/>
    </w:rPr>
  </w:style>
  <w:style w:type="paragraph" w:styleId="971" w:customStyle="1">
    <w:name w:val="明显引用"/>
    <w:basedOn w:val="816"/>
    <w:next w:val="816"/>
    <w:link w:val="9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引用 字符"/>
    <w:link w:val="973"/>
    <w:uiPriority w:val="29"/>
    <w:qFormat/>
    <w:rPr>
      <w:i/>
    </w:rPr>
  </w:style>
  <w:style w:type="paragraph" w:styleId="973" w:customStyle="1">
    <w:name w:val="引用"/>
    <w:basedOn w:val="816"/>
    <w:next w:val="816"/>
    <w:link w:val="972"/>
    <w:uiPriority w:val="29"/>
    <w:qFormat/>
    <w:pPr>
      <w:ind w:left="720" w:right="720"/>
    </w:pPr>
    <w:rPr>
      <w:i/>
    </w:rPr>
  </w:style>
  <w:style w:type="character" w:styleId="974" w:customStyle="1">
    <w:name w:val="页脚 字符"/>
    <w:link w:val="975"/>
    <w:uiPriority w:val="99"/>
    <w:qFormat/>
  </w:style>
  <w:style w:type="paragraph" w:styleId="975" w:customStyle="1">
    <w:name w:val="页脚11"/>
    <w:basedOn w:val="816"/>
    <w:link w:val="974"/>
    <w:uiPriority w:val="99"/>
    <w:unhideWhenUsed/>
    <w:qFormat/>
    <w:pPr>
      <w:spacing w:after="0" w:line="240" w:lineRule="auto"/>
      <w:tabs>
        <w:tab w:val="center" w:pos="7143" w:leader="none"/>
        <w:tab w:val="right" w:pos="14287" w:leader="none"/>
      </w:tabs>
    </w:pPr>
  </w:style>
  <w:style w:type="character" w:styleId="976" w:customStyle="1">
    <w:name w:val="脚注文本 字符"/>
    <w:link w:val="977"/>
    <w:uiPriority w:val="99"/>
    <w:qFormat/>
    <w:rPr>
      <w:sz w:val="18"/>
    </w:rPr>
  </w:style>
  <w:style w:type="paragraph" w:styleId="977" w:customStyle="1">
    <w:name w:val="脚注文本11"/>
    <w:basedOn w:val="816"/>
    <w:link w:val="976"/>
    <w:uiPriority w:val="99"/>
    <w:unhideWhenUsed/>
    <w:qFormat/>
    <w:pPr>
      <w:spacing w:after="40" w:line="240" w:lineRule="auto"/>
    </w:pPr>
    <w:rPr>
      <w:sz w:val="18"/>
    </w:rPr>
  </w:style>
  <w:style w:type="character" w:styleId="978" w:customStyle="1">
    <w:name w:val="尾注文本 字符"/>
    <w:link w:val="979"/>
    <w:uiPriority w:val="99"/>
    <w:qFormat/>
    <w:rPr>
      <w:sz w:val="20"/>
    </w:rPr>
  </w:style>
  <w:style w:type="paragraph" w:styleId="979" w:customStyle="1">
    <w:name w:val="尾注文本1"/>
    <w:basedOn w:val="816"/>
    <w:link w:val="978"/>
    <w:uiPriority w:val="99"/>
    <w:unhideWhenUsed/>
    <w:qFormat/>
    <w:pPr>
      <w:spacing w:after="0" w:line="240" w:lineRule="auto"/>
    </w:pPr>
    <w:rPr>
      <w:sz w:val="20"/>
    </w:rPr>
  </w:style>
  <w:style w:type="character" w:styleId="980" w:customStyle="1">
    <w:name w:val="默认段落字体1"/>
    <w:link w:val="816"/>
    <w:uiPriority w:val="1"/>
    <w:unhideWhenUsed/>
    <w:qFormat/>
  </w:style>
  <w:style w:type="character" w:styleId="981" w:customStyle="1">
    <w:name w:val="超链接1"/>
    <w:link w:val="816"/>
    <w:uiPriority w:val="99"/>
    <w:unhideWhenUsed/>
    <w:qFormat/>
    <w:rPr>
      <w:color w:val="0000ff"/>
      <w:u w:val="single"/>
    </w:rPr>
  </w:style>
  <w:style w:type="character" w:styleId="982" w:customStyle="1">
    <w:name w:val="批注引用1"/>
    <w:link w:val="816"/>
    <w:uiPriority w:val="0"/>
    <w:qFormat/>
    <w:rPr>
      <w:sz w:val="21"/>
      <w:szCs w:val="21"/>
    </w:rPr>
  </w:style>
  <w:style w:type="character" w:styleId="983" w:customStyle="1">
    <w:name w:val="批注文字 字符"/>
    <w:link w:val="984"/>
    <w:uiPriority w:val="0"/>
    <w:qFormat/>
    <w:rPr>
      <w:rFonts w:ascii="Times New Roman" w:hAnsi="Times New Roman" w:eastAsia="宋体" w:cs="Times New Roman"/>
      <w:sz w:val="21"/>
      <w:szCs w:val="24"/>
    </w:rPr>
  </w:style>
  <w:style w:type="paragraph" w:styleId="984" w:customStyle="1">
    <w:name w:val="批注文字1"/>
    <w:basedOn w:val="816"/>
    <w:link w:val="983"/>
    <w:uiPriority w:val="0"/>
    <w:qFormat/>
    <w:pPr>
      <w:jc w:val="left"/>
    </w:pPr>
  </w:style>
  <w:style w:type="character" w:styleId="985" w:customStyle="1">
    <w:name w:val="批注主题 字符"/>
    <w:link w:val="986"/>
    <w:uiPriority w:val="0"/>
    <w:qFormat/>
    <w:rPr>
      <w:rFonts w:ascii="Times New Roman" w:hAnsi="Times New Roman" w:eastAsia="宋体" w:cs="Times New Roman"/>
      <w:b/>
      <w:bCs/>
      <w:sz w:val="21"/>
      <w:szCs w:val="24"/>
    </w:rPr>
  </w:style>
  <w:style w:type="paragraph" w:styleId="986" w:customStyle="1">
    <w:name w:val="批注主题1"/>
    <w:basedOn w:val="984"/>
    <w:next w:val="984"/>
    <w:link w:val="985"/>
    <w:uiPriority w:val="0"/>
    <w:qFormat/>
    <w:rPr>
      <w:b/>
      <w:bCs/>
    </w:rPr>
  </w:style>
  <w:style w:type="character" w:styleId="987" w:customStyle="1">
    <w:name w:val="font11"/>
    <w:link w:val="816"/>
    <w:uiPriority w:val="0"/>
    <w:qFormat/>
    <w:rPr>
      <w:rFonts w:hint="eastAsia" w:ascii="黑体" w:hAnsi="宋体" w:eastAsia="黑体" w:cs="黑体"/>
      <w:color w:val="000000"/>
      <w:sz w:val="18"/>
      <w:szCs w:val="18"/>
      <w:u w:val="none"/>
    </w:rPr>
  </w:style>
  <w:style w:type="character" w:styleId="988" w:customStyle="1">
    <w:name w:val="wyg1"/>
    <w:link w:val="816"/>
    <w:uiPriority w:val="6"/>
    <w:qFormat/>
    <w:rPr>
      <w:color w:val="000000"/>
      <w:sz w:val="20"/>
      <w:szCs w:val="20"/>
      <w:u w:val="none"/>
    </w:rPr>
  </w:style>
  <w:style w:type="character" w:styleId="989" w:customStyle="1">
    <w:name w:val="NormalCharacter1"/>
    <w:link w:val="816"/>
    <w:uiPriority w:val="0"/>
    <w:semiHidden/>
    <w:qFormat/>
    <w:rPr>
      <w:sz w:val="28"/>
      <w:lang w:val="en-US" w:eastAsia="zh-CN" w:bidi="ar-SA"/>
    </w:rPr>
  </w:style>
  <w:style w:type="character" w:styleId="990" w:customStyle="1">
    <w:name w:val="font21"/>
    <w:link w:val="816"/>
    <w:uiPriority w:val="0"/>
    <w:qFormat/>
    <w:rPr>
      <w:rFonts w:hint="eastAsia" w:ascii="宋体" w:hAnsi="宋体" w:eastAsia="宋体" w:cs="宋体"/>
      <w:b/>
      <w:bCs/>
      <w:color w:val="000000"/>
      <w:sz w:val="28"/>
      <w:szCs w:val="28"/>
      <w:u w:val="none"/>
    </w:rPr>
  </w:style>
  <w:style w:type="character" w:styleId="991" w:customStyle="1">
    <w:name w:val="font131"/>
    <w:link w:val="816"/>
    <w:uiPriority w:val="0"/>
    <w:qFormat/>
    <w:rPr>
      <w:rFonts w:hint="eastAsia" w:ascii="宋体" w:hAnsi="宋体" w:eastAsia="宋体" w:cs="宋体"/>
      <w:color w:val="000000"/>
      <w:sz w:val="20"/>
      <w:szCs w:val="20"/>
      <w:u w:val="none"/>
    </w:rPr>
  </w:style>
  <w:style w:type="character" w:styleId="992" w:customStyle="1">
    <w:name w:val="font41"/>
    <w:link w:val="816"/>
    <w:uiPriority w:val="0"/>
    <w:qFormat/>
    <w:rPr>
      <w:rFonts w:ascii="Arial" w:hAnsi="Arial" w:cs="Arial"/>
      <w:color w:val="000000"/>
      <w:sz w:val="22"/>
      <w:szCs w:val="22"/>
      <w:u w:val="none"/>
    </w:rPr>
  </w:style>
  <w:style w:type="paragraph" w:styleId="993" w:customStyle="1">
    <w:name w:val="题注1"/>
    <w:basedOn w:val="816"/>
    <w:next w:val="816"/>
    <w:uiPriority w:val="35"/>
    <w:qFormat/>
    <w:pPr>
      <w:spacing w:line="276" w:lineRule="auto"/>
    </w:pPr>
    <w:rPr>
      <w:b/>
      <w:bCs/>
      <w:color w:val="4f81bd"/>
      <w:sz w:val="18"/>
      <w:szCs w:val="18"/>
    </w:rPr>
  </w:style>
  <w:style w:type="paragraph" w:styleId="994" w:customStyle="1">
    <w:name w:val="目录 91"/>
    <w:basedOn w:val="816"/>
    <w:next w:val="816"/>
    <w:uiPriority w:val="39"/>
    <w:unhideWhenUsed/>
    <w:qFormat/>
    <w:pPr>
      <w:ind w:left="2268" w:right="0" w:firstLine="0"/>
      <w:spacing w:after="57"/>
    </w:pPr>
  </w:style>
  <w:style w:type="paragraph" w:styleId="995" w:customStyle="1">
    <w:name w:val="正文缩进11"/>
    <w:basedOn w:val="816"/>
    <w:uiPriority w:val="0"/>
    <w:unhideWhenUsed/>
    <w:qFormat/>
    <w:pPr>
      <w:ind w:firstLine="420"/>
    </w:pPr>
  </w:style>
  <w:style w:type="paragraph" w:styleId="996" w:customStyle="1">
    <w:name w:val="目录 71"/>
    <w:basedOn w:val="816"/>
    <w:next w:val="816"/>
    <w:uiPriority w:val="39"/>
    <w:unhideWhenUsed/>
    <w:qFormat/>
    <w:pPr>
      <w:ind w:left="1701" w:right="0" w:firstLine="0"/>
      <w:spacing w:after="57"/>
    </w:pPr>
  </w:style>
  <w:style w:type="paragraph" w:styleId="997" w:customStyle="1">
    <w:name w:val="图表目录1"/>
    <w:basedOn w:val="816"/>
    <w:next w:val="816"/>
    <w:uiPriority w:val="99"/>
    <w:unhideWhenUsed/>
    <w:qFormat/>
    <w:pPr>
      <w:spacing w:after="0" w:afterAutospacing="0"/>
    </w:pPr>
  </w:style>
  <w:style w:type="paragraph" w:styleId="998" w:customStyle="1">
    <w:name w:val="目录 31"/>
    <w:basedOn w:val="816"/>
    <w:next w:val="816"/>
    <w:uiPriority w:val="39"/>
    <w:unhideWhenUsed/>
    <w:qFormat/>
    <w:pPr>
      <w:ind w:left="567" w:right="0" w:firstLine="0"/>
      <w:spacing w:after="57"/>
    </w:pPr>
  </w:style>
  <w:style w:type="paragraph" w:styleId="999" w:customStyle="1">
    <w:name w:val="目录 61"/>
    <w:basedOn w:val="816"/>
    <w:next w:val="816"/>
    <w:uiPriority w:val="39"/>
    <w:unhideWhenUsed/>
    <w:qFormat/>
    <w:pPr>
      <w:ind w:left="1417" w:right="0" w:firstLine="0"/>
      <w:spacing w:after="57"/>
    </w:pPr>
  </w:style>
  <w:style w:type="paragraph" w:styleId="1000" w:customStyle="1">
    <w:name w:val="目录 41"/>
    <w:basedOn w:val="816"/>
    <w:next w:val="816"/>
    <w:uiPriority w:val="39"/>
    <w:unhideWhenUsed/>
    <w:qFormat/>
    <w:pPr>
      <w:ind w:left="850" w:right="0" w:firstLine="0"/>
      <w:spacing w:after="57"/>
    </w:pPr>
  </w:style>
  <w:style w:type="paragraph" w:styleId="1001" w:customStyle="1">
    <w:name w:val="正文缩进1"/>
    <w:basedOn w:val="816"/>
    <w:uiPriority w:val="0"/>
    <w:qFormat/>
    <w:pPr>
      <w:ind w:firstLine="420"/>
    </w:pPr>
  </w:style>
  <w:style w:type="paragraph" w:styleId="1002" w:customStyle="1">
    <w:name w:val="目录 21"/>
    <w:basedOn w:val="816"/>
    <w:next w:val="816"/>
    <w:uiPriority w:val="39"/>
    <w:unhideWhenUsed/>
    <w:qFormat/>
    <w:pPr>
      <w:ind w:left="283" w:right="0" w:firstLine="0"/>
      <w:spacing w:after="57"/>
    </w:pPr>
  </w:style>
  <w:style w:type="paragraph" w:styleId="1003" w:customStyle="1">
    <w:name w:val="目录 51"/>
    <w:basedOn w:val="816"/>
    <w:next w:val="816"/>
    <w:uiPriority w:val="39"/>
    <w:unhideWhenUsed/>
    <w:qFormat/>
    <w:pPr>
      <w:ind w:left="1134" w:right="0" w:firstLine="0"/>
      <w:spacing w:after="57"/>
    </w:pPr>
  </w:style>
  <w:style w:type="paragraph" w:styleId="1004" w:customStyle="1">
    <w:name w:val="目录 81"/>
    <w:basedOn w:val="816"/>
    <w:next w:val="816"/>
    <w:uiPriority w:val="39"/>
    <w:unhideWhenUsed/>
    <w:qFormat/>
    <w:pPr>
      <w:ind w:left="1984" w:right="0" w:firstLine="0"/>
      <w:spacing w:after="57"/>
    </w:pPr>
  </w:style>
  <w:style w:type="paragraph" w:styleId="1005" w:customStyle="1">
    <w:name w:val="普通(网站)1"/>
    <w:basedOn w:val="816"/>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06" w:customStyle="1">
    <w:name w:val="列表段落"/>
    <w:basedOn w:val="816"/>
    <w:uiPriority w:val="34"/>
    <w:qFormat/>
    <w:pPr>
      <w:contextualSpacing/>
      <w:ind w:left="720"/>
    </w:pPr>
  </w:style>
  <w:style w:type="paragraph" w:styleId="1007" w:customStyle="1">
    <w:name w:val="TOC Heading"/>
    <w:uiPriority w:val="39"/>
    <w:unhideWhenUsed/>
    <w:qFormat/>
    <w:rPr>
      <w:rFonts w:hint="default" w:ascii="Calibri" w:hAnsi="Calibri" w:eastAsia="宋体" w:cs="Times New Roman"/>
      <w:lang w:val="en-US" w:eastAsia="zh-CN" w:bidi="ar-SA"/>
    </w:rPr>
  </w:style>
  <w:style w:type="paragraph" w:styleId="1008" w:customStyle="1">
    <w:name w:val="正文文本1"/>
    <w:basedOn w:val="883"/>
    <w:next w:val="889"/>
    <w:uiPriority w:val="99"/>
    <w:qFormat/>
    <w:pPr>
      <w:spacing w:after="120"/>
    </w:pPr>
    <w:rPr>
      <w:rFonts w:ascii="Calibri" w:hAnsi="Calibri"/>
    </w:rPr>
  </w:style>
  <w:style w:type="paragraph" w:styleId="1009" w:customStyle="1">
    <w:name w:val="页眉1"/>
    <w:basedOn w:val="816"/>
    <w:uiPriority w:val="99"/>
    <w:qFormat/>
    <w:pPr>
      <w:jc w:val="center"/>
      <w:tabs>
        <w:tab w:val="center" w:pos="4153" w:leader="none"/>
        <w:tab w:val="right" w:pos="8306" w:leader="none"/>
      </w:tabs>
      <w:pBdr>
        <w:bottom w:val="single" w:color="000000" w:sz="6" w:space="1"/>
      </w:pBdr>
    </w:pPr>
    <w:rPr>
      <w:sz w:val="18"/>
      <w:szCs w:val="18"/>
    </w:rPr>
  </w:style>
  <w:style w:type="paragraph" w:styleId="1010" w:customStyle="1">
    <w:name w:val="标题 21"/>
    <w:basedOn w:val="816"/>
    <w:next w:val="816"/>
    <w:uiPriority w:val="0"/>
    <w:qFormat/>
    <w:pPr>
      <w:jc w:val="left"/>
      <w:keepLines/>
      <w:keepNext/>
      <w:spacing w:before="50"/>
      <w:tabs>
        <w:tab w:val="left" w:pos="0" w:leader="none"/>
      </w:tabs>
    </w:pPr>
    <w:rPr>
      <w:rFonts w:ascii="Arial" w:hAnsi="Arial" w:eastAsia="黑体"/>
      <w:sz w:val="32"/>
      <w:szCs w:val="20"/>
    </w:rPr>
  </w:style>
  <w:style w:type="paragraph" w:styleId="1011" w:customStyle="1">
    <w:name w:val="无间隔"/>
    <w:uiPriority w:val="1"/>
    <w:qFormat/>
    <w:rPr>
      <w:rFonts w:hint="default" w:ascii="Calibri" w:hAnsi="Calibri" w:eastAsia="宋体" w:cs="Times New Roman"/>
      <w:lang w:val="en-US" w:eastAsia="zh-CN" w:bidi="ar-SA"/>
    </w:rPr>
  </w:style>
  <w:style w:type="paragraph" w:styleId="1012" w:customStyle="1">
    <w:name w:val="EnvelopeReturn1"/>
    <w:basedOn w:val="816"/>
    <w:uiPriority w:val="0"/>
    <w:qFormat/>
    <w:rPr>
      <w:rFonts w:ascii="Arial" w:hAnsi="Arial"/>
    </w:rPr>
  </w:style>
  <w:style w:type="paragraph" w:styleId="1013" w:customStyle="1">
    <w:name w:val="EnvelopeReturn11"/>
    <w:basedOn w:val="816"/>
    <w:uiPriority w:val="0"/>
    <w:qFormat/>
    <w:rPr>
      <w:rFonts w:ascii="Arial" w:hAnsi="Arial"/>
    </w:rPr>
  </w:style>
  <w:style w:type="paragraph" w:styleId="1014" w:customStyle="1">
    <w:name w:val="文本块1"/>
    <w:basedOn w:val="816"/>
    <w:next w:val="943"/>
    <w:uiPriority w:val="99"/>
    <w:unhideWhenUsed/>
    <w:qFormat/>
    <w:pPr>
      <w:ind w:left="1440" w:right="1440"/>
      <w:spacing w:after="120"/>
    </w:pPr>
  </w:style>
  <w:style w:type="paragraph" w:styleId="1015" w:customStyle="1">
    <w:name w:val="标题 11"/>
    <w:basedOn w:val="816"/>
    <w:next w:val="816"/>
    <w:uiPriority w:val="0"/>
    <w:qFormat/>
    <w:pPr>
      <w:jc w:val="center"/>
      <w:keepLines/>
      <w:keepNext/>
      <w:spacing w:line="578" w:lineRule="auto"/>
      <w:outlineLvl w:val="0"/>
    </w:pPr>
    <w:rPr>
      <w:rFonts w:eastAsia="新宋体"/>
      <w:b/>
      <w:bCs/>
      <w:sz w:val="30"/>
      <w:szCs w:val="44"/>
    </w:rPr>
  </w:style>
  <w:style w:type="paragraph" w:styleId="1016" w:customStyle="1">
    <w:name w:val="BodyTextIndent1"/>
    <w:basedOn w:val="816"/>
    <w:next w:val="1012"/>
    <w:uiPriority w:val="0"/>
    <w:qFormat/>
    <w:pPr>
      <w:ind w:left="420"/>
      <w:spacing w:after="120"/>
    </w:pPr>
  </w:style>
  <w:style w:type="paragraph" w:styleId="1017" w:customStyle="1">
    <w:name w:val="正文缩进2"/>
    <w:basedOn w:val="816"/>
    <w:uiPriority w:val="0"/>
    <w:qFormat/>
    <w:pPr>
      <w:ind w:firstLine="420"/>
    </w:pPr>
  </w:style>
  <w:style w:type="paragraph" w:styleId="1018" w:customStyle="1">
    <w:name w:val="BodyTextIndent11"/>
    <w:basedOn w:val="816"/>
    <w:next w:val="1013"/>
    <w:uiPriority w:val="0"/>
    <w:qFormat/>
    <w:pPr>
      <w:ind w:left="420"/>
      <w:spacing w:after="120"/>
    </w:pPr>
  </w:style>
  <w:style w:type="paragraph" w:styleId="1019" w:customStyle="1">
    <w:name w:val="Body text|21"/>
    <w:basedOn w:val="816"/>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1020" w:customStyle="1">
    <w:name w:val="Grid Table 4 - Accent 2"/>
    <w:uiPriority w:val="59"/>
    <w:qFormat/>
    <w:rPr>
      <w:lang w:val="en-US" w:eastAsia="zh-CN" w:bidi="ar-SA"/>
    </w:rPr>
    <w:tblPr/>
  </w:style>
  <w:style w:type="table" w:styleId="1021" w:customStyle="1">
    <w:name w:val="Lined - Accent 3"/>
    <w:uiPriority w:val="99"/>
    <w:qFormat/>
    <w:rPr>
      <w:color w:val="404040"/>
      <w:lang w:val="en-US" w:eastAsia="zh-CN" w:bidi="ar-SA"/>
    </w:rPr>
    <w:tblPr/>
  </w:style>
  <w:style w:type="table" w:styleId="1022" w:customStyle="1">
    <w:name w:val="网格型11"/>
    <w:uiPriority w:val="59"/>
    <w:qFormat/>
    <w:rPr>
      <w:lang w:val="en-US" w:eastAsia="zh-CN" w:bidi="ar-SA"/>
    </w:rPr>
    <w:tblPr/>
  </w:style>
  <w:style w:type="table" w:styleId="1023" w:customStyle="1">
    <w:name w:val="List Table 6 Colorful - Accent 1"/>
    <w:uiPriority w:val="99"/>
    <w:qFormat/>
    <w:rPr>
      <w:lang w:val="en-US" w:eastAsia="zh-CN" w:bidi="ar-SA"/>
    </w:rPr>
    <w:tblPr/>
  </w:style>
  <w:style w:type="table" w:styleId="1024" w:customStyle="1">
    <w:name w:val="Grid Table 2 - Accent 4"/>
    <w:uiPriority w:val="99"/>
    <w:qFormat/>
    <w:rPr>
      <w:lang w:val="en-US" w:eastAsia="zh-CN" w:bidi="ar-SA"/>
    </w:rPr>
    <w:tblPr/>
  </w:style>
  <w:style w:type="table" w:styleId="1025" w:customStyle="1">
    <w:name w:val="List Table 3 - Accent 5"/>
    <w:uiPriority w:val="99"/>
    <w:qFormat/>
    <w:rPr>
      <w:lang w:val="en-US" w:eastAsia="zh-CN" w:bidi="ar-SA"/>
    </w:rPr>
    <w:tblPr/>
  </w:style>
  <w:style w:type="table" w:styleId="1026" w:customStyle="1">
    <w:name w:val="普通表格1"/>
    <w:uiPriority w:val="99"/>
    <w:unhideWhenUsed/>
    <w:qFormat/>
    <w:rPr>
      <w:lang w:val="en-US" w:eastAsia="zh-CN" w:bidi="ar-SA"/>
    </w:rPr>
    <w:tblPr/>
  </w:style>
  <w:style w:type="table" w:styleId="1027" w:customStyle="1">
    <w:name w:val="List Table 3 - Accent 3"/>
    <w:uiPriority w:val="99"/>
    <w:qFormat/>
    <w:rPr>
      <w:lang w:val="en-US" w:eastAsia="zh-CN" w:bidi="ar-SA"/>
    </w:rPr>
    <w:tblPr/>
  </w:style>
  <w:style w:type="table" w:styleId="1028" w:customStyle="1">
    <w:name w:val="List Table 4 - Accent 2"/>
    <w:uiPriority w:val="99"/>
    <w:qFormat/>
    <w:rPr>
      <w:lang w:val="en-US" w:eastAsia="zh-CN" w:bidi="ar-SA"/>
    </w:rPr>
    <w:tblPr/>
  </w:style>
  <w:style w:type="table" w:styleId="1029" w:customStyle="1">
    <w:name w:val="List Table 6 Colorful - Accent 2"/>
    <w:uiPriority w:val="99"/>
    <w:qFormat/>
    <w:rPr>
      <w:lang w:val="en-US" w:eastAsia="zh-CN" w:bidi="ar-SA"/>
    </w:rPr>
    <w:tblPr/>
  </w:style>
  <w:style w:type="table" w:styleId="1030" w:customStyle="1">
    <w:name w:val="List Table 4 - Accent 4"/>
    <w:uiPriority w:val="99"/>
    <w:qFormat/>
    <w:rPr>
      <w:lang w:val="en-US" w:eastAsia="zh-CN" w:bidi="ar-SA"/>
    </w:rPr>
    <w:tblPr/>
  </w:style>
  <w:style w:type="table" w:styleId="1031" w:customStyle="1">
    <w:name w:val="List Table 5 Dark - Accent 3"/>
    <w:uiPriority w:val="99"/>
    <w:qFormat/>
    <w:rPr>
      <w:lang w:val="en-US" w:eastAsia="zh-CN" w:bidi="ar-SA"/>
    </w:rPr>
    <w:tblPr/>
  </w:style>
  <w:style w:type="table" w:styleId="1032" w:customStyle="1">
    <w:name w:val="List Table 2"/>
    <w:uiPriority w:val="99"/>
    <w:qFormat/>
    <w:rPr>
      <w:lang w:val="en-US" w:eastAsia="zh-CN" w:bidi="ar-SA"/>
    </w:rPr>
    <w:tblPr/>
  </w:style>
  <w:style w:type="table" w:styleId="1033" w:customStyle="1">
    <w:name w:val="List Table 5 Dark - Accent 1"/>
    <w:uiPriority w:val="99"/>
    <w:qFormat/>
    <w:rPr>
      <w:lang w:val="en-US" w:eastAsia="zh-CN" w:bidi="ar-SA"/>
    </w:rPr>
    <w:tblPr/>
  </w:style>
  <w:style w:type="table" w:styleId="1034" w:customStyle="1">
    <w:name w:val="Grid Table 7 Colorful - Accent 5"/>
    <w:uiPriority w:val="99"/>
    <w:qFormat/>
    <w:rPr>
      <w:lang w:val="en-US" w:eastAsia="zh-CN" w:bidi="ar-SA"/>
    </w:rPr>
    <w:tblPr/>
  </w:style>
  <w:style w:type="table" w:styleId="1035" w:customStyle="1">
    <w:name w:val="List Table 2 - Accent 5"/>
    <w:uiPriority w:val="99"/>
    <w:qFormat/>
    <w:rPr>
      <w:lang w:val="en-US" w:eastAsia="zh-CN" w:bidi="ar-SA"/>
    </w:rPr>
    <w:tblPr/>
  </w:style>
  <w:style w:type="table" w:styleId="1036" w:customStyle="1">
    <w:name w:val="List Table 5 Dark"/>
    <w:uiPriority w:val="99"/>
    <w:qFormat/>
    <w:rPr>
      <w:lang w:val="en-US" w:eastAsia="zh-CN" w:bidi="ar-SA"/>
    </w:rPr>
    <w:tblPr/>
  </w:style>
  <w:style w:type="table" w:styleId="1037" w:customStyle="1">
    <w:name w:val="List Table 1 Light - Accent 5"/>
    <w:uiPriority w:val="99"/>
    <w:qFormat/>
    <w:rPr>
      <w:lang w:val="en-US" w:eastAsia="zh-CN" w:bidi="ar-SA"/>
    </w:rPr>
    <w:tblPr/>
  </w:style>
  <w:style w:type="table" w:styleId="1038" w:customStyle="1">
    <w:name w:val="Grid Table 7 Colorful - Accent 3"/>
    <w:uiPriority w:val="99"/>
    <w:qFormat/>
    <w:rPr>
      <w:lang w:val="en-US" w:eastAsia="zh-CN" w:bidi="ar-SA"/>
    </w:rPr>
    <w:tblPr/>
  </w:style>
  <w:style w:type="table" w:styleId="1039" w:customStyle="1">
    <w:name w:val="List Table 3 - Accent 6"/>
    <w:uiPriority w:val="99"/>
    <w:qFormat/>
    <w:rPr>
      <w:lang w:val="en-US" w:eastAsia="zh-CN" w:bidi="ar-SA"/>
    </w:rPr>
    <w:tblPr/>
  </w:style>
  <w:style w:type="table" w:styleId="1040" w:customStyle="1">
    <w:name w:val="List Table 5 Dark - Accent 6"/>
    <w:uiPriority w:val="99"/>
    <w:qFormat/>
    <w:rPr>
      <w:lang w:val="en-US" w:eastAsia="zh-CN" w:bidi="ar-SA"/>
    </w:rPr>
    <w:tblPr/>
  </w:style>
  <w:style w:type="table" w:styleId="1041" w:customStyle="1">
    <w:name w:val="List Table 4 - Accent 3"/>
    <w:uiPriority w:val="99"/>
    <w:qFormat/>
    <w:rPr>
      <w:lang w:val="en-US" w:eastAsia="zh-CN" w:bidi="ar-SA"/>
    </w:rPr>
    <w:tblPr/>
  </w:style>
  <w:style w:type="table" w:styleId="1042" w:customStyle="1">
    <w:name w:val="List Table 5 Dark - Accent 2"/>
    <w:uiPriority w:val="99"/>
    <w:qFormat/>
    <w:rPr>
      <w:lang w:val="en-US" w:eastAsia="zh-CN" w:bidi="ar-SA"/>
    </w:rPr>
    <w:tblPr/>
  </w:style>
  <w:style w:type="table" w:styleId="1043" w:customStyle="1">
    <w:name w:val="List Table 2 - Accent 3"/>
    <w:uiPriority w:val="99"/>
    <w:qFormat/>
    <w:rPr>
      <w:lang w:val="en-US" w:eastAsia="zh-CN" w:bidi="ar-SA"/>
    </w:rPr>
    <w:tblPr/>
  </w:style>
  <w:style w:type="table" w:styleId="1044" w:customStyle="1">
    <w:name w:val="Grid Table 7 Colorful"/>
    <w:uiPriority w:val="99"/>
    <w:qFormat/>
    <w:rPr>
      <w:lang w:val="en-US" w:eastAsia="zh-CN" w:bidi="ar-SA"/>
    </w:rPr>
    <w:tblPr/>
  </w:style>
  <w:style w:type="table" w:styleId="1045" w:customStyle="1">
    <w:name w:val="List Table 4 - Accent 5"/>
    <w:uiPriority w:val="99"/>
    <w:qFormat/>
    <w:rPr>
      <w:lang w:val="en-US" w:eastAsia="zh-CN" w:bidi="ar-SA"/>
    </w:rPr>
    <w:tblPr/>
  </w:style>
  <w:style w:type="table" w:styleId="1046" w:customStyle="1">
    <w:name w:val="网格型1"/>
    <w:basedOn w:val="1026"/>
    <w:uiPriority w:val="39"/>
    <w:qFormat/>
    <w:tblPr/>
  </w:style>
  <w:style w:type="table" w:styleId="1047" w:customStyle="1">
    <w:name w:val="List Table 1 Light - Accent 4"/>
    <w:uiPriority w:val="99"/>
    <w:qFormat/>
    <w:rPr>
      <w:lang w:val="en-US" w:eastAsia="zh-CN" w:bidi="ar-SA"/>
    </w:rPr>
    <w:tblPr/>
  </w:style>
  <w:style w:type="table" w:styleId="1048" w:customStyle="1">
    <w:name w:val="List Table 6 Colorful - Accent 3"/>
    <w:uiPriority w:val="99"/>
    <w:qFormat/>
    <w:rPr>
      <w:lang w:val="en-US" w:eastAsia="zh-CN" w:bidi="ar-SA"/>
    </w:rPr>
    <w:tblPr/>
  </w:style>
  <w:style w:type="table" w:styleId="1049" w:customStyle="1">
    <w:name w:val="List Table 3 - Accent 2"/>
    <w:uiPriority w:val="99"/>
    <w:qFormat/>
    <w:rPr>
      <w:lang w:val="en-US" w:eastAsia="zh-CN" w:bidi="ar-SA"/>
    </w:rPr>
    <w:tblPr/>
  </w:style>
  <w:style w:type="table" w:styleId="1050" w:customStyle="1">
    <w:name w:val="List Table 1 Light"/>
    <w:uiPriority w:val="99"/>
    <w:qFormat/>
    <w:rPr>
      <w:lang w:val="en-US" w:eastAsia="zh-CN" w:bidi="ar-SA"/>
    </w:rPr>
    <w:tblPr/>
  </w:style>
  <w:style w:type="table" w:styleId="1051" w:customStyle="1">
    <w:name w:val="List Table 6 Colorful"/>
    <w:uiPriority w:val="99"/>
    <w:qFormat/>
    <w:rPr>
      <w:lang w:val="en-US" w:eastAsia="zh-CN" w:bidi="ar-SA"/>
    </w:rPr>
    <w:tblPr/>
  </w:style>
  <w:style w:type="table" w:styleId="1052" w:customStyle="1">
    <w:name w:val="Grid Table 7 Colorful - Accent 2"/>
    <w:uiPriority w:val="99"/>
    <w:qFormat/>
    <w:rPr>
      <w:lang w:val="en-US" w:eastAsia="zh-CN" w:bidi="ar-SA"/>
    </w:rPr>
    <w:tblPr/>
  </w:style>
  <w:style w:type="table" w:styleId="1053" w:customStyle="1">
    <w:name w:val="List Table 2 - Accent 4"/>
    <w:uiPriority w:val="99"/>
    <w:qFormat/>
    <w:rPr>
      <w:lang w:val="en-US" w:eastAsia="zh-CN" w:bidi="ar-SA"/>
    </w:rPr>
    <w:tblPr/>
  </w:style>
  <w:style w:type="table" w:styleId="1054" w:customStyle="1">
    <w:name w:val="Grid Table 6 Colorful - Accent 1"/>
    <w:uiPriority w:val="99"/>
    <w:qFormat/>
    <w:rPr>
      <w:lang w:val="en-US" w:eastAsia="zh-CN" w:bidi="ar-SA"/>
    </w:rPr>
    <w:tblPr/>
  </w:style>
  <w:style w:type="table" w:styleId="1055" w:customStyle="1">
    <w:name w:val="Grid Table 3 - Accent 2"/>
    <w:uiPriority w:val="99"/>
    <w:qFormat/>
    <w:rPr>
      <w:lang w:val="en-US" w:eastAsia="zh-CN" w:bidi="ar-SA"/>
    </w:rPr>
    <w:tblPr/>
  </w:style>
  <w:style w:type="table" w:styleId="1056" w:customStyle="1">
    <w:name w:val="Grid Table 5 Dark- Accent 4"/>
    <w:uiPriority w:val="99"/>
    <w:qFormat/>
    <w:rPr>
      <w:lang w:val="en-US" w:eastAsia="zh-CN" w:bidi="ar-SA"/>
    </w:rPr>
    <w:tblPr/>
  </w:style>
  <w:style w:type="table" w:styleId="1057" w:customStyle="1">
    <w:name w:val="List Table 7 Colorful - Accent 2"/>
    <w:uiPriority w:val="99"/>
    <w:qFormat/>
    <w:rPr>
      <w:lang w:val="en-US" w:eastAsia="zh-CN" w:bidi="ar-SA"/>
    </w:rPr>
    <w:tblPr/>
  </w:style>
  <w:style w:type="table" w:styleId="1058" w:customStyle="1">
    <w:name w:val="Grid Table 6 Colorful - Accent 4"/>
    <w:uiPriority w:val="99"/>
    <w:qFormat/>
    <w:rPr>
      <w:lang w:val="en-US" w:eastAsia="zh-CN" w:bidi="ar-SA"/>
    </w:rPr>
    <w:tblPr/>
  </w:style>
  <w:style w:type="table" w:styleId="1059" w:customStyle="1">
    <w:name w:val="List Table 3"/>
    <w:uiPriority w:val="99"/>
    <w:qFormat/>
    <w:rPr>
      <w:lang w:val="en-US" w:eastAsia="zh-CN" w:bidi="ar-SA"/>
    </w:rPr>
    <w:tblPr/>
  </w:style>
  <w:style w:type="table" w:styleId="1060" w:customStyle="1">
    <w:name w:val="Grid Table 2 - Accent 5"/>
    <w:uiPriority w:val="99"/>
    <w:qFormat/>
    <w:rPr>
      <w:lang w:val="en-US" w:eastAsia="zh-CN" w:bidi="ar-SA"/>
    </w:rPr>
    <w:tblPr/>
  </w:style>
  <w:style w:type="table" w:styleId="1061" w:customStyle="1">
    <w:name w:val="Grid Table 5 Dark - Accent 3"/>
    <w:uiPriority w:val="99"/>
    <w:qFormat/>
    <w:rPr>
      <w:lang w:val="en-US" w:eastAsia="zh-CN" w:bidi="ar-SA"/>
    </w:rPr>
    <w:tblPr/>
  </w:style>
  <w:style w:type="table" w:styleId="1062" w:customStyle="1">
    <w:name w:val="Grid Table 2"/>
    <w:uiPriority w:val="99"/>
    <w:qFormat/>
    <w:rPr>
      <w:lang w:val="en-US" w:eastAsia="zh-CN" w:bidi="ar-SA"/>
    </w:rPr>
    <w:tblPr/>
  </w:style>
  <w:style w:type="table" w:styleId="1063" w:customStyle="1">
    <w:name w:val="Lined - Accent 5"/>
    <w:uiPriority w:val="99"/>
    <w:qFormat/>
    <w:rPr>
      <w:color w:val="404040"/>
      <w:lang w:val="en-US" w:eastAsia="zh-CN" w:bidi="ar-SA"/>
    </w:rPr>
    <w:tblPr/>
  </w:style>
  <w:style w:type="table" w:styleId="1064" w:customStyle="1">
    <w:name w:val="Lined - Accent 4"/>
    <w:uiPriority w:val="99"/>
    <w:qFormat/>
    <w:rPr>
      <w:color w:val="404040"/>
      <w:lang w:val="en-US" w:eastAsia="zh-CN" w:bidi="ar-SA"/>
    </w:rPr>
    <w:tblPr/>
  </w:style>
  <w:style w:type="table" w:styleId="1065" w:customStyle="1">
    <w:name w:val="Plain Table 2"/>
    <w:uiPriority w:val="59"/>
    <w:qFormat/>
    <w:rPr>
      <w:lang w:val="en-US" w:eastAsia="zh-CN" w:bidi="ar-SA"/>
    </w:rPr>
    <w:tblPr/>
  </w:style>
  <w:style w:type="table" w:styleId="1066" w:customStyle="1">
    <w:name w:val="Bordered - Accent 6"/>
    <w:uiPriority w:val="99"/>
    <w:qFormat/>
    <w:rPr>
      <w:lang w:val="en-US" w:eastAsia="zh-CN" w:bidi="ar-SA"/>
    </w:rPr>
    <w:tblPr/>
  </w:style>
  <w:style w:type="table" w:styleId="1067" w:customStyle="1">
    <w:name w:val="Grid Table 3 - Accent 3"/>
    <w:uiPriority w:val="99"/>
    <w:qFormat/>
    <w:rPr>
      <w:lang w:val="en-US" w:eastAsia="zh-CN" w:bidi="ar-SA"/>
    </w:rPr>
    <w:tblPr/>
  </w:style>
  <w:style w:type="table" w:styleId="1068" w:customStyle="1">
    <w:name w:val="Table Grid Light"/>
    <w:uiPriority w:val="59"/>
    <w:qFormat/>
    <w:rPr>
      <w:lang w:val="en-US" w:eastAsia="zh-CN" w:bidi="ar-SA"/>
    </w:rPr>
    <w:tblPr/>
  </w:style>
  <w:style w:type="table" w:styleId="1069" w:customStyle="1">
    <w:name w:val="List Table 3 - Accent 4"/>
    <w:uiPriority w:val="99"/>
    <w:qFormat/>
    <w:rPr>
      <w:lang w:val="en-US" w:eastAsia="zh-CN" w:bidi="ar-SA"/>
    </w:rPr>
    <w:tblPr/>
  </w:style>
  <w:style w:type="table" w:styleId="1070" w:customStyle="1">
    <w:name w:val="List Table 7 Colorful - Accent 1"/>
    <w:uiPriority w:val="99"/>
    <w:qFormat/>
    <w:rPr>
      <w:lang w:val="en-US" w:eastAsia="zh-CN" w:bidi="ar-SA"/>
    </w:rPr>
    <w:tblPr/>
  </w:style>
  <w:style w:type="table" w:styleId="1071" w:customStyle="1">
    <w:name w:val="Grid Table 1 Light - Accent 1"/>
    <w:uiPriority w:val="99"/>
    <w:qFormat/>
    <w:rPr>
      <w:lang w:val="en-US" w:eastAsia="zh-CN" w:bidi="ar-SA"/>
    </w:rPr>
    <w:tblPr/>
  </w:style>
  <w:style w:type="table" w:styleId="1072" w:customStyle="1">
    <w:name w:val="Lined - Accent 1"/>
    <w:uiPriority w:val="99"/>
    <w:qFormat/>
    <w:rPr>
      <w:color w:val="404040"/>
      <w:lang w:val="en-US" w:eastAsia="zh-CN" w:bidi="ar-SA"/>
    </w:rPr>
    <w:tblPr/>
  </w:style>
  <w:style w:type="table" w:styleId="1073" w:customStyle="1">
    <w:name w:val="Grid Table 3 - Accent 6"/>
    <w:uiPriority w:val="99"/>
    <w:qFormat/>
    <w:rPr>
      <w:lang w:val="en-US" w:eastAsia="zh-CN" w:bidi="ar-SA"/>
    </w:rPr>
    <w:tblPr/>
  </w:style>
  <w:style w:type="table" w:styleId="1074" w:customStyle="1">
    <w:name w:val="Plain Table 3"/>
    <w:uiPriority w:val="99"/>
    <w:qFormat/>
    <w:rPr>
      <w:lang w:val="en-US" w:eastAsia="zh-CN" w:bidi="ar-SA"/>
    </w:rPr>
    <w:tblPr/>
  </w:style>
  <w:style w:type="table" w:styleId="1075" w:customStyle="1">
    <w:name w:val="Grid Table 4 - Accent 4"/>
    <w:uiPriority w:val="59"/>
    <w:qFormat/>
    <w:rPr>
      <w:lang w:val="en-US" w:eastAsia="zh-CN" w:bidi="ar-SA"/>
    </w:rPr>
    <w:tblPr/>
  </w:style>
  <w:style w:type="table" w:styleId="1076" w:customStyle="1">
    <w:name w:val="Grid Table 3 - Accent 5"/>
    <w:uiPriority w:val="99"/>
    <w:qFormat/>
    <w:rPr>
      <w:lang w:val="en-US" w:eastAsia="zh-CN" w:bidi="ar-SA"/>
    </w:rPr>
    <w:tblPr/>
  </w:style>
  <w:style w:type="table" w:styleId="1077" w:customStyle="1">
    <w:name w:val="Plain Table 1"/>
    <w:uiPriority w:val="59"/>
    <w:qFormat/>
    <w:rPr>
      <w:lang w:val="en-US" w:eastAsia="zh-CN" w:bidi="ar-SA"/>
    </w:rPr>
    <w:tblPr/>
  </w:style>
  <w:style w:type="table" w:styleId="1078" w:customStyle="1">
    <w:name w:val="Bordered - Accent 5"/>
    <w:uiPriority w:val="99"/>
    <w:qFormat/>
    <w:rPr>
      <w:lang w:val="en-US" w:eastAsia="zh-CN" w:bidi="ar-SA"/>
    </w:rPr>
    <w:tblPr/>
  </w:style>
  <w:style w:type="table" w:styleId="1079" w:customStyle="1">
    <w:name w:val="Grid Table 1 Light"/>
    <w:uiPriority w:val="99"/>
    <w:qFormat/>
    <w:rPr>
      <w:lang w:val="en-US" w:eastAsia="zh-CN" w:bidi="ar-SA"/>
    </w:rPr>
    <w:tblPr/>
  </w:style>
  <w:style w:type="table" w:styleId="1080" w:customStyle="1">
    <w:name w:val="Grid Table 6 Colorful - Accent 2"/>
    <w:uiPriority w:val="99"/>
    <w:qFormat/>
    <w:rPr>
      <w:lang w:val="en-US" w:eastAsia="zh-CN" w:bidi="ar-SA"/>
    </w:rPr>
    <w:tblPr/>
  </w:style>
  <w:style w:type="table" w:styleId="1081" w:customStyle="1">
    <w:name w:val="Grid Table 1 Light - Accent 4"/>
    <w:uiPriority w:val="99"/>
    <w:qFormat/>
    <w:rPr>
      <w:lang w:val="en-US" w:eastAsia="zh-CN" w:bidi="ar-SA"/>
    </w:rPr>
    <w:tblPr/>
  </w:style>
  <w:style w:type="table" w:styleId="1082" w:customStyle="1">
    <w:name w:val="Plain Table 4"/>
    <w:uiPriority w:val="99"/>
    <w:qFormat/>
    <w:rPr>
      <w:lang w:val="en-US" w:eastAsia="zh-CN" w:bidi="ar-SA"/>
    </w:rPr>
    <w:tblPr/>
  </w:style>
  <w:style w:type="table" w:styleId="1083" w:customStyle="1">
    <w:name w:val="Grid Table 4 - Accent 6"/>
    <w:uiPriority w:val="59"/>
    <w:qFormat/>
    <w:rPr>
      <w:lang w:val="en-US" w:eastAsia="zh-CN" w:bidi="ar-SA"/>
    </w:rPr>
    <w:tblPr/>
  </w:style>
  <w:style w:type="table" w:styleId="1084" w:customStyle="1">
    <w:name w:val="Grid Table 1 Light - Accent 3"/>
    <w:uiPriority w:val="99"/>
    <w:qFormat/>
    <w:rPr>
      <w:lang w:val="en-US" w:eastAsia="zh-CN" w:bidi="ar-SA"/>
    </w:rPr>
    <w:tblPr/>
  </w:style>
  <w:style w:type="table" w:styleId="1085" w:customStyle="1">
    <w:name w:val="Grid Table 1 Light - Accent 2"/>
    <w:uiPriority w:val="99"/>
    <w:qFormat/>
    <w:rPr>
      <w:lang w:val="en-US" w:eastAsia="zh-CN" w:bidi="ar-SA"/>
    </w:rPr>
    <w:tblPr/>
  </w:style>
  <w:style w:type="table" w:styleId="1086" w:customStyle="1">
    <w:name w:val="Grid Table 5 Dark- Accent 1"/>
    <w:uiPriority w:val="99"/>
    <w:qFormat/>
    <w:rPr>
      <w:lang w:val="en-US" w:eastAsia="zh-CN" w:bidi="ar-SA"/>
    </w:rPr>
    <w:tblPr/>
  </w:style>
  <w:style w:type="table" w:styleId="1087" w:customStyle="1">
    <w:name w:val="Grid Table 3 - Accent 1"/>
    <w:uiPriority w:val="99"/>
    <w:qFormat/>
    <w:rPr>
      <w:lang w:val="en-US" w:eastAsia="zh-CN" w:bidi="ar-SA"/>
    </w:rPr>
    <w:tblPr/>
  </w:style>
  <w:style w:type="table" w:styleId="1088" w:customStyle="1">
    <w:name w:val="Plain Table 5"/>
    <w:uiPriority w:val="99"/>
    <w:qFormat/>
    <w:rPr>
      <w:lang w:val="en-US" w:eastAsia="zh-CN" w:bidi="ar-SA"/>
    </w:rPr>
    <w:tblPr/>
  </w:style>
  <w:style w:type="table" w:styleId="1089" w:customStyle="1">
    <w:name w:val="Grid Table 4 - Accent 5"/>
    <w:uiPriority w:val="59"/>
    <w:qFormat/>
    <w:rPr>
      <w:lang w:val="en-US" w:eastAsia="zh-CN" w:bidi="ar-SA"/>
    </w:rPr>
    <w:tblPr/>
  </w:style>
  <w:style w:type="table" w:styleId="1090" w:customStyle="1">
    <w:name w:val="Grid Table 1 Light - Accent 5"/>
    <w:uiPriority w:val="99"/>
    <w:qFormat/>
    <w:rPr>
      <w:lang w:val="en-US" w:eastAsia="zh-CN" w:bidi="ar-SA"/>
    </w:rPr>
    <w:tblPr/>
  </w:style>
  <w:style w:type="table" w:styleId="1091" w:customStyle="1">
    <w:name w:val="List Table 7 Colorful - Accent 5"/>
    <w:uiPriority w:val="99"/>
    <w:qFormat/>
    <w:rPr>
      <w:lang w:val="en-US" w:eastAsia="zh-CN" w:bidi="ar-SA"/>
    </w:rPr>
    <w:tblPr/>
  </w:style>
  <w:style w:type="table" w:styleId="1092" w:customStyle="1">
    <w:name w:val="Grid Table 1 Light - Accent 6"/>
    <w:uiPriority w:val="99"/>
    <w:qFormat/>
    <w:rPr>
      <w:lang w:val="en-US" w:eastAsia="zh-CN" w:bidi="ar-SA"/>
    </w:rPr>
    <w:tblPr/>
  </w:style>
  <w:style w:type="table" w:styleId="1093" w:customStyle="1">
    <w:name w:val="Bordered &amp; Lined - Accent 5"/>
    <w:uiPriority w:val="99"/>
    <w:qFormat/>
    <w:rPr>
      <w:color w:val="404040"/>
      <w:lang w:val="en-US" w:eastAsia="zh-CN" w:bidi="ar-SA"/>
    </w:rPr>
    <w:tblPr/>
  </w:style>
  <w:style w:type="table" w:styleId="1094" w:customStyle="1">
    <w:name w:val="Lined - Accent"/>
    <w:uiPriority w:val="99"/>
    <w:qFormat/>
    <w:rPr>
      <w:color w:val="404040"/>
      <w:lang w:val="en-US" w:eastAsia="zh-CN" w:bidi="ar-SA"/>
    </w:rPr>
    <w:tblPr/>
  </w:style>
  <w:style w:type="table" w:styleId="1095" w:customStyle="1">
    <w:name w:val="Bordered &amp; Lined - Accent 4"/>
    <w:uiPriority w:val="99"/>
    <w:qFormat/>
    <w:rPr>
      <w:color w:val="404040"/>
      <w:lang w:val="en-US" w:eastAsia="zh-CN" w:bidi="ar-SA"/>
    </w:rPr>
    <w:tblPr/>
  </w:style>
  <w:style w:type="table" w:styleId="1096" w:customStyle="1">
    <w:name w:val="Grid Table 2 - Accent 1"/>
    <w:uiPriority w:val="99"/>
    <w:qFormat/>
    <w:rPr>
      <w:lang w:val="en-US" w:eastAsia="zh-CN" w:bidi="ar-SA"/>
    </w:rPr>
    <w:tblPr/>
  </w:style>
  <w:style w:type="table" w:styleId="1097" w:customStyle="1">
    <w:name w:val="List Table 5 Dark - Accent 5"/>
    <w:uiPriority w:val="99"/>
    <w:qFormat/>
    <w:rPr>
      <w:lang w:val="en-US" w:eastAsia="zh-CN" w:bidi="ar-SA"/>
    </w:rPr>
    <w:tblPr/>
  </w:style>
  <w:style w:type="table" w:styleId="1098" w:customStyle="1">
    <w:name w:val="List Table 7 Colorful - Accent 3"/>
    <w:uiPriority w:val="99"/>
    <w:qFormat/>
    <w:rPr>
      <w:lang w:val="en-US" w:eastAsia="zh-CN" w:bidi="ar-SA"/>
    </w:rPr>
    <w:tblPr/>
  </w:style>
  <w:style w:type="table" w:styleId="1099" w:customStyle="1">
    <w:name w:val="Bordered &amp; Lined - Accent 2"/>
    <w:uiPriority w:val="99"/>
    <w:qFormat/>
    <w:rPr>
      <w:color w:val="404040"/>
      <w:lang w:val="en-US" w:eastAsia="zh-CN" w:bidi="ar-SA"/>
    </w:rPr>
    <w:tblPr/>
  </w:style>
  <w:style w:type="table" w:styleId="1100" w:customStyle="1">
    <w:name w:val="Bordered &amp; Lined - Accent 6"/>
    <w:uiPriority w:val="99"/>
    <w:qFormat/>
    <w:rPr>
      <w:color w:val="404040"/>
      <w:lang w:val="en-US" w:eastAsia="zh-CN" w:bidi="ar-SA"/>
    </w:rPr>
    <w:tblPr/>
  </w:style>
  <w:style w:type="table" w:styleId="1101" w:customStyle="1">
    <w:name w:val="Grid Table 2 - Accent 2"/>
    <w:uiPriority w:val="99"/>
    <w:qFormat/>
    <w:rPr>
      <w:lang w:val="en-US" w:eastAsia="zh-CN" w:bidi="ar-SA"/>
    </w:rPr>
    <w:tblPr/>
  </w:style>
  <w:style w:type="table" w:styleId="1102" w:customStyle="1">
    <w:name w:val="Grid Table 6 Colorful - Accent 3"/>
    <w:uiPriority w:val="99"/>
    <w:qFormat/>
    <w:rPr>
      <w:lang w:val="en-US" w:eastAsia="zh-CN" w:bidi="ar-SA"/>
    </w:rPr>
    <w:tblPr/>
  </w:style>
  <w:style w:type="table" w:styleId="1103" w:customStyle="1">
    <w:name w:val="Grid Table 5 Dark - Accent 6"/>
    <w:uiPriority w:val="99"/>
    <w:qFormat/>
    <w:rPr>
      <w:lang w:val="en-US" w:eastAsia="zh-CN" w:bidi="ar-SA"/>
    </w:rPr>
    <w:tblPr/>
  </w:style>
  <w:style w:type="table" w:styleId="1104" w:customStyle="1">
    <w:name w:val="Grid Table 2 - Accent 3"/>
    <w:uiPriority w:val="99"/>
    <w:qFormat/>
    <w:rPr>
      <w:lang w:val="en-US" w:eastAsia="zh-CN" w:bidi="ar-SA"/>
    </w:rPr>
    <w:tblPr/>
  </w:style>
  <w:style w:type="table" w:styleId="1105" w:customStyle="1">
    <w:name w:val="Grid Table 5 Dark - Accent 2"/>
    <w:uiPriority w:val="99"/>
    <w:qFormat/>
    <w:rPr>
      <w:lang w:val="en-US" w:eastAsia="zh-CN" w:bidi="ar-SA"/>
    </w:rPr>
    <w:tblPr/>
  </w:style>
  <w:style w:type="table" w:styleId="1106" w:customStyle="1">
    <w:name w:val="Bordered &amp; Lined - Accent 3"/>
    <w:uiPriority w:val="99"/>
    <w:qFormat/>
    <w:rPr>
      <w:color w:val="404040"/>
      <w:lang w:val="en-US" w:eastAsia="zh-CN" w:bidi="ar-SA"/>
    </w:rPr>
    <w:tblPr/>
  </w:style>
  <w:style w:type="table" w:styleId="1107" w:customStyle="1">
    <w:name w:val="Grid Table 5 Dark - Accent 5"/>
    <w:uiPriority w:val="99"/>
    <w:qFormat/>
    <w:rPr>
      <w:lang w:val="en-US" w:eastAsia="zh-CN" w:bidi="ar-SA"/>
    </w:rPr>
    <w:tblPr/>
  </w:style>
  <w:style w:type="table" w:styleId="1108" w:customStyle="1">
    <w:name w:val="Grid Table 2 - Accent 6"/>
    <w:uiPriority w:val="99"/>
    <w:qFormat/>
    <w:rPr>
      <w:lang w:val="en-US" w:eastAsia="zh-CN" w:bidi="ar-SA"/>
    </w:rPr>
    <w:tblPr/>
  </w:style>
  <w:style w:type="table" w:styleId="1109" w:customStyle="1">
    <w:name w:val="Bordered &amp; Lined - Accent 1"/>
    <w:uiPriority w:val="99"/>
    <w:qFormat/>
    <w:rPr>
      <w:color w:val="404040"/>
      <w:lang w:val="en-US" w:eastAsia="zh-CN" w:bidi="ar-SA"/>
    </w:rPr>
    <w:tblPr/>
  </w:style>
  <w:style w:type="table" w:styleId="1110" w:customStyle="1">
    <w:name w:val="Bordered - Accent 3"/>
    <w:uiPriority w:val="99"/>
    <w:qFormat/>
    <w:rPr>
      <w:lang w:val="en-US" w:eastAsia="zh-CN" w:bidi="ar-SA"/>
    </w:rPr>
    <w:tblPr/>
  </w:style>
  <w:style w:type="table" w:styleId="1111" w:customStyle="1">
    <w:name w:val="Grid Table 4"/>
    <w:uiPriority w:val="59"/>
    <w:qFormat/>
    <w:rPr>
      <w:lang w:val="en-US" w:eastAsia="zh-CN" w:bidi="ar-SA"/>
    </w:rPr>
    <w:tblPr/>
  </w:style>
  <w:style w:type="table" w:styleId="1112" w:customStyle="1">
    <w:name w:val="Grid Table 3"/>
    <w:uiPriority w:val="99"/>
    <w:qFormat/>
    <w:rPr>
      <w:lang w:val="en-US" w:eastAsia="zh-CN" w:bidi="ar-SA"/>
    </w:rPr>
    <w:tblPr/>
  </w:style>
  <w:style w:type="table" w:styleId="1113" w:customStyle="1">
    <w:name w:val="Bordered &amp; Lined - Accent"/>
    <w:uiPriority w:val="99"/>
    <w:qFormat/>
    <w:rPr>
      <w:color w:val="404040"/>
      <w:lang w:val="en-US" w:eastAsia="zh-CN" w:bidi="ar-SA"/>
    </w:rPr>
    <w:tblPr/>
  </w:style>
  <w:style w:type="table" w:styleId="1114" w:customStyle="1">
    <w:name w:val="List Table 7 Colorful"/>
    <w:uiPriority w:val="99"/>
    <w:qFormat/>
    <w:rPr>
      <w:lang w:val="en-US" w:eastAsia="zh-CN" w:bidi="ar-SA"/>
    </w:rPr>
    <w:tblPr/>
  </w:style>
  <w:style w:type="table" w:styleId="1115" w:customStyle="1">
    <w:name w:val="Grid Table 6 Colorful"/>
    <w:uiPriority w:val="99"/>
    <w:qFormat/>
    <w:rPr>
      <w:lang w:val="en-US" w:eastAsia="zh-CN" w:bidi="ar-SA"/>
    </w:rPr>
    <w:tblPr/>
  </w:style>
  <w:style w:type="table" w:styleId="1116" w:customStyle="1">
    <w:name w:val="List Table 7 Colorful - Accent 6"/>
    <w:uiPriority w:val="99"/>
    <w:qFormat/>
    <w:rPr>
      <w:lang w:val="en-US" w:eastAsia="zh-CN" w:bidi="ar-SA"/>
    </w:rPr>
    <w:tblPr/>
  </w:style>
  <w:style w:type="table" w:styleId="1117" w:customStyle="1">
    <w:name w:val="Grid Table 4 - Accent 1"/>
    <w:uiPriority w:val="59"/>
    <w:qFormat/>
    <w:rPr>
      <w:lang w:val="en-US" w:eastAsia="zh-CN" w:bidi="ar-SA"/>
    </w:rPr>
    <w:tblPr/>
  </w:style>
  <w:style w:type="table" w:styleId="1118" w:customStyle="1">
    <w:name w:val="Bordered - Accent 1"/>
    <w:uiPriority w:val="99"/>
    <w:qFormat/>
    <w:rPr>
      <w:lang w:val="en-US" w:eastAsia="zh-CN" w:bidi="ar-SA"/>
    </w:rPr>
    <w:tblPr/>
  </w:style>
  <w:style w:type="table" w:styleId="1119" w:customStyle="1">
    <w:name w:val="Grid Table 5 Dark"/>
    <w:uiPriority w:val="99"/>
    <w:qFormat/>
    <w:rPr>
      <w:lang w:val="en-US" w:eastAsia="zh-CN" w:bidi="ar-SA"/>
    </w:rPr>
    <w:tblPr/>
  </w:style>
  <w:style w:type="table" w:styleId="1120" w:customStyle="1">
    <w:name w:val="Bordered - Accent 4"/>
    <w:uiPriority w:val="99"/>
    <w:qFormat/>
    <w:rPr>
      <w:lang w:val="en-US" w:eastAsia="zh-CN" w:bidi="ar-SA"/>
    </w:rPr>
    <w:tblPr/>
  </w:style>
  <w:style w:type="table" w:styleId="1121" w:customStyle="1">
    <w:name w:val="Grid Table 4 - Accent 3"/>
    <w:uiPriority w:val="59"/>
    <w:qFormat/>
    <w:rPr>
      <w:lang w:val="en-US" w:eastAsia="zh-CN" w:bidi="ar-SA"/>
    </w:rPr>
    <w:tblPr/>
  </w:style>
  <w:style w:type="table" w:styleId="1122" w:customStyle="1">
    <w:name w:val="Grid Table 3 - Accent 4"/>
    <w:uiPriority w:val="99"/>
    <w:qFormat/>
    <w:rPr>
      <w:lang w:val="en-US" w:eastAsia="zh-CN" w:bidi="ar-SA"/>
    </w:rPr>
    <w:tblPr/>
  </w:style>
  <w:style w:type="table" w:styleId="1123" w:customStyle="1">
    <w:name w:val="List Table 4 - Accent 6"/>
    <w:uiPriority w:val="99"/>
    <w:qFormat/>
    <w:rPr>
      <w:lang w:val="en-US" w:eastAsia="zh-CN" w:bidi="ar-SA"/>
    </w:rPr>
    <w:tblPr/>
  </w:style>
  <w:style w:type="table" w:styleId="1124" w:customStyle="1">
    <w:name w:val="Lined - Accent 2"/>
    <w:uiPriority w:val="99"/>
    <w:qFormat/>
    <w:rPr>
      <w:color w:val="404040"/>
      <w:lang w:val="en-US" w:eastAsia="zh-CN" w:bidi="ar-SA"/>
    </w:rPr>
    <w:tblPr/>
  </w:style>
  <w:style w:type="table" w:styleId="1125" w:customStyle="1">
    <w:name w:val="Grid Table 6 Colorful - Accent 5"/>
    <w:uiPriority w:val="99"/>
    <w:qFormat/>
    <w:rPr>
      <w:lang w:val="en-US" w:eastAsia="zh-CN" w:bidi="ar-SA"/>
    </w:rPr>
    <w:tblPr/>
  </w:style>
  <w:style w:type="table" w:styleId="1126" w:customStyle="1">
    <w:name w:val="List Table 5 Dark - Accent 4"/>
    <w:uiPriority w:val="99"/>
    <w:qFormat/>
    <w:rPr>
      <w:lang w:val="en-US" w:eastAsia="zh-CN" w:bidi="ar-SA"/>
    </w:rPr>
    <w:tblPr/>
  </w:style>
  <w:style w:type="table" w:styleId="1127" w:customStyle="1">
    <w:name w:val="Grid Table 6 Colorful - Accent 6"/>
    <w:uiPriority w:val="99"/>
    <w:qFormat/>
    <w:rPr>
      <w:lang w:val="en-US" w:eastAsia="zh-CN" w:bidi="ar-SA"/>
    </w:rPr>
    <w:tblPr/>
  </w:style>
  <w:style w:type="table" w:styleId="1128" w:customStyle="1">
    <w:name w:val="Bordered"/>
    <w:uiPriority w:val="99"/>
    <w:qFormat/>
    <w:rPr>
      <w:lang w:val="en-US" w:eastAsia="zh-CN" w:bidi="ar-SA"/>
    </w:rPr>
    <w:tblPr/>
  </w:style>
  <w:style w:type="table" w:styleId="1129" w:customStyle="1">
    <w:name w:val="Grid Table 7 Colorful - Accent 1"/>
    <w:uiPriority w:val="99"/>
    <w:qFormat/>
    <w:rPr>
      <w:lang w:val="en-US" w:eastAsia="zh-CN" w:bidi="ar-SA"/>
    </w:rPr>
    <w:tblPr/>
  </w:style>
  <w:style w:type="table" w:styleId="1130" w:customStyle="1">
    <w:name w:val="Bordered - Accent 2"/>
    <w:uiPriority w:val="99"/>
    <w:qFormat/>
    <w:rPr>
      <w:lang w:val="en-US" w:eastAsia="zh-CN" w:bidi="ar-SA"/>
    </w:rPr>
    <w:tblPr/>
  </w:style>
  <w:style w:type="table" w:styleId="1131" w:customStyle="1">
    <w:name w:val="List Table 6 Colorful - Accent 6"/>
    <w:uiPriority w:val="99"/>
    <w:qFormat/>
    <w:rPr>
      <w:lang w:val="en-US" w:eastAsia="zh-CN" w:bidi="ar-SA"/>
    </w:rPr>
    <w:tblPr/>
  </w:style>
  <w:style w:type="table" w:styleId="1132" w:customStyle="1">
    <w:name w:val="List Table 4"/>
    <w:uiPriority w:val="99"/>
    <w:qFormat/>
    <w:rPr>
      <w:lang w:val="en-US" w:eastAsia="zh-CN" w:bidi="ar-SA"/>
    </w:rPr>
    <w:tblPr/>
  </w:style>
  <w:style w:type="table" w:styleId="1133" w:customStyle="1">
    <w:name w:val="List Table 6 Colorful - Accent 5"/>
    <w:uiPriority w:val="99"/>
    <w:qFormat/>
    <w:rPr>
      <w:lang w:val="en-US" w:eastAsia="zh-CN" w:bidi="ar-SA"/>
    </w:rPr>
    <w:tblPr/>
  </w:style>
  <w:style w:type="table" w:styleId="1134" w:customStyle="1">
    <w:name w:val="List Table 2 - Accent 2"/>
    <w:uiPriority w:val="99"/>
    <w:qFormat/>
    <w:rPr>
      <w:lang w:val="en-US" w:eastAsia="zh-CN" w:bidi="ar-SA"/>
    </w:rPr>
    <w:tblPr/>
  </w:style>
  <w:style w:type="table" w:styleId="1135" w:customStyle="1">
    <w:name w:val="Grid Table 7 Colorful - Accent 4"/>
    <w:uiPriority w:val="99"/>
    <w:qFormat/>
    <w:rPr>
      <w:lang w:val="en-US" w:eastAsia="zh-CN" w:bidi="ar-SA"/>
    </w:rPr>
    <w:tblPr/>
  </w:style>
  <w:style w:type="table" w:styleId="1136" w:customStyle="1">
    <w:name w:val="List Table 1 Light - Accent 6"/>
    <w:uiPriority w:val="99"/>
    <w:qFormat/>
    <w:rPr>
      <w:lang w:val="en-US" w:eastAsia="zh-CN" w:bidi="ar-SA"/>
    </w:rPr>
    <w:tblPr/>
  </w:style>
  <w:style w:type="table" w:styleId="1137" w:customStyle="1">
    <w:name w:val="List Table 3 - Accent 1"/>
    <w:uiPriority w:val="99"/>
    <w:qFormat/>
    <w:rPr>
      <w:lang w:val="en-US" w:eastAsia="zh-CN" w:bidi="ar-SA"/>
    </w:rPr>
    <w:tblPr/>
  </w:style>
  <w:style w:type="table" w:styleId="1138" w:customStyle="1">
    <w:name w:val="List Table 2 - Accent 1"/>
    <w:uiPriority w:val="99"/>
    <w:qFormat/>
    <w:rPr>
      <w:lang w:val="en-US" w:eastAsia="zh-CN" w:bidi="ar-SA"/>
    </w:rPr>
    <w:tblPr/>
  </w:style>
  <w:style w:type="table" w:styleId="1139" w:customStyle="1">
    <w:name w:val="Grid Table 7 Colorful - Accent 6"/>
    <w:uiPriority w:val="99"/>
    <w:qFormat/>
    <w:rPr>
      <w:lang w:val="en-US" w:eastAsia="zh-CN" w:bidi="ar-SA"/>
    </w:rPr>
    <w:tblPr/>
  </w:style>
  <w:style w:type="table" w:styleId="1140" w:customStyle="1">
    <w:name w:val="List Table 2 - Accent 6"/>
    <w:uiPriority w:val="99"/>
    <w:qFormat/>
    <w:rPr>
      <w:lang w:val="en-US" w:eastAsia="zh-CN" w:bidi="ar-SA"/>
    </w:rPr>
    <w:tblPr/>
  </w:style>
  <w:style w:type="table" w:styleId="1141" w:customStyle="1">
    <w:name w:val="List Table 1 Light - Accent 1"/>
    <w:uiPriority w:val="99"/>
    <w:qFormat/>
    <w:rPr>
      <w:lang w:val="en-US" w:eastAsia="zh-CN" w:bidi="ar-SA"/>
    </w:rPr>
    <w:tblPr/>
  </w:style>
  <w:style w:type="table" w:styleId="1142" w:customStyle="1">
    <w:name w:val="List Table 6 Colorful - Accent 4"/>
    <w:uiPriority w:val="99"/>
    <w:qFormat/>
    <w:rPr>
      <w:lang w:val="en-US" w:eastAsia="zh-CN" w:bidi="ar-SA"/>
    </w:rPr>
    <w:tblPr/>
  </w:style>
  <w:style w:type="table" w:styleId="1143" w:customStyle="1">
    <w:name w:val="List Table 1 Light - Accent 2"/>
    <w:uiPriority w:val="99"/>
    <w:qFormat/>
    <w:rPr>
      <w:lang w:val="en-US" w:eastAsia="zh-CN" w:bidi="ar-SA"/>
    </w:rPr>
    <w:tblPr/>
  </w:style>
  <w:style w:type="table" w:styleId="1144" w:customStyle="1">
    <w:name w:val="List Table 7 Colorful - Accent 4"/>
    <w:uiPriority w:val="99"/>
    <w:qFormat/>
    <w:rPr>
      <w:lang w:val="en-US" w:eastAsia="zh-CN" w:bidi="ar-SA"/>
    </w:rPr>
    <w:tblPr/>
  </w:style>
  <w:style w:type="table" w:styleId="1145" w:customStyle="1">
    <w:name w:val="List Table 1 Light - Accent 3"/>
    <w:uiPriority w:val="99"/>
    <w:qFormat/>
    <w:rPr>
      <w:lang w:val="en-US" w:eastAsia="zh-CN" w:bidi="ar-SA"/>
    </w:rPr>
    <w:tblPr/>
  </w:style>
  <w:style w:type="table" w:styleId="1146" w:customStyle="1">
    <w:name w:val="List Table 4 - Accent 1"/>
    <w:uiPriority w:val="99"/>
    <w:qFormat/>
    <w:rPr>
      <w:lang w:val="en-US" w:eastAsia="zh-CN" w:bidi="ar-SA"/>
    </w:rPr>
    <w:tblPr/>
  </w:style>
  <w:style w:type="table" w:styleId="1147" w:customStyle="1">
    <w:name w:val="Lined - Accent 6"/>
    <w:uiPriority w:val="99"/>
    <w:qFormat/>
    <w:rPr>
      <w:color w:val="404040"/>
      <w:lang w:val="en-US" w:eastAsia="zh-CN" w:bidi="ar-SA"/>
    </w:rPr>
    <w:tblPr/>
  </w:style>
  <w:style w:type="paragraph" w:styleId="1148" w:customStyle="1">
    <w:name w:val="UserStyle_0"/>
    <w:basedOn w:val="889"/>
    <w:next w:val="889"/>
    <w:uiPriority w:val="0"/>
    <w:qFormat/>
  </w:style>
  <w:style w:type="paragraph" w:styleId="1149" w:customStyle="1">
    <w:name w:val="样式1"/>
    <w:basedOn w:val="816"/>
    <w:uiPriority w:val="0"/>
    <w:qFormat/>
    <w:rPr>
      <w:sz w:val="28"/>
      <w:szCs w:val="24"/>
    </w:rPr>
  </w:style>
  <w:style w:type="paragraph" w:styleId="1150" w:customStyle="1">
    <w:name w:val="二级无"/>
    <w:basedOn w:val="1151"/>
    <w:uiPriority w:val="0"/>
    <w:qFormat/>
    <w:pPr>
      <w:tabs>
        <w:tab w:val="left" w:pos="-1080" w:leader="none"/>
      </w:tabs>
    </w:pPr>
    <w:rPr>
      <w:rFonts w:ascii="宋体" w:eastAsia="宋体"/>
    </w:rPr>
  </w:style>
  <w:style w:type="paragraph" w:styleId="1151" w:customStyle="1">
    <w:name w:val="二级条标题"/>
    <w:basedOn w:val="881"/>
    <w:next w:val="816"/>
    <w:uiPriority w:val="0"/>
    <w:qFormat/>
    <w:pPr>
      <w:numPr>
        <w:ilvl w:val="3"/>
        <w:numId w:val="1"/>
      </w:numPr>
      <w:tabs>
        <w:tab w:val="left" w:pos="-1080" w:leader="none"/>
        <w:tab w:val="clear" w:pos="810" w:leader="none"/>
        <w:tab w:val="clear" w:pos="907" w:leader="none"/>
        <w:tab w:val="clear" w:pos="1265" w:leader="none"/>
      </w:tabs>
      <w:outlineLvl w:val="3"/>
    </w:pPr>
  </w:style>
  <w:style w:type="paragraph" w:styleId="1152" w:customStyle="1">
    <w:name w:val="表头"/>
    <w:basedOn w:val="816"/>
    <w:uiPriority w:val="0"/>
    <w:qFormat/>
    <w:pPr>
      <w:jc w:val="center"/>
      <w:spacing w:before="160" w:after="60"/>
    </w:pPr>
    <w:rPr>
      <w:rFonts w:eastAsia="黑体"/>
      <w:szCs w:val="21"/>
    </w:rPr>
  </w:style>
  <w:style w:type="paragraph" w:styleId="1153" w:customStyle="1">
    <w:name w:val="样式2"/>
    <w:basedOn w:val="1149"/>
    <w:uiPriority w:val="0"/>
    <w:qFormat/>
  </w:style>
  <w:style w:type="paragraph" w:styleId="1154" w:customStyle="1">
    <w:name w:val="字母编号列项（一级）"/>
    <w:uiPriority w:val="0"/>
    <w:qFormat/>
    <w:pPr>
      <w:ind w:left="840" w:hanging="420"/>
      <w:jc w:val="both"/>
      <w:spacing w:line="360" w:lineRule="atLeast"/>
      <w:widowControl w:val="off"/>
    </w:pPr>
    <w:rPr>
      <w:rFonts w:ascii="宋体" w:hAnsi="Times New Roman" w:eastAsia="宋体" w:cs="Times New Roman"/>
      <w:sz w:val="21"/>
      <w:lang w:val="en-US" w:eastAsia="zh-CN" w:bidi="ar-SA"/>
    </w:rPr>
  </w:style>
  <w:style w:type="paragraph" w:styleId="1155" w:customStyle="1">
    <w:name w:val="图说"/>
    <w:basedOn w:val="816"/>
    <w:uiPriority w:val="0"/>
    <w:qFormat/>
    <w:pPr>
      <w:jc w:val="center"/>
      <w:spacing w:before="60" w:after="160"/>
    </w:pPr>
    <w:rPr>
      <w:sz w:val="18"/>
    </w:rPr>
  </w:style>
  <w:style w:type="paragraph" w:styleId="1156" w:customStyle="1">
    <w:name w:val="样式 3"/>
    <w:basedOn w:val="816"/>
    <w:uiPriority w:val="0"/>
    <w:qFormat/>
    <w:pPr>
      <w:ind w:left="840" w:hanging="420"/>
    </w:pPr>
    <w:rPr>
      <w:szCs w:val="21"/>
    </w:rPr>
  </w:style>
  <w:style w:type="paragraph" w:styleId="1157" w:customStyle="1">
    <w:name w:val="样式 4"/>
    <w:basedOn w:val="816"/>
    <w:uiPriority w:val="0"/>
    <w:qFormat/>
    <w:pPr>
      <w:ind w:left="1260" w:hanging="420"/>
    </w:pPr>
    <w:rPr>
      <w:szCs w:val="21"/>
    </w:rPr>
  </w:style>
  <w:style w:type="paragraph" w:styleId="1158" w:customStyle="1">
    <w:name w:val="图片"/>
    <w:basedOn w:val="816"/>
    <w:uiPriority w:val="0"/>
    <w:qFormat/>
    <w:pPr>
      <w:jc w:val="center"/>
      <w:spacing w:before="160" w:after="60"/>
    </w:pPr>
  </w:style>
  <w:style w:type="paragraph" w:styleId="1159" w:customStyle="1">
    <w:name w:val="正文表标题"/>
    <w:next w:val="896"/>
    <w:uiPriority w:val="0"/>
    <w:qFormat/>
    <w:pPr>
      <w:jc w:val="center"/>
    </w:pPr>
    <w:rPr>
      <w:rFonts w:ascii="黑体" w:hAnsi="Times New Roman" w:eastAsia="黑体" w:cs="Times New Roman"/>
      <w:sz w:val="21"/>
      <w:lang w:val="en-US" w:eastAsia="zh-CN" w:bidi="ar-SA"/>
    </w:rPr>
  </w:style>
  <w:style w:type="paragraph" w:styleId="1160" w:customStyle="1">
    <w:name w:val="注："/>
    <w:next w:val="896"/>
    <w:uiPriority w:val="0"/>
    <w:qFormat/>
    <w:pPr>
      <w:ind w:left="780" w:hanging="360"/>
      <w:jc w:val="both"/>
      <w:widowControl w:val="off"/>
      <w:tabs>
        <w:tab w:val="left" w:pos="780" w:leader="none"/>
      </w:tabs>
    </w:pPr>
    <w:rPr>
      <w:rFonts w:ascii="宋体" w:hAnsi="Times New Roman" w:eastAsia="宋体" w:cs="Times New Roman"/>
      <w:sz w:val="18"/>
      <w:lang w:val="en-US" w:eastAsia="zh-CN" w:bidi="ar-SA"/>
    </w:rPr>
  </w:style>
  <w:style w:type="numbering" w:styleId="11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wmf"/><Relationship Id="rId19"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韩鹏飞</cp:lastModifiedBy>
  <cp:revision>11</cp:revision>
  <dcterms:created xsi:type="dcterms:W3CDTF">2023-11-15T03:32:00Z</dcterms:created>
  <dcterms:modified xsi:type="dcterms:W3CDTF">2025-03-03T07:26:55Z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75B60BDFBB0844F2950154E9CCE60960_13</vt:lpwstr>
  </property>
  <property fmtid="{D5CDD505-2E9C-101B-9397-08002B2CF9AE}" pid="4" name="KSOTemplateDocerSaveRecord">
    <vt:lpwstr>eyJoZGlkIjoiZmEzYzNjNmYyMzk3ODY2N2U1NzUwMDUzNjBmNjFkODUiLCJ1c2VySWQiOiI3NTE4ODI1MTgifQ==</vt:lpwstr>
  </property>
</Properties>
</file>