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1"/>
        <w:rPr>
          <w:rFonts w:hint="eastAsia" w:eastAsia="华文中宋"/>
          <w:color w:val="000000"/>
          <w:highlight w:val="none"/>
        </w:rPr>
        <w:outlineLvl w:val="9"/>
      </w:pPr>
      <w:r>
        <w:rPr>
          <w:rFonts w:hint="eastAsia" w:eastAsia="华文中宋"/>
          <w:color w:val="000000"/>
          <w:highlight w:val="none"/>
          <w:lang w:val="en-US" w:eastAsia="zh-CN"/>
        </w:rPr>
      </w:r>
      <w:r>
        <w:rPr>
          <w:highlight w:val="none"/>
        </w:rPr>
      </w:r>
      <w:r>
        <w:rPr>
          <w:highlight w:val="none"/>
        </w:rPr>
      </w:r>
    </w:p>
    <w:p>
      <w:pPr>
        <w:ind w:left="660"/>
        <w:rPr>
          <w:rFonts w:ascii="楷体_GB2312" w:eastAsia="楷体_GB2312"/>
          <w:bCs/>
          <w:color w:val="000000"/>
          <w:sz w:val="30"/>
          <w:highlight w:val="none"/>
        </w:rPr>
        <w:outlineLvl w:val="9"/>
      </w:pPr>
      <w:r>
        <w:rPr>
          <w:rFonts w:ascii="楷体_GB2312" w:eastAsia="楷体_GB2312"/>
          <w:bCs/>
          <w:color w:val="000000"/>
          <w:sz w:val="30"/>
          <w:highlight w:val="none"/>
        </w:rPr>
      </w:r>
      <w:r>
        <w:rPr>
          <w:highlight w:val="none"/>
        </w:rPr>
      </w:r>
      <w:r>
        <w:rPr>
          <w:highlight w:val="none"/>
        </w:rPr>
      </w:r>
    </w:p>
    <w:p>
      <w:pPr>
        <w:pStyle w:val="1501"/>
        <w:rPr>
          <w:color w:val="000000"/>
          <w:highlight w:val="none"/>
        </w:rPr>
        <w:outlineLvl w:val="9"/>
      </w:pPr>
      <w:r>
        <w:rPr>
          <w:color w:val="000000"/>
          <w:highlight w:val="none"/>
        </w:rPr>
      </w:r>
      <w:r>
        <w:rPr>
          <w:highlight w:val="none"/>
        </w:rPr>
      </w:r>
      <w:r>
        <w:rPr>
          <w:highlight w:val="none"/>
        </w:rPr>
      </w:r>
    </w:p>
    <w:p>
      <w:pPr>
        <w:jc w:val="center"/>
        <w:spacing w:line="360" w:lineRule="auto"/>
        <w:rPr>
          <w:rFonts w:hint="eastAsia" w:ascii="宋体" w:hAnsi="宋体" w:cs="宋体"/>
          <w:bCs/>
          <w:sz w:val="30"/>
          <w:highlight w:val="none"/>
        </w:rPr>
      </w:pPr>
      <w:r>
        <w:rPr>
          <w:highlight w:val="none"/>
        </w:rPr>
      </w:r>
      <w:bookmarkStart w:id="0" w:name="_Toc27240"/>
      <w:r>
        <w:rPr>
          <w:rFonts w:hint="eastAsia" w:ascii="宋体" w:hAnsi="宋体" w:cs="宋体"/>
          <w:sz w:val="72"/>
          <w:szCs w:val="72"/>
          <w:highlight w:val="none"/>
        </w:rPr>
        <w:t xml:space="preserve">无锡市政府采购</w:t>
      </w:r>
      <w:r>
        <w:rPr>
          <w:highlight w:val="none"/>
        </w:rPr>
      </w:r>
      <w:r>
        <w:rPr>
          <w:highlight w:val="none"/>
        </w:rPr>
      </w:r>
    </w:p>
    <w:p>
      <w:pPr>
        <w:spacing w:line="360" w:lineRule="auto"/>
        <w:rPr>
          <w:rFonts w:hint="eastAsia" w:ascii="宋体" w:hAnsi="宋体" w:cs="宋体"/>
          <w:bCs/>
          <w:sz w:val="30"/>
          <w:highlight w:val="none"/>
        </w:rPr>
      </w:pPr>
      <w:r>
        <w:rPr>
          <w:rFonts w:hint="eastAsia" w:ascii="宋体" w:hAnsi="宋体" w:cs="宋体"/>
          <w:bCs/>
          <w:sz w:val="30"/>
          <w:highlight w:val="none"/>
        </w:rPr>
      </w:r>
      <w:r>
        <w:rPr>
          <w:highlight w:val="none"/>
        </w:rPr>
      </w:r>
      <w:r>
        <w:rPr>
          <w:highlight w:val="none"/>
        </w:rPr>
      </w:r>
    </w:p>
    <w:p>
      <w:pPr>
        <w:spacing w:line="360" w:lineRule="auto"/>
        <w:rPr>
          <w:rFonts w:hint="eastAsia" w:ascii="宋体" w:hAnsi="宋体" w:cs="宋体"/>
          <w:bCs/>
          <w:sz w:val="30"/>
          <w:highlight w:val="none"/>
        </w:rPr>
      </w:pPr>
      <w:r>
        <w:rPr>
          <w:rFonts w:hint="eastAsia" w:ascii="宋体" w:hAnsi="宋体" w:cs="宋体"/>
          <w:bCs/>
          <w:sz w:val="30"/>
          <w:highlight w:val="none"/>
        </w:rPr>
      </w:r>
      <w:r>
        <w:rPr>
          <w:highlight w:val="none"/>
        </w:rPr>
      </w:r>
      <w:r>
        <w:rPr>
          <w:highlight w:val="none"/>
        </w:rPr>
      </w:r>
    </w:p>
    <w:p>
      <w:pPr>
        <w:spacing w:line="360" w:lineRule="auto"/>
        <w:rPr>
          <w:rFonts w:hint="eastAsia" w:ascii="宋体" w:hAnsi="宋体" w:cs="宋体"/>
          <w:bCs/>
          <w:sz w:val="30"/>
          <w:highlight w:val="none"/>
        </w:rPr>
      </w:pPr>
      <w:r>
        <w:rPr>
          <w:rFonts w:hint="eastAsia" w:ascii="宋体" w:hAnsi="宋体" w:cs="宋体"/>
          <w:bCs/>
          <w:sz w:val="30"/>
          <w:highlight w:val="none"/>
        </w:rPr>
      </w:r>
      <w:r>
        <w:rPr>
          <w:highlight w:val="none"/>
        </w:rPr>
      </w:r>
      <w:r>
        <w:rPr>
          <w:highlight w:val="none"/>
        </w:rPr>
      </w:r>
    </w:p>
    <w:p>
      <w:pPr>
        <w:jc w:val="center"/>
        <w:rPr>
          <w:rFonts w:ascii="黑体" w:hAnsi="华文中宋" w:eastAsia="黑体" w:cs="黑体"/>
          <w:spacing w:val="20"/>
          <w:sz w:val="52"/>
          <w:szCs w:val="52"/>
          <w:highlight w:val="none"/>
        </w:rPr>
      </w:pPr>
      <w:r>
        <w:rPr>
          <w:rFonts w:hint="eastAsia" w:ascii="宋体" w:hAnsi="宋体" w:cs="宋体"/>
          <w:bCs/>
          <w:spacing w:val="20"/>
          <w:sz w:val="52"/>
          <w:szCs w:val="52"/>
          <w:highlight w:val="none"/>
        </w:rPr>
        <w:t xml:space="preserve"> </w:t>
      </w:r>
      <w:r>
        <w:rPr>
          <w:rFonts w:hint="eastAsia" w:ascii="黑体" w:hAnsi="华文中宋" w:eastAsia="黑体" w:cs="黑体"/>
          <w:spacing w:val="20"/>
          <w:sz w:val="52"/>
          <w:szCs w:val="52"/>
          <w:highlight w:val="none"/>
        </w:rPr>
        <w:t xml:space="preserve">公</w:t>
      </w:r>
      <w:r>
        <w:rPr>
          <w:rFonts w:ascii="黑体" w:hAnsi="华文中宋" w:eastAsia="黑体" w:cs="黑体"/>
          <w:spacing w:val="20"/>
          <w:sz w:val="52"/>
          <w:szCs w:val="52"/>
          <w:highlight w:val="none"/>
        </w:rPr>
        <w:t xml:space="preserve">  </w:t>
      </w:r>
      <w:r>
        <w:rPr>
          <w:rFonts w:hint="eastAsia" w:ascii="黑体" w:hAnsi="华文中宋" w:eastAsia="黑体" w:cs="黑体"/>
          <w:spacing w:val="20"/>
          <w:sz w:val="52"/>
          <w:szCs w:val="52"/>
          <w:highlight w:val="none"/>
        </w:rPr>
        <w:t xml:space="preserve">开</w:t>
      </w:r>
      <w:r>
        <w:rPr>
          <w:rFonts w:ascii="黑体" w:hAnsi="华文中宋" w:eastAsia="黑体" w:cs="黑体"/>
          <w:spacing w:val="20"/>
          <w:sz w:val="52"/>
          <w:szCs w:val="52"/>
          <w:highlight w:val="none"/>
        </w:rPr>
        <w:t xml:space="preserve">   </w:t>
      </w:r>
      <w:r>
        <w:rPr>
          <w:highlight w:val="none"/>
        </w:rPr>
      </w:r>
      <w:r>
        <w:rPr>
          <w:highlight w:val="none"/>
        </w:rPr>
      </w:r>
    </w:p>
    <w:p>
      <w:pPr>
        <w:jc w:val="center"/>
        <w:spacing w:line="360" w:lineRule="auto"/>
        <w:rPr>
          <w:rFonts w:hint="eastAsia" w:ascii="宋体" w:hAnsi="宋体" w:cs="宋体"/>
          <w:bCs/>
          <w:spacing w:val="20"/>
          <w:sz w:val="52"/>
          <w:szCs w:val="5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9" o:spid="_x0000_s19" style="position:absolute;left:0;text-align:left;z-index:251662336;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cs="黑体"/>
          <w:spacing w:val="20"/>
          <w:sz w:val="52"/>
          <w:szCs w:val="52"/>
          <w:highlight w:val="none"/>
        </w:rPr>
        <w:t xml:space="preserve">招</w:t>
      </w:r>
      <w:r>
        <w:rPr>
          <w:rFonts w:ascii="黑体" w:hAnsi="华文中宋" w:eastAsia="黑体" w:cs="黑体"/>
          <w:spacing w:val="20"/>
          <w:sz w:val="52"/>
          <w:szCs w:val="52"/>
          <w:highlight w:val="none"/>
        </w:rPr>
        <w:t xml:space="preserve">  </w:t>
      </w:r>
      <w:r>
        <w:rPr>
          <w:rFonts w:hint="eastAsia" w:ascii="黑体" w:hAnsi="华文中宋" w:eastAsia="黑体" w:cs="黑体"/>
          <w:spacing w:val="20"/>
          <w:sz w:val="52"/>
          <w:szCs w:val="52"/>
          <w:highlight w:val="none"/>
        </w:rPr>
        <w:t xml:space="preserve">标</w:t>
      </w:r>
      <w:r>
        <w:rPr>
          <w:rFonts w:ascii="黑体" w:hAnsi="华文中宋" w:eastAsia="黑体" w:cs="黑体"/>
          <w:spacing w:val="20"/>
          <w:sz w:val="52"/>
          <w:szCs w:val="52"/>
          <w:highlight w:val="none"/>
        </w:rPr>
        <w:t xml:space="preserve">  </w:t>
      </w:r>
      <w:r>
        <w:rPr>
          <w:rFonts w:hint="eastAsia" w:ascii="黑体" w:hAnsi="华文中宋" w:eastAsia="黑体" w:cs="黑体"/>
          <w:spacing w:val="20"/>
          <w:sz w:val="52"/>
          <w:szCs w:val="52"/>
          <w:highlight w:val="none"/>
        </w:rPr>
        <w:t xml:space="preserve">文</w:t>
      </w:r>
      <w:r>
        <w:rPr>
          <w:rFonts w:ascii="黑体" w:hAnsi="华文中宋" w:eastAsia="黑体" w:cs="黑体"/>
          <w:spacing w:val="20"/>
          <w:sz w:val="52"/>
          <w:szCs w:val="52"/>
          <w:highlight w:val="none"/>
        </w:rPr>
        <w:t xml:space="preserve">  </w:t>
      </w:r>
      <w:r>
        <w:rPr>
          <w:rFonts w:hint="eastAsia" w:ascii="黑体" w:hAnsi="华文中宋" w:eastAsia="黑体" w:cs="黑体"/>
          <w:spacing w:val="20"/>
          <w:sz w:val="52"/>
          <w:szCs w:val="52"/>
          <w:highlight w:val="none"/>
        </w:rPr>
        <w:t xml:space="preserve">件</w:t>
      </w:r>
      <w:r>
        <w:rPr>
          <w:highlight w:val="none"/>
        </w:rPr>
      </w:r>
      <w:r>
        <w:rPr>
          <w:highlight w:val="none"/>
        </w:rPr>
      </w:r>
    </w:p>
    <w:p>
      <w:pPr>
        <w:spacing w:line="360" w:lineRule="auto"/>
        <w:rPr>
          <w:rFonts w:hint="eastAsia" w:ascii="宋体" w:hAnsi="宋体" w:cs="宋体"/>
          <w:bCs/>
          <w:sz w:val="30"/>
          <w:highlight w:val="none"/>
        </w:rPr>
      </w:pPr>
      <w:r>
        <w:rPr>
          <w:rFonts w:hint="eastAsia" w:ascii="宋体" w:hAnsi="宋体" w:cs="宋体"/>
          <w:bCs/>
          <w:sz w:val="30"/>
          <w:highlight w:val="none"/>
        </w:rPr>
      </w:r>
      <w:r>
        <w:rPr>
          <w:highlight w:val="none"/>
        </w:rPr>
      </w:r>
      <w:r>
        <w:rPr>
          <w:highlight w:val="none"/>
        </w:rPr>
      </w:r>
    </w:p>
    <w:p>
      <w:pPr>
        <w:jc w:val="center"/>
        <w:spacing w:line="360" w:lineRule="auto"/>
        <w:tabs>
          <w:tab w:val="left" w:pos="9921" w:leader="none"/>
        </w:tabs>
        <w:rPr>
          <w:rFonts w:ascii="华文中宋" w:hAnsi="华文中宋" w:eastAsia="华文中宋"/>
          <w:bCs/>
          <w:sz w:val="30"/>
          <w:highlight w:val="none"/>
        </w:rPr>
      </w:pPr>
      <w:r>
        <w:rPr>
          <w:rFonts w:hint="eastAsia" w:ascii="华文中宋" w:hAnsi="华文中宋" w:eastAsia="华文中宋"/>
          <w:bCs/>
          <w:sz w:val="30"/>
          <w:highlight w:val="none"/>
        </w:rPr>
        <w:t xml:space="preserve">（全流程电子化）</w:t>
      </w:r>
      <w:r>
        <w:rPr>
          <w:highlight w:val="none"/>
        </w:rPr>
      </w:r>
      <w:r>
        <w:rPr>
          <w:highlight w:val="none"/>
        </w:rPr>
      </w:r>
    </w:p>
    <w:p>
      <w:pPr>
        <w:jc w:val="center"/>
        <w:spacing w:line="360" w:lineRule="auto"/>
        <w:tabs>
          <w:tab w:val="left" w:pos="9921" w:leader="none"/>
        </w:tabs>
        <w:rPr>
          <w:rFonts w:hint="eastAsia" w:ascii="宋体" w:hAnsi="宋体" w:cs="宋体"/>
          <w:bCs/>
          <w:sz w:val="30"/>
          <w:highlight w:val="none"/>
        </w:rPr>
      </w:pPr>
      <w:r>
        <w:rPr>
          <w:rFonts w:hint="eastAsia" w:ascii="宋体" w:hAnsi="宋体" w:cs="宋体"/>
          <w:bCs/>
          <w:sz w:val="30"/>
          <w:highlight w:val="none"/>
        </w:rPr>
      </w:r>
      <w:r>
        <w:rPr>
          <w:highlight w:val="none"/>
        </w:rPr>
      </w:r>
      <w:r>
        <w:rPr>
          <w:highlight w:val="none"/>
        </w:rPr>
      </w:r>
    </w:p>
    <w:p>
      <w:pPr>
        <w:spacing w:line="360" w:lineRule="auto"/>
        <w:rPr>
          <w:rFonts w:hint="eastAsia" w:ascii="宋体" w:hAnsi="宋体" w:cs="宋体"/>
          <w:bCs/>
          <w:sz w:val="36"/>
          <w:szCs w:val="36"/>
          <w:highlight w:val="none"/>
        </w:rPr>
      </w:pPr>
      <w:r>
        <w:rPr>
          <w:rFonts w:hint="eastAsia" w:ascii="宋体" w:hAnsi="宋体" w:cs="宋体"/>
          <w:bCs/>
          <w:sz w:val="36"/>
          <w:szCs w:val="36"/>
          <w:highlight w:val="none"/>
        </w:rPr>
      </w:r>
      <w:r>
        <w:rPr>
          <w:highlight w:val="none"/>
        </w:rPr>
      </w:r>
      <w:r>
        <w:rPr>
          <w:highlight w:val="none"/>
        </w:rPr>
      </w:r>
    </w:p>
    <w:p>
      <w:pPr>
        <w:ind w:left="420"/>
        <w:spacing w:line="360" w:lineRule="auto"/>
        <w:rPr>
          <w:rFonts w:hint="default" w:ascii="宋体" w:hAnsi="宋体" w:eastAsia="宋体" w:cs="宋体"/>
          <w:bCs/>
          <w:sz w:val="32"/>
          <w:szCs w:val="32"/>
          <w:highlight w:val="none"/>
        </w:rPr>
      </w:pPr>
      <w:r>
        <w:rPr>
          <w:rFonts w:hint="eastAsia" w:ascii="宋体" w:hAnsi="宋体" w:cs="宋体"/>
          <w:bCs/>
          <w:sz w:val="32"/>
          <w:szCs w:val="32"/>
          <w:highlight w:val="none"/>
        </w:rPr>
        <w:t xml:space="preserve">政府采购编号：JSZC-320213-WXZQ-G2024-0001</w:t>
      </w:r>
      <w:r>
        <w:rPr>
          <w:highlight w:val="none"/>
        </w:rPr>
      </w:r>
      <w:r>
        <w:rPr>
          <w:highlight w:val="none"/>
        </w:rPr>
      </w:r>
    </w:p>
    <w:p>
      <w:pPr>
        <w:ind w:left="420"/>
        <w:spacing w:line="360" w:lineRule="auto"/>
        <w:rPr>
          <w:rFonts w:hint="eastAsia" w:ascii="宋体" w:hAnsi="宋体" w:eastAsia="宋体" w:cs="宋体"/>
          <w:bCs/>
          <w:spacing w:val="-6"/>
          <w:sz w:val="32"/>
          <w:szCs w:val="32"/>
          <w:highlight w:val="none"/>
        </w:rPr>
      </w:pPr>
      <w:r>
        <w:rPr>
          <w:rFonts w:hint="eastAsia" w:ascii="宋体" w:hAnsi="宋体" w:cs="宋体"/>
          <w:bCs/>
          <w:sz w:val="32"/>
          <w:szCs w:val="32"/>
          <w:highlight w:val="none"/>
        </w:rPr>
        <w:t xml:space="preserve">采购项目名称：</w:t>
      </w:r>
      <w:r>
        <w:rPr>
          <w:rFonts w:hint="eastAsia" w:ascii="宋体" w:hAnsi="宋体" w:cs="宋体"/>
          <w:bCs/>
          <w:spacing w:val="-6"/>
          <w:sz w:val="32"/>
          <w:szCs w:val="32"/>
          <w:highlight w:val="none"/>
          <w:lang w:eastAsia="zh-CN"/>
        </w:rPr>
        <w:t xml:space="preserve">梁溪区黄巷街道2024年游园及绿化养护服务项目</w:t>
      </w:r>
      <w:r>
        <w:rPr>
          <w:highlight w:val="none"/>
        </w:rPr>
      </w:r>
      <w:r>
        <w:rPr>
          <w:highlight w:val="none"/>
        </w:rPr>
      </w:r>
    </w:p>
    <w:p>
      <w:pPr>
        <w:ind w:left="420"/>
        <w:spacing w:line="360" w:lineRule="auto"/>
        <w:rPr>
          <w:rFonts w:hint="eastAsia" w:ascii="宋体" w:hAnsi="宋体" w:cs="宋体"/>
          <w:bCs/>
          <w:sz w:val="32"/>
          <w:szCs w:val="32"/>
          <w:highlight w:val="none"/>
        </w:rPr>
      </w:pPr>
      <w:r>
        <w:rPr>
          <w:rFonts w:hint="eastAsia" w:ascii="宋体" w:hAnsi="宋体" w:cs="宋体"/>
          <w:bCs/>
          <w:sz w:val="32"/>
          <w:szCs w:val="32"/>
          <w:highlight w:val="none"/>
        </w:rPr>
        <w:t xml:space="preserve">采   购   人：无锡市梁溪区黄巷街道办事处</w:t>
      </w:r>
      <w:r>
        <w:rPr>
          <w:highlight w:val="none"/>
        </w:rPr>
      </w:r>
      <w:r>
        <w:rPr>
          <w:highlight w:val="none"/>
        </w:rPr>
      </w:r>
    </w:p>
    <w:p>
      <w:pPr>
        <w:ind w:left="420"/>
        <w:spacing w:line="360" w:lineRule="auto"/>
        <w:rPr>
          <w:rFonts w:hint="default" w:ascii="宋体" w:hAnsi="宋体" w:eastAsia="宋体" w:cs="宋体"/>
          <w:bCs/>
          <w:sz w:val="32"/>
          <w:szCs w:val="32"/>
          <w:highlight w:val="none"/>
        </w:rPr>
      </w:pPr>
      <w:r>
        <w:rPr>
          <w:rFonts w:hint="eastAsia" w:ascii="宋体" w:hAnsi="宋体" w:cs="宋体"/>
          <w:bCs/>
          <w:sz w:val="32"/>
          <w:szCs w:val="32"/>
          <w:highlight w:val="none"/>
        </w:rPr>
        <w:t xml:space="preserve">采购代理机构：</w:t>
      </w:r>
      <w:r>
        <w:rPr>
          <w:rFonts w:hint="eastAsia" w:ascii="宋体" w:hAnsi="宋体" w:cs="宋体"/>
          <w:bCs/>
          <w:sz w:val="32"/>
          <w:szCs w:val="32"/>
          <w:highlight w:val="none"/>
          <w:lang w:eastAsia="zh-CN"/>
        </w:rPr>
        <w:t xml:space="preserve">无锡众勤嘉业项目管理有限公司</w:t>
      </w:r>
      <w:r>
        <w:rPr>
          <w:highlight w:val="none"/>
        </w:rPr>
      </w:r>
      <w:r>
        <w:rPr>
          <w:highlight w:val="none"/>
        </w:rPr>
      </w:r>
    </w:p>
    <w:p>
      <w:pPr>
        <w:jc w:val="center"/>
        <w:spacing w:line="360" w:lineRule="auto"/>
        <w:rPr>
          <w:rFonts w:hint="eastAsia" w:ascii="宋体" w:hAnsi="宋体" w:cs="宋体"/>
          <w:bCs/>
          <w:sz w:val="32"/>
          <w:highlight w:val="none"/>
        </w:rPr>
      </w:pPr>
      <w:r>
        <w:rPr>
          <w:rFonts w:hint="eastAsia" w:ascii="宋体" w:hAnsi="宋体" w:cs="宋体"/>
          <w:bCs/>
          <w:sz w:val="32"/>
          <w:highlight w:val="none"/>
        </w:rPr>
      </w:r>
      <w:r>
        <w:rPr>
          <w:highlight w:val="none"/>
        </w:rPr>
      </w:r>
      <w:r>
        <w:rPr>
          <w:highlight w:val="none"/>
        </w:rPr>
      </w:r>
    </w:p>
    <w:p>
      <w:pPr>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r>
      <w:r>
        <w:rPr>
          <w:highlight w:val="none"/>
        </w:rPr>
      </w:r>
      <w:r>
        <w:rPr>
          <w:highlight w:val="none"/>
        </w:rPr>
      </w:r>
    </w:p>
    <w:p>
      <w:pPr>
        <w:jc w:val="center"/>
        <w:spacing w:line="360" w:lineRule="auto"/>
        <w:rPr>
          <w:rFonts w:hint="eastAsia" w:ascii="宋体" w:hAnsi="宋体" w:cs="宋体"/>
          <w:bCs/>
          <w:sz w:val="44"/>
          <w:szCs w:val="44"/>
          <w:highlight w:val="none"/>
        </w:rPr>
      </w:pPr>
      <w:r>
        <w:rPr>
          <w:rFonts w:hint="eastAsia" w:ascii="宋体" w:hAnsi="宋体" w:cs="宋体"/>
          <w:bCs/>
          <w:sz w:val="44"/>
          <w:szCs w:val="44"/>
          <w:highlight w:val="none"/>
        </w:rPr>
        <w:t xml:space="preserve">202</w:t>
      </w:r>
      <w:r>
        <w:rPr>
          <w:rFonts w:hint="eastAsia" w:ascii="宋体" w:hAnsi="宋体" w:cs="宋体"/>
          <w:bCs/>
          <w:sz w:val="44"/>
          <w:szCs w:val="44"/>
          <w:highlight w:val="none"/>
          <w:lang w:val="en-US" w:eastAsia="zh-CN"/>
        </w:rPr>
        <w:t xml:space="preserve">4</w:t>
      </w:r>
      <w:r>
        <w:rPr>
          <w:rFonts w:hint="eastAsia" w:ascii="宋体" w:hAnsi="宋体" w:cs="宋体"/>
          <w:bCs/>
          <w:sz w:val="44"/>
          <w:szCs w:val="44"/>
          <w:highlight w:val="none"/>
        </w:rPr>
        <w:t xml:space="preserve">年0</w:t>
      </w:r>
      <w:r>
        <w:rPr>
          <w:rFonts w:hint="eastAsia" w:ascii="宋体" w:hAnsi="宋体" w:cs="宋体"/>
          <w:bCs/>
          <w:sz w:val="44"/>
          <w:szCs w:val="44"/>
          <w:highlight w:val="none"/>
          <w:lang w:val="en-US" w:eastAsia="zh-CN"/>
        </w:rPr>
        <w:t xml:space="preserve">7</w:t>
      </w:r>
      <w:r>
        <w:rPr>
          <w:rFonts w:hint="eastAsia" w:ascii="宋体" w:hAnsi="宋体" w:cs="宋体"/>
          <w:bCs/>
          <w:sz w:val="44"/>
          <w:szCs w:val="44"/>
          <w:highlight w:val="none"/>
        </w:rPr>
        <w:t xml:space="preserve">月</w:t>
      </w:r>
      <w:r>
        <w:rPr>
          <w:highlight w:val="none"/>
        </w:rPr>
      </w:r>
      <w:r>
        <w:rPr>
          <w:highlight w:val="none"/>
        </w:rPr>
      </w:r>
    </w:p>
    <w:p>
      <w:pPr>
        <w:jc w:val="center"/>
        <w:spacing w:line="360" w:lineRule="auto"/>
        <w:rPr>
          <w:rStyle w:val="1330"/>
          <w:rFonts w:hint="eastAsia" w:ascii="宋体" w:hAnsi="宋体" w:cs="宋体"/>
          <w:bCs/>
          <w:sz w:val="52"/>
          <w:szCs w:val="52"/>
          <w:highlight w:val="none"/>
        </w:rPr>
        <w:sectPr>
          <w:headerReference w:type="default" r:id="rId9"/>
          <w:footerReference w:type="default" r:id="rId13"/>
          <w:footnotePr/>
          <w:endnotePr/>
          <w:type w:val="nextPage"/>
          <w:pgSz w:w="11905" w:h="16838" w:orient="portrait"/>
          <w:pgMar w:top="1134" w:right="1134" w:bottom="1417" w:left="1134" w:header="851" w:footer="992" w:gutter="0"/>
          <w:cols w:num="1" w:sep="0" w:space="720" w:equalWidth="1"/>
          <w:docGrid w:linePitch="360"/>
        </w:sectPr>
      </w:pPr>
      <w:r>
        <w:rPr>
          <w:rFonts w:hint="eastAsia" w:ascii="宋体" w:hAnsi="宋体" w:cs="宋体"/>
          <w:bCs/>
          <w:sz w:val="52"/>
          <w:szCs w:val="52"/>
          <w:highlight w:val="none"/>
        </w:rPr>
      </w:r>
      <w:r>
        <w:rPr>
          <w:highlight w:val="none"/>
        </w:rPr>
      </w:r>
      <w:r>
        <w:rPr>
          <w:highlight w:val="none"/>
        </w:rPr>
      </w:r>
    </w:p>
    <w:p>
      <w:pPr>
        <w:pStyle w:val="1333"/>
        <w:rPr>
          <w:rFonts w:hint="eastAsia"/>
          <w:color w:val="000000"/>
          <w:highlight w:val="none"/>
        </w:rPr>
      </w:pPr>
      <w:r>
        <w:rPr>
          <w:rFonts w:hint="eastAsia"/>
          <w:color w:val="000000"/>
          <w:highlight w:val="none"/>
        </w:rPr>
      </w:r>
      <w:r>
        <w:rPr>
          <w:highlight w:val="none"/>
        </w:rPr>
      </w:r>
      <w:r>
        <w:rPr>
          <w:highlight w:val="none"/>
        </w:rPr>
      </w:r>
    </w:p>
    <w:p>
      <w:pPr>
        <w:pStyle w:val="1334"/>
        <w:rPr>
          <w:rFonts w:hint="eastAsia"/>
          <w:color w:val="000000"/>
          <w:highlight w:val="none"/>
        </w:rPr>
        <w:outlineLvl w:val="9"/>
      </w:pPr>
      <w:r>
        <w:rPr>
          <w:rFonts w:hint="eastAsia"/>
          <w:color w:val="000000"/>
          <w:highlight w:val="none"/>
        </w:rPr>
      </w:r>
      <w:r>
        <w:rPr>
          <w:highlight w:val="none"/>
        </w:rPr>
      </w:r>
      <w:r>
        <w:rPr>
          <w:highlight w:val="none"/>
        </w:rPr>
      </w:r>
    </w:p>
    <w:p>
      <w:pPr>
        <w:jc w:val="center"/>
        <w:rPr>
          <w:rStyle w:val="1533"/>
          <w:rFonts w:hint="eastAsia" w:ascii="宋体" w:hAnsi="宋体" w:cs="宋体"/>
          <w:b/>
          <w:color w:val="000000"/>
          <w:sz w:val="44"/>
          <w:szCs w:val="44"/>
          <w:highlight w:val="none"/>
        </w:rPr>
        <w:outlineLvl w:val="9"/>
      </w:pPr>
      <w:r>
        <w:rPr>
          <w:highlight w:val="none"/>
        </w:rPr>
      </w:r>
      <w:bookmarkStart w:id="1" w:name="_Toc23032"/>
      <w:r>
        <w:rPr>
          <w:highlight w:val="none"/>
        </w:rPr>
      </w:r>
      <w:bookmarkStart w:id="2" w:name="_Toc32576"/>
      <w:r>
        <w:rPr>
          <w:highlight w:val="none"/>
        </w:rPr>
      </w:r>
      <w:bookmarkStart w:id="3" w:name="_Toc15618"/>
      <w:r>
        <w:rPr>
          <w:rStyle w:val="1533"/>
          <w:rFonts w:hint="eastAsia" w:ascii="宋体" w:hAnsi="宋体" w:cs="宋体"/>
          <w:b/>
          <w:color w:val="000000"/>
          <w:sz w:val="44"/>
          <w:szCs w:val="44"/>
          <w:highlight w:val="none"/>
        </w:rPr>
        <w:t xml:space="preserve">目     录</w:t>
      </w:r>
      <w:bookmarkEnd w:id="0"/>
      <w:r>
        <w:rPr>
          <w:highlight w:val="none"/>
        </w:rPr>
      </w:r>
      <w:bookmarkEnd w:id="1"/>
      <w:r>
        <w:rPr>
          <w:highlight w:val="none"/>
        </w:rPr>
      </w:r>
      <w:bookmarkEnd w:id="2"/>
      <w:r>
        <w:rPr>
          <w:highlight w:val="none"/>
        </w:rPr>
      </w:r>
      <w:bookmarkEnd w:id="3"/>
      <w:r>
        <w:rPr>
          <w:highlight w:val="none"/>
        </w:rPr>
      </w:r>
      <w:r>
        <w:rPr>
          <w:highlight w:val="none"/>
        </w:rPr>
      </w:r>
    </w:p>
    <w:p>
      <w:pPr>
        <w:rPr>
          <w:color w:val="000000"/>
          <w:highlight w:val="none"/>
        </w:rPr>
      </w:pPr>
      <w:r>
        <w:rPr>
          <w:color w:val="000000"/>
          <w:highlight w:val="none"/>
        </w:rPr>
      </w:r>
      <w:r>
        <w:rPr>
          <w:highlight w:val="none"/>
        </w:rPr>
      </w:r>
      <w:r>
        <w:rPr>
          <w:highlight w:val="none"/>
        </w:rPr>
      </w:r>
    </w:p>
    <w:p>
      <w:pPr>
        <w:pStyle w:val="15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highlight w:val="none"/>
        </w:rPr>
      </w:r>
      <w:r>
        <w:rPr>
          <w:highlight w:val="none"/>
        </w:rPr>
      </w:r>
    </w:p>
    <w:p>
      <w:pPr>
        <w:pStyle w:val="15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highlight w:val="none"/>
        </w:rPr>
      </w:r>
      <w:r>
        <w:rPr>
          <w:highlight w:val="none"/>
        </w:rPr>
      </w:r>
    </w:p>
    <w:p>
      <w:pPr>
        <w:pStyle w:val="15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highlight w:val="none"/>
        </w:rPr>
      </w:r>
      <w:r>
        <w:rPr>
          <w:highlight w:val="none"/>
        </w:rPr>
      </w:r>
    </w:p>
    <w:p>
      <w:pPr>
        <w:pStyle w:val="15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41</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highlight w:val="none"/>
        </w:rPr>
      </w:r>
      <w:r>
        <w:rPr>
          <w:highlight w:val="none"/>
        </w:rPr>
      </w:r>
    </w:p>
    <w:p>
      <w:pPr>
        <w:pStyle w:val="151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4</w:t>
      </w:r>
      <w:r>
        <w:rPr>
          <w:rFonts w:hint="eastAsia" w:ascii="宋体" w:hAnsi="宋体" w:eastAsia="宋体" w:cs="宋体"/>
          <w:bCs/>
          <w:color w:val="000000"/>
          <w:sz w:val="28"/>
          <w:szCs w:val="28"/>
          <w:highlight w:val="none"/>
        </w:rPr>
        <w:fldChar w:fldCharType="end"/>
      </w:r>
      <w:r>
        <w:rPr>
          <w:rFonts w:hint="eastAsia" w:ascii="宋体" w:hAnsi="宋体" w:cs="宋体"/>
          <w:bCs/>
          <w:color w:val="000000"/>
          <w:sz w:val="28"/>
          <w:szCs w:val="28"/>
          <w:highlight w:val="none"/>
          <w:lang w:val="en-US" w:eastAsia="zh-CN"/>
        </w:rPr>
        <w:t xml:space="preserve">9</w:t>
      </w:r>
      <w:r>
        <w:rPr>
          <w:highlight w:val="none"/>
        </w:rPr>
      </w:r>
      <w:r>
        <w:rPr>
          <w:highlight w:val="none"/>
        </w:rPr>
      </w:r>
    </w:p>
    <w:p>
      <w:pPr>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highlight w:val="none"/>
        </w:rPr>
      </w:r>
      <w:r>
        <w:rPr>
          <w:highlight w:val="none"/>
        </w:rP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rPr>
          <w:highlight w:val="none"/>
        </w:rPr>
      </w:r>
      <w:r>
        <w:rPr>
          <w:highlight w:val="none"/>
        </w:rP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rPr>
          <w:highlight w:val="none"/>
        </w:rPr>
      </w:r>
      <w:r>
        <w:rPr>
          <w:highlight w:val="none"/>
        </w:rP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rPr>
          <w:highlight w:val="none"/>
        </w:rPr>
      </w:r>
      <w:r>
        <w:rPr>
          <w:highlight w:val="none"/>
        </w:rP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rPr>
          <w:highlight w:val="none"/>
        </w:rPr>
      </w:r>
      <w:r>
        <w:rPr>
          <w:highlight w:val="none"/>
        </w:rP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rPr>
          <w:highlight w:val="none"/>
        </w:rPr>
      </w:r>
      <w:r>
        <w:rPr>
          <w:highlight w:val="none"/>
        </w:rPr>
      </w:r>
    </w:p>
    <w:p>
      <w:pPr>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rPr>
          <w:highlight w:val="none"/>
        </w:rPr>
      </w:r>
      <w:r>
        <w:rPr>
          <w:highlight w:val="none"/>
        </w:rPr>
      </w:r>
    </w:p>
    <w:p>
      <w:pPr>
        <w:spacing w:line="720" w:lineRule="auto"/>
        <w:rPr>
          <w:rFonts w:hint="eastAsia" w:ascii="宋体" w:hAnsi="Times New Roman" w:eastAsia="宋体" w:cs="Times New Roman"/>
          <w:bCs/>
          <w:color w:val="000000"/>
          <w:sz w:val="28"/>
          <w:szCs w:val="28"/>
          <w:highlight w:val="none"/>
        </w:rPr>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624" w:footer="907" w:gutter="0"/>
          <w:pgNumType w:start="1"/>
          <w:cols w:num="1" w:sep="0" w:space="1701" w:equalWidth="1"/>
          <w:docGrid w:linePitch="360"/>
          <w:titlePg/>
        </w:sectPr>
      </w:pPr>
      <w:r>
        <w:rPr>
          <w:highlight w:val="none"/>
        </w:rPr>
      </w:r>
      <w:bookmarkStart w:id="4" w:name="报价方须知前附表"/>
      <w:r>
        <w:rPr>
          <w:highlight w:val="none"/>
        </w:rPr>
      </w:r>
      <w:bookmarkEnd w:id="4"/>
      <w:r>
        <w:rPr>
          <w:highlight w:val="none"/>
        </w:rPr>
      </w:r>
      <w:bookmarkStart w:id="5" w:name="_Toc24814"/>
      <w:r>
        <w:rPr>
          <w:highlight w:val="none"/>
        </w:rPr>
      </w:r>
      <w:r>
        <w:rPr>
          <w:highlight w:val="none"/>
        </w:rPr>
      </w:r>
    </w:p>
    <w:p>
      <w:pPr>
        <w:jc w:val="center"/>
        <w:spacing w:line="360" w:lineRule="auto"/>
        <w:rPr>
          <w:rFonts w:hint="eastAsia" w:ascii="Times New Roman" w:hAnsi="宋体" w:eastAsia="宋体" w:cs="宋体"/>
          <w:b/>
          <w:bCs/>
          <w:sz w:val="32"/>
          <w:szCs w:val="32"/>
          <w:highlight w:val="none"/>
        </w:rPr>
        <w:outlineLvl w:val="0"/>
      </w:pPr>
      <w:r>
        <w:rPr>
          <w:highlight w:val="none"/>
        </w:rPr>
      </w:r>
      <w:bookmarkStart w:id="6" w:name="_Toc622"/>
      <w:r>
        <w:rPr>
          <w:highlight w:val="none"/>
        </w:rPr>
      </w:r>
      <w:bookmarkStart w:id="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5"/>
      <w:r>
        <w:rPr>
          <w:highlight w:val="none"/>
        </w:rPr>
      </w:r>
      <w:bookmarkEnd w:id="6"/>
      <w:r>
        <w:rPr>
          <w:highlight w:val="none"/>
        </w:rPr>
      </w:r>
      <w:bookmarkEnd w:id="7"/>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无锡众勤嘉业项目管理有限公司受无锡市梁溪区黄巷街道办事处的委托，就其</w:t>
      </w:r>
      <w:r>
        <w:rPr>
          <w:rFonts w:hint="eastAsia" w:ascii="宋体" w:hAnsi="宋体" w:cs="宋体"/>
          <w:bCs/>
          <w:color w:val="000000"/>
          <w:sz w:val="24"/>
          <w:szCs w:val="24"/>
          <w:highlight w:val="none"/>
          <w:lang w:eastAsia="zh-CN"/>
        </w:rPr>
        <w:t xml:space="preserve">梁溪区黄巷街道2024年游园及绿化养护服务项目</w:t>
      </w:r>
      <w:r>
        <w:rPr>
          <w:rFonts w:hint="eastAsia" w:ascii="宋体" w:hAnsi="宋体" w:cs="宋体"/>
          <w:bCs/>
          <w:color w:val="000000"/>
          <w:sz w:val="24"/>
          <w:szCs w:val="24"/>
          <w:highlight w:val="none"/>
        </w:rPr>
        <w:t xml:space="preserve">进行公开招标，欢迎你单位参加投标并提请注意下列附表中的相关事项：</w:t>
      </w:r>
      <w:r>
        <w:rPr>
          <w:highlight w:val="none"/>
        </w:rPr>
      </w:r>
      <w:r>
        <w:rPr>
          <w:highlight w:val="none"/>
        </w:rPr>
      </w:r>
    </w:p>
    <w:tbl>
      <w:tblPr>
        <w:tblStyle w:val="1308"/>
        <w:tblW w:w="87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8010"/>
      </w:tblGrid>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highlight w:val="none"/>
              </w:rPr>
            </w:r>
            <w:r>
              <w:rPr>
                <w:highlight w:val="none"/>
              </w:rPr>
            </w:r>
          </w:p>
        </w:tc>
        <w:tc>
          <w:tcPr>
            <w:tcW w:w="801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内容</w:t>
            </w:r>
            <w:r>
              <w:rPr>
                <w:highlight w:val="none"/>
              </w:rPr>
            </w:r>
            <w:r>
              <w:rPr>
                <w:highlight w:val="none"/>
              </w:rP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采购项目名称：</w:t>
            </w:r>
            <w:r>
              <w:rPr>
                <w:rFonts w:hint="eastAsia" w:ascii="宋体" w:hAnsi="宋体" w:cs="宋体"/>
                <w:color w:val="000000"/>
                <w:sz w:val="24"/>
                <w:szCs w:val="24"/>
                <w:highlight w:val="none"/>
                <w:lang w:eastAsia="zh-CN"/>
              </w:rPr>
              <w:t xml:space="preserve">梁溪区黄巷街道2024年游园及绿化养护服务项目</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采购项目编号：JSZC-320213-WXZQ-G2024-0001</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采购方式：公开招标</w:t>
            </w:r>
            <w:r>
              <w:rPr>
                <w:highlight w:val="none"/>
              </w:rPr>
            </w:r>
            <w:r>
              <w:rPr>
                <w:highlight w:val="none"/>
              </w:rPr>
            </w:r>
          </w:p>
        </w:tc>
      </w:tr>
      <w:tr>
        <w:trPr>
          <w:trHeight w:val="512"/>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highlight w:val="none"/>
              </w:rPr>
            </w:r>
            <w:r>
              <w:rPr>
                <w:highlight w:val="none"/>
              </w:rPr>
            </w:r>
          </w:p>
        </w:tc>
        <w:tc>
          <w:tcPr>
            <w:tcW w:w="8010" w:type="dxa"/>
            <w:vAlign w:val="center"/>
            <w:textDirection w:val="lrTb"/>
            <w:noWrap w:val="false"/>
          </w:tcPr>
          <w:p>
            <w:pPr>
              <w:spacing w:line="360" w:lineRule="auto"/>
              <w:rPr>
                <w:rFonts w:hint="eastAsia" w:ascii="宋体" w:hAnsi="宋体" w:cs="宋体"/>
                <w:bCs/>
                <w:sz w:val="24"/>
                <w:highlight w:val="none"/>
              </w:rPr>
            </w:pPr>
            <w:r>
              <w:rPr>
                <w:rFonts w:hint="eastAsia" w:ascii="宋体" w:hAnsi="宋体" w:cs="宋体"/>
                <w:bCs/>
                <w:sz w:val="24"/>
                <w:highlight w:val="none"/>
              </w:rPr>
              <w:t xml:space="preserve">采 购 人：无锡市梁溪区黄巷街道办事处</w:t>
            </w:r>
            <w:r>
              <w:rPr>
                <w:highlight w:val="none"/>
              </w:rPr>
            </w:r>
            <w:r>
              <w:rPr>
                <w:highlight w:val="none"/>
              </w:rP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采购人地址：</w:t>
            </w:r>
            <w:r>
              <w:rPr>
                <w:rFonts w:hint="eastAsia" w:ascii="宋体" w:hAnsi="宋体" w:cs="宋体"/>
                <w:sz w:val="24"/>
                <w:highlight w:val="none"/>
              </w:rPr>
              <w:t xml:space="preserve">梁溪区凤翔北路9号</w:t>
            </w:r>
            <w:r>
              <w:rPr>
                <w:highlight w:val="none"/>
              </w:rPr>
            </w:r>
            <w:r>
              <w:rPr>
                <w:highlight w:val="none"/>
              </w:rPr>
            </w:r>
          </w:p>
          <w:p>
            <w:pPr>
              <w:spacing w:line="360" w:lineRule="auto"/>
              <w:widowControl/>
              <w:rPr>
                <w:rFonts w:hint="eastAsia" w:ascii="宋体" w:hAnsi="宋体" w:eastAsia="宋体" w:cs="宋体"/>
                <w:sz w:val="24"/>
                <w:highlight w:val="none"/>
              </w:rPr>
            </w:pPr>
            <w:r>
              <w:rPr>
                <w:rFonts w:hint="eastAsia" w:ascii="宋体" w:hAnsi="宋体" w:cs="宋体"/>
                <w:sz w:val="24"/>
                <w:highlight w:val="none"/>
              </w:rPr>
              <w:t xml:space="preserve">采购代理机构：</w:t>
            </w:r>
            <w:r>
              <w:rPr>
                <w:rFonts w:hint="eastAsia" w:ascii="宋体" w:hAnsi="宋体" w:cs="宋体"/>
                <w:sz w:val="24"/>
                <w:highlight w:val="none"/>
                <w:lang w:eastAsia="zh-CN"/>
              </w:rPr>
              <w:t xml:space="preserve">无锡众勤嘉业项目管理有限公司</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cs="宋体"/>
                <w:sz w:val="24"/>
                <w:highlight w:val="none"/>
              </w:rPr>
              <w:t xml:space="preserve">采购代理机构地址：</w:t>
            </w:r>
            <w:r>
              <w:rPr>
                <w:rFonts w:hint="eastAsia" w:ascii="宋体" w:hAnsi="宋体" w:cs="宋体"/>
                <w:sz w:val="24"/>
                <w:highlight w:val="none"/>
                <w:lang w:eastAsia="zh-CN"/>
              </w:rPr>
              <w:t xml:space="preserve">无锡市滨湖区中南西路88号蠡湖商旅大厦7楼738单元</w:t>
            </w:r>
            <w:r>
              <w:rPr>
                <w:highlight w:val="none"/>
              </w:rPr>
            </w:r>
            <w:r>
              <w:rPr>
                <w:highlight w:val="none"/>
              </w:rPr>
            </w:r>
          </w:p>
        </w:tc>
      </w:tr>
      <w:tr>
        <w:trPr>
          <w:trHeight w:val="1522"/>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highlight w:val="none"/>
              </w:rPr>
            </w:r>
            <w:r>
              <w:rPr>
                <w:highlight w:val="none"/>
              </w:rPr>
            </w:r>
          </w:p>
        </w:tc>
        <w:tc>
          <w:tcPr>
            <w:tcW w:w="8010" w:type="dxa"/>
            <w:vAlign w:val="center"/>
            <w:textDirection w:val="lrTb"/>
            <w:noWrap w:val="false"/>
          </w:tcPr>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采购项目概况、要求：</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采购项目概况：本项目为盛唐乐享城周边绿地、春雨润田小游园、高泾游园A、B地块、果树游园、徐巷游园、江海西路景观节点、凤鸣路绿地、凤锦路绿地、广澄路沿线绿地、民丰路花箱以及凤宾路花墙、城管中队院内、黄巷街道社区卫生服务中心周边及沿河绿地及各零星边角绿地，合计面积88063.5m²的绿化</w:t>
            </w:r>
            <w:r>
              <w:rPr>
                <w:rFonts w:hint="eastAsia" w:cs="宋体"/>
                <w:color w:val="000000"/>
                <w:sz w:val="24"/>
                <w:szCs w:val="24"/>
                <w:highlight w:val="none"/>
                <w:lang w:val="en-US" w:eastAsia="zh-CN"/>
              </w:rPr>
              <w:t xml:space="preserve">养护工作及74㎡的零星草花</w:t>
            </w:r>
            <w:r>
              <w:rPr>
                <w:rFonts w:hint="eastAsia" w:ascii="宋体" w:hAnsi="宋体" w:eastAsia="宋体" w:cs="宋体"/>
                <w:color w:val="000000"/>
                <w:sz w:val="24"/>
                <w:szCs w:val="24"/>
                <w:highlight w:val="none"/>
                <w:lang w:val="en-US" w:eastAsia="zh-CN"/>
              </w:rPr>
              <w:t xml:space="preserve">养护工作。具体详见“三、</w:t>
            </w:r>
            <w:r>
              <w:rPr>
                <w:rFonts w:hint="eastAsia" w:ascii="宋体" w:hAnsi="宋体" w:eastAsia="宋体" w:cs="宋体"/>
                <w:color w:val="000000"/>
                <w:sz w:val="24"/>
                <w:szCs w:val="24"/>
                <w:highlight w:val="none"/>
                <w:lang w:val="en-US" w:eastAsia="zh-CN"/>
              </w:rPr>
              <w:t xml:space="preserve">项目技术要求</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lang w:val="en-US" w:eastAsia="zh-CN"/>
              </w:rPr>
              <w:t xml:space="preserve">有关说明</w:t>
            </w:r>
            <w:r>
              <w:rPr>
                <w:rFonts w:hint="eastAsia" w:ascii="宋体" w:hAnsi="宋体" w:eastAsia="宋体" w:cs="宋体"/>
                <w:color w:val="000000"/>
                <w:sz w:val="24"/>
                <w:szCs w:val="24"/>
                <w:highlight w:val="none"/>
                <w:lang w:val="en-US" w:eastAsia="zh-CN"/>
              </w:rPr>
              <w:t xml:space="preserve">”。</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（2）服务期限：1年（具体起始日期以合同签订日期为准）。</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（3）质量标准：符合《江苏省城市园林绿化养护管理规范及分级标准》二级养护标准及现行的区级绿化养护管理考核办法（上述标准及考核办法如有修改，按新标准执行）；</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（4）预算价：66万元；</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（5）最高限价：66万元；</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（6）本项目是否专门面向中小企业：是；</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360" w:leader="none"/>
                <w:tab w:val="left" w:pos="960" w:leader="none"/>
              </w:tabs>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（8）本项目不接受联合体报价。</w:t>
            </w:r>
            <w:r>
              <w:rPr>
                <w:highlight w:val="none"/>
              </w:rPr>
            </w:r>
            <w:r>
              <w:rPr>
                <w:highlight w:val="none"/>
              </w:rPr>
            </w:r>
          </w:p>
        </w:tc>
      </w:tr>
      <w:tr>
        <w:trPr>
          <w:trHeight w:val="90"/>
        </w:trPr>
        <w:tc>
          <w:tcPr>
            <w:tcW w:w="759" w:type="dxa"/>
            <w:vAlign w:val="center"/>
            <w:textDirection w:val="lrTb"/>
            <w:noWrap w:val="false"/>
          </w:tcPr>
          <w:p>
            <w:pPr>
              <w:pStyle w:val="1524"/>
              <w:ind w:left="0" w:right="0" w:firstLine="0"/>
              <w:jc w:val="center"/>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highlight w:val="none"/>
              </w:rPr>
            </w:r>
            <w:r>
              <w:rPr>
                <w:highlight w:val="none"/>
              </w:rPr>
            </w:r>
          </w:p>
        </w:tc>
        <w:tc>
          <w:tcPr>
            <w:tcW w:w="8010" w:type="dxa"/>
            <w:vAlign w:val="center"/>
            <w:textDirection w:val="lrTb"/>
            <w:noWrap w:val="false"/>
          </w:tcPr>
          <w:p>
            <w:pPr>
              <w:pStyle w:val="15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供应商资格要求：</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0" w:leader="none"/>
              </w:tabs>
              <w:rPr>
                <w:rFonts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1、满足《中华人民共和国政府采购法》第二十二条规定；</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2、未被“信用中国”网站（www.creditchina.gov.cn）、中国政府采购网(www.ccgp.gov.cn)列入失信被执行人、重大税收违法案件当事人名单、政府采购严重违法失信行为记录名单；</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3.落实政府采购政策需满足的资格要求：供应商为小微企业/监狱企业/残疾人福利企业</w:t>
            </w:r>
            <w:r>
              <w:rPr>
                <w:rFonts w:hint="eastAsia" w:eastAsia="宋体" w:cs="宋体"/>
                <w:color w:val="000000"/>
                <w:sz w:val="24"/>
                <w:szCs w:val="24"/>
                <w:highlight w:val="none"/>
                <w:lang w:val="en-US" w:eastAsia="zh-CN"/>
              </w:rPr>
              <w:t xml:space="preserve">；</w:t>
            </w:r>
            <w:r>
              <w:rPr>
                <w:highlight w:val="none"/>
              </w:rPr>
            </w:r>
            <w:r>
              <w:rPr>
                <w:highlight w:val="none"/>
              </w:rPr>
            </w:r>
          </w:p>
          <w:p>
            <w:pPr>
              <w:pStyle w:val="1524"/>
              <w:ind w:left="0" w:right="0"/>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highlight w:val="none"/>
              </w:rPr>
              <w:outlineLvl w:val="9"/>
            </w:pP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、本项目的特定资格要求：投标人拟派项目负责人必须</w:t>
            </w:r>
            <w:r>
              <w:rPr>
                <w:rFonts w:hint="eastAsia" w:eastAsia="宋体" w:cs="宋体"/>
                <w:color w:val="000000"/>
                <w:sz w:val="24"/>
                <w:szCs w:val="24"/>
                <w:highlight w:val="none"/>
                <w:lang w:val="en-US" w:eastAsia="zh-CN"/>
              </w:rPr>
              <w:t xml:space="preserve">具备</w:t>
            </w:r>
            <w:r>
              <w:rPr>
                <w:rFonts w:hint="eastAsia" w:ascii="宋体" w:hAnsi="宋体" w:eastAsia="宋体" w:cs="宋体"/>
                <w:color w:val="000000"/>
                <w:sz w:val="24"/>
                <w:szCs w:val="24"/>
                <w:highlight w:val="none"/>
                <w:lang w:val="en-US" w:eastAsia="zh-CN"/>
              </w:rPr>
              <w:t xml:space="preserve">园林绿化相关专业中级及以上职称（园林绿化相关专业职称证书是指：与园林绿化工程规划、设计、施工及养护管理相关的专业，包括园林（含园林规划设计、园林植物、风景园林、园林绿化等）、园艺、城市规划、景观、植物（含植保、森保等）。</w:t>
            </w:r>
            <w:r>
              <w:rPr>
                <w:highlight w:val="none"/>
              </w:rPr>
            </w:r>
            <w:r>
              <w:rPr>
                <w:highlight w:val="none"/>
              </w:rP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highlight w:val="none"/>
              </w:rPr>
            </w:r>
            <w:r>
              <w:rPr>
                <w:highlight w:val="none"/>
              </w:rPr>
            </w:r>
          </w:p>
        </w:tc>
        <w:tc>
          <w:tcPr>
            <w:tcW w:w="8010" w:type="dxa"/>
            <w:vAlign w:val="center"/>
            <w:textDirection w:val="lrTb"/>
            <w:noWrap w:val="false"/>
          </w:tcPr>
          <w:p>
            <w:pPr>
              <w:ind w:left="0" w:right="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发售采购文件时间：</w:t>
            </w:r>
            <w:r>
              <w:rPr>
                <w:highlight w:val="none"/>
              </w:rPr>
            </w:r>
            <w:r>
              <w:rPr>
                <w:highlight w:val="none"/>
              </w:rP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提供采购文件时间：自</w:t>
            </w:r>
            <w:r>
              <w:rPr>
                <w:rFonts w:hint="eastAsia" w:ascii="宋体" w:hAnsi="宋体" w:eastAsia="宋体" w:cs="宋体"/>
                <w:bCs/>
                <w:color w:val="000000"/>
                <w:sz w:val="24"/>
                <w:szCs w:val="24"/>
                <w:highlight w:val="none"/>
                <w:lang w:val="en-US" w:eastAsia="zh-CN"/>
              </w:rPr>
              <w:t xml:space="preserve">发布之日起5个工作日</w:t>
            </w:r>
            <w:r>
              <w:rPr>
                <w:rFonts w:hint="eastAsia" w:ascii="宋体" w:hAnsi="宋体" w:eastAsia="宋体" w:cs="宋体"/>
                <w:bCs/>
                <w:color w:val="000000"/>
                <w:sz w:val="24"/>
                <w:szCs w:val="24"/>
                <w:highlight w:val="none"/>
              </w:rPr>
              <w:t xml:space="preserve">，法定假日不办理。</w:t>
            </w:r>
            <w:r>
              <w:rPr>
                <w:highlight w:val="none"/>
              </w:rPr>
            </w:r>
            <w:r>
              <w:rPr>
                <w:highlight w:val="none"/>
              </w:rP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2、获取方式：本项目采用网上注册登记方式，网上注册登记成功后系统内免费下载。</w:t>
            </w:r>
            <w:r>
              <w:rPr>
                <w:highlight w:val="none"/>
              </w:rPr>
            </w:r>
            <w:r>
              <w:rPr>
                <w:highlight w:val="none"/>
              </w:rP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3、潜在</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w:t>
            </w:r>
            <w:r>
              <w:rPr>
                <w:rFonts w:hint="eastAsia" w:ascii="宋体" w:hAnsi="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，对采购文件各项内容做出实质性响应，否则其</w:t>
            </w:r>
            <w:r>
              <w:rPr>
                <w:rFonts w:hint="eastAsia" w:ascii="宋体" w:hAnsi="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无效。</w:t>
            </w:r>
            <w:r>
              <w:rPr>
                <w:highlight w:val="none"/>
              </w:rPr>
            </w:r>
            <w:r>
              <w:rPr>
                <w:highlight w:val="none"/>
              </w:rP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应承担其编制</w:t>
            </w:r>
            <w:r>
              <w:rPr>
                <w:rFonts w:hint="eastAsia" w:ascii="宋体" w:hAnsi="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以及递交</w:t>
            </w:r>
            <w:r>
              <w:rPr>
                <w:rFonts w:hint="eastAsia" w:ascii="宋体" w:hAnsi="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所涉及的一切费用。无论投标结果如何，采购人对上述费用不负任何责任。</w:t>
            </w:r>
            <w:r>
              <w:rPr>
                <w:highlight w:val="none"/>
              </w:rPr>
            </w:r>
            <w:r>
              <w:rPr>
                <w:highlight w:val="none"/>
              </w:rPr>
            </w:r>
          </w:p>
          <w:p>
            <w:pPr>
              <w:ind w:left="0" w:right="0"/>
              <w:jc w:val="left"/>
              <w:keepLines w:val="0"/>
              <w:keepNext w:val="0"/>
              <w:pageBreakBefore w:val="0"/>
              <w:spacing w:line="360" w:lineRule="auto"/>
              <w:widowControl/>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5、本项目无须缴纳投标保证金。</w:t>
            </w:r>
            <w:r>
              <w:rPr>
                <w:highlight w:val="none"/>
              </w:rPr>
            </w:r>
            <w:r>
              <w:rPr>
                <w:highlight w:val="none"/>
              </w:rPr>
            </w:r>
          </w:p>
          <w:p>
            <w:pPr>
              <w:pStyle w:val="1334"/>
              <w:rPr>
                <w:rFonts w:hint="eastAsia"/>
                <w:highlight w:val="none"/>
              </w:rPr>
            </w:pPr>
            <w:r>
              <w:rPr>
                <w:rFonts w:hint="eastAsia"/>
                <w:highlight w:val="none"/>
              </w:rPr>
            </w:r>
            <w:r>
              <w:rPr>
                <w:highlight w:val="none"/>
              </w:rPr>
            </w:r>
            <w:r>
              <w:rPr>
                <w:highlight w:val="none"/>
              </w:rP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highlight w:val="none"/>
              </w:rPr>
            </w:r>
            <w:r>
              <w:rPr>
                <w:highlight w:val="none"/>
              </w:rPr>
            </w:r>
          </w:p>
        </w:tc>
        <w:tc>
          <w:tcPr>
            <w:tcW w:w="8010" w:type="dxa"/>
            <w:vAlign w:val="center"/>
            <w:textDirection w:val="lrTb"/>
            <w:noWrap w:val="false"/>
          </w:tcPr>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投标供应商对采购文件提出修改、澄清要求的截止时间：</w:t>
            </w:r>
            <w:r>
              <w:rPr>
                <w:highlight w:val="none"/>
              </w:rPr>
            </w:r>
            <w:r>
              <w:rPr>
                <w:highlight w:val="none"/>
              </w:rP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eastAsia="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16</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00时，以书面传真形式和电子邮件形式发送给采购代理机构。</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采购人对采购文件修改、澄清的截止时间：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eastAsia="宋体" w:cs="宋体"/>
                <w:b/>
                <w:color w:val="000000"/>
                <w:sz w:val="24"/>
                <w:szCs w:val="24"/>
                <w:highlight w:val="none"/>
                <w:u w:val="single"/>
              </w:rPr>
              <w:t xml:space="preserve">月</w:t>
            </w:r>
            <w:r>
              <w:rPr>
                <w:rFonts w:hint="eastAsia" w:ascii="宋体" w:hAnsi="宋体" w:cs="宋体"/>
                <w:b/>
                <w:color w:val="000000"/>
                <w:sz w:val="24"/>
                <w:szCs w:val="24"/>
                <w:highlight w:val="none"/>
                <w:u w:val="single"/>
                <w:lang w:val="en-US" w:eastAsia="zh-CN"/>
              </w:rPr>
              <w:t xml:space="preserve">16</w:t>
            </w:r>
            <w:bookmarkStart w:id="48" w:name="_GoBack"/>
            <w:r>
              <w:rPr>
                <w:highlight w:val="none"/>
              </w:rPr>
            </w:r>
            <w:bookmarkEnd w:id="48"/>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00时前，</w:t>
            </w:r>
            <w:r>
              <w:rPr>
                <w:rFonts w:hint="eastAsia" w:hAnsi="宋体" w:cs="宋体"/>
                <w:sz w:val="24"/>
                <w:highlight w:val="none"/>
              </w:rPr>
              <w:t xml:space="preserve">以电子邮件形式告知</w:t>
            </w:r>
            <w:r>
              <w:rPr>
                <w:rFonts w:hint="eastAsia" w:ascii="宋体" w:hAnsi="宋体" w:eastAsia="宋体" w:cs="宋体"/>
                <w:color w:val="000000"/>
                <w:sz w:val="24"/>
                <w:szCs w:val="24"/>
                <w:highlight w:val="none"/>
              </w:rPr>
              <w:t xml:space="preserve">各报名投标供应商。</w:t>
            </w:r>
            <w:r>
              <w:rPr>
                <w:highlight w:val="none"/>
              </w:rPr>
            </w:r>
            <w:r>
              <w:rPr>
                <w:highlight w:val="none"/>
              </w:rP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sz w:val="24"/>
                <w:szCs w:val="24"/>
                <w:highlight w:val="none"/>
              </w:rPr>
              <w:t xml:space="preserve">无需递交</w:t>
            </w:r>
            <w:r>
              <w:rPr>
                <w:rFonts w:hint="eastAsia" w:ascii="宋体" w:hAnsi="宋体" w:eastAsia="宋体" w:cs="宋体"/>
                <w:color w:val="000000"/>
                <w:sz w:val="24"/>
                <w:szCs w:val="24"/>
                <w:highlight w:val="none"/>
              </w:rPr>
              <w:t xml:space="preserve">投标保证金</w:t>
            </w:r>
            <w:r>
              <w:rPr>
                <w:highlight w:val="none"/>
              </w:rPr>
            </w:r>
            <w:r>
              <w:rPr>
                <w:highlight w:val="none"/>
              </w:rPr>
            </w:r>
          </w:p>
        </w:tc>
      </w:tr>
      <w:tr>
        <w:trPr>
          <w:trHeight w:val="90"/>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投标有效期：投标截止之日起90天</w:t>
            </w:r>
            <w:r>
              <w:rPr>
                <w:highlight w:val="none"/>
              </w:rPr>
            </w:r>
            <w:r>
              <w:rPr>
                <w:highlight w:val="none"/>
              </w:rP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投标文件开始接收时间：202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8月</w:t>
            </w:r>
            <w:r>
              <w:rPr>
                <w:rFonts w:hint="eastAsia" w:ascii="宋体" w:hAnsi="宋体" w:eastAsia="宋体" w:cs="宋体"/>
                <w:color w:val="000000"/>
                <w:sz w:val="24"/>
                <w:szCs w:val="24"/>
                <w:highlight w:val="none"/>
              </w:rPr>
              <w:t xml:space="preserve">1日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00；</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投标文件接收截止时间：202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8月</w:t>
            </w:r>
            <w:r>
              <w:rPr>
                <w:rFonts w:hint="eastAsia" w:ascii="宋体" w:hAnsi="宋体" w:eastAsia="宋体" w:cs="宋体"/>
                <w:color w:val="000000"/>
                <w:sz w:val="24"/>
                <w:szCs w:val="24"/>
                <w:highlight w:val="none"/>
              </w:rPr>
              <w:t xml:space="preserve">1日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30。</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截止时间后的投标文件恕不接受。</w:t>
            </w:r>
            <w:r>
              <w:rPr>
                <w:highlight w:val="none"/>
              </w:rPr>
            </w:r>
            <w:r>
              <w:rPr>
                <w:highlight w:val="none"/>
              </w:rPr>
            </w:r>
          </w:p>
          <w:p>
            <w:pPr>
              <w:pStyle w:val="152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投标方式：网上投标截止时间前</w:t>
            </w:r>
            <w:r>
              <w:rPr>
                <w:rFonts w:hint="eastAsia" w:ascii="宋体" w:hAnsi="宋体" w:cs="宋体"/>
                <w:color w:val="000000"/>
                <w:sz w:val="24"/>
                <w:szCs w:val="24"/>
                <w:highlight w:val="none"/>
                <w:lang w:val="en-US" w:eastAsia="zh-CN"/>
              </w:rPr>
              <w:t xml:space="preserve">苏采云</w:t>
            </w:r>
            <w:r>
              <w:rPr>
                <w:rFonts w:hint="eastAsia" w:ascii="宋体" w:hAnsi="宋体" w:eastAsia="宋体" w:cs="宋体"/>
                <w:color w:val="000000"/>
                <w:sz w:val="24"/>
                <w:szCs w:val="24"/>
                <w:highlight w:val="none"/>
              </w:rPr>
              <w:t xml:space="preserve">投标客户端投标</w:t>
            </w:r>
            <w:r>
              <w:rPr>
                <w:highlight w:val="none"/>
              </w:rPr>
            </w:r>
            <w:r>
              <w:rPr>
                <w:highlight w:val="none"/>
              </w:rPr>
            </w:r>
          </w:p>
          <w:p>
            <w:pPr>
              <w:pStyle w:val="1524"/>
              <w:ind w:left="0" w:right="0" w:firstLine="0"/>
              <w:keepLines w:val="0"/>
              <w:keepNext w:val="0"/>
              <w:pageBreakBefore w:val="0"/>
              <w:spacing w:before="0" w:beforeAutospacing="0" w:after="0" w:afterAutospacing="0" w:line="360" w:lineRule="auto"/>
              <w:tabs>
                <w:tab w:val="left" w:pos="28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投标地点：江苏省政府采购（苏采云）平台投标，线上不见面开标</w:t>
            </w:r>
            <w:r>
              <w:rPr>
                <w:highlight w:val="none"/>
              </w:rPr>
            </w:r>
            <w:r>
              <w:rPr>
                <w:highlight w:val="none"/>
              </w:rPr>
            </w:r>
          </w:p>
          <w:p>
            <w:pPr>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网上投标解密时间：开启解密后半小时；</w:t>
            </w:r>
            <w:r>
              <w:rPr>
                <w:highlight w:val="none"/>
              </w:rPr>
            </w:r>
            <w:r>
              <w:rPr>
                <w:highlight w:val="none"/>
              </w:rPr>
            </w:r>
          </w:p>
          <w:p>
            <w:pPr>
              <w:pStyle w:val="1501"/>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highlight w:val="none"/>
              </w:rPr>
            </w:r>
            <w:r>
              <w:rPr>
                <w:highlight w:val="none"/>
              </w:rPr>
            </w:r>
          </w:p>
          <w:p>
            <w:pPr>
              <w:pStyle w:val="1501"/>
              <w:ind w:left="0" w:right="0"/>
              <w:keepLines w:val="0"/>
              <w:keepNext w:val="0"/>
              <w:pageBreakBefore w:val="0"/>
              <w:spacing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highlight w:val="none"/>
              </w:rPr>
            </w:r>
            <w:r>
              <w:rPr>
                <w:highlight w:val="none"/>
              </w:rPr>
            </w:r>
          </w:p>
          <w:p>
            <w:pPr>
              <w:pStyle w:val="1501"/>
              <w:ind w:left="0" w:right="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
                <w:bCs w:val="0"/>
                <w:color w:val="000000"/>
                <w:sz w:val="24"/>
                <w:szCs w:val="24"/>
                <w:highlight w:val="none"/>
              </w:rPr>
              <w:t xml:space="preserve">2、若资格审查中或评审过程中，采购人/代理机构/评标委员会对</w:t>
            </w:r>
            <w:r>
              <w:rPr>
                <w:rFonts w:hint="eastAsia" w:ascii="宋体" w:hAnsi="宋体" w:eastAsia="宋体" w:cs="宋体"/>
                <w:b/>
                <w:bCs w:val="0"/>
                <w:color w:val="000000"/>
                <w:sz w:val="24"/>
                <w:szCs w:val="24"/>
                <w:highlight w:val="none"/>
                <w:lang w:eastAsia="zh-CN"/>
              </w:rPr>
              <w:t xml:space="preserve">投标文件</w:t>
            </w:r>
            <w:r>
              <w:rPr>
                <w:rFonts w:hint="eastAsia" w:ascii="宋体" w:hAnsi="宋体" w:eastAsia="宋体" w:cs="宋体"/>
                <w:b/>
                <w:bCs w:val="0"/>
                <w:color w:val="000000"/>
                <w:sz w:val="24"/>
                <w:szCs w:val="24"/>
                <w:highlight w:val="none"/>
              </w:rPr>
              <w:t xml:space="preserve">存在疑问，</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被授权代表须在接到在线询标函后15分钟内，在开标界面在线以澄清函回复并签章；若</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被授权代表未在规定时间内按上述要求做出回复，则视为</w:t>
            </w:r>
            <w:r>
              <w:rPr>
                <w:rFonts w:hint="eastAsia" w:ascii="宋体" w:hAnsi="宋体" w:eastAsia="宋体" w:cs="宋体"/>
                <w:b/>
                <w:bCs w:val="0"/>
                <w:color w:val="000000"/>
                <w:sz w:val="24"/>
                <w:szCs w:val="24"/>
                <w:highlight w:val="none"/>
                <w:lang w:eastAsia="zh-CN"/>
              </w:rPr>
              <w:t xml:space="preserve">投标供应商</w:t>
            </w:r>
            <w:r>
              <w:rPr>
                <w:rFonts w:hint="eastAsia" w:ascii="宋体" w:hAnsi="宋体" w:eastAsia="宋体" w:cs="宋体"/>
                <w:b/>
                <w:bCs w:val="0"/>
                <w:color w:val="000000"/>
                <w:sz w:val="24"/>
                <w:szCs w:val="24"/>
                <w:highlight w:val="none"/>
              </w:rPr>
              <w:t xml:space="preserve">默认资审结果或评审结果。</w:t>
            </w:r>
            <w:r>
              <w:rPr>
                <w:highlight w:val="none"/>
              </w:rPr>
            </w:r>
            <w:r>
              <w:rPr>
                <w:highlight w:val="none"/>
              </w:rPr>
            </w:r>
          </w:p>
        </w:tc>
      </w:tr>
      <w:tr>
        <w:trPr>
          <w:trHeight w:val="599"/>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开标时间：</w:t>
            </w:r>
            <w:r>
              <w:rPr>
                <w:rFonts w:hint="eastAsia" w:ascii="宋体" w:hAnsi="宋体" w:eastAsia="宋体" w:cs="宋体"/>
                <w:b/>
                <w:color w:val="000000"/>
                <w:sz w:val="24"/>
                <w:szCs w:val="24"/>
                <w:highlight w:val="none"/>
                <w:u w:val="single"/>
              </w:rPr>
              <w:t xml:space="preserve">202</w:t>
            </w:r>
            <w:r>
              <w:rPr>
                <w:rFonts w:hint="eastAsia" w:ascii="宋体" w:hAnsi="宋体" w:eastAsia="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8月</w:t>
            </w:r>
            <w:r>
              <w:rPr>
                <w:rFonts w:hint="eastAsia" w:ascii="宋体" w:hAnsi="宋体" w:eastAsia="宋体" w:cs="宋体"/>
                <w:b/>
                <w:color w:val="000000"/>
                <w:sz w:val="24"/>
                <w:szCs w:val="24"/>
                <w:highlight w:val="none"/>
                <w:u w:val="single"/>
              </w:rPr>
              <w:t xml:space="preserve">1日</w:t>
            </w:r>
            <w:r>
              <w:rPr>
                <w:rFonts w:hint="eastAsia" w:ascii="宋体" w:hAnsi="宋体" w:cs="宋体"/>
                <w:b/>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rPr>
              <w:t xml:space="preserve">30</w:t>
            </w:r>
            <w:r>
              <w:rPr>
                <w:highlight w:val="none"/>
              </w:rPr>
            </w:r>
            <w:r>
              <w:rPr>
                <w:highlight w:val="none"/>
              </w:rPr>
            </w:r>
          </w:p>
          <w:p>
            <w:pPr>
              <w:ind w:left="0" w:right="0"/>
              <w:keepLines w:val="0"/>
              <w:keepNext w:val="0"/>
              <w:pageBreakBefore w:val="0"/>
              <w:spacing w:line="360" w:lineRule="auto"/>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开标地点：苏采云系统（网址：http://jszfcg.jsczt.cn/）“开标大厅”</w:t>
            </w:r>
            <w:r>
              <w:rPr>
                <w:highlight w:val="none"/>
              </w:rPr>
            </w:r>
            <w:r>
              <w:rPr>
                <w:highlight w:val="none"/>
              </w:rP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确定中标单位时间：</w:t>
            </w:r>
            <w:r>
              <w:rPr>
                <w:rFonts w:hint="eastAsia" w:ascii="宋体" w:hAnsi="宋体" w:eastAsia="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4</w:t>
            </w:r>
            <w:r>
              <w:rPr>
                <w:rFonts w:hint="eastAsia" w:ascii="宋体" w:hAnsi="宋体" w:eastAsia="宋体" w:cs="宋体"/>
                <w:b/>
                <w:color w:val="000000"/>
                <w:sz w:val="24"/>
                <w:szCs w:val="24"/>
                <w:highlight w:val="none"/>
                <w:u w:val="single"/>
              </w:rPr>
              <w:t xml:space="preserve">年</w:t>
            </w:r>
            <w:r>
              <w:rPr>
                <w:rFonts w:hint="eastAsia" w:ascii="宋体" w:hAnsi="宋体" w:eastAsia="宋体" w:cs="宋体"/>
                <w:b/>
                <w:color w:val="000000"/>
                <w:sz w:val="24"/>
                <w:szCs w:val="24"/>
                <w:highlight w:val="none"/>
                <w:u w:val="single"/>
              </w:rPr>
              <w:t xml:space="preserve">8月</w:t>
            </w:r>
            <w:r>
              <w:rPr>
                <w:rFonts w:hint="eastAsia" w:ascii="宋体" w:hAnsi="宋体" w:eastAsia="宋体" w:cs="宋体"/>
                <w:b/>
                <w:color w:val="000000"/>
                <w:sz w:val="24"/>
                <w:szCs w:val="24"/>
                <w:highlight w:val="none"/>
                <w:u w:val="single"/>
              </w:rPr>
              <w:t xml:space="preserve">1日</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确定中标单位地点：苏采云系统（网址：http://jszfcg.jsczt.cn/）“开标大厅”</w:t>
            </w:r>
            <w:r>
              <w:rPr>
                <w:highlight w:val="none"/>
              </w:rPr>
            </w:r>
            <w:r>
              <w:rPr>
                <w:highlight w:val="none"/>
              </w:rPr>
            </w:r>
          </w:p>
        </w:tc>
      </w:tr>
      <w:tr>
        <w:trPr>
          <w:trHeight w:val="713"/>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投标文件制作要求：</w:t>
            </w:r>
            <w:r>
              <w:rPr>
                <w:highlight w:val="none"/>
              </w:rPr>
            </w:r>
            <w:r>
              <w:rPr>
                <w:highlight w:val="none"/>
              </w:rP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本项目采用线上电子开评标，供应商在开标截止时间前网上上传电子投标文件。</w:t>
            </w:r>
            <w:r>
              <w:rPr>
                <w:highlight w:val="none"/>
              </w:rPr>
            </w:r>
            <w:r>
              <w:rPr>
                <w:highlight w:val="none"/>
              </w:rP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开标当天请供应商联系人保持通讯畅通。</w:t>
            </w:r>
            <w:r>
              <w:rPr>
                <w:highlight w:val="none"/>
              </w:rPr>
            </w:r>
            <w:r>
              <w:rPr>
                <w:highlight w:val="none"/>
              </w:rP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供应商请仔细阅读供应商注册流程和采购文件中关于电子开评标等相关事项，如有问题可发送邮件或电话咨询。</w:t>
            </w:r>
            <w:r>
              <w:rPr>
                <w:highlight w:val="none"/>
              </w:rPr>
            </w:r>
            <w:r>
              <w:rPr>
                <w:highlight w:val="none"/>
              </w:rP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、本次采购采用“苏采云”系统进行采购活动，招标文件发布、报价、评审和中标结果发布全程电子化</w:t>
            </w:r>
            <w:r>
              <w:rPr>
                <w:rFonts w:hint="eastAsia" w:ascii="宋体" w:hAnsi="宋体" w:eastAsia="宋体" w:cs="宋体"/>
                <w:color w:val="000000"/>
                <w:sz w:val="24"/>
                <w:szCs w:val="24"/>
                <w:highlight w:val="none"/>
              </w:rPr>
              <w:t xml:space="preserve">。</w:t>
            </w:r>
            <w:r>
              <w:rPr>
                <w:highlight w:val="none"/>
              </w:rPr>
            </w:r>
            <w:r>
              <w:rPr>
                <w:highlight w:val="none"/>
              </w:rPr>
            </w:r>
          </w:p>
          <w:p>
            <w:pPr>
              <w:ind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lang w:eastAsia="zh-CN"/>
              </w:rPr>
              <w:t xml:space="preserve">、中标供应商在收到中标通知书后与采购人签订合同前，必须提供与系统中电子投标文件一致的纸质投标文件一式</w:t>
            </w: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份（</w:t>
            </w:r>
            <w:r>
              <w:rPr>
                <w:rFonts w:hint="eastAsia" w:ascii="宋体" w:hAnsi="宋体" w:eastAsia="宋体" w:cs="宋体"/>
                <w:b/>
                <w:color w:val="000000"/>
                <w:sz w:val="24"/>
                <w:szCs w:val="24"/>
                <w:highlight w:val="none"/>
                <w:lang w:val="en-US" w:eastAsia="zh-CN"/>
              </w:rPr>
              <w:t xml:space="preserve">一正</w:t>
            </w:r>
            <w:r>
              <w:rPr>
                <w:rFonts w:hint="eastAsia" w:ascii="宋体" w:hAnsi="宋体" w:cs="宋体"/>
                <w:b/>
                <w:color w:val="000000"/>
                <w:sz w:val="24"/>
                <w:szCs w:val="24"/>
                <w:highlight w:val="none"/>
                <w:lang w:val="en-US" w:eastAsia="zh-CN"/>
              </w:rPr>
              <w:t xml:space="preserve">两</w:t>
            </w:r>
            <w:r>
              <w:rPr>
                <w:rFonts w:hint="eastAsia" w:ascii="宋体" w:hAnsi="宋体" w:eastAsia="宋体" w:cs="宋体"/>
                <w:b/>
                <w:color w:val="000000"/>
                <w:sz w:val="24"/>
                <w:szCs w:val="24"/>
                <w:highlight w:val="none"/>
                <w:lang w:val="en-US" w:eastAsia="zh-CN"/>
              </w:rPr>
              <w:t xml:space="preserve">副</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w:t>
            </w:r>
            <w:r>
              <w:rPr>
                <w:highlight w:val="none"/>
              </w:rPr>
            </w:r>
            <w:r>
              <w:rPr>
                <w:highlight w:val="none"/>
              </w:rPr>
            </w:r>
          </w:p>
        </w:tc>
      </w:tr>
      <w:tr>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有关本次采购活动程序方面的问题，可来人、来函(传真)或电话联系。</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采购人：无锡市梁溪区黄巷街道办事处</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联系地址：梁溪区凤翔北路9号</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联系人：徐主任  </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联系电话：0510-83116117 </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采购代理机构：无锡众勤嘉业项目管理有限公司</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联系地址：无锡市滨湖区中南西路88号蠡湖商旅大厦7楼738单元</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t xml:space="preserve">吴一淼</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联系电话：0510-88770085</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邮箱：1278802485@qq.com</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邮政编码：214000</w:t>
            </w:r>
            <w:r>
              <w:rPr>
                <w:highlight w:val="none"/>
              </w:rPr>
            </w:r>
            <w:r>
              <w:rPr>
                <w:highlight w:val="none"/>
              </w:rPr>
            </w:r>
          </w:p>
        </w:tc>
      </w:tr>
      <w:tr>
        <w:trPr>
          <w:trHeight w:val="91"/>
        </w:trPr>
        <w:tc>
          <w:tcPr>
            <w:tcW w:w="75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14</w:t>
            </w:r>
            <w:r>
              <w:rPr>
                <w:highlight w:val="none"/>
              </w:rPr>
            </w:r>
            <w:r>
              <w:rPr>
                <w:highlight w:val="none"/>
              </w:rPr>
            </w:r>
          </w:p>
        </w:tc>
        <w:tc>
          <w:tcPr>
            <w:tcW w:w="8010"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zh-CN"/>
              </w:rPr>
              <w:t xml:space="preserve">潜在投标供应商访问江苏省政府采购（苏采云）平台的网络地址和方法：</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1、请有意参加本项目投标的供应商按以下流程进行操作：</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（1）访问“无锡政府采购网”点击“江苏省政府采购（苏采云）平台”——“用户注册”按钮进入注册界面进行账号注册并填写申请信息,也可以直接通过http://jszfcg.jscz.gov.cn/jszc/register进入注册界面。</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（2）领取CA：</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（3）CA驱动下载：</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在“江苏省政府采购（苏采云）平台”账号登陆页面，点击“驱动下载”链接中的“政务CA、方正签章控件驱动安装包及安装说明”可以直接下载驱动安装包，安装包中附有驱动安装手册。</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（5）采购文件（后缀名为“.kedt”）、“苏采云”系统供应商操作手册及政府采购客户端工具也可通过“苏采云”系统--已参与项目--报名详情页面内相应链接进行下载。</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（7）采购代理机构将数据电文形式的采购文件加载至“苏采云”系统，供潜在供应商下载或者查阅。</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（8）苏采云系统应使用谷歌浏览器参与不见面开标。</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3、有关本次招标的事项若存在变动或修改，敬请及时关注“无锡政府采购网”、“江苏政府采购网”发布的信息。</w:t>
            </w:r>
            <w:r>
              <w:rPr>
                <w:highlight w:val="none"/>
              </w:rPr>
            </w:r>
            <w:r>
              <w:rPr>
                <w:highlight w:val="none"/>
              </w:rPr>
            </w:r>
          </w:p>
          <w:p>
            <w:pPr>
              <w:ind w:left="0" w:right="0"/>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zh-CN"/>
              </w:rPr>
              <w:t xml:space="preserve">4、如投标人未按上述要求操作，由此所产生的损失及风险由投标人自行承担。</w:t>
            </w:r>
            <w:r>
              <w:rPr>
                <w:highlight w:val="none"/>
              </w:rPr>
            </w:r>
            <w:r>
              <w:rPr>
                <w:highlight w:val="none"/>
              </w:rPr>
            </w:r>
          </w:p>
        </w:tc>
      </w:tr>
    </w:tbl>
    <w:p>
      <w:pPr>
        <w:pStyle w:val="1529"/>
        <w:ind w:left="0" w:firstLine="0"/>
        <w:rPr>
          <w:rFonts w:hint="eastAsia"/>
          <w:color w:val="000000"/>
          <w:highlight w:val="none"/>
        </w:rPr>
        <w:outlineLvl w:val="9"/>
      </w:pPr>
      <w:r>
        <w:rPr>
          <w:rFonts w:hint="eastAsia"/>
          <w:color w:val="000000"/>
          <w:highlight w:val="none"/>
        </w:rPr>
      </w:r>
      <w:r>
        <w:rPr>
          <w:highlight w:val="none"/>
        </w:rPr>
      </w:r>
      <w:r>
        <w:rPr>
          <w:highlight w:val="none"/>
        </w:rPr>
      </w:r>
    </w:p>
    <w:p>
      <w:pPr>
        <w:jc w:val="center"/>
        <w:spacing w:line="360" w:lineRule="auto"/>
        <w:rPr>
          <w:rStyle w:val="1490"/>
          <w:rFonts w:hint="eastAsia"/>
          <w:color w:val="000000"/>
          <w:highlight w:val="none"/>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outlineLvl w:val="9"/>
      </w:pPr>
      <w:r>
        <w:rPr>
          <w:highlight w:val="none"/>
        </w:rPr>
      </w:r>
      <w:bookmarkStart w:id="8" w:name="_Toc23923"/>
      <w:r>
        <w:rPr>
          <w:highlight w:val="none"/>
        </w:rPr>
      </w:r>
      <w:r>
        <w:rPr>
          <w:highlight w:val="none"/>
        </w:rPr>
      </w:r>
    </w:p>
    <w:p>
      <w:pPr>
        <w:jc w:val="center"/>
        <w:spacing w:line="360" w:lineRule="auto"/>
        <w:rPr>
          <w:rFonts w:hint="eastAsia" w:ascii="Times New Roman" w:hAnsi="宋体" w:eastAsia="宋体" w:cs="宋体"/>
          <w:b/>
          <w:bCs/>
          <w:sz w:val="32"/>
          <w:szCs w:val="32"/>
          <w:highlight w:val="none"/>
        </w:rPr>
        <w:outlineLvl w:val="0"/>
      </w:pPr>
      <w:r>
        <w:rPr>
          <w:highlight w:val="none"/>
        </w:rPr>
      </w:r>
      <w:bookmarkStart w:id="9" w:name="_Toc24863"/>
      <w:r>
        <w:rPr>
          <w:rFonts w:hint="eastAsia" w:ascii="Times New Roman" w:hAnsi="宋体" w:eastAsia="宋体" w:cs="宋体"/>
          <w:b/>
          <w:bCs/>
          <w:sz w:val="32"/>
          <w:szCs w:val="32"/>
          <w:highlight w:val="none"/>
          <w:lang w:val="en-US" w:eastAsia="zh-CN"/>
        </w:rPr>
        <w:t xml:space="preserve">二、投标人须知</w:t>
      </w:r>
      <w:bookmarkEnd w:id="8"/>
      <w:r>
        <w:rPr>
          <w:highlight w:val="none"/>
        </w:rPr>
      </w:r>
      <w:bookmarkEnd w:id="9"/>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(二)招标文件：</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highlight w:val="none"/>
        </w:rPr>
      </w:r>
      <w:r>
        <w:rPr>
          <w:highlight w:val="none"/>
        </w:rPr>
      </w:r>
    </w:p>
    <w:p>
      <w:pPr>
        <w:pStyle w:val="1560"/>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(三)招标文件的解释：</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w:t>
      </w: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eastAsia="宋体" w:cs="宋体"/>
          <w:bCs/>
          <w:color w:val="000000"/>
          <w:sz w:val="24"/>
          <w:szCs w:val="24"/>
          <w:highlight w:val="none"/>
        </w:rPr>
        <w:t xml:space="preserve">。</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(四)招标文件的补充或修正：</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eastAsia="宋体" w:cs="宋体"/>
          <w:bCs/>
          <w:color w:val="000000"/>
          <w:sz w:val="24"/>
          <w:szCs w:val="24"/>
          <w:highlight w:val="none"/>
        </w:rPr>
        <w:t xml:space="preserve">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w:t>
      </w:r>
      <w:r>
        <w:rPr>
          <w:rFonts w:hint="eastAsia" w:ascii="宋体" w:hAnsi="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eastAsia="宋体" w:cs="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eastAsia="宋体" w:cs="宋体"/>
          <w:bCs/>
          <w:color w:val="000000"/>
          <w:sz w:val="24"/>
          <w:szCs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eastAsia="宋体" w:cs="宋体"/>
          <w:bCs/>
          <w:color w:val="000000"/>
          <w:sz w:val="24"/>
          <w:szCs w:val="24"/>
          <w:highlight w:val="none"/>
        </w:rPr>
        <w:t xml:space="preserve">对无效质疑不予受理。</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(五)</w:t>
      </w:r>
      <w:r>
        <w:rPr>
          <w:rFonts w:hint="eastAsia" w:ascii="宋体" w:hAnsi="宋体" w:cs="宋体"/>
          <w:bCs/>
          <w:color w:val="000000"/>
          <w:sz w:val="24"/>
          <w:szCs w:val="24"/>
          <w:highlight w:val="none"/>
          <w:lang w:val="en-US" w:eastAsia="zh-CN"/>
        </w:rPr>
        <w:t xml:space="preserve">投标文件</w:t>
      </w:r>
      <w:r>
        <w:rPr>
          <w:rFonts w:hint="eastAsia" w:ascii="宋体" w:hAnsi="宋体" w:eastAsia="宋体" w:cs="宋体"/>
          <w:bCs/>
          <w:color w:val="000000"/>
          <w:sz w:val="24"/>
          <w:szCs w:val="24"/>
          <w:highlight w:val="none"/>
          <w:lang w:val="en-US" w:eastAsia="zh-CN"/>
        </w:rPr>
        <w:t xml:space="preserve">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cs="宋体"/>
          <w:b/>
          <w:bCs w:val="0"/>
          <w:color w:val="000000"/>
          <w:sz w:val="24"/>
          <w:szCs w:val="24"/>
          <w:highlight w:val="none"/>
          <w:lang w:val="en-US" w:eastAsia="zh-CN"/>
        </w:rPr>
        <w:t xml:space="preserve">投标文件</w:t>
      </w:r>
      <w:r>
        <w:rPr>
          <w:rFonts w:hint="eastAsia" w:ascii="宋体" w:hAnsi="宋体" w:eastAsia="宋体" w:cs="宋体"/>
          <w:b/>
          <w:bCs w:val="0"/>
          <w:color w:val="000000"/>
          <w:sz w:val="24"/>
          <w:szCs w:val="24"/>
          <w:highlight w:val="none"/>
          <w:lang w:val="en-US" w:eastAsia="zh-CN"/>
        </w:rPr>
        <w:t xml:space="preserve">由证明文件、响应函、报价文件、技术部分四部分组成。</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default" w:ascii="宋体" w:hAnsi="宋体" w:cs="宋体"/>
          <w:b/>
          <w:bCs w:val="0"/>
          <w:color w:val="000000"/>
          <w:sz w:val="24"/>
          <w:szCs w:val="24"/>
          <w:highlight w:val="none"/>
        </w:rPr>
        <w:outlineLvl w:val="9"/>
      </w:pPr>
      <w:r>
        <w:rPr>
          <w:rFonts w:hint="eastAsia" w:ascii="宋体" w:hAnsi="宋体" w:cs="宋体"/>
          <w:b/>
          <w:bCs w:val="0"/>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szCs w:val="24"/>
          <w:highlight w:val="none"/>
          <w:lang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en-US" w:eastAsia="zh-CN"/>
        </w:rPr>
        <w:t xml:space="preserve">.证明文件：</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1.1资格、资信证明文件</w:t>
      </w:r>
      <w:r>
        <w:rPr>
          <w:rFonts w:hint="eastAsia" w:ascii="宋体" w:hAnsi="宋体" w:eastAsia="宋体" w:cs="宋体"/>
          <w:b/>
          <w:bCs w:val="0"/>
          <w:color w:val="000000"/>
          <w:sz w:val="24"/>
          <w:szCs w:val="24"/>
          <w:highlight w:val="none"/>
          <w:lang w:val="en-US" w:eastAsia="zh-CN"/>
        </w:rPr>
        <w:t xml:space="preserve">（相关证明材料原件扫描后上传至投标文件并电子签章）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（1）关于资格的声明函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（2）投标供应商有效期内的营业执照或相关部门的登记证明文件</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（3）投标供应商法定代表人授权委托书</w:t>
      </w:r>
      <w:r>
        <w:rPr>
          <w:rFonts w:hint="eastAsia" w:ascii="宋体" w:hAnsi="宋体" w:eastAsia="宋体" w:cs="宋体"/>
          <w:b/>
          <w:bCs w:val="0"/>
          <w:color w:val="000000"/>
          <w:sz w:val="24"/>
          <w:szCs w:val="24"/>
          <w:highlight w:val="none"/>
          <w:lang w:val="en-US" w:eastAsia="zh-CN"/>
        </w:rPr>
        <w:t xml:space="preserve">（格式见附件，法定代表人亲自参与的除外）</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（4）投标供应商法定代表人身份证及法定代表人授权代表身份证</w:t>
      </w:r>
      <w:r>
        <w:rPr>
          <w:rFonts w:hint="eastAsia" w:ascii="宋体" w:hAnsi="宋体" w:eastAsia="宋体" w:cs="宋体"/>
          <w:b/>
          <w:bCs w:val="0"/>
          <w:color w:val="000000"/>
          <w:sz w:val="24"/>
          <w:szCs w:val="24"/>
          <w:highlight w:val="none"/>
          <w:lang w:val="en-US" w:eastAsia="zh-CN"/>
        </w:rPr>
        <w:t xml:space="preserve">（原件扫描件，正、反双面扫描上传至投标文件并电子签章）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（5）投标供应商拟派项目负责人的园林绿化专业中级（含）以上职称证书（若职称证书不显示专业，以毕业证书或经职称评审委员会评审通过的《专业技术资格评审申报表》上所注明的专业为准）</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（6）法定代表人授权代表和项目负责人与企业签订的劳动合同</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（7）法定代表人授权代表和项目负责人的由法定的社保收缴部门出具的投标供应商本企业为其依法缴纳的2024年</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t xml:space="preserve">月-2024年</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t xml:space="preserve">月的社保证明（如投标投标供应商成立时间迟于要求的开始月份，则提供成立至今连续月份（不含投标当月）的社保证明）</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（8）投标供应商近三个月中任意一个月份(不含投标当月)的财务状况报告（资产负债表和利润表）或由会计师事务所出具的近两年中任意一年度的审计报告和所附已审财务报告</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（9）投标供应商近三个月中任意一个月份(不含投标当月)的依法缴纳税收的相关材料（提供相关主管部门证明或银行代扣证明）</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（10）投标供应商近三个月中任意一个月份(不含投标当月)的依法缴纳社会保障资金的相关材料（提供相关主管部门证明或银行代扣证明）</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（11）承诺书</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12）投标供应商必须是中小微企业或监狱企业、残疾人福利性单位；投标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w:t>
      </w:r>
      <w:r>
        <w:rPr>
          <w:rFonts w:hint="eastAsia" w:ascii="宋体" w:hAnsi="宋体" w:eastAsia="宋体" w:cs="宋体"/>
          <w:b/>
          <w:bCs w:val="0"/>
          <w:color w:val="000000"/>
          <w:sz w:val="24"/>
          <w:szCs w:val="24"/>
          <w:highlight w:val="none"/>
          <w:lang w:val="en-US" w:eastAsia="zh-CN"/>
        </w:rPr>
        <w:t xml:space="preserve">证明文件原件扫描件上传至投标文件并电子签章</w:t>
      </w:r>
      <w:r>
        <w:rPr>
          <w:rFonts w:hint="eastAsia" w:ascii="宋体" w:hAnsi="宋体" w:eastAsia="宋体" w:cs="宋体"/>
          <w:bCs/>
          <w:color w:val="000000"/>
          <w:sz w:val="24"/>
          <w:szCs w:val="24"/>
          <w:highlight w:val="none"/>
          <w:lang w:val="en-US" w:eastAsia="zh-CN"/>
        </w:rPr>
        <w:t xml:space="preserve">；如为残疾人福利性单位的提供《残疾人福利性单位声明函》</w:t>
      </w:r>
      <w:r>
        <w:rPr>
          <w:rFonts w:hint="eastAsia" w:ascii="宋体" w:hAnsi="宋体" w:eastAsia="宋体" w:cs="宋体"/>
          <w:b/>
          <w:bCs w:val="0"/>
          <w:color w:val="000000"/>
          <w:sz w:val="24"/>
          <w:szCs w:val="24"/>
          <w:highlight w:val="none"/>
          <w:lang w:val="en-US" w:eastAsia="zh-CN"/>
        </w:rPr>
        <w:t xml:space="preserve">原件扫描件上传至投标文件并电子签章</w:t>
      </w:r>
      <w:r>
        <w:rPr>
          <w:rFonts w:hint="eastAsia" w:ascii="宋体" w:hAnsi="宋体" w:eastAsia="宋体" w:cs="宋体"/>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上述资格、资信证明文件必须全部提供，如果原件正在年检（或换证），则必须提供法定年检（或换证）单位出具的有效证明原件扫描件上传至投标文件并电子签章，否则</w:t>
      </w:r>
      <w:r>
        <w:rPr>
          <w:rFonts w:hint="eastAsia" w:ascii="宋体" w:hAnsi="宋体" w:cs="宋体"/>
          <w:b/>
          <w:bCs w:val="0"/>
          <w:color w:val="000000"/>
          <w:sz w:val="24"/>
          <w:szCs w:val="24"/>
          <w:highlight w:val="none"/>
          <w:lang w:val="en-US" w:eastAsia="zh-CN"/>
        </w:rPr>
        <w:t xml:space="preserve">投标文件</w:t>
      </w:r>
      <w:r>
        <w:rPr>
          <w:rFonts w:hint="eastAsia" w:ascii="宋体" w:hAnsi="宋体" w:eastAsia="宋体" w:cs="宋体"/>
          <w:b/>
          <w:bCs w:val="0"/>
          <w:color w:val="000000"/>
          <w:sz w:val="24"/>
          <w:szCs w:val="24"/>
          <w:highlight w:val="none"/>
          <w:lang w:val="en-US" w:eastAsia="zh-CN"/>
        </w:rPr>
        <w:t xml:space="preserve">无效。如上述资格、资信证明文件中遇有国家相关政策规定可不具备的，必须提供相关政策规定或相关单位出具的有效证明。</w:t>
      </w:r>
      <w:r>
        <w:rPr>
          <w:rFonts w:hint="eastAsia" w:ascii="宋体" w:hAnsi="宋体" w:cs="宋体"/>
          <w:b/>
          <w:bCs w:val="0"/>
          <w:color w:val="000000"/>
          <w:sz w:val="24"/>
          <w:szCs w:val="24"/>
          <w:highlight w:val="none"/>
          <w:lang w:val="en-US" w:eastAsia="zh-CN"/>
        </w:rPr>
        <w:t xml:space="preserve">投标供应商</w:t>
      </w:r>
      <w:r>
        <w:rPr>
          <w:rFonts w:hint="eastAsia" w:ascii="宋体" w:hAnsi="宋体" w:eastAsia="宋体" w:cs="宋体"/>
          <w:b/>
          <w:bCs w:val="0"/>
          <w:color w:val="000000"/>
          <w:sz w:val="24"/>
          <w:szCs w:val="24"/>
          <w:highlight w:val="none"/>
          <w:lang w:val="en-US" w:eastAsia="zh-CN"/>
        </w:rPr>
        <w:t xml:space="preserve">法定代表人或被授权代表为外籍、港、澳、台地区人士的，其身份证明须提供有效的护照或港澳同胞来往内地通行证、台湾同胞来往大陆通行证，或其它可在中国大陆有效居留的许可证明。</w:t>
      </w:r>
      <w:r>
        <w:rPr>
          <w:highlight w:val="none"/>
        </w:rPr>
      </w:r>
      <w:r>
        <w:rPr>
          <w:highlight w:val="none"/>
        </w:rPr>
      </w:r>
    </w:p>
    <w:p>
      <w:pPr>
        <w:ind w:firstLine="424"/>
        <w:jc w:val="left"/>
        <w:spacing w:line="360" w:lineRule="auto"/>
        <w:widowControl/>
        <w:tabs>
          <w:tab w:val="left" w:pos="0" w:leader="none"/>
        </w:tabs>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t xml:space="preserve">补充证明文件：</w:t>
      </w:r>
      <w:r>
        <w:rPr>
          <w:highlight w:val="none"/>
        </w:rPr>
      </w:r>
      <w:r>
        <w:rPr>
          <w:highlight w:val="none"/>
        </w:rPr>
      </w:r>
    </w:p>
    <w:p>
      <w:pPr>
        <w:ind w:left="372"/>
        <w:jc w:val="left"/>
        <w:spacing w:line="360" w:lineRule="auto"/>
        <w:widowControl/>
        <w:tabs>
          <w:tab w:val="left" w:pos="0" w:leader="none"/>
          <w:tab w:val="left" w:pos="1134"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简介和经营情况说明；</w:t>
      </w:r>
      <w:r>
        <w:rPr>
          <w:highlight w:val="none"/>
        </w:rPr>
      </w:r>
      <w:r>
        <w:rPr>
          <w:highlight w:val="none"/>
        </w:rPr>
      </w:r>
    </w:p>
    <w:p>
      <w:pPr>
        <w:ind w:left="372"/>
        <w:jc w:val="left"/>
        <w:spacing w:line="360" w:lineRule="auto"/>
        <w:widowControl/>
        <w:tabs>
          <w:tab w:val="left" w:pos="0" w:leader="none"/>
          <w:tab w:val="left" w:pos="1134" w:leader="none"/>
        </w:tabs>
        <w:rPr>
          <w:rFonts w:hint="eastAsia"/>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按</w:t>
      </w:r>
      <w:r>
        <w:rPr>
          <w:rFonts w:hint="eastAsia" w:ascii="宋体" w:hAnsi="宋体" w:cs="宋体"/>
          <w:sz w:val="24"/>
          <w:highlight w:val="none"/>
          <w:lang w:eastAsia="zh-CN"/>
        </w:rPr>
        <w:t xml:space="preserve">投标</w:t>
      </w:r>
      <w:r>
        <w:rPr>
          <w:rFonts w:hint="eastAsia" w:ascii="宋体" w:hAnsi="宋体" w:cs="宋体"/>
          <w:sz w:val="24"/>
          <w:highlight w:val="none"/>
        </w:rPr>
        <w:t xml:space="preserve">文件要求必须提供的其他证明材料（根据</w:t>
      </w:r>
      <w:r>
        <w:rPr>
          <w:rFonts w:hint="eastAsia" w:ascii="宋体" w:hAnsi="宋体" w:cs="宋体"/>
          <w:sz w:val="24"/>
          <w:highlight w:val="none"/>
          <w:lang w:eastAsia="zh-CN"/>
        </w:rPr>
        <w:t xml:space="preserve">投标</w:t>
      </w:r>
      <w:r>
        <w:rPr>
          <w:rFonts w:hint="eastAsia" w:ascii="宋体" w:hAnsi="宋体" w:cs="宋体"/>
          <w:sz w:val="24"/>
          <w:highlight w:val="none"/>
        </w:rPr>
        <w:t xml:space="preserve">文件及评标标准要求）。</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highlight w:val="none"/>
        </w:rPr>
      </w:r>
      <w:r>
        <w:rPr>
          <w:highlight w:val="none"/>
        </w:rPr>
      </w:r>
    </w:p>
    <w:p>
      <w:pPr>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见附件</w:t>
      </w:r>
      <w:r>
        <w:rPr>
          <w:rFonts w:hint="eastAsia" w:ascii="宋体" w:hAnsi="宋体" w:eastAsia="宋体" w:cs="宋体"/>
          <w:b/>
          <w:bCs/>
          <w:color w:val="000000"/>
          <w:sz w:val="24"/>
          <w:szCs w:val="24"/>
          <w:highlight w:val="none"/>
          <w:lang w:val="en-US" w:eastAsia="zh-CN"/>
        </w:rPr>
        <w:t xml:space="preserve">）</w:t>
      </w:r>
      <w:r>
        <w:rPr>
          <w:highlight w:val="none"/>
        </w:rPr>
      </w:r>
      <w:r>
        <w:rPr>
          <w:highlight w:val="none"/>
        </w:rP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highlight w:val="none"/>
        </w:rPr>
      </w:r>
      <w:r>
        <w:rPr>
          <w:highlight w:val="none"/>
        </w:rP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．拟投入人员一览表</w:t>
      </w:r>
      <w:r>
        <w:rPr>
          <w:rFonts w:hint="eastAsia" w:ascii="宋体" w:hAnsi="宋体" w:eastAsia="宋体" w:cs="宋体"/>
          <w:b/>
          <w:color w:val="000000"/>
          <w:sz w:val="24"/>
          <w:szCs w:val="24"/>
          <w:highlight w:val="none"/>
        </w:rPr>
        <w:t xml:space="preserve">（格式见附件）</w:t>
      </w:r>
      <w:r>
        <w:rPr>
          <w:highlight w:val="none"/>
        </w:rPr>
      </w:r>
      <w:r>
        <w:rPr>
          <w:highlight w:val="none"/>
        </w:rP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．技术服务方案（详见评分标准）</w:t>
      </w:r>
      <w:r>
        <w:rPr>
          <w:highlight w:val="none"/>
        </w:rPr>
      </w:r>
      <w:r>
        <w:rPr>
          <w:highlight w:val="none"/>
        </w:rP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highlight w:val="none"/>
        </w:rPr>
      </w:r>
      <w:r>
        <w:rPr>
          <w:highlight w:val="none"/>
        </w:rPr>
      </w:r>
    </w:p>
    <w:p>
      <w:pPr>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．其它（</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highlight w:val="none"/>
        </w:rPr>
      </w:r>
      <w:r>
        <w:rPr>
          <w:highlight w:val="none"/>
        </w:rPr>
      </w:r>
    </w:p>
    <w:p>
      <w:pPr>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(六)投标文件的制作：</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5．投标费用自理。</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(七)网上投标</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6.投标供应商进行网上报价请参照《江苏省政府采购管理交易系统（苏采云）供应商操作指南》（网址：http://www.ccgp-jiangsu.gov.cn/jiangsu/zlxz/ee/ee3a4bc5a3454aa2b0d9312230633ce9.html）。</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(八)无效投标文件的确认：</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1．投标人有下列情况之一者，投标文件无效：</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2．未按规定在无锡市政府采购供应商主体信息库注册的；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3．电子投标文件未按规定期限投标的；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4．电子投标文件未按招标文件要求签章的；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5．投标人未按招标文件要求解密电子投标文件的；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6．投标人的法定代表人授权代表，无法定代表人授权委托书的；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7．投标人的法定代表人或被授权代表，未准时参加开标会议的；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8．不具备招标文件中规定的资格要求或未按招标文件规定的要求提供资格、资信证明文件的；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9．被“信用中国”网站（www.creditchina.gov.cn）、中国政府采购网(www.ccgp.gov.cn)列入失信被执行人、重大税收违法案件当事人名单、政府采购严重违法失信行为记录名单的；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10．投标文件未按招标文件规定的内容和要求填写的；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11．投标文件书写潦草、字迹模糊不清、无法辨认的；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12．投标文件中有招标文件未允许提供的选择性内容；</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13．不同投标人委托同一单位或者个人办理投标事宜的；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14．不同投标人的单位负责人为同一人或者存在直接控股、管理关系的；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15．不同投标人投标文件内容存在非正常一致、项目组成员出现同一人、投标文件中错误（或异常）一致或雷同、电子文档信息一致或雷同的、投标报价呈规律性差异的；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16．不同投标人的委托代理人、项目负责人以及其他相关人员有在同一个单位缴纳社会保险、同一投标文件中单位名称落款与公章不是同一单位的；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17．项目（标段）投标总价超过本项目（标段）预算或最高限价的；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18．提供虚假材料的（包括工商营业执照、财务报表、资格证明文件等）；</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19．投标文件含有采购人不能接受的附加条件的；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21．除单一来源采购项目外，为采购项目提供整体设计、规范编制或者项目管理、监理、检测等服务的；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22．投标文件中无技术方案或技术方案编制粗糙、缺漏项较多；</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24．投标文件内容不全或不符合招标文件中规定的其它实质性要求的；</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25．法律法规和招标文件规定的其它无效情形。</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highlight w:val="none"/>
        </w:rPr>
      </w:r>
      <w:bookmarkStart w:id="10" w:name="_Toc14884"/>
      <w:r>
        <w:rPr>
          <w:rFonts w:hint="eastAsia" w:ascii="宋体" w:hAnsi="宋体" w:eastAsia="宋体" w:cs="宋体"/>
          <w:bCs/>
          <w:color w:val="000000"/>
          <w:sz w:val="24"/>
          <w:szCs w:val="24"/>
          <w:highlight w:val="none"/>
          <w:lang w:val="en-US" w:eastAsia="zh-CN"/>
        </w:rPr>
        <w:t xml:space="preserve">(九)开标、评标：</w:t>
      </w:r>
      <w:r>
        <w:rPr>
          <w:highlight w:val="none"/>
        </w:rPr>
      </w:r>
      <w:r>
        <w:rPr>
          <w:highlight w:val="none"/>
        </w:rP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w:t>
      </w:r>
      <w:r>
        <w:rPr>
          <w:rFonts w:hint="eastAsia" w:ascii="宋体" w:hAnsi="宋体" w:cs="宋体"/>
          <w:bCs/>
          <w:color w:val="000000"/>
          <w:sz w:val="24"/>
          <w:szCs w:val="24"/>
          <w:highlight w:val="none"/>
          <w:lang w:val="en-US" w:eastAsia="zh-CN"/>
        </w:rPr>
        <w:t xml:space="preserve">评标时间</w:t>
      </w:r>
      <w:r>
        <w:rPr>
          <w:rFonts w:hint="eastAsia" w:ascii="宋体" w:hAnsi="宋体" w:eastAsia="宋体" w:cs="宋体"/>
          <w:bCs/>
          <w:color w:val="000000"/>
          <w:sz w:val="24"/>
          <w:szCs w:val="24"/>
          <w:highlight w:val="none"/>
        </w:rPr>
        <w:t xml:space="preserve">之前，是否被列入失信被执行人、重大税收违法案件当事人名单、政府采购严重违法失信行为记录名单，以确定投标供应商是否具备投标资格。信用查询结果以网页打印的形式留存并归档。</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5．评标方法</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为中标候选人。</w:t>
      </w:r>
      <w:r>
        <w:rPr>
          <w:highlight w:val="none"/>
        </w:rPr>
      </w:r>
      <w:r>
        <w:rPr>
          <w:highlight w:val="none"/>
        </w:rPr>
      </w:r>
    </w:p>
    <w:p>
      <w:pPr>
        <w:numPr>
          <w:ilvl w:val="0"/>
          <w:numId w:val="2"/>
        </w:numPr>
        <w:ind w:left="0" w:firstLine="480"/>
        <w:keepLines w:val="0"/>
        <w:keepNext w:val="0"/>
        <w:pageBreakBefore w:val="0"/>
        <w:spacing w:line="360" w:lineRule="auto"/>
        <w:widowControl w:val="off"/>
        <w:tabs>
          <w:tab w:val="left" w:pos="525" w:leader="none"/>
          <w:tab w:val="left" w:pos="1050" w:leader="none"/>
        </w:tabs>
        <w:rPr>
          <w:rFonts w:hint="eastAsia" w:ascii="宋体" w:hAnsi="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评标标准</w:t>
      </w:r>
      <w:r>
        <w:rPr>
          <w:rFonts w:hint="eastAsia" w:ascii="宋体" w:hAnsi="宋体" w:cs="宋体"/>
          <w:bCs/>
          <w:color w:val="000000"/>
          <w:sz w:val="24"/>
          <w:szCs w:val="24"/>
          <w:highlight w:val="none"/>
          <w:lang w:val="en-US" w:eastAsia="zh-CN"/>
        </w:rPr>
        <w:t xml:space="preserve">和主要因素</w:t>
      </w:r>
      <w:r>
        <w:rPr>
          <w:highlight w:val="none"/>
        </w:rPr>
      </w:r>
      <w:r>
        <w:rPr>
          <w:highlight w:val="none"/>
        </w:rPr>
      </w:r>
    </w:p>
    <w:p>
      <w:pPr>
        <w:ind w:firstLine="523"/>
        <w:spacing w:line="360" w:lineRule="auto"/>
        <w:rPr>
          <w:rFonts w:hint="eastAsia"/>
          <w:highlight w:val="none"/>
        </w:rPr>
      </w:pPr>
      <w:r>
        <w:rPr>
          <w:rFonts w:hint="eastAsia" w:ascii="宋体" w:hAnsi="宋体" w:cs="宋体"/>
          <w:bCs/>
          <w:sz w:val="24"/>
          <w:highlight w:val="none"/>
          <w:lang w:eastAsia="zh-CN"/>
        </w:rPr>
        <w:t xml:space="preserve">投标供应商</w:t>
      </w:r>
      <w:r>
        <w:rPr>
          <w:rFonts w:hint="eastAsia" w:ascii="宋体" w:hAnsi="宋体" w:cs="宋体"/>
          <w:bCs/>
          <w:sz w:val="24"/>
          <w:highlight w:val="none"/>
        </w:rPr>
        <w:t xml:space="preserve">通过初审的，方可进入比较与评价程序。</w:t>
      </w:r>
      <w:r>
        <w:rPr>
          <w:highlight w:val="none"/>
        </w:rPr>
      </w:r>
      <w:r>
        <w:rPr>
          <w:highlight w:val="none"/>
        </w:rPr>
      </w:r>
    </w:p>
    <w:p>
      <w:pPr>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highlight w:val="none"/>
        </w:rPr>
      </w:r>
      <w:r>
        <w:rPr>
          <w:highlight w:val="none"/>
        </w:rPr>
      </w:r>
    </w:p>
    <w:p>
      <w:pPr>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中标供应商候选人。未列入本评分标准的其他条件不作为评分内容。</w:t>
      </w:r>
      <w:r>
        <w:rPr>
          <w:highlight w:val="none"/>
        </w:rPr>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二、评分标准</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（一）评分项目及分值（总分100分）</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1、价格分                                   20分</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2、投标供应商综合情况                       25分</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3、技术服务方案                             55分</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（二)各项目评分标准</w:t>
      </w:r>
      <w:r>
        <w:rPr>
          <w:highlight w:val="none"/>
        </w:rPr>
      </w:r>
    </w:p>
    <w:p>
      <w:pPr>
        <w:ind w:left="0" w:right="0" w:firstLine="480"/>
        <w:spacing w:before="24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1、价格分（20分）</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采用低价优先法计算，即满足招标文件要求且投标价格最低的投标报价为评标基准价，其价格分为满分。其他投标人的价格分统一按照下列公式计算：</w:t>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投标报价得分=(评标基准价／投标报价)×价格权值×100。</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highlight w:val="none"/>
        </w:rPr>
      </w:r>
    </w:p>
    <w:p>
      <w:pPr>
        <w:ind w:left="0" w:right="0" w:firstLine="480"/>
        <w:spacing w:before="24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w:t>
      </w:r>
      <w:r>
        <w:rPr>
          <w:rFonts w:ascii="SimSun" w:hAnsi="SimSun" w:eastAsia="SimSun" w:cs="SimSun"/>
          <w:b/>
          <w:color w:val="000000"/>
          <w:sz w:val="24"/>
          <w:highlight w:val="none"/>
        </w:rPr>
        <w:t xml:space="preserve">、投标供应商综合情况（25分）</w:t>
      </w:r>
      <w:r>
        <w:rPr>
          <w:highlight w:val="none"/>
        </w:rPr>
      </w:r>
      <w:r>
        <w:rPr>
          <w:highlight w:val="none"/>
        </w:rP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w:t>
      </w:r>
      <w:r>
        <w:rPr>
          <w:rFonts w:ascii="SimSun" w:hAnsi="SimSun" w:eastAsia="SimSun" w:cs="SimSun"/>
          <w:b/>
          <w:color w:val="000000"/>
          <w:sz w:val="24"/>
          <w:highlight w:val="none"/>
        </w:rPr>
        <w:t xml:space="preserve">企业业绩（4分）</w:t>
      </w:r>
      <w:r>
        <w:rPr>
          <w:rFonts w:ascii="SimSun" w:hAnsi="SimSun" w:eastAsia="SimSun" w:cs="SimSun"/>
          <w:color w:val="000000"/>
          <w:sz w:val="24"/>
          <w:highlight w:val="none"/>
        </w:rPr>
        <w:t xml:space="preserve">：</w:t>
      </w:r>
      <w:r>
        <w:rPr>
          <w:highlight w:val="none"/>
        </w:rPr>
      </w:r>
      <w:r>
        <w:rPr>
          <w:highlight w:val="none"/>
        </w:rP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投标供应商自 2020年 1月 1 日（日期以合同签订日期为准）以来承担过同类项目的，</w:t>
      </w:r>
      <w:r>
        <w:rPr>
          <w:rFonts w:ascii="SimSun" w:hAnsi="SimSun" w:eastAsia="SimSun" w:cs="SimSun"/>
          <w:color w:val="000000"/>
          <w:sz w:val="24"/>
          <w:highlight w:val="none"/>
        </w:rPr>
        <w:t xml:space="preserve">每提供1个得1分，本项最高得4分</w:t>
      </w:r>
      <w:r>
        <w:rPr>
          <w:rFonts w:ascii="SimSun" w:hAnsi="SimSun" w:eastAsia="SimSun" w:cs="SimSun"/>
          <w:color w:val="000000"/>
          <w:sz w:val="24"/>
          <w:highlight w:val="none"/>
        </w:rPr>
        <w:t xml:space="preserve">。</w:t>
      </w:r>
      <w:r>
        <w:rPr>
          <w:rFonts w:ascii="SimSun" w:hAnsi="SimSun" w:eastAsia="SimSun" w:cs="SimSun"/>
          <w:b/>
          <w:color w:val="000000"/>
          <w:sz w:val="24"/>
          <w:highlight w:val="none"/>
        </w:rPr>
        <w:t xml:space="preserve">须提供合同原件扫描件上传至投标文件并电子签章，未提供者不得分</w:t>
      </w:r>
      <w:r>
        <w:rPr>
          <w:rFonts w:ascii="SimSun" w:hAnsi="SimSun" w:eastAsia="SimSun" w:cs="SimSun"/>
          <w:color w:val="000000"/>
          <w:sz w:val="24"/>
          <w:highlight w:val="none"/>
        </w:rPr>
        <w:t xml:space="preserve">。</w:t>
      </w:r>
      <w:r>
        <w:rPr>
          <w:highlight w:val="none"/>
        </w:rPr>
      </w:r>
      <w:r>
        <w:rPr>
          <w:highlight w:val="none"/>
        </w:rPr>
      </w:r>
    </w:p>
    <w:p>
      <w:pPr>
        <w:ind w:left="0" w:right="0" w:firstLine="482"/>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（2）项目组人员配备情况（12分）</w:t>
      </w:r>
      <w:r>
        <w:rPr>
          <w:rFonts w:ascii="SimSun" w:hAnsi="SimSun" w:eastAsia="SimSun" w:cs="SimSun"/>
          <w:color w:val="000000"/>
          <w:sz w:val="24"/>
          <w:highlight w:val="none"/>
        </w:rPr>
        <w:t xml:space="preserve">：</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①投标供应商项目组人员中除项目负责人以外，配备有</w:t>
      </w:r>
      <w:r>
        <w:rPr>
          <w:rFonts w:ascii="SimSun" w:hAnsi="SimSun" w:eastAsia="SimSun" w:cs="SimSun"/>
          <w:b/>
          <w:color w:val="000000"/>
          <w:sz w:val="24"/>
          <w:highlight w:val="none"/>
        </w:rPr>
        <w:t xml:space="preserve">中级（含）以上绿化园林相关专业的技能等级证书的</w:t>
      </w:r>
      <w:r>
        <w:rPr>
          <w:rFonts w:ascii="SimSun" w:hAnsi="SimSun" w:eastAsia="SimSun" w:cs="SimSun"/>
          <w:color w:val="000000"/>
          <w:sz w:val="24"/>
          <w:highlight w:val="none"/>
        </w:rPr>
        <w:t xml:space="preserve">人员（</w:t>
      </w:r>
      <w:r>
        <w:rPr>
          <w:rFonts w:ascii="SimSun" w:hAnsi="SimSun" w:eastAsia="SimSun" w:cs="SimSun"/>
          <w:b/>
          <w:color w:val="000000"/>
          <w:sz w:val="24"/>
          <w:highlight w:val="none"/>
        </w:rPr>
        <w:t xml:space="preserve">须为中华人民共和国人力资源和社会保障部颁发的绿化园林相关专业的技能等级证书</w:t>
      </w:r>
      <w:r>
        <w:rPr>
          <w:rFonts w:ascii="SimSun" w:hAnsi="SimSun" w:eastAsia="SimSun" w:cs="SimSun"/>
          <w:color w:val="000000"/>
          <w:sz w:val="24"/>
          <w:highlight w:val="none"/>
        </w:rPr>
        <w:t xml:space="preserve">），有1个，得1分，最高得5分。（须提供以上人员的技能等级证书及投标供应商为上述人员缴纳的2024年4月-2024年6月社保证明原件扫描件上传至投标文件并电子签章，未提供相关资料或者提供资料不全者不得分。）</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②投标供应商项目组人员中除项目负责人以外，配备</w:t>
      </w:r>
      <w:r>
        <w:rPr>
          <w:rFonts w:ascii="SimSun" w:hAnsi="SimSun" w:eastAsia="SimSun" w:cs="SimSun"/>
          <w:b/>
          <w:color w:val="000000"/>
          <w:sz w:val="24"/>
          <w:highlight w:val="none"/>
        </w:rPr>
        <w:t xml:space="preserve">绿化园林类中级（含）以上职称</w:t>
      </w:r>
      <w:r>
        <w:rPr>
          <w:rFonts w:ascii="SimSun" w:hAnsi="SimSun" w:eastAsia="SimSun" w:cs="SimSun"/>
          <w:color w:val="000000"/>
          <w:sz w:val="24"/>
          <w:highlight w:val="none"/>
        </w:rPr>
        <w:t xml:space="preserve">的，有1人得1分，最高得3分。（须提供以上人员的职称证书及投标供应商为上述人员缴纳的2024年4月-2024年6月社保证明</w:t>
      </w:r>
      <w:r>
        <w:rPr>
          <w:rFonts w:ascii="SimSun" w:hAnsi="SimSun" w:eastAsia="SimSun" w:cs="SimSun"/>
          <w:b/>
          <w:color w:val="000000"/>
          <w:sz w:val="24"/>
          <w:highlight w:val="none"/>
        </w:rPr>
        <w:t xml:space="preserve">原件扫描件上传至投标文件并电子签章，未提供相关资料或者提供资料不全者不得分</w:t>
      </w:r>
      <w:r>
        <w:rPr>
          <w:rFonts w:ascii="SimSun" w:hAnsi="SimSun" w:eastAsia="SimSun" w:cs="SimSun"/>
          <w:color w:val="000000"/>
          <w:sz w:val="24"/>
          <w:highlight w:val="none"/>
        </w:rPr>
        <w:t xml:space="preserve">）。</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③项目需求最低配置数量标准 8 人，配置数量为8-13人，不得分；配置数量≥14人，得2分；配置数量≥20 人，得4分。</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注：人员若同时满足</w:t>
      </w:r>
      <w:r>
        <w:rPr>
          <w:rFonts w:ascii="SimSun" w:hAnsi="SimSun" w:eastAsia="SimSun" w:cs="SimSun"/>
          <w:color w:val="000000"/>
          <w:sz w:val="24"/>
          <w:highlight w:val="none"/>
        </w:rPr>
        <w:t xml:space="preserve">①、②</w:t>
      </w:r>
      <w:r>
        <w:rPr>
          <w:rFonts w:ascii="SimSun" w:hAnsi="SimSun" w:eastAsia="SimSun" w:cs="SimSun"/>
          <w:b/>
          <w:color w:val="000000"/>
          <w:sz w:val="24"/>
          <w:highlight w:val="none"/>
        </w:rPr>
        <w:t xml:space="preserve">以上两点，一个人只能计算一次，不可重复得分。（一人若有多张技能等级证书/职称，也只可计算一次）</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（3）本项目设备配备情况（6分）</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（1）投标供应商为本项目配备一台高空专用升降车得2分,最高得2分，未配备者该项不得分；</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（2）投标供应商为本项目配备一台除雪喷雾机（静风水平射程30米以上）得2分，最高得2分，未配备者该项不得分；</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（3）投标供应商为本项目配备一辆客车（不少于9座，用于接送作业人员）得2分，最高得2分，未配备者该项不得分；</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注：提供主要施工机械设备表，投标文件内提供车辆照片、自有（自购）车辆设备证明材料（购置发票）原件扫描件、行驶证原件扫描件；相关设备，投标文件内提供照片、发票原件扫描件（如果施工机械、设备为租赁，需提供有效期内的租赁合同和租赁发票复印件等）上传至投标文件并电子签章，不提供或提供不齐全的不得分</w:t>
      </w:r>
      <w:r>
        <w:rPr>
          <w:rFonts w:ascii="SimSun" w:hAnsi="SimSun" w:eastAsia="SimSun" w:cs="SimSun"/>
          <w:color w:val="000000"/>
          <w:sz w:val="24"/>
          <w:highlight w:val="none"/>
        </w:rPr>
        <w:t xml:space="preserve">。</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w:t>
      </w:r>
      <w:r>
        <w:rPr>
          <w:rFonts w:ascii="SimSun" w:hAnsi="SimSun" w:eastAsia="SimSun" w:cs="SimSun"/>
          <w:b/>
          <w:color w:val="000000"/>
          <w:sz w:val="24"/>
          <w:highlight w:val="none"/>
        </w:rPr>
        <w:t xml:space="preserve">园林绿化养护企业体系认证（3分）</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投标供应商获得质量管理体系认证证书、环境管理体系认证证书、职业健康安全管理体系认证证书，</w:t>
      </w:r>
      <w:r>
        <w:rPr>
          <w:rFonts w:ascii="SimSun" w:hAnsi="SimSun" w:eastAsia="SimSun" w:cs="SimSun"/>
          <w:color w:val="000000"/>
          <w:sz w:val="24"/>
          <w:highlight w:val="none"/>
        </w:rPr>
        <w:t xml:space="preserve">有一项得1分，此项最高得3分；</w:t>
      </w:r>
      <w:r>
        <w:rPr>
          <w:rFonts w:ascii="SimSun" w:hAnsi="SimSun" w:eastAsia="SimSun" w:cs="SimSun"/>
          <w:color w:val="000000"/>
          <w:sz w:val="24"/>
          <w:highlight w:val="none"/>
        </w:rPr>
        <w:t xml:space="preserve">上</w:t>
      </w:r>
      <w:r>
        <w:rPr>
          <w:rFonts w:ascii="SimSun" w:hAnsi="SimSun" w:eastAsia="SimSun" w:cs="SimSun"/>
          <w:color w:val="000000"/>
          <w:sz w:val="24"/>
          <w:highlight w:val="none"/>
        </w:rPr>
        <w:t xml:space="preserve">述资料的</w:t>
      </w:r>
      <w:r>
        <w:rPr>
          <w:rFonts w:ascii="SimSun" w:hAnsi="SimSun" w:eastAsia="SimSun" w:cs="SimSun"/>
          <w:b/>
          <w:color w:val="000000"/>
          <w:sz w:val="24"/>
          <w:highlight w:val="none"/>
        </w:rPr>
        <w:t xml:space="preserve">原件扫描件上传至投标文件并电子签章</w:t>
      </w:r>
      <w:r>
        <w:rPr>
          <w:rFonts w:ascii="SimSun" w:hAnsi="SimSun" w:eastAsia="SimSun" w:cs="SimSun"/>
          <w:color w:val="000000"/>
          <w:sz w:val="24"/>
          <w:highlight w:val="none"/>
        </w:rPr>
        <w:t xml:space="preserve">，否则不得分。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3、技术文件（55分）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1）养护方案（30分）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针对性：具有本项目特点，养护计划与本项目植物品种、绿地实际情况相符（6分）；方案详细完整，针对性强、可操作性强得6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合理性：养护计划科学合理，符合植物生长规律和季节特点（6分）；方案详细完整，针对性强、可操作性强得6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质量保证措施：根据项目特点，苗木养护质量保证措施（6分）方案详细完整，针对性强、可操作性强得6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安全文明施工及环境保护：根据项目特点，现场安全文明养护施工操作要点及措施（6分）方案详细完整，针对性强、可操作性强得6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内容详细：根据项目实际情况编写每季度养护重点，应具体各个苗木品种上所采取的养护措施；（6分）方案详细完整，针对性强、可操作性强得6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2）抢险救灾应急预案（20分）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抢险救灾预案应急可行性：根据本项目特点，抢险救灾预案与本项目实际情况相符（6分）；方案详细完整，针对性强、可操作性强得6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抢险救灾机械应急配备情况：抢险救灾预案科学合理，符合本项目特点（6分）；方案详细完整，针对性强、可操作性强得6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抢险救灾人员应急配备情况：抢险救灾预案科学合理，符合本项目特点（8分）；方案详细完整，针对性强、可操作性强得8分，方案较详细，针对性、可操作性较强得4分，方案普通，针对性、可操作性一般得2分，未提供执行方案，不得分。</w:t>
      </w:r>
      <w:r>
        <w:rPr>
          <w:highlight w:val="none"/>
        </w:rPr>
      </w:r>
    </w:p>
    <w:p>
      <w:pPr>
        <w:ind w:left="0" w:right="0" w:firstLine="482"/>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3）质量及服务条件承诺(5分)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方案详细完整，针对性强、可操作性强得5分，方案较详细，针对性、可操作性较强得3分，方案普通，针对性、可操作性一般得1分，未提供执行方案，不得分。</w:t>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p>
    <w:p>
      <w:pPr>
        <w:ind w:left="0" w:firstLine="480"/>
        <w:jc w:val="left"/>
        <w:keepLines w:val="0"/>
        <w:keepNext w:val="0"/>
        <w:pageBreakBefore w:val="0"/>
        <w:spacing w:line="360" w:lineRule="auto"/>
        <w:widowControl w:val="off"/>
        <w:tabs>
          <w:tab w:val="left" w:pos="945" w:leader="none"/>
          <w:tab w:val="left" w:pos="1155" w:leader="none"/>
        </w:tabs>
        <w:rPr>
          <w:rFonts w:hint="eastAsia"/>
          <w:highlight w:val="none"/>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highlight w:val="none"/>
        </w:rPr>
      </w:r>
      <w:r>
        <w:rPr>
          <w:highlight w:val="none"/>
        </w:rPr>
      </w:r>
    </w:p>
    <w:p>
      <w:pPr>
        <w:ind w:firstLine="482"/>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评标说明：</w:t>
      </w:r>
      <w:r>
        <w:rPr>
          <w:highlight w:val="none"/>
        </w:rPr>
      </w:r>
      <w:r>
        <w:rPr>
          <w:highlight w:val="none"/>
        </w:rPr>
      </w:r>
    </w:p>
    <w:p>
      <w:pPr>
        <w:ind w:firstLine="482"/>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1、评委为</w:t>
      </w:r>
      <w:r>
        <w:rPr>
          <w:rFonts w:hint="eastAsia" w:ascii="宋体" w:hAnsi="宋体" w:cs="宋体"/>
          <w:b/>
          <w:bCs w:val="0"/>
          <w:sz w:val="24"/>
          <w:highlight w:val="none"/>
          <w:lang w:val="en-US" w:eastAsia="zh-CN"/>
        </w:rPr>
        <w:t xml:space="preserve">5</w:t>
      </w:r>
      <w:r>
        <w:rPr>
          <w:rFonts w:hint="eastAsia" w:ascii="宋体" w:hAnsi="宋体" w:cs="宋体"/>
          <w:b/>
          <w:bCs w:val="0"/>
          <w:sz w:val="24"/>
          <w:highlight w:val="none"/>
        </w:rPr>
        <w:t xml:space="preserve">人以上的单数（含</w:t>
      </w:r>
      <w:r>
        <w:rPr>
          <w:rFonts w:hint="eastAsia" w:ascii="宋体" w:hAnsi="宋体" w:cs="宋体"/>
          <w:b/>
          <w:bCs w:val="0"/>
          <w:sz w:val="24"/>
          <w:highlight w:val="none"/>
          <w:lang w:val="en-US" w:eastAsia="zh-CN"/>
        </w:rPr>
        <w:t xml:space="preserve">5</w:t>
      </w:r>
      <w:r>
        <w:rPr>
          <w:rFonts w:hint="eastAsia" w:ascii="宋体" w:hAnsi="宋体" w:cs="宋体"/>
          <w:b/>
          <w:bCs w:val="0"/>
          <w:sz w:val="24"/>
          <w:highlight w:val="none"/>
        </w:rPr>
        <w:t xml:space="preserve">人）时，计算分项得分时取平均值为</w:t>
      </w:r>
      <w:r>
        <w:rPr>
          <w:rFonts w:hint="eastAsia" w:ascii="宋体" w:hAnsi="宋体" w:cs="宋体"/>
          <w:b/>
          <w:bCs w:val="0"/>
          <w:sz w:val="24"/>
          <w:highlight w:val="none"/>
          <w:lang w:eastAsia="zh-CN"/>
        </w:rPr>
        <w:t xml:space="preserve">投标供应商</w:t>
      </w:r>
      <w:r>
        <w:rPr>
          <w:rFonts w:hint="eastAsia" w:ascii="宋体" w:hAnsi="宋体" w:cs="宋体"/>
          <w:b/>
          <w:bCs w:val="0"/>
          <w:sz w:val="24"/>
          <w:highlight w:val="none"/>
        </w:rPr>
        <w:t xml:space="preserve">的得分，各分项得分合计即为</w:t>
      </w:r>
      <w:r>
        <w:rPr>
          <w:rFonts w:hint="eastAsia" w:ascii="宋体" w:hAnsi="宋体" w:cs="宋体"/>
          <w:b/>
          <w:bCs w:val="0"/>
          <w:sz w:val="24"/>
          <w:highlight w:val="none"/>
          <w:lang w:eastAsia="zh-CN"/>
        </w:rPr>
        <w:t xml:space="preserve">投标供应商</w:t>
      </w:r>
      <w:r>
        <w:rPr>
          <w:rFonts w:hint="eastAsia" w:ascii="宋体" w:hAnsi="宋体" w:cs="宋体"/>
          <w:b/>
          <w:bCs w:val="0"/>
          <w:sz w:val="24"/>
          <w:highlight w:val="none"/>
        </w:rPr>
        <w:t xml:space="preserve">的总得分。</w:t>
      </w:r>
      <w:r>
        <w:rPr>
          <w:rFonts w:hint="eastAsia" w:ascii="宋体" w:hAnsi="宋体" w:cs="宋体"/>
          <w:b/>
          <w:bCs w:val="0"/>
          <w:sz w:val="24"/>
          <w:highlight w:val="none"/>
          <w:lang w:eastAsia="zh-CN"/>
        </w:rPr>
        <w:t xml:space="preserve">投标文件</w:t>
      </w:r>
      <w:r>
        <w:rPr>
          <w:rFonts w:hint="eastAsia" w:ascii="宋体" w:hAnsi="宋体" w:cs="宋体"/>
          <w:b/>
          <w:bCs w:val="0"/>
          <w:sz w:val="24"/>
          <w:highlight w:val="none"/>
        </w:rPr>
        <w:t xml:space="preserve">无相应评分内容时，该项目为零分。</w:t>
      </w:r>
      <w:r>
        <w:rPr>
          <w:rFonts w:hint="eastAsia" w:ascii="宋体" w:hAnsi="宋体" w:cs="宋体"/>
          <w:b/>
          <w:bCs w:val="0"/>
          <w:sz w:val="24"/>
          <w:highlight w:val="none"/>
          <w:lang w:eastAsia="zh-CN"/>
        </w:rPr>
        <w:t xml:space="preserve">投标供应商</w:t>
      </w:r>
      <w:r>
        <w:rPr>
          <w:rFonts w:hint="eastAsia" w:ascii="宋体" w:hAnsi="宋体" w:cs="宋体"/>
          <w:b/>
          <w:bCs w:val="0"/>
          <w:sz w:val="24"/>
          <w:highlight w:val="none"/>
        </w:rPr>
        <w:t xml:space="preserve">如对招标文件提出的合理要求不作出相应承诺或对采购人提出不合理要求的不予得分。每项评分的具体内容和方法由评委集体讨论，评委独立评分。所有评委打分的平均值为各</w:t>
      </w:r>
      <w:r>
        <w:rPr>
          <w:rFonts w:hint="eastAsia" w:ascii="宋体" w:hAnsi="宋体" w:cs="宋体"/>
          <w:b/>
          <w:bCs w:val="0"/>
          <w:sz w:val="24"/>
          <w:highlight w:val="none"/>
          <w:lang w:eastAsia="zh-CN"/>
        </w:rPr>
        <w:t xml:space="preserve">投标供应商</w:t>
      </w:r>
      <w:r>
        <w:rPr>
          <w:rFonts w:hint="eastAsia" w:ascii="宋体" w:hAnsi="宋体" w:cs="宋体"/>
          <w:b/>
          <w:bCs w:val="0"/>
          <w:sz w:val="24"/>
          <w:highlight w:val="none"/>
        </w:rPr>
        <w:t xml:space="preserve">最终得分。最终得分最高者将为推荐中标候选人。</w:t>
      </w:r>
      <w:r>
        <w:rPr>
          <w:highlight w:val="none"/>
        </w:rPr>
      </w:r>
      <w:r>
        <w:rPr>
          <w:highlight w:val="none"/>
        </w:rPr>
      </w:r>
    </w:p>
    <w:p>
      <w:pPr>
        <w:ind w:firstLine="482"/>
        <w:spacing w:line="360" w:lineRule="auto"/>
        <w:rPr>
          <w:rFonts w:hint="eastAsia"/>
          <w:b/>
          <w:bCs w:val="0"/>
          <w:highlight w:val="none"/>
        </w:rPr>
      </w:pPr>
      <w:r>
        <w:rPr>
          <w:rFonts w:hint="eastAsia" w:ascii="宋体" w:hAnsi="宋体" w:cs="宋体"/>
          <w:b/>
          <w:bCs w:val="0"/>
          <w:sz w:val="24"/>
          <w:highlight w:val="none"/>
        </w:rPr>
        <w:t xml:space="preserve">2、评分办法及评分细则的解释权属采购人。未列入本评分细则的其他条件不作为评分内容。</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(十)定标：</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w:t>
      </w:r>
      <w:r>
        <w:rPr>
          <w:rFonts w:hint="eastAsia" w:ascii="宋体" w:hAnsi="宋体" w:eastAsia="宋体" w:cs="宋体"/>
          <w:bCs/>
          <w:color w:val="000000"/>
          <w:sz w:val="24"/>
          <w:szCs w:val="24"/>
          <w:highlight w:val="none"/>
        </w:rPr>
        <w:t xml:space="preserve">出。质疑函的质疑事项应具体、明确，并有必要的事实依据和法律依据（格式详见中国政府采购网《政府采购供应商质疑函范本》）。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w:t>
      </w: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eastAsia="宋体" w:cs="宋体"/>
          <w:bCs/>
          <w:color w:val="000000"/>
          <w:sz w:val="24"/>
          <w:szCs w:val="24"/>
          <w:highlight w:val="none"/>
        </w:rPr>
        <w:t xml:space="preserve">将向中标供应商发中标通知书。</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(十一)废标的确认：</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(十二)中标无效的确认：</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highlight w:val="none"/>
        </w:rPr>
      </w:r>
      <w:bookmarkStart w:id="11" w:name="_Toc21337"/>
      <w:r>
        <w:rPr>
          <w:highlight w:val="none"/>
        </w:rPr>
      </w:r>
      <w:bookmarkStart w:id="12" w:name="_Toc32174"/>
      <w:r>
        <w:rPr>
          <w:rFonts w:hint="eastAsia" w:ascii="宋体" w:hAnsi="宋体" w:eastAsia="宋体" w:cs="宋体"/>
          <w:bCs/>
          <w:color w:val="000000"/>
          <w:sz w:val="24"/>
          <w:szCs w:val="24"/>
          <w:highlight w:val="none"/>
          <w:lang w:val="en-US" w:eastAsia="zh-CN"/>
        </w:rPr>
        <w:t xml:space="preserve">(十三)签订、履行合同：</w:t>
      </w:r>
      <w:bookmarkEnd w:id="11"/>
      <w:r>
        <w:rPr>
          <w:highlight w:val="none"/>
        </w:rPr>
      </w:r>
      <w:bookmarkEnd w:id="12"/>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作任何修改。</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eastAsia="宋体" w:cs="宋体"/>
          <w:bCs/>
          <w:color w:val="000000"/>
          <w:sz w:val="24"/>
          <w:szCs w:val="24"/>
          <w:highlight w:val="none"/>
        </w:rPr>
        <w:t xml:space="preserve">监督合同的履行。中标方非因不可抗力未履行招、投标文件和合同规定的义务，一经查实，采购人将根据具体情况提请政府采购管理部门作出相应处理。</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3．本项目不收取履约保证金。</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highlight w:val="none"/>
        </w:rPr>
      </w:r>
      <w:bookmarkStart w:id="13" w:name="_Toc28715"/>
      <w:r>
        <w:rPr>
          <w:highlight w:val="none"/>
        </w:rPr>
      </w:r>
      <w:bookmarkStart w:id="14" w:name="_Toc598"/>
      <w:r>
        <w:rPr>
          <w:rFonts w:hint="eastAsia" w:ascii="宋体" w:hAnsi="宋体" w:eastAsia="宋体" w:cs="宋体"/>
          <w:bCs/>
          <w:color w:val="000000"/>
          <w:sz w:val="24"/>
          <w:szCs w:val="24"/>
          <w:highlight w:val="none"/>
          <w:lang w:val="en-US" w:eastAsia="zh-CN"/>
        </w:rPr>
        <w:t xml:space="preserve">(十四)注意事项：</w:t>
      </w:r>
      <w:bookmarkEnd w:id="13"/>
      <w:r>
        <w:rPr>
          <w:highlight w:val="none"/>
        </w:rPr>
      </w:r>
      <w:bookmarkEnd w:id="14"/>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(十五)政府采购信用担保</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政府采购信用担保，是由专业担保机构为供应商向采购人、代理机构、金融机构提供的保证。供应商可以根据自身情况，自行决定是否选择采用信用担保形式。</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(十六)政府采购合同融资：</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合同融资，是指参与政府采购的供应商，凭</w:t>
      </w:r>
      <w:r>
        <w:rPr>
          <w:rFonts w:hint="eastAsia" w:ascii="宋体" w:hAnsi="宋体" w:eastAsia="宋体" w:cs="宋体"/>
          <w:bCs/>
          <w:color w:val="000000"/>
          <w:sz w:val="24"/>
          <w:szCs w:val="24"/>
          <w:highlight w:val="none"/>
        </w:rPr>
        <w:t xml:space="preserve">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中标供应商可根据自身情况，自行决定是否选择采用合同融资形式，在无锡政府采购网——政采贷专栏提供的银行名录内自主选择合作银行。</w:t>
      </w:r>
      <w:r>
        <w:rPr>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(十七)代理服务费：</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本项目代理费由中标供应商支付。</w:t>
      </w:r>
      <w:r>
        <w:rPr>
          <w:rFonts w:hint="eastAsia" w:ascii="宋体" w:hAnsi="宋体" w:eastAsia="宋体" w:cs="宋体"/>
          <w:color w:val="000000"/>
          <w:sz w:val="24"/>
          <w:szCs w:val="24"/>
          <w:highlight w:val="none"/>
        </w:rPr>
        <w:t xml:space="preserve">采购代理服务费收费标准为：100万以下费率为1.5%</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100-500万元费率为0.8%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按以上规定的80%计取，以中标价作为计算基数</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(十八)其他：</w:t>
      </w:r>
      <w:r>
        <w:rPr>
          <w:highlight w:val="none"/>
        </w:rPr>
      </w:r>
      <w:r>
        <w:rPr>
          <w:highlight w:val="none"/>
        </w:rP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rPr>
          <w:highlight w:val="none"/>
        </w:rP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highlight w:val="none"/>
        </w:rPr>
      </w:r>
      <w:bookmarkStart w:id="15" w:name="_Toc27586"/>
      <w:r>
        <w:rPr>
          <w:highlight w:val="none"/>
        </w:rPr>
      </w:r>
      <w:r>
        <w:rPr>
          <w:highlight w:val="none"/>
        </w:rPr>
      </w:r>
    </w:p>
    <w:p>
      <w:pPr>
        <w:jc w:val="center"/>
        <w:spacing w:line="360" w:lineRule="auto"/>
        <w:rPr>
          <w:rFonts w:hint="eastAsia" w:ascii="Times New Roman" w:hAnsi="宋体" w:eastAsia="宋体" w:cs="宋体"/>
          <w:b/>
          <w:bCs/>
          <w:sz w:val="32"/>
          <w:szCs w:val="32"/>
          <w:highlight w:val="none"/>
        </w:rPr>
        <w:outlineLvl w:val="0"/>
      </w:pPr>
      <w:r>
        <w:rPr>
          <w:highlight w:val="none"/>
        </w:rPr>
      </w:r>
      <w:bookmarkStart w:id="16" w:name="_Toc19762"/>
      <w:r>
        <w:rPr>
          <w:rFonts w:hint="eastAsia" w:ascii="Times New Roman" w:hAnsi="宋体" w:eastAsia="宋体" w:cs="宋体"/>
          <w:b/>
          <w:bCs/>
          <w:sz w:val="32"/>
          <w:szCs w:val="32"/>
          <w:highlight w:val="none"/>
          <w:lang w:val="en-US" w:eastAsia="zh-CN"/>
        </w:rPr>
        <w:t xml:space="preserve">三、项目技术要求和有关说明</w:t>
      </w:r>
      <w:bookmarkEnd w:id="10"/>
      <w:r>
        <w:rPr>
          <w:highlight w:val="none"/>
        </w:rPr>
      </w:r>
      <w:bookmarkEnd w:id="15"/>
      <w:r>
        <w:rPr>
          <w:highlight w:val="none"/>
        </w:rPr>
      </w:r>
      <w:bookmarkEnd w:id="16"/>
      <w:r>
        <w:rPr>
          <w:highlight w:val="none"/>
        </w:rPr>
      </w:r>
      <w:r>
        <w:rPr>
          <w:highlight w:val="none"/>
        </w:rPr>
      </w:r>
    </w:p>
    <w:p>
      <w:pPr>
        <w:jc w:val="left"/>
        <w:spacing w:before="90" w:line="360" w:lineRule="auto"/>
        <w:widowControl/>
        <w:rPr>
          <w:rFonts w:hint="eastAsia" w:ascii="宋体" w:hAnsi="宋体" w:cs="宋体"/>
          <w:b/>
          <w:bCs/>
          <w:sz w:val="24"/>
          <w:highlight w:val="none"/>
        </w:rPr>
      </w:pPr>
      <w:r>
        <w:rPr>
          <w:highlight w:val="none"/>
        </w:rPr>
      </w:r>
      <w:bookmarkStart w:id="17" w:name="_Toc26"/>
      <w:r>
        <w:rPr>
          <w:rFonts w:hint="eastAsia" w:ascii="宋体" w:hAnsi="宋体" w:cs="宋体"/>
          <w:sz w:val="24"/>
          <w:highlight w:val="none"/>
        </w:rPr>
        <w:t xml:space="preserve"> </w:t>
      </w:r>
      <w:r>
        <w:rPr>
          <w:rFonts w:hint="eastAsia" w:ascii="宋体" w:hAnsi="宋体" w:cs="宋体"/>
          <w:b/>
          <w:bCs/>
          <w:sz w:val="24"/>
          <w:highlight w:val="none"/>
        </w:rPr>
        <w:t xml:space="preserve">一、</w:t>
      </w:r>
      <w:r>
        <w:rPr>
          <w:rFonts w:hint="eastAsia" w:ascii="宋体" w:hAnsi="宋体" w:cs="宋体"/>
          <w:b/>
          <w:bCs/>
          <w:sz w:val="24"/>
          <w:highlight w:val="none"/>
          <w:lang w:val="en-US" w:eastAsia="zh-CN"/>
        </w:rPr>
        <w:t xml:space="preserve">本项目</w:t>
      </w:r>
      <w:r>
        <w:rPr>
          <w:rFonts w:hint="eastAsia" w:ascii="宋体" w:hAnsi="宋体" w:cs="宋体"/>
          <w:b/>
          <w:bCs/>
          <w:sz w:val="24"/>
          <w:highlight w:val="none"/>
        </w:rPr>
        <w:t xml:space="preserve">采购标的需实现的功能或者目标，以及为落实政府采购政策需满足的要求：</w:t>
      </w:r>
      <w:r>
        <w:rPr>
          <w:highlight w:val="none"/>
        </w:rPr>
      </w:r>
      <w:r>
        <w:rPr>
          <w:highlight w:val="none"/>
        </w:rP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1.采购标的需实现的功能或者目标：</w:t>
      </w:r>
      <w:r>
        <w:rPr>
          <w:highlight w:val="none"/>
        </w:rPr>
      </w:r>
      <w:r>
        <w:rPr>
          <w:highlight w:val="none"/>
        </w:rPr>
      </w:r>
    </w:p>
    <w:p>
      <w:pPr>
        <w:ind w:firstLine="240"/>
        <w:jc w:val="left"/>
        <w:spacing w:line="360" w:lineRule="auto"/>
        <w:widowControl/>
        <w:rPr>
          <w:rFonts w:ascii="宋体" w:hAnsi="宋体" w:cs="Courier New"/>
          <w:bCs/>
          <w:sz w:val="24"/>
          <w:highlight w:val="none"/>
        </w:rPr>
      </w:pPr>
      <w:r>
        <w:rPr>
          <w:rFonts w:hint="eastAsia" w:ascii="宋体" w:hAnsi="宋体" w:cs="Courier New"/>
          <w:bCs/>
          <w:sz w:val="24"/>
          <w:highlight w:val="none"/>
          <w:lang w:bidi="ar"/>
        </w:rPr>
        <w:t xml:space="preserve">本项目主要内容为</w:t>
      </w:r>
      <w:r>
        <w:rPr>
          <w:rFonts w:hint="eastAsia" w:ascii="宋体" w:hAnsi="宋体" w:cs="宋体"/>
          <w:sz w:val="24"/>
          <w:highlight w:val="none"/>
          <w:lang w:eastAsia="zh-CN"/>
        </w:rPr>
        <w:t xml:space="preserve">梁溪区黄巷街道2024年游园及绿化养护服务项目</w:t>
      </w:r>
      <w:r>
        <w:rPr>
          <w:rFonts w:hint="eastAsia" w:ascii="宋体" w:hAnsi="宋体" w:cs="Courier New"/>
          <w:bCs/>
          <w:sz w:val="24"/>
          <w:highlight w:val="none"/>
          <w:lang w:bidi="ar"/>
        </w:rPr>
        <w:t xml:space="preserve">，绿化养护是提升城市形象和人民生活环境的重要途径之一，搞好城市绿化养护需要充分认识其重要性，以科学的发展观为指导，贯彻生态、节约的理念，探索城市绿化养护的管理模式，做好养护工作。</w:t>
      </w:r>
      <w:r>
        <w:rPr>
          <w:highlight w:val="none"/>
        </w:rPr>
      </w:r>
      <w:r>
        <w:rPr>
          <w:highlight w:val="none"/>
        </w:rP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2.为落实政府采购政策需满足的要求：</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应为中小微企业/监狱企业/残疾人福利性单位；</w:t>
      </w: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highlight w:val="none"/>
        </w:rPr>
      </w:r>
      <w:r>
        <w:rPr>
          <w:highlight w:val="none"/>
        </w:rPr>
      </w:r>
    </w:p>
    <w:p>
      <w:pPr>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lang w:val="en-US" w:eastAsia="zh-CN"/>
        </w:rPr>
        <w:t xml:space="preserve">本项目</w:t>
      </w:r>
      <w:r>
        <w:rPr>
          <w:rFonts w:hint="eastAsia" w:ascii="宋体" w:hAnsi="宋体" w:cs="宋体"/>
          <w:b/>
          <w:bCs/>
          <w:sz w:val="24"/>
          <w:highlight w:val="none"/>
        </w:rPr>
        <w:t xml:space="preserve">采购标的需执行的国家相关标准、行业标准、地方标准或者其他标准、规范：</w:t>
      </w:r>
      <w:r>
        <w:rPr>
          <w:highlight w:val="none"/>
        </w:rPr>
      </w:r>
      <w:r>
        <w:rPr>
          <w:highlight w:val="none"/>
        </w:rP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hint="eastAsia" w:ascii="宋体" w:hAnsi="宋体"/>
          <w:bCs/>
          <w:color w:val="000000"/>
          <w:sz w:val="24"/>
          <w:highlight w:val="none"/>
        </w:rPr>
        <w:t xml:space="preserve">《</w:t>
      </w:r>
      <w:r>
        <w:rPr>
          <w:color w:val="000000"/>
          <w:highlight w:val="none"/>
        </w:rPr>
        <w:fldChar w:fldCharType="begin"/>
      </w:r>
      <w:r>
        <w:rPr>
          <w:color w:val="000000"/>
          <w:highlight w:val="none"/>
        </w:rPr>
        <w:instrText xml:space="preserve"> HYPERLINK "https://www.baidu.com/s?wd=%E5%9F%8E%E5%B8%82%E5%9B%AD%E6%9E%97%E7%BB%BF%E5%8C%96%E5%B7%A5%E7%A8%8B%E6%96%BD%E5%B7%A5%E5%8F%8A%E9%AA%8C%E6%94%B6%E8%A7%84%E8%8C%83&amp;tn=SE_PcZhidaonwhc_ngpagmjz&amp;rsv_dl=gh_pc_zhidao" \t "_blank" </w:instrText>
      </w:r>
      <w:r>
        <w:rPr>
          <w:color w:val="000000"/>
          <w:highlight w:val="none"/>
        </w:rPr>
        <w:fldChar w:fldCharType="separate"/>
      </w:r>
      <w:r>
        <w:rPr>
          <w:rFonts w:hint="eastAsia" w:ascii="宋体" w:hAnsi="宋体"/>
          <w:bCs/>
          <w:color w:val="000000"/>
          <w:sz w:val="24"/>
          <w:highlight w:val="none"/>
        </w:rPr>
        <w:t xml:space="preserve">园林绿化工程施工及验收规范</w:t>
      </w:r>
      <w:r>
        <w:rPr>
          <w:rFonts w:ascii="宋体" w:hAnsi="宋体"/>
          <w:bCs/>
          <w:color w:val="000000"/>
          <w:sz w:val="24"/>
          <w:highlight w:val="none"/>
        </w:rPr>
        <w:fldChar w:fldCharType="end"/>
      </w:r>
      <w:r>
        <w:rPr>
          <w:rFonts w:hint="eastAsia" w:ascii="宋体" w:hAnsi="宋体"/>
          <w:bCs/>
          <w:color w:val="000000"/>
          <w:sz w:val="24"/>
          <w:highlight w:val="none"/>
        </w:rPr>
        <w:t xml:space="preserve">》（CJJ</w:t>
      </w:r>
      <w:r>
        <w:rPr>
          <w:rFonts w:ascii="宋体" w:hAnsi="宋体"/>
          <w:bCs/>
          <w:color w:val="000000"/>
          <w:sz w:val="24"/>
          <w:highlight w:val="none"/>
        </w:rPr>
        <w:t xml:space="preserve">82</w:t>
      </w:r>
      <w:r>
        <w:rPr>
          <w:rFonts w:hint="eastAsia" w:ascii="宋体" w:hAnsi="宋体"/>
          <w:bCs/>
          <w:color w:val="000000"/>
          <w:sz w:val="24"/>
          <w:highlight w:val="none"/>
        </w:rPr>
        <w:t xml:space="preserve">-</w:t>
      </w:r>
      <w:r>
        <w:rPr>
          <w:rFonts w:ascii="宋体" w:hAnsi="宋体"/>
          <w:bCs/>
          <w:color w:val="000000"/>
          <w:sz w:val="24"/>
          <w:highlight w:val="none"/>
        </w:rPr>
        <w:t xml:space="preserve">2012</w:t>
      </w:r>
      <w:r>
        <w:rPr>
          <w:rFonts w:hint="eastAsia" w:ascii="宋体" w:hAnsi="宋体"/>
          <w:bCs/>
          <w:color w:val="000000"/>
          <w:sz w:val="24"/>
          <w:highlight w:val="none"/>
        </w:rPr>
        <w:t xml:space="preserve">）、《城市园林绿化用植物材料木本苗》（DB11/T211—2003）、《园林绿化工程施工及验收规范》（DGJ</w:t>
      </w:r>
      <w:r>
        <w:rPr>
          <w:rFonts w:ascii="宋体" w:hAnsi="宋体"/>
          <w:bCs/>
          <w:color w:val="000000"/>
          <w:sz w:val="24"/>
          <w:highlight w:val="none"/>
        </w:rPr>
        <w:t xml:space="preserve">32</w:t>
      </w:r>
      <w:r>
        <w:rPr>
          <w:rFonts w:hint="eastAsia" w:ascii="宋体" w:hAnsi="宋体"/>
          <w:bCs/>
          <w:color w:val="000000"/>
          <w:sz w:val="24"/>
          <w:highlight w:val="none"/>
        </w:rPr>
        <w:t xml:space="preserve">/</w:t>
      </w:r>
      <w:r>
        <w:rPr>
          <w:rFonts w:ascii="宋体" w:hAnsi="宋体"/>
          <w:bCs/>
          <w:color w:val="000000"/>
          <w:sz w:val="24"/>
          <w:highlight w:val="none"/>
        </w:rPr>
        <w:t xml:space="preserve">TJ201-2016</w:t>
      </w:r>
      <w:r>
        <w:rPr>
          <w:rFonts w:hint="eastAsia" w:ascii="宋体" w:hAnsi="宋体"/>
          <w:bCs/>
          <w:color w:val="000000"/>
          <w:sz w:val="24"/>
          <w:highlight w:val="none"/>
        </w:rPr>
        <w:t xml:space="preserve">）、《江苏省城市园林绿化养护管理规范及分级标准》</w:t>
      </w:r>
      <w:r>
        <w:rPr>
          <w:rFonts w:hint="eastAsia" w:ascii="宋体" w:hAnsi="宋体"/>
          <w:bCs/>
          <w:color w:val="000000"/>
          <w:sz w:val="24"/>
          <w:highlight w:val="none"/>
        </w:rPr>
        <w:t xml:space="preserve">、</w:t>
      </w:r>
      <w:r>
        <w:rPr>
          <w:rFonts w:ascii="SimSun" w:hAnsi="SimSun" w:eastAsia="SimSun" w:cs="SimSun"/>
          <w:color w:val="000000"/>
          <w:sz w:val="24"/>
          <w:highlight w:val="none"/>
        </w:rPr>
        <w:t xml:space="preserve">符合现行的主管部门绿地养护管理考核办法及以后可能修订的考核办法规定</w:t>
      </w:r>
      <w:r>
        <w:rPr>
          <w:rFonts w:ascii="SimSun" w:hAnsi="SimSun" w:eastAsia="SimSun" w:cs="SimSun"/>
          <w:color w:val="000000"/>
          <w:sz w:val="24"/>
          <w:highlight w:val="none"/>
        </w:rPr>
        <w:t xml:space="preserve">。</w:t>
      </w:r>
      <w:r>
        <w:rPr>
          <w:sz w:val="21"/>
          <w:highlight w:val="none"/>
        </w:rPr>
      </w:r>
      <w:r>
        <w:rPr>
          <w:highlight w:val="none"/>
        </w:rP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合同作业期间如有新规范、新标准、新细则按最新要求实施按新标准实施</w:t>
      </w:r>
      <w:r>
        <w:rPr>
          <w:rFonts w:hint="eastAsia" w:ascii="宋体" w:hAnsi="宋体" w:cs="Arial"/>
          <w:color w:val="000000"/>
          <w:sz w:val="24"/>
          <w:highlight w:val="none"/>
        </w:rPr>
        <w:t xml:space="preserve">。</w:t>
      </w:r>
      <w:r>
        <w:rPr>
          <w:highlight w:val="none"/>
        </w:rPr>
      </w:r>
      <w:r>
        <w:rPr>
          <w:highlight w:val="none"/>
        </w:rPr>
      </w:r>
    </w:p>
    <w:p>
      <w:p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三、</w:t>
      </w:r>
      <w:r>
        <w:rPr>
          <w:rFonts w:hint="eastAsia" w:ascii="宋体" w:hAnsi="宋体" w:cs="宋体"/>
          <w:b/>
          <w:bCs/>
          <w:sz w:val="24"/>
          <w:highlight w:val="none"/>
          <w:lang w:val="en-US" w:eastAsia="zh-CN"/>
        </w:rPr>
        <w:t xml:space="preserve">本项目</w:t>
      </w:r>
      <w:r>
        <w:rPr>
          <w:rFonts w:hint="eastAsia" w:ascii="宋体" w:hAnsi="宋体" w:cs="宋体"/>
          <w:b/>
          <w:bCs/>
          <w:sz w:val="24"/>
          <w:highlight w:val="none"/>
        </w:rPr>
        <w:t xml:space="preserve">采购标的需满足的质量、安全、技术规格、物理特性等要求：</w:t>
      </w:r>
      <w:r>
        <w:rPr>
          <w:highlight w:val="none"/>
        </w:rPr>
      </w:r>
      <w:r>
        <w:rPr>
          <w:highlight w:val="none"/>
        </w:rPr>
      </w:r>
    </w:p>
    <w:p>
      <w:pPr>
        <w:ind w:firstLine="480"/>
        <w:jc w:val="left"/>
        <w:spacing w:before="90" w:after="90" w:line="360" w:lineRule="auto"/>
        <w:widowControl/>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养护质量要求：符合</w:t>
      </w:r>
      <w:r>
        <w:rPr>
          <w:rFonts w:hint="eastAsia" w:ascii="宋体" w:hAnsi="宋体" w:cs="宋体"/>
          <w:bCs/>
          <w:sz w:val="24"/>
          <w:highlight w:val="none"/>
        </w:rPr>
        <w:t xml:space="preserve">《江苏省城市园林绿化养护管理规范及分级标准》二级养护标准及现行的区级绿化养护管理考核办法（上述标准及考核办法如有修改，按新标准执行）</w:t>
      </w:r>
      <w:r>
        <w:rPr>
          <w:rFonts w:hint="eastAsia" w:ascii="宋体" w:hAnsi="宋体"/>
          <w:bCs/>
          <w:sz w:val="24"/>
          <w:highlight w:val="none"/>
          <w:lang w:bidi="en-US"/>
        </w:rPr>
        <w:t xml:space="preserve">；</w:t>
      </w:r>
      <w:r>
        <w:rPr>
          <w:highlight w:val="none"/>
        </w:rPr>
      </w:r>
      <w:r>
        <w:rPr>
          <w:highlight w:val="none"/>
        </w:rPr>
      </w:r>
    </w:p>
    <w:p>
      <w:pPr>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2．安全要求：遵守</w:t>
      </w:r>
      <w:r>
        <w:rPr>
          <w:rFonts w:hint="eastAsia" w:ascii="宋体" w:hAnsi="宋体" w:cs="宋体"/>
          <w:sz w:val="24"/>
          <w:highlight w:val="none"/>
        </w:rPr>
        <w:t xml:space="preserve">政府有关安全法律法规，有相应的安全保障措施，并对其检测现场的人员、设备的安全负责。</w:t>
      </w:r>
      <w:r>
        <w:rPr>
          <w:highlight w:val="none"/>
        </w:rPr>
      </w:r>
      <w:r>
        <w:rPr>
          <w:highlight w:val="none"/>
        </w:rPr>
      </w:r>
    </w:p>
    <w:p>
      <w:p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四、</w:t>
      </w:r>
      <w:r>
        <w:rPr>
          <w:rFonts w:hint="eastAsia" w:ascii="宋体" w:hAnsi="宋体" w:cs="宋体"/>
          <w:b/>
          <w:bCs/>
          <w:sz w:val="24"/>
          <w:highlight w:val="none"/>
          <w:lang w:val="en-US" w:eastAsia="zh-CN"/>
        </w:rPr>
        <w:t xml:space="preserve">本项目</w:t>
      </w:r>
      <w:r>
        <w:rPr>
          <w:rFonts w:hint="eastAsia" w:ascii="宋体" w:hAnsi="宋体" w:cs="宋体"/>
          <w:b/>
          <w:bCs/>
          <w:sz w:val="24"/>
          <w:highlight w:val="none"/>
        </w:rPr>
        <w:t xml:space="preserve">采购标的的数量、采购项目交付或者实施的时间和地点：</w:t>
      </w:r>
      <w:r>
        <w:rPr>
          <w:highlight w:val="none"/>
        </w:rPr>
      </w:r>
      <w:r>
        <w:rPr>
          <w:highlight w:val="none"/>
        </w:rPr>
      </w:r>
    </w:p>
    <w:p>
      <w:pPr>
        <w:pStyle w:val="1333"/>
        <w:rPr>
          <w:rFonts w:hint="eastAsia"/>
          <w:highlight w:val="none"/>
        </w:rPr>
      </w:pPr>
      <w:r>
        <w:rPr>
          <w:rFonts w:hint="eastAsia"/>
          <w:highlight w:val="none"/>
        </w:rPr>
      </w:r>
      <w:r>
        <w:rPr>
          <w:highlight w:val="none"/>
        </w:rPr>
      </w:r>
      <w:r>
        <w:rPr>
          <w:highlight w:val="none"/>
        </w:rPr>
      </w:r>
    </w:p>
    <w:tbl>
      <w:tblPr>
        <w:tblStyle w:val="1308"/>
        <w:tblW w:w="92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8"/>
        <w:gridCol w:w="3572"/>
        <w:gridCol w:w="916"/>
        <w:gridCol w:w="1260"/>
        <w:gridCol w:w="1200"/>
        <w:gridCol w:w="1077"/>
      </w:tblGrid>
      <w:tr>
        <w:trPr>
          <w:jc w:val="center"/>
          <w:trHeight w:val="1368"/>
        </w:trPr>
        <w:tc>
          <w:tcPr>
            <w:tcW w:w="1258" w:type="dxa"/>
            <w:vAlign w:val="center"/>
            <w:textDirection w:val="lrTb"/>
            <w:noWrap w:val="false"/>
          </w:tcPr>
          <w:p>
            <w:pPr>
              <w:jc w:val="center"/>
              <w:spacing w:line="360" w:lineRule="auto"/>
              <w:widowControl/>
              <w:rPr>
                <w:rFonts w:ascii="宋体" w:hAnsi="宋体"/>
                <w:b/>
                <w:color w:val="000000"/>
                <w:sz w:val="24"/>
                <w:highlight w:val="none"/>
              </w:rPr>
            </w:pPr>
            <w:r>
              <w:rPr>
                <w:rFonts w:hint="eastAsia" w:ascii="宋体" w:hAnsi="宋体" w:cs="宋体"/>
                <w:b/>
                <w:bCs/>
                <w:szCs w:val="21"/>
                <w:highlight w:val="none"/>
              </w:rPr>
              <w:t xml:space="preserve">养护项目</w:t>
            </w:r>
            <w:r>
              <w:rPr>
                <w:highlight w:val="none"/>
              </w:rPr>
            </w:r>
            <w:r>
              <w:rPr>
                <w:highlight w:val="none"/>
              </w:rPr>
            </w:r>
          </w:p>
        </w:tc>
        <w:tc>
          <w:tcPr>
            <w:tcW w:w="3572" w:type="dxa"/>
            <w:vAlign w:val="center"/>
            <w:textDirection w:val="lrTb"/>
            <w:noWrap w:val="false"/>
          </w:tcPr>
          <w:p>
            <w:pPr>
              <w:jc w:val="center"/>
              <w:spacing w:line="360" w:lineRule="auto"/>
              <w:widowControl/>
              <w:rPr>
                <w:rFonts w:hint="default" w:ascii="宋体" w:hAnsi="宋体" w:eastAsia="宋体"/>
                <w:b/>
                <w:color w:val="000000"/>
                <w:sz w:val="24"/>
                <w:highlight w:val="none"/>
              </w:rPr>
            </w:pPr>
            <w:r>
              <w:rPr>
                <w:rFonts w:hint="eastAsia" w:ascii="宋体" w:hAnsi="宋体"/>
                <w:b/>
                <w:color w:val="000000"/>
                <w:sz w:val="24"/>
                <w:highlight w:val="none"/>
                <w:lang w:val="en-US" w:eastAsia="zh-CN"/>
              </w:rPr>
              <w:t xml:space="preserve">养护范围</w:t>
            </w:r>
            <w:r>
              <w:rPr>
                <w:highlight w:val="none"/>
              </w:rPr>
            </w:r>
            <w:r>
              <w:rPr>
                <w:highlight w:val="none"/>
              </w:rPr>
            </w:r>
          </w:p>
        </w:tc>
        <w:tc>
          <w:tcPr>
            <w:tcW w:w="916" w:type="dxa"/>
            <w:vAlign w:val="center"/>
            <w:textDirection w:val="lrTb"/>
            <w:noWrap w:val="false"/>
          </w:tcPr>
          <w:p>
            <w:pPr>
              <w:jc w:val="center"/>
              <w:spacing w:line="360" w:lineRule="auto"/>
              <w:widowControl/>
              <w:rPr>
                <w:rFonts w:ascii="宋体" w:hAnsi="宋体"/>
                <w:b/>
                <w:color w:val="000000"/>
                <w:sz w:val="24"/>
                <w:highlight w:val="none"/>
              </w:rPr>
            </w:pPr>
            <w:r>
              <w:rPr>
                <w:rFonts w:hint="eastAsia" w:ascii="宋体" w:hAnsi="宋体" w:cs="宋体"/>
                <w:b/>
                <w:color w:val="000000"/>
                <w:sz w:val="24"/>
                <w:highlight w:val="none"/>
              </w:rPr>
              <w:t xml:space="preserve">养护等级</w:t>
            </w:r>
            <w:r>
              <w:rPr>
                <w:highlight w:val="none"/>
              </w:rPr>
            </w:r>
            <w:r>
              <w:rPr>
                <w:highlight w:val="none"/>
              </w:rPr>
            </w:r>
          </w:p>
        </w:tc>
        <w:tc>
          <w:tcPr>
            <w:tcW w:w="1260" w:type="dxa"/>
            <w:vAlign w:val="center"/>
            <w:textDirection w:val="lrTb"/>
            <w:noWrap w:val="false"/>
          </w:tcPr>
          <w:p>
            <w:pPr>
              <w:jc w:val="center"/>
              <w:spacing w:line="360" w:lineRule="auto"/>
              <w:widowControl/>
              <w:rPr>
                <w:rFonts w:ascii="宋体" w:hAnsi="宋体"/>
                <w:b/>
                <w:color w:val="000000"/>
                <w:sz w:val="24"/>
                <w:highlight w:val="none"/>
              </w:rPr>
            </w:pPr>
            <w:r>
              <w:rPr>
                <w:rFonts w:hint="eastAsia" w:ascii="宋体" w:hAnsi="宋体" w:cs="宋体"/>
                <w:b/>
                <w:color w:val="000000"/>
                <w:sz w:val="24"/>
                <w:highlight w:val="none"/>
              </w:rPr>
              <w:t xml:space="preserve">绿地面积（㎡）</w:t>
            </w:r>
            <w:r>
              <w:rPr>
                <w:highlight w:val="none"/>
              </w:rPr>
            </w:r>
            <w:r>
              <w:rPr>
                <w:highlight w:val="none"/>
              </w:rPr>
            </w:r>
          </w:p>
        </w:tc>
        <w:tc>
          <w:tcPr>
            <w:tcW w:w="1200" w:type="dxa"/>
            <w:vAlign w:val="center"/>
            <w:textDirection w:val="lrTb"/>
            <w:noWrap w:val="false"/>
          </w:tcPr>
          <w:p>
            <w:pPr>
              <w:jc w:val="center"/>
              <w:spacing w:line="360" w:lineRule="auto"/>
              <w:widowControl/>
              <w:rPr>
                <w:rFonts w:hint="eastAsia" w:ascii="宋体" w:hAnsi="宋体"/>
                <w:b/>
                <w:color w:val="000000"/>
                <w:sz w:val="24"/>
                <w:highlight w:val="none"/>
              </w:rPr>
            </w:pPr>
            <w:r>
              <w:rPr>
                <w:rFonts w:hint="eastAsia" w:ascii="宋体" w:hAnsi="宋体" w:cs="宋体"/>
                <w:b/>
                <w:color w:val="000000"/>
                <w:sz w:val="24"/>
                <w:highlight w:val="none"/>
              </w:rPr>
              <w:t xml:space="preserve">草花面积（㎡）</w:t>
            </w:r>
            <w:r>
              <w:rPr>
                <w:highlight w:val="none"/>
              </w:rPr>
            </w:r>
            <w:r>
              <w:rPr>
                <w:highlight w:val="none"/>
              </w:rPr>
            </w:r>
          </w:p>
        </w:tc>
        <w:tc>
          <w:tcPr>
            <w:tcW w:w="1077" w:type="dxa"/>
            <w:vAlign w:val="center"/>
            <w:textDirection w:val="lrTb"/>
            <w:noWrap w:val="false"/>
          </w:tcPr>
          <w:p>
            <w:pPr>
              <w:jc w:val="center"/>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养护期</w:t>
            </w:r>
            <w:r>
              <w:rPr>
                <w:highlight w:val="none"/>
              </w:rPr>
            </w:r>
            <w:r>
              <w:rPr>
                <w:highlight w:val="none"/>
              </w:rPr>
            </w:r>
          </w:p>
        </w:tc>
      </w:tr>
      <w:tr>
        <w:trPr>
          <w:jc w:val="center"/>
          <w:trHeight w:val="741"/>
        </w:trPr>
        <w:tc>
          <w:tcPr>
            <w:tcW w:w="1258" w:type="dxa"/>
            <w:vAlign w:val="center"/>
            <w:textDirection w:val="lrTb"/>
            <w:noWrap w:val="false"/>
          </w:tcPr>
          <w:p>
            <w:pPr>
              <w:jc w:val="center"/>
              <w:spacing w:line="360" w:lineRule="auto"/>
              <w:widowControl/>
              <w:rPr>
                <w:rFonts w:hint="eastAsia" w:ascii="宋体" w:hAnsi="宋体"/>
                <w:bCs/>
                <w:color w:val="000000"/>
                <w:sz w:val="24"/>
                <w:highlight w:val="none"/>
              </w:rPr>
            </w:pPr>
            <w:r>
              <w:rPr>
                <w:rFonts w:hint="eastAsia" w:ascii="宋体" w:hAnsi="宋体" w:cs="宋体"/>
                <w:sz w:val="24"/>
                <w:highlight w:val="none"/>
                <w:lang w:eastAsia="zh-CN"/>
              </w:rPr>
              <w:t xml:space="preserve">梁溪区黄巷街道2024年游园及绿化养护服务项目</w:t>
            </w:r>
            <w:r>
              <w:rPr>
                <w:highlight w:val="none"/>
              </w:rPr>
            </w:r>
            <w:r>
              <w:rPr>
                <w:highlight w:val="none"/>
              </w:rPr>
            </w:r>
          </w:p>
        </w:tc>
        <w:tc>
          <w:tcPr>
            <w:tcW w:w="3572" w:type="dxa"/>
            <w:vAlign w:val="center"/>
            <w:textDirection w:val="lrTb"/>
            <w:noWrap w:val="false"/>
          </w:tcPr>
          <w:p>
            <w:pPr>
              <w:jc w:val="center"/>
              <w:spacing w:line="360" w:lineRule="auto"/>
              <w:widowControl/>
              <w:rPr>
                <w:rFonts w:hint="eastAsia" w:ascii="宋体" w:hAnsi="宋体"/>
                <w:bCs/>
                <w:color w:val="000000"/>
                <w:sz w:val="24"/>
                <w:highlight w:val="none"/>
              </w:rPr>
            </w:pPr>
            <w:r>
              <w:rPr>
                <w:rFonts w:hint="eastAsia" w:ascii="宋体" w:hAnsi="宋体" w:cs="宋体"/>
                <w:sz w:val="24"/>
                <w:highlight w:val="none"/>
                <w:lang w:bidi="ar"/>
              </w:rPr>
              <w:t xml:space="preserve">盛唐乐享城周边绿地、春雨润田小游园、高泾游园A、B地块、果树游园、徐巷游园</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江海西路景观节点、凤鸣路绿地、凤锦路绿地、广澄路沿线绿地</w:t>
            </w:r>
            <w:r>
              <w:rPr>
                <w:rFonts w:hint="eastAsia" w:ascii="宋体" w:hAnsi="宋体" w:cs="宋体"/>
                <w:sz w:val="24"/>
                <w:highlight w:val="none"/>
                <w:lang w:eastAsia="zh-CN" w:bidi="ar"/>
              </w:rPr>
              <w:t xml:space="preserve">、民丰路花箱以及凤宾路花墙、城管中队院内、黄巷街道社区卫生服务中心周边及沿河绿地</w:t>
            </w:r>
            <w:r>
              <w:rPr>
                <w:rFonts w:hint="eastAsia" w:ascii="宋体" w:hAnsi="宋体" w:cs="宋体"/>
                <w:sz w:val="24"/>
                <w:highlight w:val="none"/>
                <w:lang w:bidi="ar"/>
              </w:rPr>
              <w:t xml:space="preserve">及各零星边角绿地</w:t>
            </w:r>
            <w:r>
              <w:rPr>
                <w:highlight w:val="none"/>
              </w:rPr>
            </w:r>
            <w:r>
              <w:rPr>
                <w:highlight w:val="none"/>
              </w:rPr>
            </w:r>
          </w:p>
        </w:tc>
        <w:tc>
          <w:tcPr>
            <w:tcW w:w="916" w:type="dxa"/>
            <w:vAlign w:val="center"/>
            <w:textDirection w:val="lrTb"/>
            <w:noWrap w:val="false"/>
          </w:tcPr>
          <w:p>
            <w:pPr>
              <w:jc w:val="center"/>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二级</w:t>
            </w:r>
            <w:r>
              <w:rPr>
                <w:highlight w:val="none"/>
              </w:rPr>
            </w:r>
            <w:r>
              <w:rPr>
                <w:highlight w:val="none"/>
              </w:rPr>
            </w:r>
          </w:p>
        </w:tc>
        <w:tc>
          <w:tcPr>
            <w:tcW w:w="1260" w:type="dxa"/>
            <w:vAlign w:val="center"/>
            <w:textDirection w:val="lrTb"/>
            <w:noWrap w:val="false"/>
          </w:tcPr>
          <w:p>
            <w:pPr>
              <w:jc w:val="center"/>
              <w:spacing w:line="360" w:lineRule="auto"/>
              <w:widowControl/>
              <w:rPr>
                <w:rFonts w:ascii="宋体" w:hAnsi="宋体"/>
                <w:bCs/>
                <w:color w:val="000000"/>
                <w:sz w:val="24"/>
                <w:highlight w:val="none"/>
              </w:rPr>
            </w:pPr>
            <w:r>
              <w:rPr>
                <w:rFonts w:hint="eastAsia" w:ascii="宋体" w:hAnsi="宋体" w:cs="宋体"/>
                <w:sz w:val="24"/>
                <w:highlight w:val="none"/>
                <w:lang w:bidi="ar"/>
              </w:rPr>
              <w:t xml:space="preserve">88063.5</w:t>
            </w:r>
            <w:r>
              <w:rPr>
                <w:highlight w:val="none"/>
              </w:rPr>
            </w:r>
            <w:r>
              <w:rPr>
                <w:highlight w:val="none"/>
              </w:rPr>
            </w:r>
          </w:p>
        </w:tc>
        <w:tc>
          <w:tcPr>
            <w:tcW w:w="1200" w:type="dxa"/>
            <w:vAlign w:val="center"/>
            <w:textDirection w:val="lrTb"/>
            <w:noWrap w:val="false"/>
          </w:tcPr>
          <w:p>
            <w:pPr>
              <w:jc w:val="center"/>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74</w:t>
            </w:r>
            <w:r>
              <w:rPr>
                <w:highlight w:val="none"/>
              </w:rPr>
            </w:r>
            <w:r>
              <w:rPr>
                <w:highlight w:val="none"/>
              </w:rPr>
            </w:r>
          </w:p>
        </w:tc>
        <w:tc>
          <w:tcPr>
            <w:tcW w:w="1077" w:type="dxa"/>
            <w:vAlign w:val="center"/>
            <w:textDirection w:val="lrTb"/>
            <w:noWrap w:val="false"/>
          </w:tcPr>
          <w:p>
            <w:pPr>
              <w:jc w:val="center"/>
              <w:spacing w:line="360" w:lineRule="auto"/>
              <w:widowControl/>
              <w:rPr>
                <w:rFonts w:ascii="宋体" w:hAnsi="宋体"/>
                <w:bCs/>
                <w:color w:val="000000"/>
                <w:sz w:val="24"/>
                <w:highlight w:val="none"/>
              </w:rPr>
            </w:pPr>
            <w:r>
              <w:rPr>
                <w:rFonts w:hint="eastAsia" w:ascii="宋体" w:hAnsi="宋体" w:cs="宋体"/>
                <w:sz w:val="24"/>
                <w:highlight w:val="none"/>
              </w:rPr>
              <w:t xml:space="preserve">合同签订之日起一年</w:t>
            </w:r>
            <w:r>
              <w:rPr>
                <w:highlight w:val="none"/>
              </w:rPr>
            </w:r>
            <w:r>
              <w:rPr>
                <w:highlight w:val="none"/>
              </w:rPr>
            </w:r>
          </w:p>
        </w:tc>
      </w:tr>
      <w:tr>
        <w:trPr>
          <w:jc w:val="center"/>
          <w:trHeight w:val="23"/>
        </w:trPr>
        <w:tc>
          <w:tcPr>
            <w:gridSpan w:val="3"/>
            <w:tcW w:w="5746" w:type="dxa"/>
            <w:vAlign w:val="center"/>
            <w:textDirection w:val="lrTb"/>
            <w:noWrap w:val="false"/>
          </w:tcPr>
          <w:p>
            <w:pPr>
              <w:jc w:val="center"/>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合计</w:t>
            </w:r>
            <w:r>
              <w:rPr>
                <w:highlight w:val="none"/>
              </w:rPr>
            </w:r>
            <w:r>
              <w:rPr>
                <w:highlight w:val="none"/>
              </w:rPr>
            </w:r>
          </w:p>
        </w:tc>
        <w:tc>
          <w:tcPr>
            <w:tcW w:w="1260" w:type="dxa"/>
            <w:vAlign w:val="center"/>
            <w:textDirection w:val="lrTb"/>
            <w:noWrap w:val="false"/>
          </w:tcPr>
          <w:p>
            <w:pPr>
              <w:jc w:val="center"/>
              <w:spacing w:line="360" w:lineRule="auto"/>
              <w:widowControl/>
              <w:rPr>
                <w:rFonts w:ascii="宋体" w:hAnsi="宋体"/>
                <w:bCs/>
                <w:color w:val="000000"/>
                <w:sz w:val="24"/>
                <w:highlight w:val="none"/>
              </w:rPr>
            </w:pPr>
            <w:r>
              <w:rPr>
                <w:rFonts w:hint="eastAsia" w:ascii="宋体" w:hAnsi="宋体" w:cs="宋体"/>
                <w:sz w:val="24"/>
                <w:highlight w:val="none"/>
                <w:lang w:bidi="ar"/>
              </w:rPr>
              <w:t xml:space="preserve">88063.5</w:t>
            </w:r>
            <w:r>
              <w:rPr>
                <w:highlight w:val="none"/>
              </w:rPr>
            </w:r>
            <w:r>
              <w:rPr>
                <w:highlight w:val="none"/>
              </w:rPr>
            </w:r>
          </w:p>
        </w:tc>
        <w:tc>
          <w:tcPr>
            <w:tcW w:w="1200" w:type="dxa"/>
            <w:vAlign w:val="center"/>
            <w:textDirection w:val="lrTb"/>
            <w:noWrap w:val="false"/>
          </w:tcPr>
          <w:p>
            <w:pPr>
              <w:jc w:val="center"/>
              <w:spacing w:line="360" w:lineRule="auto"/>
              <w:widowControl/>
              <w:rPr>
                <w:rFonts w:ascii="宋体" w:hAnsi="宋体"/>
                <w:bCs/>
                <w:color w:val="000000"/>
                <w:sz w:val="24"/>
                <w:highlight w:val="none"/>
              </w:rPr>
            </w:pPr>
            <w:r>
              <w:rPr>
                <w:rFonts w:hint="eastAsia" w:ascii="宋体" w:hAnsi="宋体"/>
                <w:bCs/>
                <w:color w:val="000000"/>
                <w:sz w:val="24"/>
                <w:highlight w:val="none"/>
              </w:rPr>
              <w:t xml:space="preserve">74</w:t>
            </w:r>
            <w:r>
              <w:rPr>
                <w:highlight w:val="none"/>
              </w:rPr>
            </w:r>
            <w:r>
              <w:rPr>
                <w:highlight w:val="none"/>
              </w:rPr>
            </w:r>
          </w:p>
        </w:tc>
        <w:tc>
          <w:tcPr>
            <w:tcW w:w="1077" w:type="dxa"/>
            <w:vAlign w:val="center"/>
            <w:textDirection w:val="lrTb"/>
            <w:noWrap w:val="false"/>
          </w:tcPr>
          <w:p>
            <w:pPr>
              <w:jc w:val="center"/>
              <w:spacing w:line="360" w:lineRule="auto"/>
              <w:widowControl/>
              <w:rPr>
                <w:rFonts w:hint="eastAsia" w:ascii="宋体" w:hAnsi="宋体"/>
                <w:bCs/>
                <w:color w:val="000000"/>
                <w:sz w:val="24"/>
                <w:highlight w:val="none"/>
              </w:rPr>
            </w:pPr>
            <w:r>
              <w:rPr>
                <w:rFonts w:hint="eastAsia" w:ascii="宋体" w:hAnsi="宋体"/>
                <w:bCs/>
                <w:color w:val="000000"/>
                <w:sz w:val="24"/>
                <w:highlight w:val="none"/>
                <w:lang w:val="zh-CN"/>
              </w:rPr>
            </w:r>
            <w:r>
              <w:rPr>
                <w:highlight w:val="none"/>
              </w:rPr>
            </w:r>
            <w:r>
              <w:rPr>
                <w:highlight w:val="none"/>
              </w:rPr>
            </w:r>
          </w:p>
        </w:tc>
      </w:tr>
    </w:tbl>
    <w:p>
      <w:pPr>
        <w:pStyle w:val="1560"/>
        <w:rPr>
          <w:rFonts w:hint="eastAsia"/>
          <w:highlight w:val="none"/>
        </w:rPr>
      </w:pPr>
      <w:r>
        <w:rPr>
          <w:rFonts w:hint="eastAsia"/>
          <w:highlight w:val="none"/>
        </w:rPr>
      </w:r>
      <w:r>
        <w:rPr>
          <w:highlight w:val="none"/>
        </w:rPr>
      </w:r>
      <w:r>
        <w:rPr>
          <w:highlight w:val="none"/>
        </w:rPr>
      </w:r>
    </w:p>
    <w:p>
      <w:pPr>
        <w:numPr>
          <w:ilvl w:val="0"/>
          <w:numId w:val="0"/>
        </w:numPr>
        <w:jc w:val="left"/>
        <w:spacing w:before="90" w:after="90" w:line="360" w:lineRule="auto"/>
        <w:widowControl/>
        <w:rPr>
          <w:rFonts w:hint="eastAsia" w:ascii="宋体" w:hAnsi="宋体" w:cs="宋体"/>
          <w:b/>
          <w:bCs/>
          <w:sz w:val="24"/>
          <w:highlight w:val="none"/>
        </w:rPr>
      </w:pPr>
      <w:r>
        <w:rPr>
          <w:rFonts w:hint="eastAsia" w:ascii="宋体" w:hAnsi="宋体" w:eastAsia="宋体" w:cs="宋体"/>
          <w:b/>
          <w:bCs/>
          <w:sz w:val="24"/>
          <w:highlight w:val="none"/>
          <w:lang w:val="en-US" w:eastAsia="zh-CN" w:bidi="ar-SA"/>
        </w:rPr>
        <w:t xml:space="preserve">五、</w:t>
      </w:r>
      <w:r>
        <w:rPr>
          <w:rFonts w:hint="eastAsia" w:ascii="宋体" w:hAnsi="宋体" w:cs="Verdana"/>
          <w:b/>
          <w:color w:val="000000"/>
          <w:sz w:val="24"/>
          <w:highlight w:val="none"/>
        </w:rPr>
        <w:t xml:space="preserve">本项目采购标的需满足的</w:t>
      </w:r>
      <w:r>
        <w:rPr>
          <w:rFonts w:hint="eastAsia" w:ascii="宋体" w:hAnsi="宋体" w:cs="Verdana"/>
          <w:b/>
          <w:color w:val="000000"/>
          <w:sz w:val="24"/>
          <w:highlight w:val="none"/>
          <w:lang w:val="en-US" w:eastAsia="zh-CN"/>
        </w:rPr>
        <w:t xml:space="preserve">人员</w:t>
      </w:r>
      <w:r>
        <w:rPr>
          <w:rFonts w:hint="eastAsia" w:ascii="宋体" w:hAnsi="宋体" w:cs="Verdana"/>
          <w:b/>
          <w:color w:val="000000"/>
          <w:sz w:val="24"/>
          <w:highlight w:val="none"/>
        </w:rPr>
        <w:t xml:space="preserve">要求</w:t>
      </w:r>
      <w:r>
        <w:rPr>
          <w:rFonts w:hint="eastAsia" w:ascii="宋体" w:hAnsi="宋体" w:cs="宋体"/>
          <w:b/>
          <w:bCs/>
          <w:sz w:val="24"/>
          <w:highlight w:val="none"/>
        </w:rPr>
        <w:t xml:space="preserve">： </w:t>
      </w:r>
      <w:r>
        <w:rPr>
          <w:highlight w:val="none"/>
        </w:rPr>
      </w:r>
      <w:r>
        <w:rPr>
          <w:highlight w:val="none"/>
        </w:rPr>
      </w:r>
    </w:p>
    <w:p>
      <w:pPr>
        <w:ind w:firstLine="480"/>
        <w:spacing w:line="360" w:lineRule="auto"/>
        <w:rPr>
          <w:rFonts w:ascii="宋体" w:hAnsi="宋体" w:cs="宋体"/>
          <w:bCs/>
          <w:sz w:val="24"/>
          <w:szCs w:val="20"/>
          <w:highlight w:val="none"/>
        </w:rPr>
      </w:pPr>
      <w:r>
        <w:rPr>
          <w:rFonts w:hint="eastAsia" w:ascii="宋体" w:hAnsi="宋体" w:cs="宋体"/>
          <w:bCs/>
          <w:sz w:val="24"/>
          <w:highlight w:val="none"/>
          <w:lang w:val="en-US" w:eastAsia="zh-CN"/>
        </w:rPr>
        <w:t xml:space="preserve">绿化养护</w:t>
      </w:r>
      <w:r>
        <w:rPr>
          <w:rFonts w:hint="eastAsia" w:ascii="宋体" w:hAnsi="宋体" w:cs="宋体"/>
          <w:bCs/>
          <w:sz w:val="24"/>
          <w:highlight w:val="none"/>
        </w:rPr>
        <w:t xml:space="preserve">人员配备人数不低于下表。</w:t>
      </w:r>
      <w:r>
        <w:rPr>
          <w:highlight w:val="none"/>
        </w:rPr>
      </w:r>
      <w:r>
        <w:rPr>
          <w:highlight w:val="none"/>
        </w:rPr>
      </w:r>
    </w:p>
    <w:p>
      <w:pPr>
        <w:ind w:firstLine="480"/>
        <w:jc w:val="center"/>
        <w:spacing w:after="5" w:line="360" w:lineRule="auto"/>
        <w:rPr>
          <w:rFonts w:ascii="宋体" w:cs="宋体"/>
          <w:bCs/>
          <w:sz w:val="24"/>
          <w:szCs w:val="20"/>
          <w:highlight w:val="none"/>
        </w:rPr>
      </w:pPr>
      <w:r>
        <w:rPr>
          <w:rFonts w:hint="eastAsia" w:ascii="宋体" w:hAnsi="宋体" w:cs="宋体"/>
          <w:bCs/>
          <w:sz w:val="24"/>
          <w:szCs w:val="20"/>
          <w:highlight w:val="none"/>
          <w:lang w:val="en-US" w:eastAsia="zh-CN"/>
        </w:rPr>
        <w:t xml:space="preserve">绿化养护</w:t>
      </w:r>
      <w:r>
        <w:rPr>
          <w:rFonts w:hint="eastAsia" w:ascii="宋体" w:hAnsi="宋体" w:cs="宋体"/>
          <w:bCs/>
          <w:sz w:val="24"/>
          <w:szCs w:val="20"/>
          <w:highlight w:val="none"/>
        </w:rPr>
        <w:t xml:space="preserve">人员配置表</w:t>
      </w:r>
      <w:r>
        <w:rPr>
          <w:highlight w:val="none"/>
        </w:rPr>
      </w:r>
      <w:r>
        <w:rPr>
          <w:highlight w:val="none"/>
        </w:rPr>
      </w:r>
    </w:p>
    <w:tbl>
      <w:tblPr>
        <w:tblStyle w:val="1308"/>
        <w:tblW w:w="6941" w:type="dxa"/>
        <w:jc w:val="center"/>
        <w:tblLayout w:type="fixed"/>
        <w:tblCellMar>
          <w:left w:w="108" w:type="dxa"/>
          <w:top w:w="0" w:type="dxa"/>
          <w:right w:w="108" w:type="dxa"/>
          <w:bottom w:w="0" w:type="dxa"/>
        </w:tblCellMar>
        <w:tblLook w:val="04A0" w:firstRow="1" w:lastRow="0" w:firstColumn="1" w:lastColumn="0" w:noHBand="0" w:noVBand="1"/>
      </w:tblPr>
      <w:tblGrid>
        <w:gridCol w:w="1093"/>
        <w:gridCol w:w="3045"/>
        <w:gridCol w:w="2803"/>
      </w:tblGrid>
      <w:tr>
        <w:trPr>
          <w:jc w:val="center"/>
          <w:trHeight w:val="842"/>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序号</w:t>
            </w:r>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jc w:val="center"/>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岗位</w:t>
            </w:r>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人数（人）</w:t>
            </w:r>
            <w:r>
              <w:rPr>
                <w:highlight w:val="none"/>
              </w:rPr>
            </w:r>
            <w:r>
              <w:rPr>
                <w:highlight w:val="none"/>
              </w:rPr>
            </w:r>
          </w:p>
        </w:tc>
      </w:tr>
      <w:tr>
        <w:trPr>
          <w:jc w:val="center"/>
          <w:trHeight w:val="722"/>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宋体" w:hAnsi="宋体" w:cs="宋体"/>
                <w:sz w:val="24"/>
                <w:szCs w:val="22"/>
                <w:highlight w:val="none"/>
              </w:rPr>
            </w:pPr>
            <w:r>
              <w:rPr>
                <w:rFonts w:ascii="宋体" w:hAnsi="宋体" w:cs="宋体"/>
                <w:sz w:val="24"/>
                <w:szCs w:val="22"/>
                <w:highlight w:val="none"/>
              </w:rPr>
              <w:t xml:space="preserve">1</w:t>
            </w:r>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jc w:val="center"/>
              <w:spacing w:line="360" w:lineRule="auto"/>
              <w:widowControl/>
              <w:rPr>
                <w:rFonts w:hint="default" w:ascii="宋体" w:hAnsi="宋体" w:eastAsia="宋体" w:cs="宋体"/>
                <w:sz w:val="24"/>
                <w:szCs w:val="22"/>
                <w:highlight w:val="none"/>
              </w:rPr>
            </w:pPr>
            <w:r>
              <w:rPr>
                <w:rFonts w:hint="eastAsia" w:ascii="宋体" w:hAnsi="宋体" w:cs="宋体"/>
                <w:sz w:val="24"/>
                <w:szCs w:val="22"/>
                <w:highlight w:val="none"/>
                <w:lang w:val="en-US" w:eastAsia="zh-CN"/>
              </w:rPr>
              <w:t xml:space="preserve">项目负责人</w:t>
            </w:r>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line="360" w:lineRule="auto"/>
              <w:widowControl/>
              <w:rPr>
                <w:rFonts w:ascii="宋体" w:hAnsi="宋体" w:cs="宋体"/>
                <w:sz w:val="24"/>
                <w:szCs w:val="22"/>
                <w:highlight w:val="none"/>
              </w:rPr>
            </w:pPr>
            <w:r>
              <w:rPr>
                <w:rFonts w:ascii="宋体" w:hAnsi="宋体" w:cs="宋体"/>
                <w:sz w:val="24"/>
                <w:szCs w:val="22"/>
                <w:highlight w:val="none"/>
              </w:rPr>
              <w:t xml:space="preserve">1</w:t>
            </w:r>
            <w:r>
              <w:rPr>
                <w:highlight w:val="none"/>
              </w:rPr>
            </w:r>
            <w:r>
              <w:rPr>
                <w:highlight w:val="none"/>
              </w:rPr>
            </w:r>
          </w:p>
        </w:tc>
      </w:tr>
      <w:tr>
        <w:trPr>
          <w:jc w:val="center"/>
          <w:trHeight w:val="722"/>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2</w:t>
            </w:r>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3045" w:type="dxa"/>
            <w:vAlign w:val="center"/>
            <w:textDirection w:val="lrTb"/>
            <w:noWrap w:val="false"/>
          </w:tcPr>
          <w:p>
            <w:pPr>
              <w:jc w:val="center"/>
              <w:spacing w:line="360" w:lineRule="auto"/>
              <w:widowControl/>
              <w:rPr>
                <w:rFonts w:hint="default" w:ascii="宋体" w:hAnsi="宋体" w:eastAsia="宋体" w:cs="宋体"/>
                <w:sz w:val="24"/>
                <w:szCs w:val="22"/>
                <w:highlight w:val="none"/>
              </w:rPr>
            </w:pPr>
            <w:r>
              <w:rPr>
                <w:rFonts w:hint="eastAsia" w:ascii="宋体" w:hAnsi="宋体" w:cs="宋体"/>
                <w:sz w:val="24"/>
                <w:szCs w:val="22"/>
                <w:highlight w:val="none"/>
                <w:lang w:val="en-US" w:eastAsia="zh-CN"/>
              </w:rPr>
              <w:t xml:space="preserve">绿化养护人员</w:t>
            </w:r>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line="360" w:lineRule="auto"/>
              <w:widowControl/>
              <w:rPr>
                <w:rFonts w:hint="default"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7</w:t>
            </w:r>
            <w:r>
              <w:rPr>
                <w:highlight w:val="none"/>
              </w:rPr>
            </w:r>
            <w:r>
              <w:rPr>
                <w:highlight w:val="none"/>
              </w:rP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4138" w:type="dxa"/>
            <w:vAlign w:val="center"/>
            <w:textDirection w:val="lrTb"/>
            <w:noWrap w:val="false"/>
          </w:tcPr>
          <w:p>
            <w:pPr>
              <w:spacing w:line="360" w:lineRule="auto"/>
              <w:widowControl/>
              <w:rPr>
                <w:rFonts w:ascii="宋体" w:hAnsi="宋体" w:cs="宋体"/>
                <w:sz w:val="24"/>
                <w:szCs w:val="22"/>
                <w:highlight w:val="none"/>
              </w:rPr>
            </w:pPr>
            <w:r>
              <w:rPr>
                <w:rFonts w:hint="eastAsia" w:ascii="宋体" w:hAnsi="宋体" w:cs="宋体"/>
                <w:sz w:val="24"/>
                <w:szCs w:val="22"/>
                <w:highlight w:val="none"/>
              </w:rPr>
              <w:t xml:space="preserve">           合   计</w:t>
            </w:r>
            <w:r>
              <w:rPr>
                <w:highlight w:val="none"/>
              </w:rPr>
            </w:r>
            <w:r>
              <w:rPr>
                <w:highlight w:val="none"/>
              </w:rPr>
            </w:r>
          </w:p>
        </w:tc>
        <w:tc>
          <w:tcPr>
            <w:tcBorders>
              <w:top w:val="single" w:color="auto" w:sz="4" w:space="0"/>
              <w:left w:val="single" w:color="auto" w:sz="4" w:space="0"/>
              <w:bottom w:val="single" w:color="auto" w:sz="4" w:space="0"/>
              <w:right w:val="single" w:color="auto" w:sz="4" w:space="0"/>
            </w:tcBorders>
            <w:tcW w:w="2803" w:type="dxa"/>
            <w:vAlign w:val="center"/>
            <w:textDirection w:val="lrTb"/>
            <w:noWrap w:val="false"/>
          </w:tcPr>
          <w:p>
            <w:pPr>
              <w:jc w:val="center"/>
              <w:spacing w:line="360" w:lineRule="auto"/>
              <w:widowControl/>
              <w:rPr>
                <w:rFonts w:hint="default"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8</w:t>
            </w:r>
            <w:r>
              <w:rPr>
                <w:highlight w:val="none"/>
              </w:rPr>
            </w:r>
            <w:r>
              <w:rPr>
                <w:highlight w:val="none"/>
              </w:rPr>
            </w:r>
          </w:p>
        </w:tc>
      </w:tr>
    </w:tbl>
    <w:p>
      <w:pPr>
        <w:pStyle w:val="1333"/>
        <w:numPr>
          <w:ilvl w:val="0"/>
          <w:numId w:val="0"/>
        </w:numPr>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bidi="ar-SA"/>
        </w:rPr>
      </w:r>
      <w:r>
        <w:rPr>
          <w:highlight w:val="none"/>
        </w:rPr>
      </w:r>
      <w:r>
        <w:rPr>
          <w:highlight w:val="none"/>
        </w:rPr>
      </w:r>
    </w:p>
    <w:p>
      <w:pPr>
        <w:pStyle w:val="1333"/>
        <w:numPr>
          <w:ilvl w:val="0"/>
          <w:numId w:val="0"/>
        </w:numPr>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bidi="ar-SA"/>
        </w:rPr>
        <w:t xml:space="preserve">注：报价测算中人工工资不得低于无锡市最低工资标准2490元/人/月。</w:t>
      </w:r>
      <w:r>
        <w:rPr>
          <w:highlight w:val="none"/>
        </w:rPr>
      </w:r>
      <w:r>
        <w:rPr>
          <w:highlight w:val="none"/>
        </w:rPr>
      </w:r>
    </w:p>
    <w:p>
      <w:pPr>
        <w:numPr>
          <w:ilvl w:val="0"/>
          <w:numId w:val="0"/>
        </w:numPr>
        <w:jc w:val="left"/>
        <w:spacing w:before="90" w:after="90" w:line="360" w:lineRule="auto"/>
        <w:widowControl/>
        <w:rPr>
          <w:rFonts w:hint="default" w:eastAsia="宋体"/>
          <w:highlight w:val="none"/>
        </w:rPr>
      </w:pPr>
      <w:r>
        <w:rPr>
          <w:rFonts w:hint="eastAsia" w:ascii="宋体" w:hAnsi="宋体" w:eastAsia="宋体" w:cs="宋体"/>
          <w:b/>
          <w:bCs/>
          <w:sz w:val="24"/>
          <w:highlight w:val="none"/>
          <w:lang w:val="en-US" w:eastAsia="zh-CN" w:bidi="ar-SA"/>
        </w:rPr>
        <w:t xml:space="preserve">六、</w:t>
      </w:r>
      <w:r>
        <w:rPr>
          <w:rFonts w:hint="eastAsia" w:ascii="宋体" w:hAnsi="宋体" w:cs="Verdana"/>
          <w:b/>
          <w:color w:val="000000"/>
          <w:sz w:val="24"/>
          <w:highlight w:val="none"/>
        </w:rPr>
        <w:t xml:space="preserve">本项目采购标的需满足的服务标准、期限、效率等要求</w:t>
      </w:r>
      <w:r>
        <w:rPr>
          <w:rFonts w:hint="eastAsia" w:ascii="宋体" w:hAnsi="宋体" w:cs="宋体"/>
          <w:b/>
          <w:bCs/>
          <w:sz w:val="24"/>
          <w:highlight w:val="none"/>
        </w:rPr>
        <w:t xml:space="preserve">： </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1.绿地日常养护的一般标准</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按照《江苏省城市园林绿化养护管理规范及分级标准》的要求，绿地养护应做到：</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1.1绿地中的乔木、灌木、花卉、藤本和攀缘、地</w:t>
      </w:r>
      <w:r>
        <w:rPr>
          <w:rFonts w:hint="eastAsia" w:ascii="宋体" w:hAnsi="宋体" w:cs="宋体"/>
          <w:sz w:val="24"/>
          <w:highlight w:val="none"/>
        </w:rPr>
        <w:t xml:space="preserve">被和草坪等植物，凡经栽植成活一年以上的其保存率均应达到98％（行道树保存率为100%，疏林工程移除的及由于不可抗力死亡且无法补植的苗木不纳入统计范围）。植物生长健壮，群落结构合理，青枝绿叶、无死树、无缺株；修剪合理，树型优美、叶茂花盛；花卉地被栽植符合指标，无裸露地、草坪无空秃；病虫杂草控制良好，无大型杂草及缠绕、攀援性杂草、无明显病虫危害迹象，控制病虫害危害率达标。保持绿地设施完好无损，并有良好的景观面貌。景观道路沿线绿地挡土墙因车辆撞击等各种因素破损、残缺的，事故发生后或事故现场清理后24小时内需修复。</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1.2行道树修剪、剥芽符合技术规程，长势良好，有良好的群体效果：一条道路同一品种分枝点基本相同。无缺株、死株；树木倾斜度不超过10度；无断桩、坏桩，桩位绑扎规范化；基本无病虫害危害迹象；有防台措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1.3养护标段内在日常养护中发生绿化苗木抽稀、调整和改善土质等工作，是正常的养护内容。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1.4每周至少一次叶面喷水除尘，具体根据天气情况安排。</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1.5日常养护内业资料齐全，做到有计划、有记录、有统计、并且资料与实际养护情况相符。</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2.绿地养护等级标准</w:t>
      </w:r>
      <w:r>
        <w:rPr>
          <w:highlight w:val="none"/>
        </w:rPr>
      </w:r>
      <w:r>
        <w:rPr>
          <w:highlight w:val="none"/>
        </w:rPr>
      </w:r>
    </w:p>
    <w:tbl>
      <w:tblPr>
        <w:tblStyle w:val="1308"/>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1676"/>
        <w:gridCol w:w="6942"/>
      </w:tblGrid>
      <w:tr>
        <w:trPr>
          <w:trHeight w:val="500"/>
        </w:trPr>
        <w:tc>
          <w:tcPr>
            <w:tcBorders>
              <w:top w:val="single" w:color="000000" w:sz="8" w:space="0"/>
              <w:left w:val="single" w:color="000000" w:sz="8"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lang w:bidi="ar"/>
              </w:rPr>
              <w:t xml:space="preserve">等级标准</w:t>
            </w:r>
            <w:r>
              <w:rPr>
                <w:highlight w:val="none"/>
              </w:rPr>
            </w:r>
            <w:r>
              <w:rPr>
                <w:highlight w:val="none"/>
              </w:rPr>
            </w:r>
          </w:p>
        </w:tc>
        <w:tc>
          <w:tcPr>
            <w:tcBorders>
              <w:top w:val="single" w:color="000000" w:sz="8" w:space="0"/>
              <w:left w:val="single" w:color="000000" w:sz="4" w:space="0"/>
              <w:bottom w:val="single" w:color="000000" w:sz="4" w:space="0"/>
              <w:right w:val="single" w:color="000000" w:sz="8" w:space="0"/>
            </w:tcBorders>
            <w:tcW w:w="0" w:type="auto"/>
            <w:vAlign w:val="center"/>
            <w:textDirection w:val="lrTb"/>
            <w:noWrap w:val="false"/>
          </w:tcPr>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lang w:bidi="ar"/>
              </w:rPr>
              <w:t xml:space="preserve">参考江苏省园林绿化植物养护贰级标准</w:t>
            </w:r>
            <w:r>
              <w:rPr>
                <w:highlight w:val="none"/>
              </w:rPr>
            </w:r>
            <w:r>
              <w:rPr>
                <w:highlight w:val="none"/>
              </w:rPr>
            </w:r>
          </w:p>
        </w:tc>
      </w:tr>
      <w:tr>
        <w:trPr>
          <w:trHeight w:val="500"/>
        </w:trPr>
        <w:tc>
          <w:tcPr>
            <w:tcBorders>
              <w:top w:val="non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lang w:bidi="ar"/>
              </w:rPr>
              <w:t xml:space="preserve">适合范围</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重点区域道路养护、城市公园、游园等绿地</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乔木</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生长健壮，树冠完整，树形优美。</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分枝点合适，无枯枝死杈；主侧枝分布匀称、数量适宜；修剪及时、合理，内膛不乱，通风透光。</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每年</w:t>
            </w:r>
            <w:r>
              <w:rPr>
                <w:rStyle w:val="1550"/>
                <w:rFonts w:hint="default" w:ascii="宋体" w:hAnsi="宋体" w:eastAsia="宋体" w:cs="宋体"/>
                <w:color w:val="auto"/>
                <w:highlight w:val="none"/>
                <w:lang w:bidi="ar"/>
              </w:rPr>
              <w:t xml:space="preserve">修剪1次。</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行道树</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树形完整、树冠舒展；长势良好，无徒长枝、病虫枝、交叉枝、重叠枝、下垂枝、扭伤枝、萌蘖枝、枯枝以及烂头等。</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树穴有平整盖板或种植地被植物、覆盖植物树皮碎屑的，做到黄土不裸露，树穴设施完好。</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补植的行道树品种与原行道树一致，规格适宜，一般为：落叶树种的胸径在15cm以下，常绿树种的胸径在12cm以下。</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50"/>
                <w:rFonts w:hint="default" w:ascii="宋体" w:hAnsi="宋体" w:eastAsia="宋体" w:cs="宋体"/>
                <w:color w:val="auto"/>
                <w:highlight w:val="none"/>
                <w:lang w:bidi="ar"/>
              </w:rPr>
              <w:t xml:space="preserve">每年修剪</w:t>
            </w:r>
            <w:r>
              <w:rPr>
                <w:rStyle w:val="1564"/>
                <w:rFonts w:hint="default" w:ascii="宋体" w:hAnsi="宋体" w:eastAsia="宋体" w:cs="宋体"/>
                <w:color w:val="auto"/>
                <w:highlight w:val="none"/>
                <w:lang w:bidi="ar"/>
              </w:rPr>
              <w:t xml:space="preserve">1次</w:t>
            </w:r>
            <w:r>
              <w:rPr>
                <w:rStyle w:val="1550"/>
                <w:rFonts w:hint="default" w:ascii="宋体" w:hAnsi="宋体" w:eastAsia="宋体" w:cs="宋体"/>
                <w:color w:val="auto"/>
                <w:highlight w:val="none"/>
                <w:lang w:bidi="ar"/>
              </w:rPr>
              <w:t xml:space="preserve">，施肥</w:t>
            </w:r>
            <w:r>
              <w:rPr>
                <w:rStyle w:val="1564"/>
                <w:rFonts w:hint="default" w:ascii="宋体" w:hAnsi="宋体" w:eastAsia="宋体" w:cs="宋体"/>
                <w:color w:val="auto"/>
                <w:highlight w:val="none"/>
                <w:lang w:bidi="ar"/>
              </w:rPr>
              <w:t xml:space="preserve">1次</w:t>
            </w:r>
            <w:r>
              <w:rPr>
                <w:rStyle w:val="1550"/>
                <w:rFonts w:hint="default" w:ascii="宋体" w:hAnsi="宋体" w:eastAsia="宋体" w:cs="宋体"/>
                <w:color w:val="auto"/>
                <w:highlight w:val="none"/>
                <w:lang w:bidi="ar"/>
              </w:rPr>
              <w:t xml:space="preserve">。</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花灌木</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花灌木株形丰满，枝叶茂密，开花适时，花后及时修剪。</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每年</w:t>
            </w:r>
            <w:r>
              <w:rPr>
                <w:rStyle w:val="1550"/>
                <w:rFonts w:hint="default" w:ascii="宋体" w:hAnsi="宋体" w:eastAsia="宋体" w:cs="宋体"/>
                <w:color w:val="auto"/>
                <w:highlight w:val="none"/>
                <w:lang w:bidi="ar"/>
              </w:rPr>
              <w:t xml:space="preserve">施肥1次。</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绿篱（模纹、色块）等</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绿篱线条清晰，整齐一致；模纹、球类、色块线条流畅、主要观赏面圆润饱满。</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枝叶茂密，造型优美。造型树木根据不同的生长特性及时摘心、攀扎。</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每两月</w:t>
            </w:r>
            <w:r>
              <w:rPr>
                <w:rStyle w:val="1550"/>
                <w:rFonts w:hint="default" w:ascii="宋体" w:hAnsi="宋体" w:eastAsia="宋体" w:cs="宋体"/>
                <w:color w:val="auto"/>
                <w:highlight w:val="none"/>
                <w:lang w:bidi="ar"/>
              </w:rPr>
              <w:t xml:space="preserve">修剪一次。</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水生植物</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水生植物密度适宜，花期正常、花色鲜艳美观，无干枯叶、残花等。</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每年</w:t>
            </w:r>
            <w:r>
              <w:rPr>
                <w:rStyle w:val="1550"/>
                <w:rFonts w:hint="default" w:ascii="宋体" w:hAnsi="宋体" w:eastAsia="宋体" w:cs="宋体"/>
                <w:color w:val="auto"/>
                <w:highlight w:val="none"/>
                <w:lang w:bidi="ar"/>
              </w:rPr>
              <w:t xml:space="preserve">清理1次。</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攀援植物</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根据不同植物的攀缘特点，及时采取相应的技术措施，生长旺盛。</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及时清除枯枝，疏删老弱藤蔓；开花的攀缘植物适时开花。</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每年1次</w:t>
            </w:r>
            <w:r>
              <w:rPr>
                <w:rStyle w:val="1550"/>
                <w:rFonts w:hint="default" w:ascii="宋体" w:hAnsi="宋体" w:eastAsia="宋体" w:cs="宋体"/>
                <w:color w:val="auto"/>
                <w:highlight w:val="none"/>
                <w:lang w:bidi="ar"/>
              </w:rPr>
              <w:t xml:space="preserve">修剪整理。</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地被花卉</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多年生地被植物（含花境）和露地一年生草本花卉生长旺盛，株行距适宜，色彩鲜艳，花期整齐，图案清晰。</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无缺株、倒伏，残花量不大于20％。</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50"/>
                <w:rFonts w:hint="default" w:ascii="宋体" w:hAnsi="宋体" w:eastAsia="宋体" w:cs="宋体"/>
                <w:color w:val="auto"/>
                <w:highlight w:val="none"/>
                <w:lang w:bidi="ar"/>
              </w:rPr>
              <w:t xml:space="preserve">一年生草本花卉更换</w:t>
            </w:r>
            <w:r>
              <w:rPr>
                <w:rStyle w:val="1564"/>
                <w:rFonts w:hint="default" w:ascii="宋体" w:hAnsi="宋体" w:eastAsia="宋体" w:cs="宋体"/>
                <w:color w:val="auto"/>
                <w:highlight w:val="none"/>
                <w:lang w:bidi="ar"/>
              </w:rPr>
              <w:t xml:space="preserve">4次（春、夏、秋、冬每季各1次）。</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竹类</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竹林保持适宜密度，通风透光、生长健壮、叶色正常，及时清除老鞭、砍伐后的竹蔸、干枯株等。</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每半年</w:t>
            </w:r>
            <w:r>
              <w:rPr>
                <w:rStyle w:val="1550"/>
                <w:rFonts w:hint="default" w:ascii="宋体" w:hAnsi="宋体" w:eastAsia="宋体" w:cs="宋体"/>
                <w:color w:val="auto"/>
                <w:highlight w:val="none"/>
                <w:lang w:bidi="ar"/>
              </w:rPr>
              <w:t xml:space="preserve">清理1次。</w:t>
            </w:r>
            <w:r>
              <w:rPr>
                <w:highlight w:val="none"/>
              </w:rPr>
            </w:r>
            <w:r>
              <w:rPr>
                <w:highlight w:val="none"/>
              </w:rPr>
            </w:r>
          </w:p>
        </w:tc>
      </w:tr>
      <w:tr>
        <w:trPr>
          <w:trHeight w:val="500"/>
        </w:trPr>
        <w:tc>
          <w:tcPr>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草坪</w:t>
            </w:r>
            <w:r>
              <w:rPr>
                <w:highlight w:val="none"/>
              </w:rPr>
            </w:r>
            <w:r>
              <w:rPr>
                <w:highlight w:val="none"/>
              </w:rP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生长良好，草根不裸露；无可视斑秃；生长季节不枯黄。</w:t>
            </w:r>
            <w:r>
              <w:rPr>
                <w:highlight w:val="none"/>
              </w:rPr>
            </w:r>
            <w:r>
              <w:rPr>
                <w:highlight w:val="none"/>
              </w:rPr>
            </w:r>
          </w:p>
        </w:tc>
      </w:tr>
      <w:tr>
        <w:trPr>
          <w:trHeight w:val="500"/>
        </w:trPr>
        <w:tc>
          <w:tcPr>
            <w:tcBorders>
              <w:top w:val="single" w:color="000000" w:sz="4" w:space="0"/>
              <w:left w:val="single" w:color="000000" w:sz="8" w:space="0"/>
              <w:bottom w:val="single" w:color="000000" w:sz="8" w:space="0"/>
              <w:right w:val="single" w:color="000000" w:sz="4" w:space="0"/>
            </w:tcBorders>
            <w:tcW w:w="0" w:type="auto"/>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每两月修剪一次，每半年施肥1次，覆盖率不低于80%。</w:t>
            </w:r>
            <w:r>
              <w:rPr>
                <w:highlight w:val="none"/>
              </w:rPr>
            </w:r>
            <w:r>
              <w:rPr>
                <w:highlight w:val="none"/>
              </w:rPr>
            </w:r>
          </w:p>
        </w:tc>
      </w:tr>
      <w:tr>
        <w:trPr>
          <w:trHeight w:val="500"/>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病虫害防治专项</w:t>
            </w:r>
            <w:r>
              <w:rPr>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每两月</w:t>
            </w:r>
            <w:r>
              <w:rPr>
                <w:rStyle w:val="1550"/>
                <w:rFonts w:hint="default" w:ascii="宋体" w:hAnsi="宋体" w:eastAsia="宋体" w:cs="宋体"/>
                <w:color w:val="auto"/>
                <w:highlight w:val="none"/>
                <w:lang w:bidi="ar"/>
              </w:rPr>
              <w:t xml:space="preserve">1次综合防治。无大面积病虫害发生。</w:t>
            </w:r>
            <w:r>
              <w:rPr>
                <w:highlight w:val="none"/>
              </w:rPr>
            </w:r>
            <w:r>
              <w:rPr>
                <w:highlight w:val="none"/>
              </w:rPr>
            </w:r>
          </w:p>
        </w:tc>
      </w:tr>
      <w:tr>
        <w:trPr>
          <w:trHeight w:val="500"/>
        </w:trPr>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绿地施肥</w:t>
            </w:r>
            <w:r>
              <w:rPr>
                <w:highlight w:val="none"/>
              </w:rPr>
            </w:r>
            <w:r>
              <w:rPr>
                <w:highlight w:val="none"/>
              </w:rPr>
            </w:r>
          </w:p>
        </w:tc>
        <w:tc>
          <w:tcPr>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每年</w:t>
            </w:r>
            <w:r>
              <w:rPr>
                <w:rStyle w:val="1565"/>
                <w:rFonts w:hint="default" w:ascii="宋体" w:hAnsi="宋体" w:eastAsia="宋体" w:cs="宋体"/>
                <w:color w:val="auto"/>
                <w:highlight w:val="none"/>
                <w:lang w:bidi="ar"/>
              </w:rPr>
              <w:t xml:space="preserve">1次综合施肥，改善土壤肥力，促进植物良好生长。</w:t>
            </w:r>
            <w:r>
              <w:rPr>
                <w:highlight w:val="none"/>
              </w:rPr>
            </w:r>
            <w:r>
              <w:rPr>
                <w:highlight w:val="none"/>
              </w:rPr>
            </w:r>
          </w:p>
        </w:tc>
      </w:tr>
      <w:tr>
        <w:trPr>
          <w:trHeight w:val="500"/>
        </w:trPr>
        <w:tc>
          <w:tcPr>
            <w:tcBorders>
              <w:top w:val="single" w:color="000000" w:sz="8" w:space="0"/>
              <w:left w:val="single" w:color="000000" w:sz="8" w:space="0"/>
              <w:bottom w:val="none" w:color="000000" w:sz="4"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绿地清理</w:t>
            </w:r>
            <w:r>
              <w:rPr>
                <w:highlight w:val="none"/>
              </w:rPr>
            </w:r>
            <w:r>
              <w:rPr>
                <w:highlight w:val="none"/>
              </w:rPr>
            </w:r>
          </w:p>
        </w:tc>
        <w:tc>
          <w:tcPr>
            <w:tcBorders>
              <w:top w:val="single" w:color="000000" w:sz="8" w:space="0"/>
              <w:left w:val="single" w:color="000000" w:sz="4" w:space="0"/>
              <w:bottom w:val="none" w:color="000000" w:sz="4"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Style w:val="1564"/>
                <w:rFonts w:hint="default" w:ascii="宋体" w:hAnsi="宋体" w:eastAsia="宋体" w:cs="宋体"/>
                <w:color w:val="auto"/>
                <w:highlight w:val="none"/>
                <w:lang w:bidi="ar"/>
              </w:rPr>
              <w:t xml:space="preserve">每两月1</w:t>
            </w:r>
            <w:r>
              <w:rPr>
                <w:rStyle w:val="1550"/>
                <w:rFonts w:hint="default" w:ascii="宋体" w:hAnsi="宋体" w:eastAsia="宋体" w:cs="宋体"/>
                <w:color w:val="auto"/>
                <w:highlight w:val="none"/>
                <w:lang w:bidi="ar"/>
              </w:rPr>
              <w:t xml:space="preserve">次综合清理。无明显枯枝落叶堆放。</w:t>
            </w:r>
            <w:r>
              <w:rPr>
                <w:highlight w:val="none"/>
              </w:rPr>
            </w:r>
            <w:r>
              <w:rPr>
                <w:highlight w:val="none"/>
              </w:rPr>
            </w:r>
          </w:p>
        </w:tc>
      </w:tr>
      <w:tr>
        <w:trPr>
          <w:trHeight w:val="500"/>
        </w:trPr>
        <w:tc>
          <w:tcPr>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人员投入</w:t>
            </w:r>
            <w:r>
              <w:rPr>
                <w:highlight w:val="none"/>
              </w:rPr>
            </w:r>
            <w:r>
              <w:rPr>
                <w:highlight w:val="none"/>
              </w:rPr>
            </w:r>
          </w:p>
        </w:tc>
        <w:tc>
          <w:tcPr>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每12000-15000平方米1名养护作业人员。</w:t>
            </w:r>
            <w:r>
              <w:rPr>
                <w:highlight w:val="none"/>
              </w:rPr>
            </w:r>
            <w:r>
              <w:rPr>
                <w:highlight w:val="none"/>
              </w:rPr>
            </w:r>
          </w:p>
        </w:tc>
      </w:tr>
    </w:tbl>
    <w:p>
      <w:pPr>
        <w:spacing w:line="360" w:lineRule="auto"/>
        <w:rPr>
          <w:rFonts w:hint="eastAsia" w:ascii="宋体" w:hAnsi="宋体" w:cs="宋体"/>
          <w:sz w:val="24"/>
          <w:highlight w:val="none"/>
        </w:rPr>
      </w:pPr>
      <w:r>
        <w:rPr>
          <w:rFonts w:hint="eastAsia" w:ascii="宋体" w:hAnsi="宋体" w:cs="宋体"/>
          <w:sz w:val="24"/>
          <w:highlight w:val="none"/>
        </w:rPr>
        <w:t xml:space="preserve">3.绿化应急养护要求</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3.1三级绿化应急事件分类标准</w:t>
      </w:r>
      <w:r>
        <w:rPr>
          <w:highlight w:val="none"/>
        </w:rPr>
      </w:r>
      <w:r>
        <w:rPr>
          <w:highlight w:val="none"/>
        </w:rPr>
      </w:r>
    </w:p>
    <w:tbl>
      <w:tblPr>
        <w:tblStyle w:val="13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5016"/>
      </w:tblGrid>
      <w:tr>
        <w:trPr>
          <w:jc w:val="center"/>
          <w:trHeight w:val="549"/>
        </w:trPr>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种类</w:t>
            </w:r>
            <w:r>
              <w:rPr>
                <w:highlight w:val="none"/>
              </w:rPr>
            </w:r>
            <w:r>
              <w:rPr>
                <w:highlight w:val="none"/>
              </w:rPr>
            </w:r>
          </w:p>
        </w:tc>
        <w:tc>
          <w:tcPr>
            <w:tcW w:w="0" w:type="auto"/>
            <w:vAlign w:val="top"/>
            <w:textDirection w:val="lrTb"/>
            <w:noWrap w:val="false"/>
          </w:tcPr>
          <w:p>
            <w:pPr>
              <w:pStyle w:val="1315"/>
              <w:ind w:firstLine="489"/>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一般（三级）标准</w:t>
            </w:r>
            <w:r>
              <w:rPr>
                <w:highlight w:val="none"/>
              </w:rPr>
            </w:r>
            <w:r>
              <w:rPr>
                <w:highlight w:val="none"/>
              </w:rPr>
            </w:r>
          </w:p>
        </w:tc>
      </w:tr>
      <w:tr>
        <w:trPr>
          <w:jc w:val="center"/>
          <w:trHeight w:val="549"/>
        </w:trPr>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干旱</w:t>
            </w:r>
            <w:r>
              <w:rPr>
                <w:highlight w:val="none"/>
              </w:rPr>
            </w:r>
            <w:r>
              <w:rPr>
                <w:highlight w:val="none"/>
              </w:rPr>
            </w:r>
          </w:p>
        </w:tc>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市气象台发出高温Ⅳ级、干旱Ⅲ级预警信号。</w:t>
            </w:r>
            <w:r>
              <w:rPr>
                <w:highlight w:val="none"/>
              </w:rPr>
            </w:r>
            <w:r>
              <w:rPr>
                <w:highlight w:val="none"/>
              </w:rPr>
            </w:r>
          </w:p>
        </w:tc>
      </w:tr>
      <w:tr>
        <w:trPr>
          <w:jc w:val="center"/>
          <w:trHeight w:val="549"/>
        </w:trPr>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汛涝</w:t>
            </w:r>
            <w:r>
              <w:rPr>
                <w:highlight w:val="none"/>
              </w:rPr>
            </w:r>
            <w:r>
              <w:rPr>
                <w:highlight w:val="none"/>
              </w:rPr>
            </w:r>
          </w:p>
        </w:tc>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市气象台发出暴雨Ⅳ级和Ⅲ级预警信号。</w:t>
            </w:r>
            <w:r>
              <w:rPr>
                <w:highlight w:val="none"/>
              </w:rPr>
            </w:r>
            <w:r>
              <w:rPr>
                <w:highlight w:val="none"/>
              </w:rPr>
            </w:r>
          </w:p>
        </w:tc>
      </w:tr>
      <w:tr>
        <w:trPr>
          <w:jc w:val="center"/>
          <w:trHeight w:val="549"/>
        </w:trPr>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台风或风灾</w:t>
            </w:r>
            <w:r>
              <w:rPr>
                <w:highlight w:val="none"/>
              </w:rPr>
            </w:r>
            <w:r>
              <w:rPr>
                <w:highlight w:val="none"/>
              </w:rPr>
            </w:r>
          </w:p>
        </w:tc>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福建北部沿海登陆或陆地风力达到6-7级。</w:t>
            </w:r>
            <w:r>
              <w:rPr>
                <w:highlight w:val="none"/>
              </w:rPr>
            </w:r>
            <w:r>
              <w:rPr>
                <w:highlight w:val="none"/>
              </w:rPr>
            </w:r>
          </w:p>
        </w:tc>
      </w:tr>
      <w:tr>
        <w:trPr>
          <w:jc w:val="center"/>
          <w:trHeight w:val="549"/>
        </w:trPr>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雪灾</w:t>
            </w:r>
            <w:r>
              <w:rPr>
                <w:highlight w:val="none"/>
              </w:rPr>
            </w:r>
            <w:r>
              <w:rPr>
                <w:highlight w:val="none"/>
              </w:rPr>
            </w:r>
          </w:p>
        </w:tc>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叶面积雪1-1.5cm</w:t>
            </w:r>
            <w:r>
              <w:rPr>
                <w:highlight w:val="none"/>
              </w:rPr>
            </w:r>
            <w:r>
              <w:rPr>
                <w:highlight w:val="none"/>
              </w:rPr>
            </w:r>
          </w:p>
        </w:tc>
      </w:tr>
      <w:tr>
        <w:trPr>
          <w:jc w:val="center"/>
          <w:trHeight w:val="549"/>
        </w:trPr>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火情</w:t>
            </w:r>
            <w:r>
              <w:rPr>
                <w:highlight w:val="none"/>
              </w:rPr>
            </w:r>
            <w:r>
              <w:rPr>
                <w:highlight w:val="none"/>
              </w:rPr>
            </w:r>
          </w:p>
        </w:tc>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过火面积500平方米以内</w:t>
            </w:r>
            <w:r>
              <w:rPr>
                <w:highlight w:val="none"/>
              </w:rPr>
            </w:r>
            <w:r>
              <w:rPr>
                <w:highlight w:val="none"/>
              </w:rPr>
            </w:r>
          </w:p>
        </w:tc>
      </w:tr>
      <w:tr>
        <w:trPr>
          <w:jc w:val="center"/>
          <w:trHeight w:val="570"/>
        </w:trPr>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病虫害</w:t>
            </w:r>
            <w:r>
              <w:rPr>
                <w:highlight w:val="none"/>
              </w:rPr>
            </w:r>
            <w:r>
              <w:rPr>
                <w:highlight w:val="none"/>
              </w:rPr>
            </w:r>
          </w:p>
        </w:tc>
        <w:tc>
          <w:tcPr>
            <w:tcW w:w="0" w:type="auto"/>
            <w:vAlign w:val="top"/>
            <w:textDirection w:val="lrTb"/>
            <w:noWrap w:val="false"/>
          </w:tcPr>
          <w:p>
            <w:pPr>
              <w:pStyle w:val="1315"/>
              <w:ind w:left="0"/>
              <w:jc w:val="center"/>
              <w:spacing w:line="360" w:lineRule="auto"/>
              <w:tabs>
                <w:tab w:val="left" w:pos="0" w:leader="none"/>
                <w:tab w:val="left" w:pos="1134" w:leader="none"/>
              </w:tabs>
              <w:rPr>
                <w:rFonts w:hint="eastAsia" w:ascii="宋体" w:hAnsi="宋体" w:cs="宋体"/>
                <w:b/>
                <w:bCs/>
                <w:sz w:val="24"/>
                <w:highlight w:val="none"/>
              </w:rPr>
            </w:pPr>
            <w:r>
              <w:rPr>
                <w:rFonts w:hint="eastAsia" w:ascii="宋体" w:hAnsi="宋体" w:cs="宋体"/>
                <w:bCs/>
                <w:sz w:val="24"/>
                <w:highlight w:val="none"/>
                <w:lang w:val="en-US" w:eastAsia="zh-CN"/>
              </w:rPr>
              <w:t xml:space="preserve">一般程度病虫害</w:t>
            </w:r>
            <w:r>
              <w:rPr>
                <w:highlight w:val="none"/>
              </w:rPr>
            </w:r>
            <w:r>
              <w:rPr>
                <w:highlight w:val="none"/>
              </w:rPr>
            </w:r>
          </w:p>
        </w:tc>
      </w:tr>
    </w:tbl>
    <w:p>
      <w:pPr>
        <w:spacing w:line="360" w:lineRule="auto"/>
        <w:rPr>
          <w:rFonts w:hint="eastAsia" w:ascii="宋体" w:hAnsi="宋体" w:cs="宋体"/>
          <w:sz w:val="24"/>
          <w:highlight w:val="none"/>
        </w:rPr>
      </w:pPr>
      <w:r>
        <w:rPr>
          <w:rFonts w:hint="eastAsia" w:ascii="宋体" w:hAnsi="宋体" w:cs="宋体"/>
          <w:sz w:val="24"/>
          <w:highlight w:val="none"/>
        </w:rPr>
        <w:t xml:space="preserve">3.2预警：对可能发生的重大自然灾害的抢险应急工作要坚持“早预测，早通报，早处置”的原则，保障人民生命财产的安全和道路交通畅通及各类管线的安全运行，保证城市内各类活动尽快恢复正常。</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3.3预防：做好预防工作能降低灾害损失和减轻抢险救灾的工作量，根据我市可能发生的各类自然灾害，要做好以下预防工作：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a.汛前准备：成立防汛领导小组，建立防汛通讯网络，落实抢险队伍，添置必须的防汛器材，以加强汛期抗险能力，做到召之即来。同时做好非汛期区域内全部绿地排水的疏通工作。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b.汛期抢险：安排人员加强值班，一旦预报有大到暴雨天气要组织人员外出巡查，并及时收听气象报告，做好气象、雨量记录。雨后，必须及时组织人员进行排水工作。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(3)抗台风：夏、秋季易发生台风危害，台风来临之前要做好以下工作。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a.加固树木支撑，尤其要对新植树木和堆高种植的树木作为加固支撑的重点；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b.对歪斜树木要进行扶正并做好支撑，对各类管线附近、 居民房舍附近的歪斜树木要作为重点处理；</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c.彻底清理各类乔木的枯、死枝，对树冠浓密的枝条进行修剪（但必须保持树冠的正常形态）。</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d.台风季节应由专人值班，并在出现灾害后及时（24小时内）处理完毕。</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抗雪灾：冬季发生的雪灾主要对常绿乔、灌木因积雪而压断枝条，应对过密枝条进行修剪，抽稀常绿树（香樟、广玉兰、夹竹桃等）树冠，减少叶面积，降低积雪量。入冬前防雪灾准备及相应抢险措施同防汛抗台风要求。</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3.4应针对不同自然灾害的发生期，准备必要的物资和工具应对不同灾害的救灾需要。</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3.5加强巡视：各养护单位必须拥有自购的绿化养护专用巡视或抢险车，并加装GPS系统。在灾害发生期，各绿地养护单位应加强对各自管辖地段的巡视，发现问题及时组织力量处理，并上报各抢险救灾指挥分中心。</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3.6及时前线救灾：对一般性自然灾害（干旱、病虫害除外），要求在8小时内处理完毕；对较大灾害，要求在12小时内处理完毕；对重大自然灾害，要求在24小时内处理完毕。</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3.7抓重点带一般处理灾情：对妨碍交通、影响各类管线正常运行、居民房舍安全的应作为重点首先进行处理，保证城市生活的正常秩序。</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道路上的树木，必须设置道路安全警示标牌，以免交通事故的发生，晚间抢先必须穿反光背心。</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4.绿地日常管理 </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4.1及时清除绿地内园林废弃物，保持绿地清洁。景观道路沿线绿地按季节特征实行动态巡视管理，确保早晨上班高峰时绿地清洁。（随绿地保洁权的归属而变更）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4.2行道树修剪、打药水和绿化隔离带喷水除尘的文明安全要求：行道树修剪必须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早7:00-9:00，晚16:00-19:00），文明喷水，避免溅湿非机动车及行人。</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5.单列专项质量：</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对单列专项的项目，承包人必须按发包人的具体指令要求实施。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5.1乔灌木养护 :</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（1）修剪整形。乔灌木修剪以自然树形为主，凡因观</w:t>
      </w:r>
      <w:r>
        <w:rPr>
          <w:rFonts w:hint="eastAsia" w:ascii="宋体" w:hAnsi="宋体" w:cs="宋体"/>
          <w:sz w:val="24"/>
          <w:highlight w:val="none"/>
        </w:rPr>
        <w:t xml:space="preserve">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要逐步修剪成形。修剪次数视绿篱生长情况而定</w:t>
      </w:r>
      <w:r>
        <w:rPr>
          <w:rFonts w:hint="eastAsia" w:ascii="宋体" w:hAnsi="宋体" w:cs="宋体"/>
          <w:sz w:val="24"/>
          <w:highlight w:val="none"/>
        </w:rPr>
        <w:t xml:space="preserve">。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上树修剪人员应为男性，年龄不大于50周岁。</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 </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6）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5.2地被和草坪养护</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 </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施肥2-3次；暖季性草种每年修剪2-3次，施肥2-3次。 </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5.3花坛花卉养护</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（1）认真做好花卉、花坛的养护工作，花坛换花除了间种以外，栽植前必须深耕细耙，除尽土中的石块、草屑、残茎和落叶等杂物并施足基肥；花坛的防护设施应经常保持清洁完好。 </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6.绿化养护管理工作月历</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6.1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6.2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园林废弃物处置等管理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（1）冬季草坪应注意防止过分踩踏，以免造成损失和严重磨损破坏。</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（2）运动场与儿童活动草地，应尽可能扫除积雪。属于冷季型的草坪，则应根据需要，尽可能扫除落叶。</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（1）对于准备种植地被的土地，在秋天翻耕的基础上利用这个时间施用有机肥，如鸡粪、厩肥等。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（2）木本矮生灌木地被可冬季施浓肥。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（3）遇到一月份过分干燥，在春季开花和早春萌生的地被容易受冻，应选择晴天中午适当浇水。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（4）结合冬闲，对排水不良的地被种植地进行加土或疏沟等作业。</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（1）深施基肥，大量积肥、堆肥、沤肥。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（2）冬季修剪整形，剪除病虫枝，伤残枝及不需要的枝条，挖掘死树，冬耕。</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（3）做好防寒工作，遇有大雪，对常绿树、古树名木、竹类要组织打雪。</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（4）防治越冬病虫源。</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（5）经常检查巡视防寒措施的完好程度。</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（1）土质属于粘性稍重的草坪，应充分利用冬季施肥，酌量掺入一些粗沙、细碎石屑，以便逐步改善粘性土质的疏松度和透气性。</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（2）应加强早春草坪的管理，检查草坪萌芽返青情况。如遇春寒，则应适当浇水，以促进其生长。</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（1）宿根、球根地被需要更新复壮的可在2月份至3月份初将植株或地下部分挖起，分株，在栽植地施基肥，再重新种植。</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（2）如遇春来早，注意浇水促使地被萌动。</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（1）继续进行冬季整形修剪。</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（2）继续进行冬施基肥和冬耕，对春花树木施花前肥，并做好积肥工作，以利乔木萌芽和新叶的生长。</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（3）继续做好防寒工作。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（4）继续防治越冬害虫。</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（2）对践踏过度、土层板结的草坪，应使用滚齿筒，翻松草根，浇水，施肥或加沙，然后用滚石压平。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（3）对检查发现有成片空秃及质量差的草坪，应安排计划及早补种。</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（4）做好草坪养护机具的年初检修养护工作。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（1）木本地被的抽稀、移植、扩大种植和补缺苗。</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（2）随气温回升，注意防治地老虎、蚜虫等害虫。</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（3）观叶地被逐步萌发或恢复生长，可施春肥，促使其生长。</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（4）葱兰等球根、宿根地被植物分栽可在月初进行。地被的缺株要在中、下旬及时补种，以利于植株生长的一致。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（5）重点防治大叶黄杨斑蛾，黄杨绢野螟，白粉病危害狭叶十大功劳、紫叶小檗。</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（1）对树木、果树、花灌木浇水和施肥。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（2）清除树下杂物，废土及树上的铅丝、铁丁等。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（3）撤除防寒设备及堆土。</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（4）观察蚧壳虫的孵化期，在最佳时间打药防治蚧壳虫，预防草履蚧等刺吸类害虫对珊瑚等的危害以及栾树蚜虫对栾树的危害。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（1）4月上旬，即清明节前后，由于气温转暖，夏绿草开始进入复苏生长阶段；冬绿草开始萌发新芽，此时人们习惯于踏青，应防止过度踩踏损伤嫩芽。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（2）对于公园、广场、街道绿地里铺设的开放性草坪，则应设置明显的标牌，限制游人入内。</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（3）4月中、下旬起，大部分生长快的草坪种类，应开始第一次修剪，以便更好地为“五一”节日服务。</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（4）对检查发现生长欠佳的草坪，如色泽失常，应迅速增施1次含氮肥料，可以促进绿叶反青。</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（1）对地被种植地中耕、除草，使土壤疏松，更多地接纳春季雨水，提高土壤温度和透气性。</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（2）检查植株残缺情况，适当补种或抽稀。</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（3）对于生长量大的金丝桃等要求土壤肥沃、疏松，因此自4月起的生长季节，每月施1—2次薄肥。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（4）自本月起对杜鹃、栀子等木本观花地被，每2周进行硫酸亚铁、磷酸二氢钾和矾肥水交替施肥1次，防止黄化，改善土壤PH值，直到8月份。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（1）加固树木支撑。</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（2）对各类树木进行除草、松土、灌水抗旱。</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（3）防止病虫害，对易感染病害的雪松、海棠等每10天喷一遍波尔多液</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（1）5月份的草坪植物，开始进入旺盛生长时期，也是草坪定期剪草的起始。</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（2）修剪草坪时，供人观赏用的专用草坪，由于要求平整、美观，一般冷季型观赏草坪高度控制在3—5cm左右；而对一般性的冷季型大面积草坪 ，留草高度通常为7—8cm左右。一般暖季型观赏草坪高度控制在1.5cm左右；而对一般性的暖季型大面积草坪 ，留草高度通常为2cm左右。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（3）凡监测有锈病的草坪地块，应在锈病孢子扩散前及时喷射敌锈钠或石硫合剂，控制病情发展。</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（1）春季开花地被植物花后植株整理，不留种的应剪去枯萎的花蒂，施肥以延长绿叶期。</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（2）秋天开花的地被植物要求浇水施肥，使花蕾饱满开放。</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（3）进入霉雨季节，病虫害普遍发生，应加强防治。</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（1）对春季开花的灌木进行花后修剪及更新，追施氮肥，中耕除草。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（2）灌水抗旱。</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（3）防治病虫害，做好预测预报工作。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6月份：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（1）6月起，草坪进入夏季养护管理阶段。草坪草茎叶生长迅速，定期修剪的次数一般为10天左右1次。如遇久旱不雨，滚剪后不要耙除碎草，这些碎草片可以减少地面的蒸发。</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（2）对于混种有车轴草的混栽草坪，应于剪草前先耙一遍，然后在轧剪，这样可以控制住车轴草匍匐茎的蔓延。</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（3）供人们观赏用的草坪，在我国南方从6月份起开始，经常使用一种月牙状的铲子或使用薄形平板铲，将不整齐的草坪边缘切齐。</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（4）南方霉雨地区，雨水充沛，应预先做好排涝准备，防止草坪积水。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（5）本月中旬以后，天气开始炎热，又会晒硬土面，最好在抗旱浇水之前，用“钉滚”将板硬的土面滚松，然后进行喷水。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（6）对检查发现失色的草坪地段，可结合灌溉浇水施以速效性氮肥，如硫氨等。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（7）夏季观赏性草坪如发现有过多的蚂蚁、蚯蚓拱掘土壤，应及时觅找蚁穴，用敌百虫仿制。</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（1）霉雨季节注意地面排水。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（2）注意病虫害的发生，可每隔10—15天喷洒等量或200倍波尔多液1次。</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（3）杜鹃等春花木本地被要施“花后肥”，为孕育明年的花蕾做准备。</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（4）5月蚜虫、红蜘蛛危害严重，应加强防治。</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（1）加强行道树的修剪，解决树木与架空线路与建筑物之间的矛盾。</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（2）做好防暴风雨的工作，及时处理危险树木。</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（3）做好抗旱、排涝工作确保树木的成活率。</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（4）进行中耕除草和大量追肥，及花灌木花期后的修剪；整形，剪除残花。</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7月份：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（1）7月份天气持续炎热，草坪同上月一样，应进行常规的定期剪草，留草高度冷季型观赏草坪为7—8cm，一般草坪8—9cm。一般暖季型观赏草坪高度控制在1.5cm左右；而对一般性的暖季型大面积草坪 ，留草高度通常为2.5cm左右。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（2）继续做好夏季草坪抗旱浇水工作。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（3）继续选择合理的除莠剂对草坪中的恶性杂草进行防除。</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（4）种植的冷季型草种，发现越夏困难者，则可采取傍晚喷水等降温措施，改善其生长条件，帮助它抗高温越夏。</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（5）注意防治高羊茅虫害，如地老虎等。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（1）中耕、除草、施追肥，促进观叶地被的生长。</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（2）根据天气情况，要经常适当地浇水，提高空气湿度，特别是杜鹃、八仙花、栀子等每到晴天要每天喷2次，减少叶子萎蔫。</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（3）天气炎热，尽量少施浓肥，结合浇水施薄肥。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（4）金丝桃等枝叶相当稠密的灌木地被，进行枝条的抽稀，修剪内部的无用枝，以改善通风透光，减少内部枝叶的枯黄。</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（5）继续防治蚜虫、红蜘蛛和植物病害。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（1）本月暴风雨多，暴风雨后及时处理倒伏树木，凹穴填土夯实，排除积水。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（2）行道树修剪，剥芽。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（3）防治病虫害，清晨捕捉天牛，杀灭袋蛾、刺蛾、夜蛾幼虫等。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8月份：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（1）草坪管理工作同7月份。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（2）如因耽误剪草而草坪的茎叶过高时，应分两遍剪低，第一遍只剪去顶部，第二遍再调整滚刀高度，降低剪草高度。</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（3）本月份是使用除莠剂和氮肥的最后月份。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（4）如有需要，可在夏季绿草坪中添播冬绿草种类，可在本月下旬开始撒播草籽，撒播后应及时使用“钉滚”耙松土壤，使播下的草籽落入土壤中，并浇水促进草籽萌发。</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（5）注意防治高羊茅虫害，如夜蛾二代、地老虎等。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（1）加强土壤和空气湿度的管理，经常浇水和喷水。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（2）8月份是暴雨和季风集中的季节，要防止暴雨后土壤积水。</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（3）2年生地被秋播可以进行。</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（4）秋后对地被种植地进行土壤改良。</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（1）继续做好抗旱排涝工作，确保树木旺盛生长。</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（2）继续做好防台及防汛工作，及时解决树木与电线、建筑物的矛盾，吹倒、吹歪树木及时扶正栽好。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（3）进行夏季修剪，对徒长枝、过密枝及时修去。四月份未修剪的绿篱、球类本月中下旬修剪。</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（4）挖掉死树，对花灌木及树木进行中耕、除草。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（5）继续作好病虫害防治工作。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9月份：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（1）自本月起属于秋季养护时期，剪草间隔天数应适当延长，留草高度观赏冷季型观赏草坪一般为3—5cm，一般冷季型草坪为7—8cm。一般暖季型观赏草坪高度控制在2cm左右；而对一般性的暖季型大面积草坪 ，留草高度通常为3cm左右。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（2）本月起由于气温下降，草坪害虫如草地螟、蝼蛄、金龟子幼虫等开始活跃，应积极防治病虫害。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（3）本月中、下旬可进行草坪上凹凸不平或秃裸空白以及草坪切边等秋季管理工作。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（5）如草坪上出现苔藓斑块，应在上述工作前，先用药物除去苔藓。</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（6）应在草坪上施用完全肥料或磷质肥料，以促进草坪草根群强大，增强其抗病能力和越冬能力。</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（7）本月是建立新草坪的最好时期，通常铺设新草坪，均在本月份或下月初播种草籽。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（1）做好秋播地被苗期养护工作。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（2）对秋花地被进行施肥。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（3）对于孔雀草等花期很长的观花地被，进行植株整理，去掉破坏整体效果的过长、过高枝。</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（1）加强中耕、除草、整形修剪工作。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（2）结束绿篱的整形修剪工作。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（3）防止病虫害，特别是蛀干害虫，如天牛等。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（4）继续做好防台风、暴雨工作。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10月份：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（1）正规的剪草工作在本月结束，最后一次剪草时的留草高度应适当升高，以利草坪正常越冬。</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（2）施用杀虫剂、杀苔剂。修补草地，修整草坪边缘，对踩踏硬实处进行刺孔等草坪养护管理工作。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（3）对于使用铺草块或草坪植生带方法建立的新草坪，应在本月开始进行。</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（1）秋季球根、宿根地被的分株、移栽。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（2）生长高峰后，对地被要进行整理，徒长枝、竖向枝，尤其是木本矮生地被修剪可促使枝条开张，加大覆盖面积。</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（1）新栽、补植树木、灌木全面检查，确保全年成活率。</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（2）继续做好防治病虫害工作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11月份：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（1）如果天气晴朗温暖，土面较干实，应再适当增加1次剪草。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（2）本月在部分草地上如果发现有蜗牛危害，可及时施药消除。</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（3）为了保持观赏草坪的平整美观，应及时清除积存在草坪上的秋季树木落叶。</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（1）11月后大部分地被植物开始进入休眠或半休眠，要施冬肥和秋花“花后肥”。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（1）进行冬季修剪，修去病虫枝、过密枝、徒长枝。</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（2）冬翻土地，施肥，改良土壤。</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（3）做好防寒工作，对抗寒性差或引进的新品种要进行防寒，如绕干、涂白、搭暖蓬、设风障等。</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（4）防治病虫害，消灭越冬虫包、虫茧和幼虫。</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12月份：</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草坪养护重点：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（1）注意潮湿地块及雨雪时土壤冻结情况，禁止在草坪上踩塌，否则将会使草坪受严重伤害。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（2）冬季型草坪应在12月前进行1次冬季灌水，以防根系干冻受损，有利于冬绿型草坪越冬生长。</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地被色块养护重点：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（1）本月进入隆冬，在严寒到来之前，对于一些常绿、露地越冬但又易受冻害的地被提前做好防冻措施，一般在地面洒上木屑或适当浇水防冻。</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（2）对于已去掉枝叶的宿根花卉用腐熟的有机肥在根茎壅土施肥，促使翌年萌发枝条粗壮。</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（3）在种植密度低的木本地被株间深翻施浓肥。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乔木、灌木养护重点：</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（1）对树木冬季施肥，深施，施足。</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（2）冬季树木的整形修剪。</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（3）深翻和平整土地，使土壤熟化。</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（4）继续做好防寒工作。</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（5）防除越冬害虫。</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做好全年的工作总结，找出经验与问题，以便翌年推广或改正。</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7.文明安全养护要求</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（1）乙方应配有有安全员，需对养护人员进行施工安全教育和对施工设备、养护现场进行安全检查。</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（2） 绿化养护作业时，要充分利用机械设备。平日用于绿化浇灌必须为制式专业浇灌水车（抗旱期间除外）；绿化养护人员必须穿工作服，在夜间养护作业必须在作业地域内点红灯示意警戒标志。</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（3）绿化养护作业时，应随时保持道路的清洁、畅通，并由专人负责监管，以确保文明安全养护。</w:t>
      </w:r>
      <w:r>
        <w:rPr>
          <w:highlight w:val="none"/>
        </w:rPr>
      </w:r>
      <w:r>
        <w:rPr>
          <w:highlight w:val="none"/>
        </w:rPr>
      </w:r>
    </w:p>
    <w:p>
      <w:pPr>
        <w:spacing w:line="360" w:lineRule="auto"/>
        <w:rPr>
          <w:rFonts w:hint="eastAsia" w:ascii="宋体" w:hAnsi="宋体" w:cs="宋体"/>
          <w:sz w:val="24"/>
          <w:highlight w:val="none"/>
        </w:rPr>
      </w:pPr>
      <w:r>
        <w:rPr>
          <w:rFonts w:hint="eastAsia" w:ascii="宋体" w:hAnsi="宋体" w:cs="宋体"/>
          <w:sz w:val="24"/>
          <w:highlight w:val="none"/>
        </w:rPr>
        <w:t xml:space="preserve">（4）应做到文明作业。</w:t>
      </w:r>
      <w:r>
        <w:rPr>
          <w:highlight w:val="none"/>
        </w:rPr>
      </w:r>
      <w:r>
        <w:rPr>
          <w:highlight w:val="none"/>
        </w:rPr>
      </w:r>
    </w:p>
    <w:p>
      <w:p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七</w:t>
      </w:r>
      <w:r>
        <w:rPr>
          <w:rFonts w:hint="eastAsia" w:ascii="宋体" w:hAnsi="宋体" w:cs="宋体"/>
          <w:b/>
          <w:bCs/>
          <w:sz w:val="24"/>
          <w:highlight w:val="none"/>
        </w:rPr>
        <w:t xml:space="preserve">、</w:t>
      </w:r>
      <w:r>
        <w:rPr>
          <w:rFonts w:hint="eastAsia" w:ascii="宋体" w:hAnsi="宋体" w:cs="Verdana"/>
          <w:b/>
          <w:color w:val="000000"/>
          <w:sz w:val="24"/>
          <w:highlight w:val="none"/>
        </w:rPr>
        <w:t xml:space="preserve">本项目</w:t>
      </w:r>
      <w:r>
        <w:rPr>
          <w:rFonts w:hint="eastAsia" w:ascii="宋体" w:hAnsi="宋体" w:eastAsia="宋体" w:cs="宋体"/>
          <w:b/>
          <w:bCs/>
          <w:color w:val="000000"/>
          <w:sz w:val="24"/>
          <w:szCs w:val="24"/>
          <w:highlight w:val="none"/>
          <w:lang w:val="en-US" w:eastAsia="zh-CN"/>
        </w:rPr>
        <w:t xml:space="preserve">设备最低配置要求</w:t>
      </w:r>
      <w:r>
        <w:rPr>
          <w:rFonts w:hint="eastAsia" w:ascii="宋体" w:hAnsi="宋体" w:cs="宋体"/>
          <w:b/>
          <w:bCs/>
          <w:sz w:val="24"/>
          <w:highlight w:val="none"/>
        </w:rPr>
        <w:t xml:space="preserve">：</w:t>
      </w:r>
      <w:r>
        <w:rPr>
          <w:highlight w:val="none"/>
        </w:rPr>
      </w:r>
      <w:r>
        <w:rPr>
          <w:highlight w:val="none"/>
        </w:rPr>
      </w:r>
    </w:p>
    <w:p>
      <w:pPr>
        <w:spacing w:line="360" w:lineRule="auto"/>
        <w:rPr>
          <w:rFonts w:hint="eastAsia" w:ascii="宋体" w:hAnsi="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1、投标供应商配备绿篱机（1台）、草坪机（1台）、水泵（1台）</w:t>
      </w:r>
      <w:r>
        <w:rPr>
          <w:rFonts w:hint="eastAsia" w:ascii="宋体" w:hAnsi="宋体" w:cs="宋体"/>
          <w:b w:val="0"/>
          <w:bCs w:val="0"/>
          <w:color w:val="000000"/>
          <w:sz w:val="24"/>
          <w:szCs w:val="24"/>
          <w:highlight w:val="none"/>
          <w:lang w:val="en-US" w:eastAsia="zh-CN"/>
        </w:rPr>
        <w:t xml:space="preserve">；</w:t>
      </w:r>
      <w:r>
        <w:rPr>
          <w:highlight w:val="none"/>
        </w:rPr>
      </w:r>
      <w:r>
        <w:rPr>
          <w:highlight w:val="none"/>
        </w:rPr>
      </w:r>
    </w:p>
    <w:p>
      <w:pPr>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、投标供应商配备</w:t>
      </w:r>
      <w:r>
        <w:rPr>
          <w:rFonts w:hint="eastAsia" w:ascii="宋体" w:hAnsi="宋体" w:cs="宋体"/>
          <w:b w:val="0"/>
          <w:bCs w:val="0"/>
          <w:color w:val="000000"/>
          <w:sz w:val="24"/>
          <w:szCs w:val="24"/>
          <w:highlight w:val="none"/>
          <w:lang w:val="en-US" w:eastAsia="zh-CN"/>
        </w:rPr>
        <w:t xml:space="preserve">吹风机（1台）、高枝油锯或电锯（1台）、</w:t>
      </w:r>
      <w:r>
        <w:rPr>
          <w:rFonts w:hint="eastAsia" w:ascii="宋体" w:hAnsi="宋体" w:cs="宋体"/>
          <w:sz w:val="24"/>
          <w:highlight w:val="none"/>
        </w:rPr>
        <w:t xml:space="preserve">树叶（树桠）粉碎机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1台</w:t>
      </w:r>
      <w:r>
        <w:rPr>
          <w:rFonts w:hint="eastAsia" w:ascii="宋体" w:hAnsi="宋体" w:cs="宋体"/>
          <w:sz w:val="24"/>
          <w:highlight w:val="none"/>
          <w:lang w:eastAsia="zh-CN"/>
        </w:rPr>
        <w:t xml:space="preserve">）；</w:t>
      </w:r>
      <w:r>
        <w:rPr>
          <w:highlight w:val="none"/>
        </w:rPr>
      </w:r>
      <w:r>
        <w:rPr>
          <w:highlight w:val="none"/>
        </w:rPr>
      </w:r>
    </w:p>
    <w:p>
      <w:pPr>
        <w:spacing w:line="360" w:lineRule="auto"/>
        <w:rPr>
          <w:rFonts w:hint="default" w:ascii="宋体" w:hAnsi="宋体" w:cs="宋体"/>
          <w:b w:val="0"/>
          <w:bCs w:val="0"/>
          <w:color w:val="000000"/>
          <w:sz w:val="24"/>
          <w:szCs w:val="24"/>
          <w:highlight w:val="none"/>
        </w:rPr>
      </w:pPr>
      <w:r>
        <w:rPr>
          <w:rFonts w:hint="default" w:ascii="宋体" w:hAnsi="宋体" w:cs="宋体"/>
          <w:b w:val="0"/>
          <w:bCs w:val="0"/>
          <w:color w:val="000000"/>
          <w:sz w:val="24"/>
          <w:szCs w:val="24"/>
          <w:highlight w:val="none"/>
          <w:lang w:val="en-US" w:eastAsia="zh-CN"/>
        </w:rPr>
        <w:t xml:space="preserve">3、投标供应商配备</w:t>
      </w:r>
      <w:r>
        <w:rPr>
          <w:rFonts w:hint="eastAsia" w:ascii="宋体" w:hAnsi="宋体" w:cs="宋体"/>
          <w:b w:val="0"/>
          <w:bCs w:val="0"/>
          <w:color w:val="000000"/>
          <w:sz w:val="24"/>
          <w:szCs w:val="24"/>
          <w:highlight w:val="none"/>
          <w:lang w:val="en-US" w:eastAsia="zh-CN"/>
        </w:rPr>
        <w:t xml:space="preserve">汽</w:t>
      </w:r>
      <w:r>
        <w:rPr>
          <w:rFonts w:hint="eastAsia" w:ascii="宋体" w:hAnsi="宋体" w:eastAsia="宋体" w:cs="宋体"/>
          <w:b w:val="0"/>
          <w:bCs w:val="0"/>
          <w:color w:val="000000"/>
          <w:sz w:val="24"/>
          <w:szCs w:val="24"/>
          <w:highlight w:val="none"/>
          <w:lang w:val="en-US" w:eastAsia="zh-CN"/>
        </w:rPr>
        <w:t xml:space="preserve">车（</w:t>
      </w:r>
      <w:r>
        <w:rPr>
          <w:rFonts w:hint="eastAsia" w:ascii="宋体" w:hAnsi="宋体" w:cs="宋体"/>
          <w:b w:val="0"/>
          <w:bCs w:val="0"/>
          <w:color w:val="000000"/>
          <w:sz w:val="24"/>
          <w:szCs w:val="24"/>
          <w:highlight w:val="none"/>
          <w:lang w:val="en-US" w:eastAsia="zh-CN"/>
        </w:rPr>
        <w:t xml:space="preserve">4-5座</w:t>
      </w:r>
      <w:r>
        <w:rPr>
          <w:rFonts w:hint="eastAsia" w:ascii="宋体" w:hAnsi="宋体" w:eastAsia="宋体" w:cs="宋体"/>
          <w:b w:val="0"/>
          <w:bCs w:val="0"/>
          <w:color w:val="000000"/>
          <w:sz w:val="24"/>
          <w:szCs w:val="24"/>
          <w:highlight w:val="none"/>
          <w:lang w:val="en-US" w:eastAsia="zh-CN"/>
        </w:rPr>
        <w:t xml:space="preserve">）</w:t>
      </w:r>
      <w:r>
        <w:rPr>
          <w:rFonts w:hint="default" w:ascii="宋体" w:hAnsi="宋体" w:cs="宋体"/>
          <w:b w:val="0"/>
          <w:bCs w:val="0"/>
          <w:color w:val="000000"/>
          <w:sz w:val="24"/>
          <w:szCs w:val="24"/>
          <w:highlight w:val="none"/>
          <w:lang w:val="en-US" w:eastAsia="zh-CN"/>
        </w:rPr>
        <w:t xml:space="preserve">，1辆；</w:t>
      </w:r>
      <w:r>
        <w:rPr>
          <w:highlight w:val="none"/>
        </w:rPr>
      </w:r>
      <w:r>
        <w:rPr>
          <w:highlight w:val="none"/>
        </w:rPr>
      </w:r>
    </w:p>
    <w:p>
      <w:pPr>
        <w:spacing w:line="360" w:lineRule="auto"/>
        <w:rPr>
          <w:rFonts w:hint="default" w:ascii="宋体" w:hAnsi="宋体" w:cs="宋体"/>
          <w:b w:val="0"/>
          <w:bCs w:val="0"/>
          <w:color w:val="000000"/>
          <w:sz w:val="24"/>
          <w:szCs w:val="24"/>
          <w:highlight w:val="none"/>
        </w:rPr>
      </w:pPr>
      <w:r>
        <w:rPr>
          <w:rFonts w:hint="eastAsia" w:ascii="宋体" w:hAnsi="宋体" w:eastAsia="宋体" w:cs="宋体"/>
          <w:b/>
          <w:bCs/>
          <w:color w:val="000000"/>
          <w:sz w:val="24"/>
          <w:szCs w:val="24"/>
          <w:highlight w:val="none"/>
        </w:rPr>
        <w:t xml:space="preserve">注：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扫描件附在投标文件中；或提供承诺书（承诺中标后签订合同前提供以上所有设备，并上传至投标文件中并电子签章，格式自拟），未按要求提供的作无效投标文件处理。</w:t>
      </w:r>
      <w:r>
        <w:rPr>
          <w:highlight w:val="none"/>
        </w:rPr>
      </w:r>
      <w:r>
        <w:rPr>
          <w:highlight w:val="none"/>
        </w:rPr>
      </w:r>
    </w:p>
    <w:p>
      <w:pPr>
        <w:jc w:val="left"/>
        <w:spacing w:line="360" w:lineRule="auto"/>
        <w:widowControl/>
        <w:rPr>
          <w:rFonts w:hint="eastAsia" w:ascii="宋体" w:hAnsi="宋体" w:cs="宋体"/>
          <w:b/>
          <w:bCs/>
          <w:sz w:val="24"/>
          <w:highlight w:val="none"/>
        </w:rPr>
      </w:pP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w:t>
      </w:r>
      <w:r>
        <w:rPr>
          <w:rFonts w:hint="eastAsia" w:ascii="宋体" w:hAnsi="宋体" w:cs="Verdana"/>
          <w:b/>
          <w:color w:val="000000"/>
          <w:sz w:val="24"/>
          <w:highlight w:val="none"/>
        </w:rPr>
        <w:t xml:space="preserve">本项目验收标准</w:t>
      </w:r>
      <w:r>
        <w:rPr>
          <w:rFonts w:hint="eastAsia" w:ascii="宋体" w:hAnsi="宋体" w:cs="宋体"/>
          <w:b/>
          <w:bCs/>
          <w:sz w:val="24"/>
          <w:highlight w:val="none"/>
        </w:rPr>
        <w:t xml:space="preserve">：</w:t>
      </w:r>
      <w:r>
        <w:rPr>
          <w:highlight w:val="none"/>
        </w:rPr>
      </w:r>
      <w:r>
        <w:rPr>
          <w:highlight w:val="none"/>
        </w:rP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绿地日常养护的一般标准按照《江苏省城市园林绿化养护管理规范及分级</w:t>
      </w:r>
      <w:r>
        <w:rPr>
          <w:rFonts w:hint="eastAsia" w:ascii="宋体" w:hAnsi="宋体" w:cs="宋体"/>
          <w:sz w:val="24"/>
          <w:highlight w:val="none"/>
        </w:rPr>
        <w:t xml:space="preserve">标准》二级养护标准的要求进行验收。</w:t>
      </w:r>
      <w:r>
        <w:rPr>
          <w:highlight w:val="none"/>
        </w:rPr>
      </w:r>
      <w:r>
        <w:rPr>
          <w:highlight w:val="none"/>
        </w:rPr>
      </w:r>
    </w:p>
    <w:p>
      <w:pP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lang w:val="en-US" w:eastAsia="zh-CN"/>
        </w:rPr>
        <w:t xml:space="preserve">、付款方式：</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签订生效后，甲方向乙方支付合同金额的30%预付款；根据合同履约进度、考核结果，从养护期开始后满6个月（半年）支付至合同金额的60%，养护期满后（一年）一个月内，根据考核情况以及奖惩制度，一次性支付剩余养护费。</w:t>
      </w:r>
      <w:r>
        <w:rPr>
          <w:rFonts w:ascii="SimSun" w:hAnsi="SimSun" w:eastAsia="SimSun" w:cs="SimSun"/>
          <w:color w:val="000000"/>
          <w:sz w:val="24"/>
          <w:highlight w:val="none"/>
        </w:rPr>
        <w:t xml:space="preserve">甲方应在每次收到乙方提供的发票10日内，向乙方支付对应的款项</w:t>
      </w:r>
      <w:r>
        <w:rPr>
          <w:rFonts w:ascii="SimSun" w:hAnsi="SimSun" w:eastAsia="SimSun" w:cs="SimSun"/>
          <w:color w:val="000000"/>
          <w:sz w:val="24"/>
          <w:highlight w:val="none"/>
        </w:rPr>
        <w:t xml:space="preserve">。付款时乙方出具足额合规的无锡市税金发票。</w:t>
      </w:r>
      <w:r>
        <w:rPr>
          <w:highlight w:val="none"/>
        </w:rP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r>
      <w:r>
        <w:rPr>
          <w:highlight w:val="none"/>
        </w:rPr>
      </w:r>
      <w:r>
        <w:rPr>
          <w:highlight w:val="none"/>
        </w:rP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rPr>
          <w:highlight w:val="none"/>
        </w:rPr>
      </w:r>
      <w:r>
        <w:rPr>
          <w:highlight w:val="none"/>
        </w:rPr>
      </w:r>
    </w:p>
    <w:p>
      <w:pPr>
        <w:numPr>
          <w:ilvl w:val="0"/>
          <w:numId w:val="3"/>
        </w:numPr>
        <w:jc w:val="center"/>
        <w:spacing w:line="360" w:lineRule="auto"/>
        <w:rPr>
          <w:rFonts w:hint="eastAsia" w:ascii="Times New Roman" w:hAnsi="宋体" w:eastAsia="宋体" w:cs="宋体"/>
          <w:b/>
          <w:bCs/>
          <w:sz w:val="32"/>
          <w:szCs w:val="32"/>
          <w:highlight w:val="none"/>
        </w:rPr>
        <w:outlineLvl w:val="0"/>
      </w:pPr>
      <w:r>
        <w:rPr>
          <w:highlight w:val="none"/>
        </w:rPr>
      </w:r>
      <w:bookmarkStart w:id="18" w:name="_Toc21985"/>
      <w:r>
        <w:rPr>
          <w:highlight w:val="none"/>
        </w:rPr>
      </w:r>
      <w:bookmarkStart w:id="19" w:name="_Toc12214"/>
      <w:r>
        <w:rPr>
          <w:rFonts w:hint="eastAsia" w:ascii="Times New Roman" w:hAnsi="宋体" w:eastAsia="宋体" w:cs="宋体"/>
          <w:b/>
          <w:bCs/>
          <w:sz w:val="32"/>
          <w:szCs w:val="32"/>
          <w:highlight w:val="none"/>
          <w:lang w:val="en-US" w:eastAsia="zh-CN"/>
        </w:rPr>
        <w:t xml:space="preserve">合同书（格式文本）</w:t>
      </w:r>
      <w:bookmarkEnd w:id="17"/>
      <w:r>
        <w:rPr>
          <w:highlight w:val="none"/>
        </w:rPr>
      </w:r>
      <w:bookmarkEnd w:id="18"/>
      <w:r>
        <w:rPr>
          <w:highlight w:val="none"/>
        </w:rPr>
      </w:r>
      <w:bookmarkEnd w:id="19"/>
      <w:r>
        <w:rPr>
          <w:highlight w:val="none"/>
        </w:rPr>
      </w:r>
      <w:r>
        <w:rPr>
          <w:highlight w:val="none"/>
        </w:rPr>
      </w:r>
    </w:p>
    <w:p>
      <w:pPr>
        <w:pStyle w:val="1333"/>
        <w:numPr>
          <w:ilvl w:val="0"/>
          <w:numId w:val="0"/>
        </w:numPr>
        <w:spacing w:line="360" w:lineRule="auto"/>
        <w:rPr>
          <w:rFonts w:hint="eastAsia"/>
          <w:highlight w:val="none"/>
        </w:rPr>
      </w:pPr>
      <w:r>
        <w:rPr>
          <w:rFonts w:hint="eastAsia"/>
          <w:highlight w:val="none"/>
          <w:lang w:val="en-US" w:eastAsia="zh-CN"/>
        </w:rPr>
      </w:r>
      <w:r>
        <w:rPr>
          <w:highlight w:val="none"/>
        </w:rPr>
      </w:r>
      <w:r>
        <w:rPr>
          <w:highlight w:val="none"/>
        </w:rPr>
      </w:r>
    </w:p>
    <w:p>
      <w:pPr>
        <w:numPr>
          <w:ilvl w:val="0"/>
          <w:numId w:val="4"/>
        </w:numPr>
        <w:jc w:val="cente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bCs w:val="0"/>
          <w:color w:val="000000"/>
          <w:sz w:val="28"/>
          <w:szCs w:val="28"/>
          <w:highlight w:val="none"/>
          <w:u w:val="none"/>
        </w:rPr>
      </w:pPr>
      <w:r>
        <w:rPr>
          <w:highlight w:val="none"/>
        </w:rPr>
      </w:r>
      <w:bookmarkStart w:id="20" w:name="_Toc4709"/>
      <w:r>
        <w:rPr>
          <w:highlight w:val="none"/>
        </w:rPr>
      </w:r>
      <w:bookmarkStart w:id="21" w:name="_Toc17918"/>
      <w:r>
        <w:rPr>
          <w:rFonts w:hint="eastAsia" w:ascii="宋体" w:hAnsi="宋体" w:eastAsia="宋体" w:cs="Times New Roman"/>
          <w:b/>
          <w:bCs w:val="0"/>
          <w:color w:val="000000"/>
          <w:sz w:val="28"/>
          <w:szCs w:val="28"/>
          <w:highlight w:val="none"/>
          <w:u w:val="none"/>
          <w:lang w:val="en-US" w:eastAsia="zh-CN"/>
        </w:rPr>
        <w:t xml:space="preserve">合同协议书</w:t>
      </w:r>
      <w:r>
        <w:rPr>
          <w:highlight w:val="none"/>
        </w:rPr>
      </w:r>
      <w:r>
        <w:rPr>
          <w:highlight w:val="none"/>
        </w:rPr>
      </w:r>
    </w:p>
    <w:p>
      <w:pPr>
        <w:pStyle w:val="1333"/>
        <w:numPr>
          <w:ilvl w:val="0"/>
          <w:numId w:val="0"/>
        </w:numPr>
        <w:spacing w:line="360" w:lineRule="auto"/>
        <w:rPr>
          <w:rFonts w:hint="eastAsia"/>
          <w:highlight w:val="none"/>
        </w:rPr>
      </w:pPr>
      <w:r>
        <w:rPr>
          <w:rFonts w:hint="eastAsia"/>
          <w:highlight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发包人：</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 (以下简称“甲方”)</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承包人：</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 (以下简称“乙方”)</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根据《中华人民共和国合同法》、及其他有关法律、行政法规，遵循平等、自愿、公平和诚实信用的原则，在双方承诺采购文件全部内容（含招标补充文件）和被认定的响应文件(及补充说明)全部内容的基础上，协商一致，订立本合同。</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一、项目概况</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 xml:space="preserve">项目名称：</w:t>
      </w:r>
      <w:r>
        <w:rPr>
          <w:rFonts w:hint="eastAsia" w:ascii="宋体" w:hAnsi="宋体" w:eastAsia="宋体" w:cs="Times New Roman"/>
          <w:b w:val="0"/>
          <w:bCs/>
          <w:color w:val="000000"/>
          <w:sz w:val="24"/>
          <w:szCs w:val="24"/>
          <w:highlight w:val="none"/>
          <w:u w:val="single"/>
          <w:lang w:val="en-US" w:eastAsia="zh-CN"/>
        </w:rPr>
        <w:t xml:space="preserve">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single"/>
        </w:rPr>
      </w:pPr>
      <w:r>
        <w:rPr>
          <w:rFonts w:hint="eastAsia" w:ascii="宋体" w:hAnsi="宋体" w:eastAsia="宋体" w:cs="Times New Roman"/>
          <w:b w:val="0"/>
          <w:bCs/>
          <w:color w:val="000000"/>
          <w:sz w:val="24"/>
          <w:szCs w:val="24"/>
          <w:highlight w:val="none"/>
          <w:u w:val="none"/>
          <w:lang w:val="en-US" w:eastAsia="zh-CN"/>
        </w:rPr>
        <w:t xml:space="preserve">养护内容：</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二、承包范围：</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三、承包期</w:t>
      </w:r>
      <w:r>
        <w:rPr>
          <w:rFonts w:hint="eastAsia" w:ascii="宋体" w:hAnsi="宋体" w:cs="Times New Roman"/>
          <w:b w:val="0"/>
          <w:bCs/>
          <w:color w:val="000000"/>
          <w:sz w:val="24"/>
          <w:szCs w:val="24"/>
          <w:highlight w:val="none"/>
          <w:u w:val="none"/>
          <w:lang w:val="en-US" w:eastAsia="zh-CN"/>
        </w:rPr>
        <w:t xml:space="preserve">：</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年</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月</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日起至</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年</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月</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日止；</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四、承包方式</w:t>
      </w:r>
      <w:r>
        <w:rPr>
          <w:rFonts w:hint="eastAsia" w:ascii="宋体" w:hAnsi="宋体" w:cs="Times New Roman"/>
          <w:b w:val="0"/>
          <w:bCs/>
          <w:color w:val="000000"/>
          <w:sz w:val="24"/>
          <w:szCs w:val="24"/>
          <w:highlight w:val="none"/>
          <w:u w:val="none"/>
          <w:lang w:val="en-US" w:eastAsia="zh-CN"/>
        </w:rPr>
        <w:t xml:space="preserve">：</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本项目由乙方以包工、包料、包质量、包安全、包文明施工的方式实施总承包，乙方应对全部养护工程负责，中标以后不得分包、转包。如—经发现上述行为，甲方单方有权立即终止综合养护工程承包合同，由此产生一切法律责任和经济损失均由乙方承担。</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五、养护质量标准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符合《江苏省城市园林绿化养护管理规范及分级标准》二级养护标准及现行的区级绿化养护管理考核办法（上述标准及考核办法如有修改，按新标准执行）；</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六、合同价款</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金  额：(大写)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(人民币)；</w:t>
      </w:r>
      <w:r>
        <w:rPr>
          <w:highlight w:val="none"/>
        </w:rPr>
      </w:r>
      <w:r>
        <w:rPr>
          <w:highlight w:val="none"/>
        </w:rPr>
      </w:r>
    </w:p>
    <w:p>
      <w:pPr>
        <w:ind w:firstLine="96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(小写)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元；</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单价：</w:t>
      </w:r>
      <w:r>
        <w:rPr>
          <w:rFonts w:hint="eastAsia" w:ascii="宋体" w:hAnsi="宋体" w:cs="Times New Roman"/>
          <w:b w:val="0"/>
          <w:bCs/>
          <w:color w:val="000000"/>
          <w:sz w:val="24"/>
          <w:szCs w:val="24"/>
          <w:highlight w:val="none"/>
          <w:u w:val="non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(小写)</w:t>
      </w:r>
      <w:r>
        <w:rPr>
          <w:rFonts w:hint="eastAsia" w:ascii="宋体" w:hAnsi="宋体" w:cs="Times New Roman"/>
          <w:b w:val="0"/>
          <w:bCs/>
          <w:color w:val="000000"/>
          <w:sz w:val="24"/>
          <w:szCs w:val="24"/>
          <w:highlight w:val="none"/>
          <w:u w:val="none"/>
          <w:lang w:val="en-US" w:eastAsia="zh-CN"/>
        </w:rPr>
        <w:t xml:space="preserve"> </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元/㎡/年。</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七、组成合同的文件</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（一）组成本合同的文件包括</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（1）本合同协议书</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（2）中标通知书</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（3）投标书及附件</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（4）本合同协议条款</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（5）标准、规范及有关技术文件</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（二）双方有关养护工作的洽商、变更等书面协议或文件视为本合同的组成部分。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八、承包人向发包人承诺按照合同约定开展养护。</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九、发包人承诺按照合同约定的期限和方式支付合同价款及其他应当支付的款项。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十、本合同双方约定甲乙双方签字盖章后生效，至养护期满、验收合格、价款结清自行终止。</w:t>
      </w:r>
      <w:r>
        <w:rPr>
          <w:highlight w:val="none"/>
        </w:rPr>
      </w:r>
      <w:r>
        <w:rPr>
          <w:highlight w:val="none"/>
        </w:rPr>
      </w:r>
    </w:p>
    <w:p>
      <w:pPr>
        <w:pStyle w:val="1333"/>
        <w:rPr>
          <w:rFonts w:hint="eastAsia"/>
          <w:highlight w:val="none"/>
        </w:rPr>
      </w:pPr>
      <w:r>
        <w:rPr>
          <w:rFonts w:hint="eastAsia"/>
          <w:highlight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发包人(盖章)：                              承包人(盖章)：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highlight w:val="none"/>
        </w:rPr>
      </w:pPr>
      <w:r>
        <w:rPr>
          <w:rFonts w:hint="eastAsia"/>
          <w:highlight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法定代表人：                               法定代表人：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派驻现场代表：                             派驻现场代表：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电   话：                                   电   话：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地   址：                                   地   址：                   </w:t>
      </w:r>
      <w:r>
        <w:rPr>
          <w:highlight w:val="none"/>
        </w:rPr>
      </w:r>
      <w:r>
        <w:rPr>
          <w:highlight w:val="none"/>
        </w:rPr>
      </w:r>
    </w:p>
    <w:p>
      <w:pPr>
        <w:pStyle w:val="1333"/>
        <w:spacing w:line="360" w:lineRule="auto"/>
        <w:rPr>
          <w:rFonts w:hint="eastAsia"/>
          <w:highlight w:val="none"/>
        </w:rPr>
      </w:pPr>
      <w:r>
        <w:rPr>
          <w:rFonts w:hint="eastAsia"/>
          <w:highlight w:val="none"/>
          <w:lang w:val="en-US" w:eastAsia="zh-CN"/>
        </w:rPr>
      </w:r>
      <w:r>
        <w:rPr>
          <w:highlight w:val="none"/>
        </w:rPr>
      </w:r>
      <w:r>
        <w:rPr>
          <w:highlight w:val="none"/>
        </w:rPr>
      </w:r>
    </w:p>
    <w:p>
      <w:pPr>
        <w:pStyle w:val="1333"/>
        <w:spacing w:line="360" w:lineRule="auto"/>
        <w:rPr>
          <w:rFonts w:hint="eastAsia"/>
          <w:highlight w:val="none"/>
        </w:rPr>
      </w:pPr>
      <w:r>
        <w:rPr>
          <w:rFonts w:hint="eastAsia"/>
          <w:highlight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年   月   日                               年   月   日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pStyle w:val="1333"/>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pStyle w:val="1334"/>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pStyle w:val="1333"/>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pStyle w:val="1334"/>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pStyle w:val="1334"/>
        <w:rPr>
          <w:rFonts w:hint="eastAsia"/>
          <w:highlight w:val="none"/>
        </w:rPr>
      </w:pPr>
      <w:r>
        <w:rPr>
          <w:rFonts w:hint="eastAsia"/>
          <w:highlight w:val="none"/>
          <w:lang w:val="en-US" w:eastAsia="zh-CN"/>
        </w:rPr>
      </w:r>
      <w:r>
        <w:rPr>
          <w:highlight w:val="none"/>
        </w:rPr>
      </w:r>
      <w:r>
        <w:rPr>
          <w:highlight w:val="none"/>
        </w:rPr>
      </w:r>
    </w:p>
    <w:p>
      <w:pPr>
        <w:jc w:val="cente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bCs w:val="0"/>
          <w:color w:val="000000"/>
          <w:sz w:val="28"/>
          <w:szCs w:val="28"/>
          <w:highlight w:val="none"/>
          <w:u w:val="none"/>
        </w:rPr>
      </w:pPr>
      <w:r>
        <w:rPr>
          <w:rFonts w:hint="eastAsia" w:ascii="宋体" w:hAnsi="宋体" w:eastAsia="宋体" w:cs="Times New Roman"/>
          <w:b/>
          <w:bCs w:val="0"/>
          <w:color w:val="000000"/>
          <w:sz w:val="28"/>
          <w:szCs w:val="28"/>
          <w:highlight w:val="none"/>
          <w:u w:val="none"/>
          <w:lang w:val="en-US" w:eastAsia="zh-CN"/>
        </w:rPr>
        <w:t xml:space="preserve">（二）合同专用条款</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一、词语解释</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甲方代表</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甲方指派</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为派驻现场代表，全面负责日常养护作业的管理工作。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2</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乙方代表</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2.1 乙方指派</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none"/>
          <w:lang w:val="en-US" w:eastAsia="zh-CN"/>
        </w:rPr>
        <w:t xml:space="preserve">为绿地养护项目负责人，具体负责本养护标段作业工作，同时成立绿化养护项目部，并用书面材料报甲方备案。</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2.2 项目负责人等有关人员必须按时参加由甲方召开的养护例会和各种必须参加的会议。</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2.3 乙方如需更换项目负责人，应至少提前5天以书面形式通知甲方，并征得甲方同意。后任继续行使合同文件约定的前任的职权，履行前任的义务。</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2.4 甲方可以与乙方协商，建议更换其认为不称职的项目负责人。</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甲方工作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3.1 负责向乙方提供中标绿地的有关资料。</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3.2 组织召开养护作业技术交底会。</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3.3负责开展事前绩效评估，负责乙方的日常养护作业的管理和检查，并定期对乙方的养护服务实施情况开展绩效评价。负责乙方的日常养护作业的管理和检查(定期检查和抽查相结合)。每月底对乙方作出下月度养护工作计划布置和对当月度养护工作进行考核，考核按有关养护工作考核标准结合甲方养护工作计划要求综合进行，合同期满综合考核考评。</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3.4  甲方每月对乙方的养护质量进行检查考核。按本合同有关条款，支付相应养护经费。</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3.5 如遇突发事件，协调乙方在作业过程中与其他管理部门的关系。</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3.6 若乙方违反招投标购文件等有关规定而被解除承包合同的，根据采购文件执行。</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3.7 在合同期内，因政府需要征用、改造、临时占用绿地等需要调整乙方管护绿化地段（范围）和管护等级时，乙方必须无条件服从甲方要求，退出原养护地段（范围），相应减少养护范围及经费。由此造成的经济损失，甲方不负赔偿责任。</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3.9甲方应作的其他工作，双方在补充条款内约定。</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乙方工作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 根据甲方养护工作计划，乙方承担日常养护内容有： 绿地保洁，草花布置，行道树、球类、色块、绿篱等修剪、施肥及病虫害防治，绿化隔离带喷水除尘，草坪管理等。</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4.2 做好详细的养护台帐，建立养护档案，并按时做好月、季、年度上报养护工作完成情况表，按甲方要求及时上报。</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4.3 应按甲方提出的对各种管理的要求落实各项措施，并报工管中心备案，如有变更，应及时上报变更情况。甲方应将检查管护人员日常落实情况纳入考核评分范畴。</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4.4 建立巡视报告制，汛期和台风季节要加强人员值班，随时处理各种情况，确保树木不对人员、建筑物等造成重大影响。   </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4.5 超出常规养护范围的工作，需提前报甲方审批。未及时提出的，视作无偿义务养护。</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4.6 及时解决来信、来访，并根据甲方要求及时处理。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4.7乙方所聘用的负责养护工作的人员的工资必须达到无锡市最低工资标准。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4.8 按时按量完成甲方交办其它突击性任务和指令性任务。</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4.9加强法定节假日的正常养护维修工作。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4.10乙方应服从所在地的绿化行政主管部门的行业管理。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4.11 如有移伐树木、占用绿地等事项，乙方应及时无偿负责移伐树木、占用绿地后的绿地修复工作，绿地修复情况应纳入日常考核范围。</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4.12利用河水浇灌的，应做好取水安全措施。</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4.13乙方在养护中发现苗木不适宜作为绿化的，应报甲方审批同意后方可适当更换苗木。</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4.14乙方在重大节庆活动前，应及时更换草花品种。</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4.15 在承包期内承包人应服从发包人的安排和调配，做好以下的服务工作：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(1)因不可抗力造成的抢修保养工作；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(2)防汛抗灾期间的汛前、汛期、汛后的各项工作，服从甲方对区管绿地应急抢险的统一</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调配、指挥；</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(3)养护相关的社会职能（如城市创建等）工作；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(4)上级布置的突击性活动而发生的各项工作；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(5)确保法定节假日的养护维修工作。</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4.16 乙方无偿承担防范、杀灭四害等有关规定的义务。</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4.17乙方应作的其他工作，双方在补充条款内约定。</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4.18树穴的养水塘在新种苗木两年后需平整修复，用草坪或地被覆盖。</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4.19应当配合相关部门对资金使用情况进行监督检查与绩效评价。</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4.20乙方可以依法依规使用本合同向金融机构融资，但甲方不为乙方的融资行为提供担保。</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二、养护组织设计</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5</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进度计划</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5.1 乙方在本合同生效后15天内上报全年养护作业维修计划和该标段养护管理人员网络组成表，并结合季节特点和绿化状况，制定季度、月度养护计划、材料计划送交甲方。甲方在7天内予以确认。</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三、质量与考核</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6</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质量标准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养护维修质量标准参照补充条款约定的质量标准。因乙方原因养护质量达不到约定的质量标准，乙方承担违约责任。</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7</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检查和考核</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default"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7.1 乙方应认真按照补充条款中约定的质量标准进行养护，随时接受甲方的检查和考核，为检查和考核提供便利条件。</w:t>
      </w:r>
      <w:r>
        <w:rPr>
          <w:rFonts w:hint="eastAsia" w:ascii="宋体" w:hAnsi="宋体" w:cs="Times New Roman"/>
          <w:b w:val="0"/>
          <w:bCs/>
          <w:color w:val="000000"/>
          <w:sz w:val="24"/>
          <w:szCs w:val="24"/>
          <w:highlight w:val="none"/>
          <w:u w:val="none"/>
          <w:lang w:val="en-US" w:eastAsia="zh-CN"/>
        </w:rPr>
        <w:t xml:space="preserve">甲方按照“</w:t>
      </w:r>
      <w:r>
        <w:rPr>
          <w:rFonts w:hint="eastAsia" w:ascii="宋体" w:hAnsi="宋体" w:eastAsia="宋体" w:cs="Times New Roman"/>
          <w:b/>
          <w:bCs w:val="0"/>
          <w:sz w:val="24"/>
          <w:szCs w:val="24"/>
          <w:highlight w:val="none"/>
          <w:lang w:val="en-US" w:eastAsia="zh-CN"/>
        </w:rPr>
        <w:t xml:space="preserve">附件一</w:t>
      </w:r>
      <w:r>
        <w:rPr>
          <w:rFonts w:hint="eastAsia" w:ascii="宋体" w:hAnsi="宋体" w:cs="Times New Roman"/>
          <w:b/>
          <w:bCs w:val="0"/>
          <w:sz w:val="24"/>
          <w:szCs w:val="24"/>
          <w:highlight w:val="none"/>
          <w:lang w:eastAsia="zh-CN"/>
        </w:rPr>
        <w:t xml:space="preserve">《日常考核季度扣分标准》</w:t>
      </w:r>
      <w:r>
        <w:rPr>
          <w:rFonts w:hint="eastAsia" w:ascii="宋体" w:hAnsi="宋体" w:cs="Times New Roman"/>
          <w:b w:val="0"/>
          <w:bCs/>
          <w:color w:val="000000"/>
          <w:sz w:val="24"/>
          <w:szCs w:val="24"/>
          <w:highlight w:val="none"/>
          <w:u w:val="none"/>
          <w:lang w:val="en-US" w:eastAsia="zh-CN"/>
        </w:rPr>
        <w:t xml:space="preserve">”表格，对乙方进行相应考核。</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7.2 对于养护质量不符合要求的</w:t>
      </w:r>
      <w:r>
        <w:rPr>
          <w:rFonts w:hint="eastAsia" w:ascii="宋体" w:hAnsi="宋体" w:cs="Times New Roman"/>
          <w:b w:val="0"/>
          <w:bCs/>
          <w:color w:val="000000"/>
          <w:sz w:val="24"/>
          <w:szCs w:val="24"/>
          <w:highlight w:val="none"/>
          <w:u w:val="none"/>
          <w:lang w:val="en-US" w:eastAsia="zh-CN"/>
        </w:rPr>
        <w:t xml:space="preserve">，日常考核分数过低的</w:t>
      </w:r>
      <w:r>
        <w:rPr>
          <w:rFonts w:hint="eastAsia" w:ascii="宋体" w:hAnsi="宋体" w:eastAsia="宋体" w:cs="Times New Roman"/>
          <w:b w:val="0"/>
          <w:bCs/>
          <w:color w:val="000000"/>
          <w:sz w:val="24"/>
          <w:szCs w:val="24"/>
          <w:highlight w:val="none"/>
          <w:u w:val="none"/>
          <w:lang w:val="en-US" w:eastAsia="zh-CN"/>
        </w:rPr>
        <w:t xml:space="preserve">，甲方先通知整改，乙方在10天内不整改的或整改效果不符合要求的，按规定扣除养护费用。</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7.3 乙方养护期间的乔灌花草保存率低于要求的，必须在适合的季节及时补植同品种、同规格的苗木，并确保成活。若乙方未按规定补植，甲方有权将发生的苗木费及补植费从乙方养护费中扣除。</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7.4 甲方按照相关考核办法和规定中约定的考核奖惩办法进行考核。</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四、安全文明施工</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8 </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在养护作业过程中，安全责任由乙方承担。</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9</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安全文明施工与检查</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9.1 乙方应做好养护作业管理区内的安全管理工作，采取必要的安全防护措施，消除事故隐患，并随时接受甲方或行业安全检查人员依法实施的监督检查。</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9.2由于乙方管理不善，引起政府职能部门处罚和停工整改，或因养护不及时、不合格或不规范及对养护区域内存在安全隐患的设施清理处置不及时等原因所造成人身伤亡及安全等事故，其费用和责任由乙方承担。</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10</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安全防护</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养护作业人员应做好各项安全防范措施，必须着装上岗操作，施工期间按规定做好安全标识。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11</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事故处理</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发生重大伤亡及其他安全事故，乙方应按有关规定立即上报有关部门并通知甲方代表，同时按政府有关部门要求处理由事故责任方承担发生的费用。</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五、合同价款与支付</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12</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合同价款</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12.1 合同价款由甲、乙双方依据中标通知书中的中标价格在协议书内约定。实际养护作业面积按审定后数量按实结算，但中标单价不变。</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12.2 对乙方超出养护范围和因乙方原因造成返工的工作量，甲方不予计量。</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13</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合同价款支付</w:t>
      </w:r>
      <w:r>
        <w:rPr>
          <w:highlight w:val="none"/>
        </w:rPr>
      </w:r>
      <w:r>
        <w:rPr>
          <w:highlight w:val="none"/>
        </w:rPr>
      </w:r>
    </w:p>
    <w:p>
      <w:pPr>
        <w:ind w:left="0" w:right="0" w:firstLine="480"/>
        <w:jc w:val="both"/>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签订生效后，甲方向乙方支付合同金额的30%预付款；根据合同履约进度、考核结果，从养护期开始后满6个月（半年）支付至合同金额的60%，养护期满后（一年）一个月内，根据考核情况以及奖惩制度，一次性支付剩余养护费。</w:t>
      </w:r>
      <w:r>
        <w:rPr>
          <w:rFonts w:ascii="SimSun" w:hAnsi="SimSun" w:eastAsia="SimSun" w:cs="SimSun"/>
          <w:color w:val="000000"/>
          <w:sz w:val="24"/>
          <w:highlight w:val="none"/>
        </w:rPr>
        <w:t xml:space="preserve">甲方应在每次收到乙方提供的发票10日内，向乙方支付对应的款项</w:t>
      </w:r>
      <w:r>
        <w:rPr>
          <w:rFonts w:ascii="SimSun" w:hAnsi="SimSun" w:eastAsia="SimSun" w:cs="SimSun"/>
          <w:color w:val="000000"/>
          <w:sz w:val="24"/>
          <w:highlight w:val="none"/>
        </w:rPr>
        <w:t xml:space="preserve">。付款时乙方出具足额合规的无锡市税金发票。</w:t>
      </w:r>
      <w:r>
        <w:rPr>
          <w:sz w:val="21"/>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六、违约和争议</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14</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违约</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14.1 因甲方原因导致乙方不能按合同约定履行义务的，相应延续工期。</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14.2 甲方未按合同约定支付养护经费的，甲方应按每日万分之二支付违约金。</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14.3 乙方不能达到所承诺的养护质量和有关技术规范标准，乙方按协议条款支付违约金，赔偿因违约给甲方造成的损失。</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14.4 因一方违约使合同不能履行，另一方欲终止或解除全部合同，应提前10天通知违约方后，方可终止或解除合同，由违约方承担违约责任。</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15</w:t>
      </w:r>
      <w:r>
        <w:rPr>
          <w:rFonts w:hint="eastAsia" w:ascii="宋体" w:hAnsi="宋体" w:cs="Times New Roman"/>
          <w:b w:val="0"/>
          <w:bCs/>
          <w:color w:val="000000"/>
          <w:sz w:val="24"/>
          <w:szCs w:val="24"/>
          <w:highlight w:val="none"/>
          <w:u w:val="none"/>
          <w:lang w:val="en-US" w:eastAsia="zh-CN"/>
        </w:rPr>
        <w:t xml:space="preserve">、</w:t>
      </w:r>
      <w:r>
        <w:rPr>
          <w:rFonts w:hint="eastAsia" w:ascii="宋体" w:hAnsi="宋体" w:eastAsia="宋体" w:cs="Times New Roman"/>
          <w:b w:val="0"/>
          <w:bCs/>
          <w:color w:val="000000"/>
          <w:sz w:val="24"/>
          <w:szCs w:val="24"/>
          <w:highlight w:val="none"/>
          <w:u w:val="none"/>
          <w:lang w:val="en-US" w:eastAsia="zh-CN"/>
        </w:rPr>
        <w:t xml:space="preserve">争议</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15.1 甲乙双方因合同发生争议，可由甲乙双方协商、调解、或向甲方所在地的人民法院起诉解决。</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15.2发生争议后，除出现以下情况的，双方都应继续履行合同，保持养护连续性：</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(1) 合同确已无法履行；</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(2) 双方协议停止养护作业；</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    (3) 仲裁机关要求停止养护作业；</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(4) 法院要求停止养护作业。</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七、合同终止</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符合采购文件规定的合同终止</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八、其他</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16.1 在本合同执行过程中如遇和国家政策、地方法规的有关规定不符时，按有关政策法规执行。</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16.2 如遇自然灾害和不可抗力造成损失的，经双方协商解决。</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16.3 本合同如有未尽事宜，双方可通过协商补充协议解决。</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九、合同生效与终止</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双方在合同协议书中约定合同生效方式。双方履行合同全部义务，合同价款支付完毕后，本合同即告终止。</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十、合同份数与解释</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pPr>
      <w:r>
        <w:rPr>
          <w:rFonts w:hint="eastAsia" w:ascii="宋体" w:hAnsi="宋体" w:eastAsia="宋体" w:cs="Times New Roman"/>
          <w:b w:val="0"/>
          <w:bCs/>
          <w:color w:val="000000"/>
          <w:sz w:val="24"/>
          <w:szCs w:val="24"/>
          <w:highlight w:val="none"/>
          <w:u w:val="none"/>
          <w:lang w:val="en-US" w:eastAsia="zh-CN"/>
        </w:rPr>
        <w:t xml:space="preserve">17.1本合同一式肆份，并具同等法律效力。由甲方保存贰份、乙方保存贰份。</w:t>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eastAsia="宋体" w:cs="Times New Roman"/>
          <w:b w:val="0"/>
          <w:bCs/>
          <w:color w:val="000000"/>
          <w:sz w:val="24"/>
          <w:szCs w:val="24"/>
          <w:highlight w:val="none"/>
          <w:u w:val="none"/>
          <w:lang w:val="en-US" w:eastAsia="zh-CN"/>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附件一 </w:t>
      </w:r>
      <w:r>
        <w:rPr>
          <w:rFonts w:hint="eastAsia" w:ascii="宋体" w:hAnsi="宋体" w:eastAsia="宋体" w:cs="Times New Roman"/>
          <w:b/>
          <w:bCs/>
          <w:sz w:val="24"/>
          <w:szCs w:val="24"/>
          <w:highlight w:val="none"/>
        </w:rPr>
        <w:t xml:space="preserve">绿化养护考核标准</w:t>
      </w:r>
      <w:r>
        <w:rPr>
          <w:highlight w:val="none"/>
        </w:rPr>
      </w:r>
      <w:r>
        <w:rPr>
          <w:highlight w:val="none"/>
        </w:rPr>
      </w:r>
    </w:p>
    <w:tbl>
      <w:tblPr>
        <w:tblStyle w:val="1308"/>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381"/>
        <w:gridCol w:w="3550"/>
        <w:gridCol w:w="3044"/>
      </w:tblGrid>
      <w:tr>
        <w:trPr>
          <w:trHeight w:val="767"/>
        </w:trPr>
        <w:tc>
          <w:tcPr>
            <w:gridSpan w:val="4"/>
            <w:tcW w:w="9168"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日常考核季度扣分标准</w:t>
            </w:r>
            <w:r>
              <w:rPr>
                <w:highlight w:val="none"/>
              </w:rPr>
            </w:r>
            <w:r>
              <w:rPr>
                <w:highlight w:val="none"/>
              </w:rPr>
            </w:r>
          </w:p>
        </w:tc>
      </w:tr>
      <w:tr>
        <w:trPr>
          <w:trHeight w:val="557"/>
        </w:trPr>
        <w:tc>
          <w:tcPr>
            <w:tcW w:w="1193"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考核项目</w:t>
            </w:r>
            <w:r>
              <w:rPr>
                <w:highlight w:val="none"/>
              </w:rPr>
            </w:r>
            <w:r>
              <w:rPr>
                <w:highlight w:val="none"/>
              </w:rPr>
            </w:r>
          </w:p>
        </w:tc>
        <w:tc>
          <w:tcPr>
            <w:tcW w:w="1381"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考核内容</w:t>
            </w:r>
            <w:r>
              <w:rPr>
                <w:highlight w:val="none"/>
              </w:rPr>
            </w:r>
            <w:r>
              <w:rPr>
                <w:highlight w:val="none"/>
              </w:rPr>
            </w:r>
          </w:p>
        </w:tc>
        <w:tc>
          <w:tcPr>
            <w:tcW w:w="355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  核  标  准</w:t>
            </w:r>
            <w:r>
              <w:rPr>
                <w:highlight w:val="none"/>
              </w:rPr>
            </w:r>
            <w:r>
              <w:rPr>
                <w:highlight w:val="none"/>
              </w:rPr>
            </w:r>
          </w:p>
        </w:tc>
        <w:tc>
          <w:tcPr>
            <w:tcW w:w="3044"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处   罚   细   则</w:t>
            </w:r>
            <w:r>
              <w:rPr>
                <w:highlight w:val="none"/>
              </w:rPr>
            </w:r>
            <w:r>
              <w:rPr>
                <w:highlight w:val="none"/>
              </w:rPr>
            </w:r>
          </w:p>
        </w:tc>
      </w:tr>
      <w:tr>
        <w:trPr>
          <w:trHeight w:val="2382"/>
        </w:trPr>
        <w:tc>
          <w:tcPr>
            <w:tcW w:w="119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整体效果</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（10分）</w:t>
            </w:r>
            <w:r>
              <w:rPr>
                <w:highlight w:val="none"/>
              </w:rPr>
            </w:r>
            <w:r>
              <w:rPr>
                <w:highlight w:val="none"/>
              </w:rPr>
            </w:r>
          </w:p>
        </w:tc>
        <w:tc>
          <w:tcPr>
            <w:tcW w:w="13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景观林带</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1、重要节点绿地环境整洁；</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2、树木生长健康，无明显病虫害；</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3、树冠基本统一饱满，无明显缺株；</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4、视觉范围内基本无枯死枝、杂草、垃圾；</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5、乔、花灌木修剪合理；</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6、绿篱色块修剪面平整，线形圆润；</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7、树穴（边线）圆滑规范；</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8、绿地内无明显杂草；</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9、园林小品基本完好，无明显破损。</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每发现1处扣0.2分，累计扣分不超过15分</w:t>
            </w:r>
            <w:r>
              <w:rPr>
                <w:highlight w:val="none"/>
              </w:rPr>
            </w:r>
            <w:r>
              <w:rPr>
                <w:highlight w:val="none"/>
              </w:rPr>
            </w:r>
          </w:p>
        </w:tc>
      </w:tr>
      <w:tr>
        <w:trPr>
          <w:trHeight w:val="981"/>
        </w:trPr>
        <w:tc>
          <w:tcPr>
            <w:tcW w:w="11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植物养护</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（55分）</w:t>
            </w:r>
            <w:r>
              <w:rPr>
                <w:highlight w:val="none"/>
              </w:rPr>
            </w:r>
            <w:r>
              <w:rPr>
                <w:highlight w:val="none"/>
              </w:rPr>
            </w:r>
          </w:p>
        </w:tc>
        <w:tc>
          <w:tcPr>
            <w:tcW w:w="138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乔木</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1、树木总体生长正常，树冠饱满完整，主侧枝分布匀称、数量较适宜树形基本完美；</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2、分枝点位较合理，基本无枯死（断、挂、垂）枝。</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1、树冠不完整、明显偏冠，扣0.5分/株；</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2、分枝点不合理扣0.5分/株；</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3、有明显枯死（断、挂、垂）枝，扣0.5分/株，重要节点处扣2分/株。</w:t>
            </w:r>
            <w:r>
              <w:rPr>
                <w:highlight w:val="none"/>
              </w:rPr>
            </w:r>
            <w:r>
              <w:rPr>
                <w:highlight w:val="none"/>
              </w:rPr>
            </w:r>
          </w:p>
        </w:tc>
      </w:tr>
      <w:tr>
        <w:trPr>
          <w:trHeight w:val="381"/>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1、修剪适时、规范合理；</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2、树木倾斜不超过15度（造型树木除外）。</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1、修剪不及时、不合理规范，扣0.5分/株；</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2、乔木倾斜角度大于15度，扣1分/株。</w:t>
            </w:r>
            <w:r>
              <w:rPr>
                <w:highlight w:val="none"/>
              </w:rPr>
            </w:r>
            <w:r>
              <w:rPr>
                <w:highlight w:val="none"/>
              </w:rPr>
            </w:r>
          </w:p>
        </w:tc>
      </w:tr>
      <w:tr>
        <w:trPr>
          <w:trHeight w:val="90"/>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基本无可视的病虫危害症状。</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有明显病虫害危害症状，扣0.5分/株。</w:t>
            </w:r>
            <w:r>
              <w:rPr>
                <w:highlight w:val="none"/>
              </w:rPr>
            </w:r>
            <w:r>
              <w:rPr>
                <w:highlight w:val="none"/>
              </w:rPr>
            </w:r>
          </w:p>
        </w:tc>
      </w:tr>
      <w:tr>
        <w:trPr>
          <w:trHeight w:val="762"/>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花灌木</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（12分）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1、花灌木株形丰满，枝叶茂密，开花适时，花后修剪及时合理；</w:t>
            </w:r>
            <w:r>
              <w:rPr>
                <w:highlight w:val="none"/>
              </w:rPr>
            </w:r>
            <w:r>
              <w:rPr>
                <w:highlight w:val="none"/>
              </w:rPr>
            </w:r>
          </w:p>
          <w:p>
            <w:pPr>
              <w:pStyle w:val="1333"/>
              <w:rPr>
                <w:sz w:val="16"/>
                <w:szCs w:val="16"/>
                <w:highlight w:val="none"/>
              </w:rPr>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b w:val="0"/>
                <w:bCs w:val="0"/>
                <w:color w:val="000000"/>
                <w:sz w:val="22"/>
                <w:szCs w:val="22"/>
                <w:highlight w:val="none"/>
              </w:rPr>
              <w:t xml:space="preserve">花卉生长正常，无枯枝残花(残花量≤10%),无缺株、倒伏。</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1、修剪不及时不合理，扣0.5分/株；</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2、未及时施肥，扣2分；</w:t>
            </w:r>
            <w:r>
              <w:rPr>
                <w:highlight w:val="none"/>
              </w:rPr>
            </w:r>
            <w:r>
              <w:rPr>
                <w:highlight w:val="none"/>
              </w:rPr>
            </w:r>
          </w:p>
          <w:p>
            <w:pPr>
              <w:pStyle w:val="1333"/>
              <w:rPr>
                <w:sz w:val="16"/>
                <w:szCs w:val="16"/>
                <w:highlight w:val="none"/>
              </w:rPr>
            </w:pPr>
            <w:r>
              <w:rPr>
                <w:rFonts w:hint="eastAsia" w:ascii="宋体" w:hAnsi="宋体" w:eastAsia="宋体" w:cs="宋体"/>
                <w:i w:val="0"/>
                <w:iCs w:val="0"/>
                <w:color w:val="000000"/>
                <w:sz w:val="22"/>
                <w:szCs w:val="22"/>
                <w:highlight w:val="none"/>
                <w:u w:val="none"/>
                <w:lang w:val="en-US" w:eastAsia="zh-CN" w:bidi="ar"/>
              </w:rPr>
              <w:t xml:space="preserve">3、有明显枯死（</w:t>
            </w:r>
            <w:r>
              <w:rPr>
                <w:rFonts w:hint="eastAsia" w:ascii="宋体" w:hAnsi="宋体" w:eastAsia="宋体" w:cs="宋体"/>
                <w:b w:val="0"/>
                <w:bCs w:val="0"/>
                <w:color w:val="000000"/>
                <w:sz w:val="22"/>
                <w:szCs w:val="22"/>
                <w:highlight w:val="none"/>
              </w:rPr>
              <w:t xml:space="preserve">枯枝残花</w:t>
            </w:r>
            <w:r>
              <w:rPr>
                <w:rFonts w:hint="eastAsia" w:ascii="宋体" w:hAnsi="宋体" w:eastAsia="宋体" w:cs="宋体"/>
                <w:i w:val="0"/>
                <w:iCs w:val="0"/>
                <w:color w:val="000000"/>
                <w:sz w:val="22"/>
                <w:szCs w:val="22"/>
                <w:highlight w:val="none"/>
                <w:u w:val="none"/>
                <w:lang w:val="en-US" w:eastAsia="zh-CN" w:bidi="ar"/>
              </w:rPr>
              <w:t xml:space="preserve">），扣0.5分/株。</w:t>
            </w:r>
            <w:r>
              <w:rPr>
                <w:highlight w:val="none"/>
              </w:rPr>
            </w:r>
            <w:r>
              <w:rPr>
                <w:highlight w:val="none"/>
              </w:rPr>
            </w:r>
          </w:p>
        </w:tc>
      </w:tr>
      <w:tr>
        <w:trPr>
          <w:trHeight w:val="90"/>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无可视的病虫危害症状。</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有明显病虫害危害症状，扣0.5分/株。</w:t>
            </w:r>
            <w:r>
              <w:rPr>
                <w:highlight w:val="none"/>
              </w:rPr>
            </w:r>
            <w:r>
              <w:rPr>
                <w:highlight w:val="none"/>
              </w:rPr>
            </w:r>
          </w:p>
        </w:tc>
      </w:tr>
      <w:tr>
        <w:trPr>
          <w:trHeight w:val="441"/>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绿篱、模纹、色块</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绿篱、模纹和色块等适时修剪及时。总体轮廓清晰，线条流畅。及时清除修剪废弃物。</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1、修剪不及时不规范，扣0.5分/100㎡；</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2、绿篱、色块空秃扣0.5分/100㎡；</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3、有残留废弃物1/处。</w:t>
            </w:r>
            <w:r>
              <w:rPr>
                <w:highlight w:val="none"/>
              </w:rPr>
            </w:r>
            <w:r>
              <w:rPr>
                <w:highlight w:val="none"/>
              </w:rPr>
            </w:r>
          </w:p>
        </w:tc>
      </w:tr>
      <w:tr>
        <w:trPr>
          <w:trHeight w:val="90"/>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无可视的病虫危害症状。</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有明显病虫害危害症状，扣0.5分/株。</w:t>
            </w:r>
            <w:r>
              <w:rPr>
                <w:highlight w:val="none"/>
              </w:rPr>
            </w:r>
            <w:r>
              <w:rPr>
                <w:highlight w:val="none"/>
              </w:rPr>
            </w:r>
          </w:p>
        </w:tc>
      </w:tr>
      <w:tr>
        <w:trPr>
          <w:trHeight w:val="575"/>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竹类</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有完整的林相，植株生长健壮，无枯死（断株），新老竹比例适当，散生竹无无序扩延现象。</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1、有明显枯死（断）竹，扣0.5分/株（墩）；</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2、有无序扩延现象，扣1分/处</w:t>
            </w:r>
            <w:r>
              <w:rPr>
                <w:highlight w:val="none"/>
              </w:rPr>
            </w:r>
            <w:r>
              <w:rPr>
                <w:highlight w:val="none"/>
              </w:rPr>
            </w:r>
          </w:p>
        </w:tc>
      </w:tr>
      <w:tr>
        <w:trPr>
          <w:trHeight w:val="90"/>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无可视的病虫危害症状。</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有明显病虫害危害症状，扣0.5分/株。</w:t>
            </w:r>
            <w:r>
              <w:rPr>
                <w:highlight w:val="none"/>
              </w:rPr>
            </w:r>
            <w:r>
              <w:rPr>
                <w:highlight w:val="none"/>
              </w:rPr>
            </w:r>
          </w:p>
        </w:tc>
      </w:tr>
      <w:tr>
        <w:trPr>
          <w:trHeight w:val="1525"/>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草坪</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（15分）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1.草坪面平整，覆盖率90%或以上，边线齐整或圆滑；</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2、草坪适时施肥、打孔，生长旺盛，草根不裸露；</w:t>
            </w:r>
            <w:r>
              <w:rPr>
                <w:highlight w:val="none"/>
              </w:rPr>
            </w:r>
            <w:r>
              <w:rPr>
                <w:highlight w:val="none"/>
              </w:rPr>
            </w:r>
          </w:p>
          <w:p>
            <w:pPr>
              <w:ind w:left="0" w:right="0" w:firstLine="0"/>
              <w:jc w:val="both"/>
              <w:keepLines w:val="0"/>
              <w:keepNext w:val="0"/>
              <w:widowControl/>
              <w:rPr>
                <w:rFonts w:hint="eastAsia" w:ascii="宋体" w:hAnsi="宋体" w:eastAsia="宋体" w:cs="宋体"/>
                <w:b w:val="0"/>
                <w:bCs w:val="0"/>
                <w:color w:val="000000"/>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3、草坪内杂草率≤15%，</w:t>
            </w:r>
            <w:r>
              <w:rPr>
                <w:rFonts w:hint="eastAsia" w:ascii="宋体" w:hAnsi="宋体" w:eastAsia="宋体" w:cs="宋体"/>
                <w:b w:val="0"/>
                <w:bCs w:val="0"/>
                <w:color w:val="000000"/>
                <w:sz w:val="22"/>
                <w:szCs w:val="22"/>
                <w:highlight w:val="none"/>
              </w:rPr>
              <w:t xml:space="preserve">覆盖率达95%以上</w:t>
            </w:r>
            <w:r>
              <w:rPr>
                <w:rFonts w:hint="eastAsia" w:ascii="宋体" w:hAnsi="宋体" w:eastAsia="宋体" w:cs="宋体"/>
                <w:b w:val="0"/>
                <w:bCs w:val="0"/>
                <w:color w:val="000000"/>
                <w:sz w:val="22"/>
                <w:szCs w:val="22"/>
                <w:highlight w:val="none"/>
                <w:lang w:eastAsia="zh-CN"/>
              </w:rPr>
              <w:t xml:space="preserve">；</w:t>
            </w:r>
            <w:r>
              <w:rPr>
                <w:highlight w:val="none"/>
              </w:rPr>
            </w:r>
            <w:r>
              <w:rPr>
                <w:highlight w:val="none"/>
              </w:rPr>
            </w:r>
          </w:p>
          <w:p>
            <w:pPr>
              <w:pStyle w:val="1333"/>
              <w:rPr>
                <w:rFonts w:hint="eastAsia"/>
                <w:sz w:val="16"/>
                <w:szCs w:val="16"/>
                <w:highlight w:val="none"/>
              </w:rPr>
            </w:pPr>
            <w:r>
              <w:rPr>
                <w:rFonts w:hint="eastAsia" w:ascii="宋体" w:hAnsi="宋体" w:eastAsia="宋体" w:cs="宋体"/>
                <w:b w:val="0"/>
                <w:bCs w:val="0"/>
                <w:color w:val="000000"/>
                <w:sz w:val="22"/>
                <w:szCs w:val="22"/>
                <w:highlight w:val="none"/>
                <w:lang w:val="en-US" w:eastAsia="zh-CN"/>
              </w:rPr>
              <w:t xml:space="preserve">4、</w:t>
            </w:r>
            <w:r>
              <w:rPr>
                <w:rFonts w:hint="eastAsia" w:ascii="宋体" w:hAnsi="宋体" w:eastAsia="宋体" w:cs="宋体"/>
                <w:b w:val="0"/>
                <w:bCs w:val="0"/>
                <w:color w:val="000000"/>
                <w:sz w:val="22"/>
                <w:szCs w:val="22"/>
                <w:highlight w:val="none"/>
              </w:rPr>
              <w:t xml:space="preserve">集中空秃面积不超过0.1</w:t>
            </w:r>
            <w:r>
              <w:rPr>
                <w:rFonts w:hint="eastAsia" w:ascii="宋体" w:hAnsi="宋体" w:eastAsia="宋体" w:cs="宋体"/>
                <w:i w:val="0"/>
                <w:iCs w:val="0"/>
                <w:caps w:val="0"/>
                <w:color w:val="1c1917"/>
                <w:spacing w:val="0"/>
                <w:sz w:val="22"/>
                <w:szCs w:val="22"/>
                <w:highlight w:val="none"/>
                <w:shd w:val="clear" w:color="auto" w:fill="ffffff"/>
              </w:rPr>
              <w:t xml:space="preserve">㎡</w:t>
            </w:r>
            <w:r>
              <w:rPr>
                <w:rFonts w:hint="eastAsia" w:ascii="宋体" w:hAnsi="宋体" w:eastAsia="宋体" w:cs="宋体"/>
                <w:i w:val="0"/>
                <w:iCs w:val="0"/>
                <w:caps w:val="0"/>
                <w:color w:val="1c1917"/>
                <w:spacing w:val="0"/>
                <w:sz w:val="22"/>
                <w:szCs w:val="22"/>
                <w:highlight w:val="none"/>
                <w:shd w:val="clear" w:color="auto" w:fill="ffffff"/>
                <w:lang w:eastAsia="zh-CN"/>
              </w:rPr>
              <w:t xml:space="preserve">。</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1、有明显单块空秃，边线不规范，扣0.5分/处；</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2、重要块面草坪生长衰弱或退化，扣2分/处；</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3、明显杂草，扣0.5分/10㎡。</w:t>
            </w:r>
            <w:r>
              <w:rPr>
                <w:highlight w:val="none"/>
              </w:rPr>
            </w:r>
            <w:r>
              <w:rPr>
                <w:highlight w:val="none"/>
              </w:rPr>
            </w:r>
          </w:p>
        </w:tc>
      </w:tr>
      <w:tr>
        <w:trPr>
          <w:trHeight w:val="785"/>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1、修剪及时，留草高度合理；</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2、草坪修剪作业规范，修剪高度合理；</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3、先除杂后再行割草；</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4、割草后的善后工作到位。</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1、修剪不及时，扣1分/次；</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2、作业不规范，扣0.5分/次；</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3、未除杂后就割草，扣2分/次；</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4、草屑未清，扣0.5分/次。</w:t>
            </w:r>
            <w:r>
              <w:rPr>
                <w:highlight w:val="none"/>
              </w:rPr>
            </w:r>
            <w:r>
              <w:rPr>
                <w:highlight w:val="none"/>
              </w:rPr>
            </w:r>
          </w:p>
        </w:tc>
      </w:tr>
      <w:tr>
        <w:trPr>
          <w:trHeight w:val="90"/>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vMerge w:val="continue"/>
            <w:textDirection w:val="lrTb"/>
            <w:noWrap/>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无可视的病虫危害症状</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有明显病虫害危害症状，扣0.5分/100㎡。</w:t>
            </w:r>
            <w:r>
              <w:rPr>
                <w:highlight w:val="none"/>
              </w:rPr>
            </w:r>
            <w:r>
              <w:rPr>
                <w:highlight w:val="none"/>
              </w:rPr>
            </w:r>
          </w:p>
        </w:tc>
      </w:tr>
      <w:tr>
        <w:trPr>
          <w:trHeight w:val="623"/>
        </w:trPr>
        <w:tc>
          <w:tcPr>
            <w:tcW w:w="11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设施维护</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（15分）</w:t>
            </w:r>
            <w:r>
              <w:rPr>
                <w:highlight w:val="none"/>
              </w:rPr>
            </w:r>
            <w:r>
              <w:rPr>
                <w:highlight w:val="none"/>
              </w:rPr>
            </w:r>
          </w:p>
        </w:tc>
        <w:tc>
          <w:tcPr>
            <w:tcW w:w="13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分割线</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（树堰）</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1、树堰大小合适美观，表土细松无杂物；</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2、分割线美观流畅圆滑，表土细松无杂物。</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1、破损不符合规范扣0.5分/株；</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2、不符合规范扣0.5分/处</w:t>
            </w:r>
            <w:r>
              <w:rPr>
                <w:highlight w:val="none"/>
              </w:rPr>
            </w:r>
            <w:r>
              <w:rPr>
                <w:highlight w:val="none"/>
              </w:rPr>
            </w:r>
          </w:p>
        </w:tc>
      </w:tr>
      <w:tr>
        <w:trPr>
          <w:trHeight w:val="803"/>
        </w:trPr>
        <w:tc>
          <w:tcPr>
            <w:tcW w:w="1193" w:type="dxa"/>
            <w:vAlign w:val="center"/>
            <w:vMerge w:val="continue"/>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13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树木缚扎物</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及时调整或清除树木支撑、缚扎物。</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支撑残缺、铅丝、烂草绳等未调整或清理等扣0.5分/株</w:t>
            </w:r>
            <w:r>
              <w:rPr>
                <w:highlight w:val="none"/>
              </w:rPr>
            </w:r>
            <w:r>
              <w:rPr>
                <w:highlight w:val="none"/>
              </w:rPr>
            </w:r>
          </w:p>
        </w:tc>
      </w:tr>
      <w:tr>
        <w:trPr>
          <w:trHeight w:val="90"/>
        </w:trPr>
        <w:tc>
          <w:tcPr>
            <w:tcW w:w="1193" w:type="dxa"/>
            <w:vAlign w:val="center"/>
            <w:vMerge w:val="continue"/>
            <w:textDirection w:val="lrTb"/>
            <w:noWrap/>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绿地排灌（2分）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暴雨后一天内无积水，积水现象1-2天内消除。</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未达到要求，扣0.5分/处。</w:t>
            </w:r>
            <w:r>
              <w:rPr>
                <w:highlight w:val="none"/>
              </w:rPr>
            </w:r>
            <w:r>
              <w:rPr>
                <w:highlight w:val="none"/>
              </w:rPr>
            </w:r>
          </w:p>
        </w:tc>
      </w:tr>
      <w:tr>
        <w:trPr>
          <w:trHeight w:val="1260"/>
        </w:trPr>
        <w:tc>
          <w:tcPr>
            <w:tcW w:w="1193" w:type="dxa"/>
            <w:vAlign w:val="center"/>
            <w:vMerge w:val="continue"/>
            <w:textDirection w:val="lrTb"/>
            <w:noWrap/>
          </w:tcPr>
          <w:p>
            <w:pPr>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3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树体保护（5分）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1、冬季涂白规范，美观；</w:t>
            </w:r>
            <w:r>
              <w:rPr>
                <w:highlight w:val="none"/>
              </w:rPr>
            </w:r>
            <w:r>
              <w:rPr>
                <w:highlight w:val="none"/>
              </w:rPr>
            </w:r>
          </w:p>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2、乔木修剪不留残桩，大于5cm剪口涂抹剂；</w:t>
            </w:r>
            <w:r>
              <w:rPr>
                <w:highlight w:val="none"/>
              </w:rPr>
            </w:r>
            <w:r>
              <w:rPr>
                <w:highlight w:val="none"/>
              </w:rPr>
            </w:r>
          </w:p>
          <w:p>
            <w:pPr>
              <w:pStyle w:val="1333"/>
              <w:rPr>
                <w:rFonts w:hint="eastAsia" w:eastAsia="宋体"/>
                <w:sz w:val="16"/>
                <w:szCs w:val="16"/>
                <w:highlight w:val="none"/>
              </w:rPr>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b w:val="0"/>
                <w:bCs w:val="0"/>
                <w:color w:val="000000"/>
                <w:sz w:val="22"/>
                <w:szCs w:val="22"/>
                <w:highlight w:val="none"/>
              </w:rPr>
              <w:t xml:space="preserve">缺株在2%以下(含2%)。不得连续2棵缺株，补植树木与原树木径级不超过20%</w:t>
            </w:r>
            <w:r>
              <w:rPr>
                <w:rFonts w:hint="eastAsia" w:ascii="宋体" w:hAnsi="宋体" w:eastAsia="宋体" w:cs="宋体"/>
                <w:b w:val="0"/>
                <w:bCs w:val="0"/>
                <w:color w:val="000000"/>
                <w:sz w:val="22"/>
                <w:szCs w:val="22"/>
                <w:highlight w:val="none"/>
                <w:lang w:eastAsia="zh-CN"/>
              </w:rPr>
              <w:t xml:space="preserve">。</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未达到要求，扣0.5分/处。</w:t>
            </w:r>
            <w:r>
              <w:rPr>
                <w:highlight w:val="none"/>
              </w:rPr>
            </w:r>
            <w:r>
              <w:rPr>
                <w:highlight w:val="none"/>
              </w:rPr>
            </w:r>
          </w:p>
        </w:tc>
      </w:tr>
      <w:tr>
        <w:trPr>
          <w:trHeight w:val="803"/>
        </w:trPr>
        <w:tc>
          <w:tcPr>
            <w:tcW w:w="1193"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其它管理</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（20分）</w:t>
            </w:r>
            <w:r>
              <w:rPr>
                <w:highlight w:val="none"/>
              </w:rPr>
            </w:r>
            <w:r>
              <w:rPr>
                <w:highlight w:val="none"/>
              </w:rPr>
            </w:r>
          </w:p>
        </w:tc>
        <w:tc>
          <w:tcPr>
            <w:tcW w:w="13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绿地维护及保洁</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（15分）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绿地中以及道路上产生的垃圾做到日产日清，不得乱堆放</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发现1分/处</w:t>
            </w:r>
            <w:r>
              <w:rPr>
                <w:highlight w:val="none"/>
              </w:rPr>
            </w:r>
            <w:r>
              <w:rPr>
                <w:highlight w:val="none"/>
              </w:rPr>
            </w:r>
          </w:p>
        </w:tc>
      </w:tr>
      <w:tr>
        <w:trPr>
          <w:trHeight w:val="572"/>
        </w:trPr>
        <w:tc>
          <w:tcPr>
            <w:tcW w:w="1193" w:type="dxa"/>
            <w:vAlign w:val="center"/>
            <w:vMerge w:val="continue"/>
            <w:textDirection w:val="lrTb"/>
            <w:noWrap w:val="false"/>
          </w:tcPr>
          <w:p>
            <w:pPr>
              <w:ind w:left="0" w:right="0" w:firstLine="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13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市民投诉</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媒体曝光</w:t>
            </w:r>
            <w:r>
              <w:rPr>
                <w:highlight w:val="none"/>
              </w:rPr>
            </w:r>
            <w:r>
              <w:rPr>
                <w:highlight w:val="none"/>
              </w:rPr>
            </w:r>
          </w:p>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（5分）</w:t>
            </w:r>
            <w:r>
              <w:rPr>
                <w:highlight w:val="none"/>
              </w:rPr>
            </w:r>
            <w:r>
              <w:rPr>
                <w:highlight w:val="none"/>
              </w:rPr>
            </w:r>
          </w:p>
        </w:tc>
        <w:tc>
          <w:tcPr>
            <w:tcW w:w="355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现场负责人每天巡视1次，项目经理每周巡视不少于3次，做好自查记录及对巡查发现问题的整改落实。及时处理各类投诉，避免媒体曝光。</w:t>
            </w:r>
            <w:r>
              <w:rPr>
                <w:highlight w:val="none"/>
              </w:rPr>
            </w:r>
            <w:r>
              <w:rPr>
                <w:highlight w:val="none"/>
              </w:rPr>
            </w:r>
          </w:p>
        </w:tc>
        <w:tc>
          <w:tcPr>
            <w:tcW w:w="3044"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因巡视不到位而引起的投诉，扣1分/次；瞒报毁绿行为，扣2分/次。媒体曝光、群众投诉，经调查情况属实，且属于养护管理不到位，1次扣2分；未能按要求及时处理并消除影响的扣5分.</w:t>
            </w:r>
            <w:r>
              <w:rPr>
                <w:highlight w:val="none"/>
              </w:rPr>
            </w:r>
            <w:r>
              <w:rPr>
                <w:highlight w:val="none"/>
              </w:rPr>
            </w:r>
          </w:p>
        </w:tc>
      </w:tr>
    </w:tbl>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highlight w:val="none"/>
        </w:rPr>
      </w:r>
      <w:r>
        <w:rPr>
          <w:highlight w:val="none"/>
        </w:rPr>
      </w:r>
    </w:p>
    <w:p>
      <w:pPr>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sz w:val="24"/>
          <w:szCs w:val="24"/>
          <w:highlight w:val="non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eastAsia="宋体" w:cs="Times New Roman"/>
          <w:sz w:val="24"/>
          <w:szCs w:val="24"/>
          <w:highlight w:val="none"/>
        </w:rPr>
      </w:r>
      <w:bookmarkEnd w:id="20"/>
      <w:r>
        <w:rPr>
          <w:highlight w:val="none"/>
        </w:rPr>
      </w:r>
      <w:bookmarkEnd w:id="21"/>
      <w:r>
        <w:rPr>
          <w:highlight w:val="none"/>
        </w:rPr>
      </w:r>
      <w:r>
        <w:rPr>
          <w:highlight w:val="none"/>
        </w:rPr>
      </w:r>
    </w:p>
    <w:p>
      <w:pPr>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highlight w:val="none"/>
        </w:rPr>
      </w:r>
      <w:r>
        <w:rPr>
          <w:highlight w:val="none"/>
        </w:rPr>
      </w:r>
    </w:p>
    <w:p>
      <w:pPr>
        <w:rPr>
          <w:rFonts w:ascii="黑体" w:eastAsia="黑体"/>
          <w:bCs/>
          <w:color w:val="000000"/>
          <w:sz w:val="32"/>
          <w:highlight w:val="none"/>
        </w:rPr>
        <w:outlineLvl w:val="9"/>
      </w:pPr>
      <w:r>
        <w:rPr>
          <w:rFonts w:ascii="黑体" w:eastAsia="黑体"/>
          <w:bCs/>
          <w:color w:val="000000"/>
          <w:sz w:val="32"/>
          <w:highlight w:val="none"/>
        </w:rPr>
      </w:r>
      <w:r>
        <w:rPr>
          <w:highlight w:val="none"/>
        </w:rPr>
      </w:r>
      <w:r>
        <w:rPr>
          <w:highlight w:val="none"/>
        </w:rPr>
      </w:r>
    </w:p>
    <w:p>
      <w:pPr>
        <w:rPr>
          <w:rFonts w:ascii="黑体" w:eastAsia="黑体"/>
          <w:bCs/>
          <w:color w:val="000000"/>
          <w:sz w:val="32"/>
          <w:highlight w:val="none"/>
        </w:rPr>
        <w:outlineLvl w:val="9"/>
      </w:pPr>
      <w:r>
        <w:rPr>
          <w:rFonts w:ascii="黑体" w:eastAsia="黑体"/>
          <w:bCs/>
          <w:color w:val="000000"/>
          <w:sz w:val="32"/>
          <w:highlight w:val="none"/>
        </w:rPr>
      </w:r>
      <w:r>
        <w:rPr>
          <w:highlight w:val="none"/>
        </w:rPr>
      </w:r>
      <w:r>
        <w:rPr>
          <w:highlight w:val="none"/>
        </w:rP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highlight w:val="none"/>
        </w:rPr>
      </w:r>
      <w:r>
        <w:rPr>
          <w:highlight w:val="none"/>
        </w:rP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rPr>
          <w:highlight w:val="none"/>
        </w:rPr>
      </w:r>
      <w:r>
        <w:rPr>
          <w:highlight w:val="none"/>
        </w:rP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highlight w:val="none"/>
        </w:rPr>
      </w:r>
      <w:r>
        <w:rPr>
          <w:highlight w:val="none"/>
        </w:rPr>
      </w:r>
    </w:p>
    <w:p>
      <w:pPr>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rPr>
          <w:highlight w:val="none"/>
        </w:rPr>
      </w:r>
      <w:r>
        <w:rPr>
          <w:highlight w:val="none"/>
        </w:rP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highlight w:val="none"/>
        </w:rPr>
      </w:r>
      <w:r>
        <w:rPr>
          <w:highlight w:val="none"/>
        </w:rP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rPr>
          <w:highlight w:val="none"/>
        </w:rPr>
      </w:r>
      <w:r>
        <w:rPr>
          <w:highlight w:val="none"/>
        </w:rPr>
      </w:r>
    </w:p>
    <w:p>
      <w:pPr>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highlight w:val="none"/>
        </w:rPr>
      </w:r>
      <w:r>
        <w:rPr>
          <w:highlight w:val="none"/>
        </w:rPr>
      </w:r>
    </w:p>
    <w:p>
      <w:pPr>
        <w:pStyle w:val="1333"/>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rPr>
          <w:highlight w:val="none"/>
        </w:rPr>
      </w:r>
      <w:r>
        <w:rPr>
          <w:highlight w:val="none"/>
        </w:rPr>
      </w:r>
    </w:p>
    <w:p>
      <w:pPr>
        <w:rPr>
          <w:rFonts w:hint="eastAsia" w:ascii="宋体" w:hAnsi="宋体" w:cs="宋体"/>
          <w:color w:val="000000"/>
          <w:highlight w:val="none"/>
        </w:rPr>
        <w:outlineLvl w:val="9"/>
      </w:pPr>
      <w:r>
        <w:rPr>
          <w:rFonts w:hint="eastAsia" w:ascii="宋体" w:hAnsi="宋体" w:cs="宋体"/>
          <w:color w:val="000000"/>
          <w:highlight w:val="none"/>
        </w:rPr>
      </w:r>
      <w:r>
        <w:rPr>
          <w:highlight w:val="none"/>
        </w:rPr>
      </w:r>
      <w:r>
        <w:rPr>
          <w:highlight w:val="none"/>
        </w:rPr>
      </w:r>
    </w:p>
    <w:p>
      <w:pPr>
        <w:spacing w:line="360" w:lineRule="auto"/>
        <w:rPr>
          <w:rFonts w:hint="eastAsia" w:ascii="宋体" w:hAnsi="宋体" w:eastAsia="宋体" w:cs="宋体"/>
          <w:bCs/>
          <w:color w:val="000000"/>
          <w:sz w:val="30"/>
          <w:szCs w:val="30"/>
          <w:highlight w:val="none"/>
        </w:rPr>
        <w:outlineLvl w:val="9"/>
      </w:pPr>
      <w:r>
        <w:rPr>
          <w:highlight w:val="none"/>
        </w:rPr>
      </w:r>
      <w:bookmarkStart w:id="22" w:name="_Toc3725"/>
      <w:r>
        <w:rPr>
          <w:highlight w:val="none"/>
        </w:rPr>
      </w:r>
      <w:bookmarkStart w:id="23" w:name="_Toc31708"/>
      <w:r>
        <w:rPr>
          <w:rFonts w:hint="eastAsia" w:ascii="宋体" w:hAnsi="宋体" w:cs="宋体"/>
          <w:bCs/>
          <w:color w:val="000000"/>
          <w:sz w:val="30"/>
          <w:szCs w:val="30"/>
          <w:highlight w:val="none"/>
        </w:rPr>
        <w:t xml:space="preserve">采购项目编号：</w:t>
      </w:r>
      <w:bookmarkEnd w:id="22"/>
      <w:r>
        <w:rPr>
          <w:highlight w:val="none"/>
        </w:rPr>
      </w:r>
      <w:bookmarkEnd w:id="23"/>
      <w:r>
        <w:rPr>
          <w:rFonts w:hint="eastAsia" w:ascii="宋体" w:hAnsi="宋体" w:cs="宋体"/>
          <w:bCs/>
          <w:color w:val="000000"/>
          <w:sz w:val="30"/>
          <w:szCs w:val="30"/>
          <w:highlight w:val="none"/>
        </w:rPr>
        <w:t xml:space="preserve">JSZC-320213-WXZQ-G2024-0001</w:t>
      </w:r>
      <w:r>
        <w:rPr>
          <w:highlight w:val="none"/>
        </w:rPr>
      </w:r>
      <w:r>
        <w:rPr>
          <w:highlight w:val="none"/>
        </w:rPr>
      </w:r>
    </w:p>
    <w:p>
      <w:pPr>
        <w:ind w:left="2400" w:hanging="2400"/>
        <w:spacing w:line="360" w:lineRule="auto"/>
        <w:rPr>
          <w:rFonts w:hint="eastAsia" w:ascii="宋体" w:hAnsi="宋体" w:cs="宋体"/>
          <w:bCs/>
          <w:spacing w:val="-6"/>
          <w:sz w:val="32"/>
          <w:szCs w:val="32"/>
          <w:highlight w:val="none"/>
        </w:rPr>
      </w:pPr>
      <w:r>
        <w:rPr>
          <w:rFonts w:hint="eastAsia" w:ascii="宋体" w:hAnsi="宋体" w:eastAsia="宋体" w:cs="Times New Roman"/>
          <w:b w:val="0"/>
          <w:bCs/>
          <w:color w:val="000000"/>
          <w:sz w:val="30"/>
          <w:szCs w:val="30"/>
          <w:highlight w:val="none"/>
        </w:rPr>
        <w:t xml:space="preserve">采购项目名称：</w:t>
      </w:r>
      <w:r>
        <w:rPr>
          <w:rFonts w:hint="eastAsia" w:ascii="宋体" w:hAnsi="宋体" w:cs="宋体"/>
          <w:bCs/>
          <w:spacing w:val="-6"/>
          <w:sz w:val="32"/>
          <w:szCs w:val="32"/>
          <w:highlight w:val="none"/>
          <w:lang w:eastAsia="zh-CN"/>
        </w:rPr>
        <w:t xml:space="preserve">梁溪区黄巷街道2024年游园及绿化</w:t>
      </w:r>
      <w:r>
        <w:rPr>
          <w:highlight w:val="none"/>
        </w:rPr>
      </w:r>
      <w:r>
        <w:rPr>
          <w:highlight w:val="none"/>
        </w:rPr>
      </w:r>
    </w:p>
    <w:p>
      <w:pPr>
        <w:ind w:left="2479" w:hanging="308"/>
        <w:spacing w:line="360" w:lineRule="auto"/>
        <w:rPr>
          <w:rFonts w:hint="eastAsia" w:ascii="宋体" w:hAnsi="宋体" w:eastAsia="宋体" w:cs="Times New Roman"/>
          <w:b w:val="0"/>
          <w:bCs/>
          <w:color w:val="000000"/>
          <w:sz w:val="30"/>
          <w:szCs w:val="30"/>
          <w:highlight w:val="none"/>
        </w:rPr>
      </w:pPr>
      <w:r>
        <w:rPr>
          <w:rFonts w:hint="eastAsia" w:ascii="宋体" w:hAnsi="宋体" w:cs="宋体"/>
          <w:bCs/>
          <w:spacing w:val="-6"/>
          <w:sz w:val="32"/>
          <w:szCs w:val="32"/>
          <w:highlight w:val="none"/>
          <w:lang w:eastAsia="zh-CN"/>
        </w:rPr>
        <w:t xml:space="preserve">养护服务项目</w:t>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rPr>
          <w:highlight w:val="none"/>
        </w:rPr>
      </w:r>
      <w:r>
        <w:rPr>
          <w:highlight w:val="none"/>
        </w:rPr>
      </w:r>
    </w:p>
    <w:p>
      <w:pPr>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8"/>
          <w:szCs w:val="28"/>
          <w:highlight w:val="none"/>
        </w:rPr>
        <w:t xml:space="preserve"> 月 </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8"/>
          <w:szCs w:val="28"/>
          <w:highlight w:val="none"/>
        </w:rPr>
        <w:t xml:space="preserve"> 日</w:t>
      </w:r>
      <w:bookmarkStart w:id="24" w:name="一．报价函（格式）"/>
      <w:r>
        <w:rPr>
          <w:highlight w:val="none"/>
        </w:rPr>
      </w:r>
      <w:bookmarkEnd w:id="24"/>
      <w:r>
        <w:rPr>
          <w:highlight w:val="none"/>
        </w:rPr>
      </w:r>
      <w:r>
        <w:rPr>
          <w:highlight w:val="none"/>
        </w:rPr>
      </w:r>
    </w:p>
    <w:p>
      <w:pPr>
        <w:jc w:val="center"/>
        <w:rPr>
          <w:rFonts w:hint="eastAsia" w:ascii="宋体" w:hAnsi="宋体" w:cs="宋体"/>
          <w:bCs/>
          <w:color w:val="000000"/>
          <w:sz w:val="28"/>
          <w:szCs w:val="28"/>
          <w:highlight w:val="none"/>
        </w:rPr>
        <w:sectPr>
          <w:headerReference w:type="default" r:id="rId12"/>
          <w:footerReference w:type="default" r:id="rId18"/>
          <w:footerReference w:type="first" r:id="rId19"/>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8"/>
          <w:szCs w:val="28"/>
          <w:highlight w:val="none"/>
        </w:rPr>
      </w:r>
      <w:r>
        <w:rPr>
          <w:highlight w:val="none"/>
        </w:rPr>
      </w:r>
      <w:r>
        <w:rPr>
          <w:highlight w:val="none"/>
        </w:rPr>
      </w:r>
    </w:p>
    <w:p>
      <w:pPr>
        <w:numPr>
          <w:ilvl w:val="0"/>
          <w:numId w:val="0"/>
        </w:numPr>
        <w:rPr>
          <w:rFonts w:hint="eastAsia"/>
          <w:color w:val="000000"/>
          <w:highlight w:val="none"/>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highlight w:val="none"/>
        </w:rPr>
      </w:r>
      <w:r>
        <w:rPr>
          <w:highlight w:val="none"/>
        </w:rPr>
      </w:r>
    </w:p>
    <w:p>
      <w:pPr>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rPr>
          <w:highlight w:val="none"/>
        </w:rPr>
      </w:r>
      <w:r>
        <w:rPr>
          <w:highlight w:val="none"/>
        </w:rPr>
      </w:r>
    </w:p>
    <w:p>
      <w:pPr>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highlight w:val="none"/>
        </w:rPr>
      </w:r>
      <w:r>
        <w:rPr>
          <w:highlight w:val="none"/>
        </w:rPr>
      </w:r>
    </w:p>
    <w:p>
      <w:pPr>
        <w:spacing w:line="360" w:lineRule="auto"/>
        <w:rPr>
          <w:rFonts w:hint="eastAsia" w:ascii="宋体" w:hAnsi="宋体" w:eastAsia="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lang w:eastAsia="zh-CN"/>
        </w:rPr>
        <w:t xml:space="preserve">无锡众勤嘉业项目管理有限公司</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highlight w:val="none"/>
        </w:rPr>
      </w:r>
      <w:r>
        <w:rPr>
          <w:highlight w:val="none"/>
        </w:rPr>
      </w:r>
    </w:p>
    <w:p>
      <w:pPr>
        <w:numPr>
          <w:ilvl w:val="0"/>
          <w:numId w:val="5"/>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34"/>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采购人交纳履约保证金（如有）。且我方如无不可抗力，又未履行招标文件、投标文件和合同条款的，一经查实，我方愿意赔偿由此而造成的一切损失，并同意接受按招标文件的相关要求对我方进行的处理。</w:t>
      </w:r>
      <w:r>
        <w:rPr>
          <w:highlight w:val="none"/>
        </w:rPr>
      </w:r>
      <w:r>
        <w:rPr>
          <w:highlight w:val="none"/>
        </w:rPr>
      </w:r>
    </w:p>
    <w:p>
      <w:pPr>
        <w:numPr>
          <w:ilvl w:val="0"/>
          <w:numId w:val="5"/>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highlight w:val="none"/>
        </w:rPr>
      </w:r>
      <w:r>
        <w:rPr>
          <w:highlight w:val="none"/>
        </w:rPr>
      </w:r>
    </w:p>
    <w:p>
      <w:pPr>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highlight w:val="none"/>
        </w:rPr>
      </w:r>
      <w:r>
        <w:rPr>
          <w:highlight w:val="none"/>
        </w:rP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highlight w:val="none"/>
        </w:rPr>
      </w:r>
      <w:r>
        <w:rPr>
          <w:highlight w:val="none"/>
        </w:rP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highlight w:val="none"/>
        </w:rPr>
      </w:r>
      <w:r>
        <w:rPr>
          <w:highlight w:val="none"/>
        </w:rPr>
      </w:r>
    </w:p>
    <w:p>
      <w:pPr>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highlight w:val="none"/>
        </w:rPr>
      </w:r>
      <w:r>
        <w:rPr>
          <w:highlight w:val="none"/>
        </w:rPr>
      </w:r>
    </w:p>
    <w:p>
      <w:pP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（二）（投标人）关于资格的声明函（格式）：</w:t>
      </w:r>
      <w:r>
        <w:rPr>
          <w:highlight w:val="none"/>
        </w:rPr>
      </w:r>
      <w:r>
        <w:rPr>
          <w:highlight w:val="none"/>
        </w:rP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jc w:val="center"/>
        <w:rPr>
          <w:rFonts w:hint="eastAsia" w:ascii="宋体" w:hAnsi="宋体" w:cs="宋体"/>
          <w:bCs/>
          <w:color w:val="000000"/>
          <w:sz w:val="24"/>
          <w:szCs w:val="24"/>
          <w:highlight w:val="none"/>
        </w:rPr>
        <w:outlineLvl w:val="9"/>
      </w:pPr>
      <w:r>
        <w:rPr>
          <w:highlight w:val="none"/>
        </w:rPr>
      </w:r>
      <w:bookmarkStart w:id="25" w:name="报价方关于资格的声明函（格式）"/>
      <w:r>
        <w:rPr>
          <w:highlight w:val="none"/>
        </w:rPr>
      </w:r>
      <w:bookmarkEnd w:id="25"/>
      <w:r>
        <w:rPr>
          <w:rFonts w:hint="eastAsia" w:ascii="宋体" w:hAnsi="宋体" w:cs="宋体"/>
          <w:bCs/>
          <w:color w:val="000000"/>
          <w:sz w:val="24"/>
          <w:szCs w:val="24"/>
          <w:highlight w:val="none"/>
        </w:rPr>
        <w:t xml:space="preserve">关于资格的声明函</w:t>
      </w:r>
      <w:r>
        <w:rPr>
          <w:highlight w:val="none"/>
        </w:rPr>
      </w:r>
      <w:r>
        <w:rPr>
          <w:highlight w:val="none"/>
        </w:rP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jc w:val="left"/>
        <w:spacing w:line="480" w:lineRule="auto"/>
        <w:rPr>
          <w:rFonts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highlight w:val="none"/>
        </w:rPr>
      </w:r>
      <w:r>
        <w:rPr>
          <w:highlight w:val="none"/>
        </w:rPr>
      </w:r>
    </w:p>
    <w:p>
      <w:pPr>
        <w:jc w:val="left"/>
        <w:spacing w:line="480" w:lineRule="auto"/>
        <w:tabs>
          <w:tab w:val="left" w:pos="6300" w:leader="none"/>
        </w:tabs>
        <w:rPr>
          <w:rFonts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highlight w:val="none"/>
        </w:rPr>
      </w:r>
      <w:r>
        <w:rPr>
          <w:highlight w:val="none"/>
        </w:rP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highlight w:val="none"/>
        </w:rPr>
      </w:r>
      <w:r>
        <w:rPr>
          <w:highlight w:val="none"/>
        </w:rP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highlight w:val="none"/>
        </w:rPr>
      </w:r>
      <w:r>
        <w:rPr>
          <w:highlight w:val="none"/>
        </w:rP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highlight w:val="none"/>
        </w:rPr>
      </w:r>
      <w:r>
        <w:rPr>
          <w:highlight w:val="none"/>
        </w:rP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highlight w:val="none"/>
        </w:rPr>
      </w:r>
      <w:r>
        <w:rPr>
          <w:highlight w:val="none"/>
        </w:rP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highlight w:val="none"/>
        </w:rPr>
      </w:r>
      <w:r>
        <w:rPr>
          <w:highlight w:val="none"/>
        </w:rP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highlight w:val="none"/>
        </w:rPr>
      </w:r>
      <w:r>
        <w:rPr>
          <w:highlight w:val="none"/>
        </w:rP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highlight w:val="none"/>
        </w:rPr>
      </w:r>
      <w:r>
        <w:rPr>
          <w:highlight w:val="none"/>
        </w:rPr>
      </w:r>
    </w:p>
    <w:p>
      <w:pPr>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highlight w:val="none"/>
        </w:rPr>
      </w:r>
      <w:r>
        <w:rPr>
          <w:highlight w:val="none"/>
        </w:rP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06"/>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rPr>
          <w:highlight w:val="none"/>
        </w:rPr>
      </w:r>
      <w:r>
        <w:rPr>
          <w:highlight w:val="none"/>
        </w:rP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2022】3号为准]</w:t>
      </w:r>
      <w:r>
        <w:rPr>
          <w:rFonts w:hint="eastAsia" w:ascii="宋体" w:hAnsi="宋体" w:cs="宋体"/>
          <w:bCs/>
          <w:color w:val="000000"/>
          <w:sz w:val="24"/>
          <w:szCs w:val="24"/>
          <w:highlight w:val="none"/>
          <w:lang w:eastAsia="zh-CN"/>
        </w:rPr>
        <w:t xml:space="preserve">。</w:t>
      </w:r>
      <w:r>
        <w:rPr>
          <w:highlight w:val="none"/>
        </w:rPr>
      </w:r>
      <w:r>
        <w:rPr>
          <w:highlight w:val="none"/>
        </w:rPr>
      </w:r>
    </w:p>
    <w:p>
      <w:pPr>
        <w:ind w:firstLine="480"/>
        <w:keepLines w:val="0"/>
        <w:keepNext w:val="0"/>
        <w:pageBreakBefore w:val="0"/>
        <w:spacing w:line="360" w:lineRule="auto"/>
        <w:widowControl w:val="off"/>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lang w:eastAsia="zh-CN"/>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highlight w:val="none"/>
        </w:rPr>
      </w:r>
      <w:r>
        <w:rPr>
          <w:highlight w:val="none"/>
        </w:rPr>
      </w:r>
    </w:p>
    <w:p>
      <w:pPr>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rPr>
          <w:highlight w:val="none"/>
        </w:rPr>
      </w:r>
      <w:bookmarkStart w:id="26" w:name="_Toc2444"/>
      <w:r>
        <w:rPr>
          <w:highlight w:val="none"/>
        </w:rPr>
      </w:r>
      <w:bookmarkStart w:id="27" w:name="_Toc32348"/>
      <w:r>
        <w:rPr>
          <w:highlight w:val="none"/>
        </w:rPr>
      </w:r>
      <w:r>
        <w:rPr>
          <w:highlight w:val="none"/>
        </w:rPr>
      </w:r>
    </w:p>
    <w:p>
      <w:pPr>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26"/>
      <w:r>
        <w:rPr>
          <w:highlight w:val="none"/>
        </w:rPr>
      </w:r>
      <w:bookmarkEnd w:id="27"/>
      <w:r>
        <w:rPr>
          <w:highlight w:val="none"/>
        </w:rPr>
      </w:r>
      <w:r>
        <w:rPr>
          <w:highlight w:val="none"/>
        </w:rPr>
      </w:r>
    </w:p>
    <w:p>
      <w:pPr>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highlight w:val="none"/>
        </w:rPr>
      </w:r>
      <w:r>
        <w:rPr>
          <w:highlight w:val="none"/>
        </w:rP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无锡众勤嘉业项目管理有限公司</w:t>
      </w:r>
      <w:r>
        <w:rPr>
          <w:rFonts w:hint="eastAsia" w:ascii="宋体" w:hAnsi="宋体" w:cs="宋体"/>
          <w:bCs/>
          <w:color w:val="000000"/>
          <w:sz w:val="24"/>
          <w:szCs w:val="24"/>
          <w:highlight w:val="none"/>
        </w:rPr>
        <w:t xml:space="preserve">：</w:t>
      </w:r>
      <w:r>
        <w:rPr>
          <w:highlight w:val="none"/>
        </w:rPr>
      </w:r>
      <w:r>
        <w:rPr>
          <w:highlight w:val="none"/>
        </w:rPr>
      </w:r>
    </w:p>
    <w:p>
      <w:pPr>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highlight w:val="none"/>
        </w:rPr>
      </w:r>
      <w:r>
        <w:rPr>
          <w:highlight w:val="none"/>
        </w:rPr>
      </w:r>
    </w:p>
    <w:p>
      <w:pPr>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highlight w:val="none"/>
        </w:rPr>
      </w:r>
      <w:r>
        <w:rPr>
          <w:highlight w:val="none"/>
        </w:rPr>
      </w:r>
    </w:p>
    <w:p>
      <w:pPr>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0935" cy="1373505"/>
                <wp:effectExtent l="0" t="0" r="0" b="0"/>
                <wp:docPr id="21" name="文本框 19"/>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0" o:spid="_x0000_s20" o:spt="202" type="#_x0000_t202" style="width:189.0pt;height:108.1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mc:AlternateContent>
          <mc:Choice Requires="wpg">
            <w:drawing>
              <wp:inline xmlns:wp="http://schemas.openxmlformats.org/drawingml/2006/wordprocessingDrawing" distT="0" distB="0" distL="0" distR="0">
                <wp:extent cx="2401570" cy="1375410"/>
                <wp:effectExtent l="0" t="0" r="0" b="0"/>
                <wp:docPr id="22" name="文本框 20"/>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1" o:spid="_x0000_s21" o:spt="202" type="#_x0000_t202" style="width:189.1pt;height:108.3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color w:val="000000"/>
          <w:highlight w:val="none"/>
        </w:rPr>
        <w:outlineLvl w:val="9"/>
      </w:pPr>
      <w:r>
        <w:rPr>
          <w:rFonts w:hint="eastAsia" w:ascii="宋体" w:hAnsi="宋体" w:cs="宋体"/>
          <w:bCs/>
          <w:color w:val="000000"/>
          <w:sz w:val="24"/>
          <w:szCs w:val="24"/>
          <w:highlight w:val="none"/>
        </w:rPr>
        <w:t xml:space="preserve">法定代表人授权代表身份证扫描件：</w:t>
      </w:r>
      <w:r>
        <w:rPr>
          <w:rFonts w:hint="eastAsia" w:ascii="宋体" w:hAnsi="宋体" w:cs="宋体"/>
          <w:b/>
          <w:color w:val="000000"/>
          <w:sz w:val="24"/>
          <w:szCs w:val="24"/>
          <w:highlight w:val="none"/>
        </w:rPr>
        <w:t xml:space="preserve">（</w:t>
      </w:r>
      <w:r>
        <w:rPr>
          <w:rFonts w:hint="eastAsia" w:ascii="宋体" w:hAnsi="宋体" w:cs="宋体"/>
          <w:b/>
          <w:bCs/>
          <w:color w:val="000000"/>
          <w:sz w:val="24"/>
          <w:szCs w:val="24"/>
          <w:highlight w:val="none"/>
        </w:rPr>
        <w:t xml:space="preserve">法定代表人亲自参与投标的除外）</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76200</wp:posOffset>
                </wp:positionV>
                <wp:extent cx="2400935" cy="1375410"/>
                <wp:effectExtent l="0" t="0" r="0" b="0"/>
                <wp:wrapNone/>
                <wp:docPr id="23" name="文本框 21"/>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2" o:spid="_x0000_s22" o:spt="202" type="#_x0000_t202" style="position:absolute;z-index:251661312;o:allowoverlap:true;o:allowincell:true;mso-position-horizontal-relative:text;margin-left:1.5pt;mso-position-horizontal:absolute;mso-position-vertical-relative:text;margin-top:6.0pt;mso-position-vertical:absolute;width:189.0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2714625</wp:posOffset>
                </wp:positionH>
                <wp:positionV relativeFrom="paragraph">
                  <wp:posOffset>47625</wp:posOffset>
                </wp:positionV>
                <wp:extent cx="2400935" cy="1375410"/>
                <wp:effectExtent l="0" t="0" r="0" b="0"/>
                <wp:wrapNone/>
                <wp:docPr id="24" name="文本框 22"/>
                <wp:cNvGraphicFramePr/>
                <a:graphic xmlns:a="http://schemas.openxmlformats.org/drawingml/2006/main">
                  <a:graphicData uri="http://schemas.microsoft.com/office/word/2010/wordprocessingShape">
                    <wps:wsp>
                      <wps:cNvPr id="0" name=""/>
                      <wps:cNvSpPr txBox="1"/>
                      <wps:spPr bwMode="auto">
                        <a:xfrm>
                          <a:off x="0" y="0"/>
                          <a:ext cx="2400935"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3" o:spid="_x0000_s23" o:spt="202" type="#_x0000_t202" style="position:absolute;z-index:251661312;o:allowoverlap:true;o:allowincell:true;mso-position-horizontal-relative:text;margin-left:213.8pt;mso-position-horizontal:absolute;mso-position-vertical-relative:text;margin-top:3.8pt;mso-position-vertical:absolute;width:189.0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000000"/>
          <w:sz w:val="24"/>
          <w:szCs w:val="24"/>
          <w:highlight w:val="none"/>
        </w:rPr>
        <w:t xml:space="preserve">    </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highlight w:val="none"/>
        </w:rPr>
      </w:r>
      <w:r>
        <w:rPr>
          <w:highlight w:val="none"/>
        </w:rPr>
      </w:r>
    </w:p>
    <w:p>
      <w:pPr>
        <w:jc w:val="center"/>
        <w:spacing w:line="360" w:lineRule="auto"/>
        <w:rPr>
          <w:rFonts w:ascii="宋体" w:hAnsi="宋体"/>
          <w:b/>
          <w:sz w:val="28"/>
          <w:szCs w:val="28"/>
          <w:highlight w:val="none"/>
        </w:rPr>
      </w:pPr>
      <w:r>
        <w:rPr>
          <w:rFonts w:ascii="宋体" w:hAnsi="宋体"/>
          <w:b/>
          <w:sz w:val="28"/>
          <w:szCs w:val="28"/>
          <w:highlight w:val="none"/>
        </w:rPr>
      </w:r>
      <w:r>
        <w:rPr>
          <w:highlight w:val="none"/>
        </w:rPr>
      </w:r>
      <w:r>
        <w:rPr>
          <w:highlight w:val="none"/>
        </w:rP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highlight w:val="none"/>
        </w:rPr>
      </w:r>
      <w:r>
        <w:rPr>
          <w:highlight w:val="none"/>
        </w:rPr>
      </w:r>
    </w:p>
    <w:p>
      <w:pPr>
        <w:ind w:firstLine="612"/>
        <w:spacing w:line="360" w:lineRule="auto"/>
        <w:rPr>
          <w:rFonts w:ascii="宋体" w:hAnsi="宋体" w:eastAsia="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highlight w:val="none"/>
        </w:rPr>
      </w:r>
      <w:r>
        <w:rPr>
          <w:highlight w:val="none"/>
        </w:rPr>
      </w:r>
    </w:p>
    <w:p>
      <w:pPr>
        <w:ind w:firstLine="612"/>
        <w:spacing w:line="360" w:lineRule="auto"/>
        <w:rPr>
          <w:rFonts w:ascii="宋体" w:hAnsi="宋体"/>
          <w:sz w:val="24"/>
          <w:szCs w:val="24"/>
          <w:highlight w:val="none"/>
        </w:rPr>
      </w:pPr>
      <w:r>
        <w:rPr>
          <w:rFonts w:ascii="宋体" w:hAnsi="宋体"/>
          <w:sz w:val="24"/>
          <w:szCs w:val="24"/>
          <w:highlight w:val="none"/>
        </w:rPr>
      </w:r>
      <w:r>
        <w:rPr>
          <w:highlight w:val="none"/>
        </w:rPr>
      </w:r>
      <w:r>
        <w:rPr>
          <w:highlight w:val="none"/>
        </w:rP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highlight w:val="none"/>
        </w:rPr>
      </w:r>
      <w:r>
        <w:rPr>
          <w:highlight w:val="none"/>
        </w:rPr>
      </w:r>
    </w:p>
    <w:p>
      <w:pPr>
        <w:ind w:firstLine="610"/>
        <w:spacing w:line="360" w:lineRule="auto"/>
        <w:rPr>
          <w:rFonts w:ascii="宋体" w:hAnsi="宋体"/>
          <w:sz w:val="24"/>
          <w:szCs w:val="24"/>
          <w:highlight w:val="none"/>
        </w:rPr>
      </w:pPr>
      <w:r>
        <w:rPr>
          <w:rFonts w:ascii="宋体" w:hAnsi="宋体"/>
          <w:sz w:val="24"/>
          <w:szCs w:val="24"/>
          <w:highlight w:val="none"/>
        </w:rPr>
      </w:r>
      <w:r>
        <w:rPr>
          <w:highlight w:val="none"/>
        </w:rPr>
      </w:r>
      <w:r>
        <w:rPr>
          <w:highlight w:val="none"/>
        </w:rP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highlight w:val="none"/>
        </w:rPr>
      </w:r>
      <w:r>
        <w:rPr>
          <w:highlight w:val="none"/>
        </w:rPr>
      </w:r>
    </w:p>
    <w:p>
      <w:pPr>
        <w:ind w:firstLine="610"/>
        <w:spacing w:line="360" w:lineRule="auto"/>
        <w:rPr>
          <w:rFonts w:ascii="宋体" w:hAnsi="宋体"/>
          <w:sz w:val="24"/>
          <w:szCs w:val="24"/>
          <w:highlight w:val="none"/>
        </w:rPr>
      </w:pPr>
      <w:r>
        <w:rPr>
          <w:rFonts w:ascii="宋体" w:hAnsi="宋体"/>
          <w:sz w:val="24"/>
          <w:szCs w:val="24"/>
          <w:highlight w:val="none"/>
        </w:rPr>
      </w:r>
      <w:r>
        <w:rPr>
          <w:highlight w:val="none"/>
        </w:rPr>
      </w:r>
      <w:r>
        <w:rPr>
          <w:highlight w:val="none"/>
        </w:rP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highlight w:val="none"/>
        </w:rPr>
      </w:r>
      <w:r>
        <w:rPr>
          <w:highlight w:val="none"/>
        </w:rPr>
      </w:r>
    </w:p>
    <w:p>
      <w:pPr>
        <w:ind w:firstLine="610"/>
        <w:spacing w:line="360" w:lineRule="auto"/>
        <w:rPr>
          <w:rFonts w:ascii="宋体" w:hAnsi="宋体"/>
          <w:sz w:val="24"/>
          <w:szCs w:val="24"/>
          <w:highlight w:val="none"/>
        </w:rPr>
      </w:pPr>
      <w:r>
        <w:rPr>
          <w:rFonts w:ascii="宋体" w:hAnsi="宋体"/>
          <w:sz w:val="24"/>
          <w:szCs w:val="24"/>
          <w:highlight w:val="none"/>
        </w:rPr>
      </w:r>
      <w:r>
        <w:rPr>
          <w:highlight w:val="none"/>
        </w:rPr>
      </w:r>
      <w:r>
        <w:rPr>
          <w:highlight w:val="none"/>
        </w:rP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highlight w:val="none"/>
        </w:rPr>
      </w:r>
      <w:r>
        <w:rPr>
          <w:highlight w:val="none"/>
        </w:rPr>
      </w:r>
    </w:p>
    <w:p>
      <w:pPr>
        <w:ind w:firstLine="610"/>
        <w:spacing w:line="360" w:lineRule="auto"/>
        <w:rPr>
          <w:rFonts w:ascii="宋体" w:hAnsi="宋体"/>
          <w:sz w:val="24"/>
          <w:szCs w:val="24"/>
          <w:highlight w:val="none"/>
        </w:rPr>
      </w:pPr>
      <w:r>
        <w:rPr>
          <w:rFonts w:ascii="宋体" w:hAnsi="宋体"/>
          <w:sz w:val="24"/>
          <w:szCs w:val="24"/>
          <w:highlight w:val="none"/>
        </w:rPr>
      </w:r>
      <w:r>
        <w:rPr>
          <w:highlight w:val="none"/>
        </w:rPr>
      </w:r>
      <w:r>
        <w:rPr>
          <w:highlight w:val="none"/>
        </w:rP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highlight w:val="none"/>
        </w:rPr>
      </w:r>
      <w:r>
        <w:rPr>
          <w:highlight w:val="none"/>
        </w:rPr>
      </w:r>
    </w:p>
    <w:p>
      <w:pPr>
        <w:ind w:firstLine="610"/>
        <w:spacing w:line="360" w:lineRule="auto"/>
        <w:rPr>
          <w:rFonts w:ascii="宋体" w:hAnsi="宋体"/>
          <w:sz w:val="24"/>
          <w:szCs w:val="24"/>
          <w:highlight w:val="none"/>
        </w:rPr>
      </w:pPr>
      <w:r>
        <w:rPr>
          <w:rFonts w:ascii="宋体" w:hAnsi="宋体"/>
          <w:sz w:val="24"/>
          <w:szCs w:val="24"/>
          <w:highlight w:val="none"/>
        </w:rPr>
      </w:r>
      <w:r>
        <w:rPr>
          <w:highlight w:val="none"/>
        </w:rPr>
      </w:r>
      <w:r>
        <w:rPr>
          <w:highlight w:val="none"/>
        </w:rP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highlight w:val="none"/>
        </w:rPr>
      </w:r>
      <w:r>
        <w:rPr>
          <w:highlight w:val="none"/>
        </w:rPr>
      </w:r>
    </w:p>
    <w:p>
      <w:pPr>
        <w:ind w:firstLine="610"/>
        <w:spacing w:line="360" w:lineRule="auto"/>
        <w:rPr>
          <w:rFonts w:ascii="宋体" w:hAnsi="宋体"/>
          <w:sz w:val="24"/>
          <w:szCs w:val="24"/>
          <w:highlight w:val="none"/>
        </w:rPr>
      </w:pPr>
      <w:r>
        <w:rPr>
          <w:rFonts w:ascii="宋体" w:hAnsi="宋体"/>
          <w:sz w:val="24"/>
          <w:szCs w:val="24"/>
          <w:highlight w:val="none"/>
        </w:rPr>
      </w:r>
      <w:r>
        <w:rPr>
          <w:highlight w:val="none"/>
        </w:rPr>
      </w:r>
      <w:r>
        <w:rPr>
          <w:highlight w:val="none"/>
        </w:rP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highlight w:val="none"/>
        </w:rPr>
      </w:r>
      <w:r>
        <w:rPr>
          <w:highlight w:val="none"/>
        </w:rPr>
      </w:r>
    </w:p>
    <w:p>
      <w:pPr>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highlight w:val="none"/>
        </w:rPr>
      </w:r>
      <w:r>
        <w:rPr>
          <w:highlight w:val="none"/>
        </w:rP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投标人法定代表人身份证扫描件：</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2600325</wp:posOffset>
                </wp:positionH>
                <wp:positionV relativeFrom="paragraph">
                  <wp:posOffset>9525</wp:posOffset>
                </wp:positionV>
                <wp:extent cx="2401570" cy="1375410"/>
                <wp:effectExtent l="0" t="0" r="0" b="0"/>
                <wp:wrapNone/>
                <wp:docPr id="25" name="文本框 24"/>
                <wp:cNvGraphicFramePr/>
                <a:graphic xmlns:a="http://schemas.openxmlformats.org/drawingml/2006/main">
                  <a:graphicData uri="http://schemas.microsoft.com/office/word/2010/wordprocessingShape">
                    <wps:wsp>
                      <wps:cNvPr id="0" name=""/>
                      <wps:cNvSpPr txBox="1"/>
                      <wps:spPr bwMode="auto">
                        <a:xfrm>
                          <a:off x="0" y="0"/>
                          <a:ext cx="2401570" cy="137541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24" o:spid="_x0000_s24" o:spt="202" type="#_x0000_t202" style="position:absolute;z-index:251661312;o:allowoverlap:true;o:allowincell:true;mso-position-horizontal-relative:text;margin-left:204.8pt;mso-position-horizontal:absolute;mso-position-vertical-relative:text;margin-top:0.8pt;mso-position-vertical:absolute;width:189.1pt;height:108.3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400935" cy="1373505"/>
                <wp:effectExtent l="0" t="0" r="0" b="0"/>
                <wp:wrapNone/>
                <wp:docPr id="26" name="文本框 23"/>
                <wp:cNvGraphicFramePr/>
                <a:graphic xmlns:a="http://schemas.openxmlformats.org/drawingml/2006/main">
                  <a:graphicData uri="http://schemas.microsoft.com/office/word/2010/wordprocessingShape">
                    <wps:wsp>
                      <wps:cNvPr id="0" name=""/>
                      <wps:cNvSpPr txBox="1"/>
                      <wps:spPr bwMode="auto">
                        <a:xfrm>
                          <a:off x="0" y="0"/>
                          <a:ext cx="2400935" cy="1373505"/>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5" o:spid="_x0000_s25" o:spt="202" type="#_x0000_t202" style="position:absolute;z-index:251661312;o:allowoverlap:true;o:allowincell:true;mso-position-horizontal-relative:text;margin-left:0.0pt;mso-position-horizontal:absolute;mso-position-vertical-relative:text;margin-top:0.0pt;mso-position-vertical:absolute;width:189.0pt;height:108.1pt;mso-wrap-distance-left:9.0pt;mso-wrap-distance-top:0.0pt;mso-wrap-distance-right:9.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color w:val="000000"/>
          <w:sz w:val="24"/>
          <w:szCs w:val="24"/>
          <w:highlight w:val="none"/>
        </w:rPr>
        <w:t xml:space="preserve">    </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highlight w:val="none"/>
        </w:rPr>
      </w:r>
      <w:bookmarkStart w:id="28" w:name="_Toc19047"/>
      <w:r>
        <w:rPr>
          <w:highlight w:val="none"/>
        </w:rPr>
      </w:r>
      <w:bookmarkStart w:id="29" w:name="_Toc7396"/>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28"/>
      <w:r>
        <w:rPr>
          <w:highlight w:val="none"/>
        </w:rPr>
      </w:r>
      <w:bookmarkEnd w:id="29"/>
      <w:r>
        <w:rPr>
          <w:rFonts w:hint="eastAsia" w:ascii="宋体" w:hAnsi="宋体" w:cs="宋体"/>
          <w:b/>
          <w:color w:val="000000"/>
          <w:sz w:val="24"/>
          <w:szCs w:val="24"/>
          <w:highlight w:val="none"/>
        </w:rPr>
        <w:t xml:space="preserve">（格式）：</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highlight w:val="none"/>
        </w:rPr>
      </w:r>
      <w:r>
        <w:rPr>
          <w:highlight w:val="none"/>
        </w:rPr>
      </w:r>
    </w:p>
    <w:p>
      <w:pPr>
        <w:pStyle w:val="1506"/>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rPr>
          <w:highlight w:val="none"/>
        </w:rPr>
      </w:r>
      <w:r>
        <w:rPr>
          <w:highlight w:val="none"/>
        </w:rP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highlight w:val="none"/>
        </w:rPr>
      </w:r>
      <w:r>
        <w:rPr>
          <w:highlight w:val="none"/>
        </w:rPr>
      </w:r>
    </w:p>
    <w:p>
      <w:pPr>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rPr>
          <w:highlight w:val="none"/>
        </w:rPr>
      </w:r>
      <w:r>
        <w:rPr>
          <w:highlight w:val="none"/>
        </w:rP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）、中国政府采购网(www.ccgp.gov.cn)</w:t>
      </w:r>
      <w:r>
        <w:rPr>
          <w:rFonts w:hint="eastAsia" w:ascii="宋体" w:hAnsi="宋体" w:cs="宋体"/>
          <w:color w:val="000000"/>
          <w:sz w:val="24"/>
          <w:szCs w:val="24"/>
          <w:highlight w:val="none"/>
        </w:rPr>
        <w:t xml:space="preserve">列入失信被执行人、重大税收违法案件当事人名单、政府采购严重违法失信行为记录名单。</w:t>
      </w:r>
      <w:r>
        <w:rPr>
          <w:highlight w:val="none"/>
        </w:rPr>
      </w:r>
      <w:r>
        <w:rPr>
          <w:highlight w:val="none"/>
        </w:rP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highlight w:val="none"/>
        </w:rPr>
      </w:r>
      <w:r>
        <w:rPr>
          <w:highlight w:val="none"/>
        </w:rPr>
      </w:r>
    </w:p>
    <w:p>
      <w:pPr>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highlight w:val="none"/>
        </w:rPr>
      </w:r>
      <w:r>
        <w:rPr>
          <w:highlight w:val="none"/>
        </w:rP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highlight w:val="none"/>
        </w:rPr>
      </w:r>
      <w:r>
        <w:rPr>
          <w:highlight w:val="none"/>
        </w:rP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
          <w:color w:val="000000"/>
          <w:sz w:val="24"/>
          <w:szCs w:val="24"/>
          <w:highlight w:val="none"/>
        </w:rPr>
        <w:sectPr>
          <w:footerReference w:type="default" r:id="rId20"/>
          <w:footerReference w:type="first" r:id="rId21"/>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（五）开标一览表（格式）：</w:t>
      </w:r>
      <w:r>
        <w:rPr>
          <w:highlight w:val="none"/>
        </w:rPr>
      </w:r>
      <w:r>
        <w:rPr>
          <w:highlight w:val="none"/>
        </w:rP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 </w:t>
      </w:r>
      <w:r>
        <w:rPr>
          <w:highlight w:val="none"/>
        </w:rPr>
      </w:r>
      <w:r>
        <w:rPr>
          <w:highlight w:val="none"/>
        </w:rPr>
      </w:r>
    </w:p>
    <w:p>
      <w:pPr>
        <w:pStyle w:val="1501"/>
        <w:rPr>
          <w:rFonts w:hint="eastAsia"/>
          <w:color w:val="000000"/>
          <w:highlight w:val="none"/>
        </w:rPr>
        <w:outlineLvl w:val="9"/>
      </w:pPr>
      <w:r>
        <w:rPr>
          <w:rFonts w:hint="eastAsia"/>
          <w:color w:val="000000"/>
          <w:highlight w:val="none"/>
        </w:rPr>
      </w:r>
      <w:r>
        <w:rPr>
          <w:highlight w:val="none"/>
        </w:rPr>
      </w:r>
      <w:r>
        <w:rPr>
          <w:highlight w:val="none"/>
        </w:rP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highlight w:val="none"/>
        </w:rPr>
      </w:r>
      <w:r>
        <w:rPr>
          <w:highlight w:val="none"/>
        </w:rPr>
      </w:r>
    </w:p>
    <w:tbl>
      <w:tblPr>
        <w:tblStyle w:val="13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7"/>
        <w:gridCol w:w="5374"/>
      </w:tblGrid>
      <w:tr>
        <w:trPr>
          <w:cantSplit/>
          <w:jc w:val="center"/>
          <w:trHeight w:val="993"/>
        </w:trPr>
        <w:tc>
          <w:tcPr>
            <w:tcW w:w="2907" w:type="dxa"/>
            <w:vAlign w:val="center"/>
            <w:textDirection w:val="lrTb"/>
            <w:noWrap w:val="false"/>
          </w:tcPr>
          <w:p>
            <w:pPr>
              <w:pStyle w:val="1501"/>
              <w:jc w:val="center"/>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项目名称</w:t>
            </w:r>
            <w:r>
              <w:rPr>
                <w:highlight w:val="none"/>
              </w:rPr>
            </w:r>
            <w:r>
              <w:rPr>
                <w:highlight w:val="none"/>
              </w:rPr>
            </w:r>
          </w:p>
        </w:tc>
        <w:tc>
          <w:tcPr>
            <w:tcW w:w="5374" w:type="dxa"/>
            <w:vAlign w:val="center"/>
            <w:textDirection w:val="lrTb"/>
            <w:noWrap w:val="false"/>
          </w:tcPr>
          <w:p>
            <w:pPr>
              <w:pStyle w:val="1501"/>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梁溪区黄巷街道2024年游园及绿化养护</w:t>
            </w:r>
            <w:r>
              <w:rPr>
                <w:highlight w:val="none"/>
              </w:rPr>
            </w:r>
            <w:r>
              <w:rPr>
                <w:highlight w:val="none"/>
              </w:rPr>
            </w:r>
          </w:p>
          <w:p>
            <w:pPr>
              <w:pStyle w:val="1501"/>
              <w:spacing w:line="30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服务项目</w:t>
            </w:r>
            <w:r>
              <w:rPr>
                <w:highlight w:val="none"/>
              </w:rPr>
            </w:r>
            <w:r>
              <w:rPr>
                <w:highlight w:val="none"/>
              </w:rP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项目总报价</w:t>
            </w:r>
            <w:r>
              <w:rPr>
                <w:highlight w:val="none"/>
              </w:rPr>
            </w:r>
            <w:r>
              <w:rPr>
                <w:highlight w:val="none"/>
              </w:rPr>
            </w:r>
          </w:p>
        </w:tc>
        <w:tc>
          <w:tcPr>
            <w:tcW w:w="5374" w:type="dxa"/>
            <w:vAlign w:val="center"/>
            <w:textDirection w:val="lrTb"/>
            <w:noWrap w:val="false"/>
          </w:tcPr>
          <w:p>
            <w:pP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highlight w:val="none"/>
              </w:rPr>
            </w:r>
            <w:r>
              <w:rPr>
                <w:highlight w:val="none"/>
              </w:rPr>
            </w:r>
          </w:p>
          <w:p>
            <w:pP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人民币(小写)：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rPr>
                <w:highlight w:val="none"/>
              </w:rPr>
            </w:r>
            <w:r>
              <w:rPr>
                <w:highlight w:val="none"/>
              </w:rP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服务期</w:t>
            </w:r>
            <w:r>
              <w:rPr>
                <w:highlight w:val="none"/>
              </w:rPr>
            </w:r>
            <w:r>
              <w:rPr>
                <w:highlight w:val="none"/>
              </w:rPr>
            </w:r>
          </w:p>
        </w:tc>
        <w:tc>
          <w:tcPr>
            <w:tcW w:w="5374" w:type="dxa"/>
            <w:vAlign w:val="center"/>
            <w:textDirection w:val="lrTb"/>
            <w:noWrap w:val="false"/>
          </w:tcPr>
          <w:p>
            <w:pP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合同签订之日起一年</w:t>
            </w:r>
            <w:r>
              <w:rPr>
                <w:highlight w:val="none"/>
              </w:rPr>
            </w:r>
            <w:r>
              <w:rPr>
                <w:highlight w:val="none"/>
              </w:rPr>
            </w:r>
          </w:p>
        </w:tc>
      </w:tr>
      <w:tr>
        <w:trPr>
          <w:cantSplit/>
          <w:jc w:val="center"/>
          <w:trHeight w:val="1031"/>
        </w:trPr>
        <w:tc>
          <w:tcPr>
            <w:tcW w:w="2907" w:type="dxa"/>
            <w:vAlign w:val="center"/>
            <w:textDirection w:val="lrTb"/>
            <w:noWrap w:val="false"/>
          </w:tcPr>
          <w:p>
            <w:pPr>
              <w:jc w:val="center"/>
              <w:spacing w:line="300" w:lineRule="auto"/>
              <w:rPr>
                <w:rFonts w:hint="eastAsia" w:ascii="宋体" w:hAnsi="宋体" w:eastAsia="宋体" w:cs="宋体"/>
                <w:color w:val="000000"/>
                <w:sz w:val="24"/>
                <w:szCs w:val="24"/>
                <w:highlight w:val="none"/>
              </w:rPr>
              <w:outlineLvl w:val="9"/>
            </w:pPr>
            <w:r>
              <w:rPr>
                <w:rFonts w:hint="eastAsia" w:ascii="宋体" w:hAnsi="宋体"/>
                <w:bCs/>
                <w:color w:val="000000"/>
                <w:sz w:val="24"/>
                <w:szCs w:val="24"/>
                <w:highlight w:val="none"/>
                <w:lang w:val="en-US" w:eastAsia="zh-CN"/>
              </w:rPr>
              <w:t xml:space="preserve">项目负责人</w:t>
            </w:r>
            <w:r>
              <w:rPr>
                <w:highlight w:val="none"/>
              </w:rPr>
            </w:r>
            <w:r>
              <w:rPr>
                <w:highlight w:val="none"/>
              </w:rPr>
            </w:r>
          </w:p>
        </w:tc>
        <w:tc>
          <w:tcPr>
            <w:tcW w:w="5374" w:type="dxa"/>
            <w:vAlign w:val="center"/>
            <w:textDirection w:val="lrTb"/>
            <w:noWrap w:val="false"/>
          </w:tcPr>
          <w:p>
            <w:pPr>
              <w:spacing w:line="30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bl>
    <w:p>
      <w:pPr>
        <w:spacing w:before="5"/>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rPr>
          <w:highlight w:val="none"/>
        </w:rPr>
      </w:r>
      <w:r>
        <w:rPr>
          <w:highlight w:val="none"/>
        </w:rPr>
      </w:r>
    </w:p>
    <w:p>
      <w:pPr>
        <w:pStyle w:val="1555"/>
        <w:ind w:firstLine="0"/>
        <w:rPr>
          <w:rFonts w:hint="eastAsia" w:ascii="宋体" w:hAnsi="宋体" w:cs="宋体"/>
          <w:color w:val="000000"/>
          <w:highlight w:val="none"/>
        </w:rPr>
        <w:outlineLvl w:val="9"/>
      </w:pPr>
      <w:r>
        <w:rPr>
          <w:rFonts w:hint="eastAsia" w:ascii="宋体" w:hAnsi="宋体" w:cs="宋体"/>
          <w:color w:val="000000"/>
          <w:highlight w:val="none"/>
        </w:rPr>
      </w:r>
      <w:r>
        <w:rPr>
          <w:highlight w:val="none"/>
        </w:rPr>
      </w:r>
      <w:r>
        <w:rPr>
          <w:highlight w:val="none"/>
        </w:rPr>
      </w:r>
    </w:p>
    <w:p>
      <w:pPr>
        <w:ind w:firstLine="480"/>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lang w:eastAsia="zh-CN"/>
        </w:rPr>
        <w:t xml:space="preserve">无锡众勤嘉业项目管理有限公司</w:t>
      </w:r>
      <w:r>
        <w:rPr>
          <w:rFonts w:hint="eastAsia" w:ascii="宋体" w:hAnsi="宋体" w:cs="宋体"/>
          <w:b/>
          <w:color w:val="000000"/>
          <w:sz w:val="24"/>
          <w:szCs w:val="24"/>
          <w:highlight w:val="none"/>
          <w:u w:val="single"/>
        </w:rPr>
        <w:t xml:space="preserve">有权将相关内容进行公示。</w:t>
      </w:r>
      <w:r>
        <w:rPr>
          <w:highlight w:val="none"/>
        </w:rPr>
      </w:r>
      <w:r>
        <w:rPr>
          <w:highlight w:val="none"/>
        </w:rPr>
      </w:r>
    </w:p>
    <w:p>
      <w:pPr>
        <w:pStyle w:val="15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55"/>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ind w:firstLine="28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highlight w:val="none"/>
        </w:rPr>
      </w:r>
      <w:r>
        <w:rPr>
          <w:highlight w:val="none"/>
        </w:rPr>
      </w:r>
    </w:p>
    <w:p>
      <w:pPr>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2880"/>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highlight w:val="none"/>
        </w:rPr>
      </w:r>
      <w:r>
        <w:rPr>
          <w:highlight w:val="none"/>
        </w:rPr>
      </w:r>
    </w:p>
    <w:p>
      <w:pPr>
        <w:ind w:left="720" w:hanging="720"/>
        <w:spacing w:line="400" w:lineRule="exact"/>
        <w:rPr>
          <w:rFonts w:hint="eastAsia" w:ascii="宋体" w:hAnsi="宋体" w:cs="宋体"/>
          <w:bCs/>
          <w:color w:val="000000"/>
          <w:sz w:val="24"/>
          <w:szCs w:val="24"/>
          <w:highlight w:val="none"/>
        </w:rPr>
        <w:sectPr>
          <w:footerReference w:type="default" r:id="rId22"/>
          <w:footerReference w:type="first" r:id="rId23"/>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highlight w:val="none"/>
        </w:rPr>
      </w:r>
      <w:r>
        <w:rPr>
          <w:highlight w:val="none"/>
        </w:rPr>
      </w:r>
    </w:p>
    <w:p>
      <w:pPr>
        <w:ind w:firstLine="560"/>
        <w:jc w:val="center"/>
        <w:spacing w:line="480" w:lineRule="exact"/>
        <w:rPr>
          <w:rFonts w:hint="eastAsia" w:ascii="宋体" w:hAnsi="宋体" w:eastAsia="宋体" w:cs="宋体"/>
          <w:bCs/>
          <w:color w:val="000000"/>
          <w:sz w:val="28"/>
          <w:szCs w:val="28"/>
          <w:highlight w:val="none"/>
        </w:rPr>
        <w:outlineLvl w:val="9"/>
      </w:pPr>
      <w:r>
        <w:rPr>
          <w:highlight w:val="none"/>
        </w:rPr>
      </w:r>
      <w:bookmarkStart w:id="30" w:name="_Toc27474"/>
      <w:r>
        <w:rPr>
          <w:rFonts w:hint="eastAsia" w:ascii="宋体" w:hAnsi="宋体" w:eastAsia="宋体" w:cs="宋体"/>
          <w:bCs/>
          <w:color w:val="000000"/>
          <w:sz w:val="28"/>
          <w:szCs w:val="28"/>
          <w:highlight w:val="none"/>
        </w:rPr>
        <w:t xml:space="preserve">明细报价表</w:t>
      </w:r>
      <w:bookmarkEnd w:id="30"/>
      <w:r>
        <w:rPr>
          <w:highlight w:val="none"/>
        </w:rPr>
      </w:r>
      <w:r>
        <w:rPr>
          <w:highlight w:val="none"/>
        </w:rPr>
      </w:r>
    </w:p>
    <w:p>
      <w:pPr>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highlight w:val="none"/>
        </w:rPr>
        <w:t xml:space="preserve">项目名称：</w:t>
      </w:r>
      <w:r>
        <w:rPr>
          <w:rFonts w:hint="eastAsia" w:ascii="宋体" w:hAnsi="宋体"/>
          <w:bCs/>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rPr>
          <w:highlight w:val="none"/>
        </w:rPr>
      </w:r>
      <w:r>
        <w:rPr>
          <w:highlight w:val="none"/>
        </w:rPr>
      </w:r>
    </w:p>
    <w:p>
      <w:pPr>
        <w:pStyle w:val="1333"/>
        <w:rPr>
          <w:rFonts w:hint="eastAsia"/>
          <w:highlight w:val="none"/>
        </w:rPr>
      </w:pPr>
      <w:r>
        <w:rPr>
          <w:rFonts w:hint="eastAsia"/>
          <w:highlight w:val="none"/>
        </w:rPr>
      </w:r>
      <w:r>
        <w:rPr>
          <w:highlight w:val="none"/>
        </w:rPr>
      </w:r>
      <w:r>
        <w:rPr>
          <w:highlight w:val="none"/>
        </w:rPr>
      </w:r>
    </w:p>
    <w:tbl>
      <w:tblPr>
        <w:tblStyle w:val="1308"/>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2257"/>
        <w:gridCol w:w="1530"/>
        <w:gridCol w:w="1365"/>
        <w:gridCol w:w="1365"/>
        <w:gridCol w:w="1375"/>
        <w:gridCol w:w="1509"/>
      </w:tblGrid>
      <w:tr>
        <w:trPr>
          <w:cantSplit/>
          <w:jc w:val="center"/>
          <w:trHeight w:val="515"/>
        </w:trPr>
        <w:tc>
          <w:tcPr>
            <w:tcMar>
              <w:left w:w="15" w:type="dxa"/>
              <w:top w:w="15" w:type="dxa"/>
              <w:right w:w="15" w:type="dxa"/>
              <w:bottom w:w="0" w:type="dxa"/>
            </w:tcMar>
            <w:tcW w:w="642" w:type="dxa"/>
            <w:vAlign w:val="center"/>
            <w:textDirection w:val="lrTb"/>
            <w:noWrap w:val="false"/>
          </w:tcPr>
          <w:p>
            <w:pPr>
              <w:jc w:val="center"/>
              <w:spacing w:before="5" w:line="360" w:lineRule="auto"/>
              <w:rPr>
                <w:b/>
                <w:sz w:val="24"/>
                <w:highlight w:val="none"/>
                <w:u w:val="none"/>
              </w:rPr>
            </w:pPr>
            <w:r>
              <w:rPr>
                <w:highlight w:val="none"/>
              </w:rPr>
            </w:r>
            <w:bookmarkStart w:id="31" w:name="_Toc17818"/>
            <w:r>
              <w:rPr>
                <w:highlight w:val="none"/>
              </w:rPr>
            </w:r>
            <w:bookmarkStart w:id="32" w:name="_Toc11575"/>
            <w:r>
              <w:rPr>
                <w:rFonts w:hint="eastAsia"/>
                <w:b/>
                <w:sz w:val="24"/>
                <w:highlight w:val="none"/>
                <w:u w:val="none"/>
              </w:rPr>
              <w:t xml:space="preserve">序号</w:t>
            </w:r>
            <w:r>
              <w:rPr>
                <w:highlight w:val="none"/>
              </w:rPr>
            </w:r>
            <w:r>
              <w:rPr>
                <w:highlight w:val="none"/>
              </w:rPr>
            </w:r>
          </w:p>
        </w:tc>
        <w:tc>
          <w:tcPr>
            <w:tcMar>
              <w:left w:w="15" w:type="dxa"/>
              <w:top w:w="15" w:type="dxa"/>
              <w:right w:w="15" w:type="dxa"/>
              <w:bottom w:w="0" w:type="dxa"/>
            </w:tcMar>
            <w:tcW w:w="2257" w:type="dxa"/>
            <w:vAlign w:val="center"/>
            <w:textDirection w:val="lrTb"/>
            <w:noWrap w:val="false"/>
          </w:tcPr>
          <w:p>
            <w:pPr>
              <w:jc w:val="center"/>
              <w:spacing w:before="5" w:line="360" w:lineRule="auto"/>
              <w:rPr>
                <w:rFonts w:hint="default"/>
                <w:b/>
                <w:sz w:val="24"/>
                <w:highlight w:val="none"/>
                <w:u w:val="none"/>
              </w:rPr>
            </w:pPr>
            <w:r>
              <w:rPr>
                <w:rFonts w:hint="eastAsia"/>
                <w:b/>
                <w:sz w:val="24"/>
                <w:highlight w:val="none"/>
                <w:lang w:val="en-US" w:eastAsia="zh-CN"/>
              </w:rPr>
              <w:t xml:space="preserve">养护地块</w:t>
            </w:r>
            <w:r>
              <w:rPr>
                <w:highlight w:val="none"/>
              </w:rPr>
            </w:r>
            <w:r>
              <w:rPr>
                <w:highlight w:val="none"/>
              </w:rPr>
            </w:r>
          </w:p>
        </w:tc>
        <w:tc>
          <w:tcPr>
            <w:tcMar>
              <w:left w:w="15" w:type="dxa"/>
              <w:top w:w="15" w:type="dxa"/>
              <w:right w:w="15" w:type="dxa"/>
              <w:bottom w:w="0" w:type="dxa"/>
            </w:tcMar>
            <w:tcW w:w="1530" w:type="dxa"/>
            <w:vAlign w:val="center"/>
            <w:textDirection w:val="lrTb"/>
            <w:noWrap w:val="false"/>
          </w:tcPr>
          <w:p>
            <w:pPr>
              <w:jc w:val="center"/>
              <w:spacing w:before="5" w:line="360" w:lineRule="auto"/>
              <w:rPr>
                <w:rFonts w:hint="eastAsia" w:eastAsia="宋体"/>
                <w:b/>
                <w:sz w:val="24"/>
                <w:highlight w:val="none"/>
              </w:rPr>
            </w:pPr>
            <w:r>
              <w:rPr>
                <w:rFonts w:hint="eastAsia"/>
                <w:b/>
                <w:sz w:val="24"/>
                <w:highlight w:val="none"/>
                <w:u w:val="none"/>
                <w:lang w:val="en-US" w:eastAsia="zh-CN"/>
              </w:rPr>
              <w:t xml:space="preserve">养护期</w:t>
            </w:r>
            <w:r>
              <w:rPr>
                <w:highlight w:val="none"/>
              </w:rPr>
            </w:r>
            <w:r>
              <w:rPr>
                <w:highlight w:val="none"/>
              </w:rPr>
            </w:r>
          </w:p>
        </w:tc>
        <w:tc>
          <w:tcPr>
            <w:tcMar>
              <w:left w:w="15" w:type="dxa"/>
              <w:top w:w="15" w:type="dxa"/>
              <w:right w:w="15" w:type="dxa"/>
              <w:bottom w:w="0" w:type="dxa"/>
            </w:tcMar>
            <w:tcW w:w="1365" w:type="dxa"/>
            <w:vAlign w:val="center"/>
            <w:textDirection w:val="lrTb"/>
            <w:noWrap w:val="false"/>
          </w:tcPr>
          <w:p>
            <w:pPr>
              <w:jc w:val="center"/>
              <w:spacing w:before="5" w:line="360" w:lineRule="auto"/>
              <w:rPr>
                <w:rFonts w:hint="default" w:eastAsia="宋体"/>
                <w:b/>
                <w:sz w:val="24"/>
                <w:highlight w:val="none"/>
              </w:rPr>
            </w:pPr>
            <w:r>
              <w:rPr>
                <w:rFonts w:hint="eastAsia"/>
                <w:b/>
                <w:sz w:val="24"/>
                <w:highlight w:val="none"/>
                <w:lang w:val="en-US" w:eastAsia="zh-CN"/>
              </w:rPr>
              <w:t xml:space="preserve">单价/元</w:t>
            </w:r>
            <w:r>
              <w:rPr>
                <w:highlight w:val="none"/>
              </w:rPr>
            </w:r>
            <w:r>
              <w:rPr>
                <w:highlight w:val="none"/>
              </w:rPr>
            </w:r>
          </w:p>
        </w:tc>
        <w:tc>
          <w:tcPr>
            <w:tcW w:w="1365" w:type="dxa"/>
            <w:vAlign w:val="center"/>
            <w:textDirection w:val="lrTb"/>
            <w:noWrap w:val="false"/>
          </w:tcPr>
          <w:p>
            <w:pPr>
              <w:jc w:val="center"/>
              <w:spacing w:before="5" w:line="360" w:lineRule="auto"/>
              <w:rPr>
                <w:rFonts w:hint="default"/>
                <w:highlight w:val="none"/>
              </w:rPr>
            </w:pPr>
            <w:r>
              <w:rPr>
                <w:rFonts w:hint="eastAsia"/>
                <w:b/>
                <w:sz w:val="24"/>
                <w:highlight w:val="none"/>
                <w:lang w:val="en-US" w:eastAsia="zh-CN"/>
              </w:rPr>
              <w:t xml:space="preserve">面积/m2</w:t>
            </w:r>
            <w:r>
              <w:rPr>
                <w:highlight w:val="none"/>
              </w:rPr>
            </w:r>
            <w:r>
              <w:rPr>
                <w:highlight w:val="none"/>
              </w:rPr>
            </w:r>
          </w:p>
        </w:tc>
        <w:tc>
          <w:tcPr>
            <w:tcW w:w="1375" w:type="dxa"/>
            <w:vAlign w:val="center"/>
            <w:textDirection w:val="lrTb"/>
            <w:noWrap w:val="false"/>
          </w:tcPr>
          <w:p>
            <w:pPr>
              <w:jc w:val="center"/>
              <w:spacing w:before="5" w:line="360" w:lineRule="auto"/>
              <w:rPr>
                <w:rFonts w:hint="default" w:eastAsia="宋体"/>
                <w:b/>
                <w:sz w:val="24"/>
                <w:highlight w:val="none"/>
              </w:rPr>
            </w:pPr>
            <w:r>
              <w:rPr>
                <w:rFonts w:hint="eastAsia"/>
                <w:b/>
                <w:sz w:val="24"/>
                <w:highlight w:val="none"/>
                <w:lang w:val="en-US" w:eastAsia="zh-CN"/>
              </w:rPr>
              <w:t xml:space="preserve">合价/元</w:t>
            </w:r>
            <w:r>
              <w:rPr>
                <w:highlight w:val="none"/>
              </w:rPr>
            </w:r>
            <w:r>
              <w:rPr>
                <w:highlight w:val="none"/>
              </w:rPr>
            </w:r>
          </w:p>
        </w:tc>
        <w:tc>
          <w:tcPr>
            <w:tcW w:w="1509" w:type="dxa"/>
            <w:vAlign w:val="center"/>
            <w:textDirection w:val="lrTb"/>
            <w:noWrap w:val="false"/>
          </w:tcPr>
          <w:p>
            <w:pPr>
              <w:jc w:val="center"/>
              <w:spacing w:before="5" w:line="360" w:lineRule="auto"/>
              <w:rPr>
                <w:rFonts w:hint="eastAsia" w:eastAsia="宋体"/>
                <w:b/>
                <w:sz w:val="24"/>
                <w:highlight w:val="none"/>
              </w:rPr>
            </w:pPr>
            <w:r>
              <w:rPr>
                <w:rFonts w:hint="eastAsia"/>
                <w:b/>
                <w:sz w:val="24"/>
                <w:highlight w:val="none"/>
                <w:lang w:val="en-US" w:eastAsia="zh-CN"/>
              </w:rPr>
              <w:t xml:space="preserve">备注</w:t>
            </w:r>
            <w:r>
              <w:rPr>
                <w:highlight w:val="none"/>
              </w:rPr>
            </w:r>
            <w:r>
              <w:rPr>
                <w:highlight w:val="none"/>
              </w:rPr>
            </w:r>
          </w:p>
        </w:tc>
      </w:tr>
      <w:tr>
        <w:trPr>
          <w:cantSplit/>
          <w:jc w:val="center"/>
          <w:trHeight w:val="446"/>
        </w:trPr>
        <w:tc>
          <w:tcPr>
            <w:tcMar>
              <w:left w:w="15" w:type="dxa"/>
              <w:top w:w="15" w:type="dxa"/>
              <w:right w:w="15" w:type="dxa"/>
              <w:bottom w:w="0" w:type="dxa"/>
            </w:tcMar>
            <w:tcW w:w="642"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1</w:t>
            </w:r>
            <w:r>
              <w:rPr>
                <w:highlight w:val="none"/>
              </w:rPr>
            </w:r>
            <w:r>
              <w:rPr>
                <w:highlight w:val="none"/>
              </w:rPr>
            </w:r>
          </w:p>
        </w:tc>
        <w:tc>
          <w:tcPr>
            <w:tcMar>
              <w:left w:w="15" w:type="dxa"/>
              <w:top w:w="15" w:type="dxa"/>
              <w:right w:w="15" w:type="dxa"/>
              <w:bottom w:w="0" w:type="dxa"/>
            </w:tcMar>
            <w:tcW w:w="2257" w:type="dxa"/>
            <w:vAlign w:val="center"/>
            <w:textDirection w:val="lrTb"/>
            <w:noWrap w:val="false"/>
          </w:tcPr>
          <w:p>
            <w:pPr>
              <w:spacing w:line="360" w:lineRule="auto"/>
              <w:rPr>
                <w:rFonts w:hAnsi="宋体"/>
                <w:sz w:val="24"/>
                <w:highlight w:val="none"/>
              </w:rPr>
            </w:pPr>
            <w:r>
              <w:rPr>
                <w:rFonts w:hAnsi="宋体"/>
                <w:sz w:val="24"/>
                <w:highlight w:val="none"/>
              </w:rPr>
            </w:r>
            <w:r>
              <w:rPr>
                <w:highlight w:val="none"/>
              </w:rPr>
            </w:r>
            <w:r>
              <w:rPr>
                <w:highlight w:val="none"/>
              </w:rPr>
            </w:r>
          </w:p>
        </w:tc>
        <w:tc>
          <w:tcPr>
            <w:tcMar>
              <w:left w:w="15" w:type="dxa"/>
              <w:top w:w="15" w:type="dxa"/>
              <w:right w:w="15" w:type="dxa"/>
              <w:bottom w:w="0" w:type="dxa"/>
            </w:tcMar>
            <w:tcW w:w="1530" w:type="dxa"/>
            <w:vAlign w:val="center"/>
            <w:textDirection w:val="lrTb"/>
            <w:noWrap w:val="false"/>
          </w:tcPr>
          <w:p>
            <w:pPr>
              <w:spacing w:line="360" w:lineRule="auto"/>
              <w:rPr>
                <w:bCs/>
                <w:sz w:val="24"/>
                <w:highlight w:val="none"/>
              </w:rPr>
            </w:pPr>
            <w:r>
              <w:rPr>
                <w:bCs/>
                <w:sz w:val="24"/>
                <w:highlight w:val="none"/>
              </w:rPr>
            </w:r>
            <w:r>
              <w:rPr>
                <w:highlight w:val="none"/>
              </w:rPr>
            </w:r>
            <w:r>
              <w:rPr>
                <w:highlight w:val="none"/>
              </w:rPr>
            </w:r>
          </w:p>
        </w:tc>
        <w:tc>
          <w:tcPr>
            <w:tcMar>
              <w:left w:w="15" w:type="dxa"/>
              <w:top w:w="15" w:type="dxa"/>
              <w:right w:w="15" w:type="dxa"/>
              <w:bottom w:w="0" w:type="dxa"/>
            </w:tcMar>
            <w:tcW w:w="1365" w:type="dxa"/>
            <w:vAlign w:val="center"/>
            <w:textDirection w:val="lrTb"/>
            <w:noWrap w:val="false"/>
          </w:tcPr>
          <w:p>
            <w:pPr>
              <w:jc w:val="center"/>
              <w:spacing w:line="360" w:lineRule="auto"/>
              <w:rPr>
                <w:rFonts w:ascii="黑体" w:hAnsi="宋体" w:eastAsia="黑体"/>
                <w:b/>
                <w:bCs/>
                <w:sz w:val="24"/>
                <w:highlight w:val="none"/>
              </w:rPr>
            </w:pPr>
            <w:r>
              <w:rPr>
                <w:rFonts w:hint="eastAsia" w:ascii="黑体" w:eastAsia="黑体"/>
                <w:b/>
                <w:bCs/>
                <w:sz w:val="24"/>
                <w:highlight w:val="none"/>
              </w:rPr>
              <w:t xml:space="preserve">　</w:t>
            </w:r>
            <w:r>
              <w:rPr>
                <w:highlight w:val="none"/>
              </w:rPr>
            </w:r>
            <w:r>
              <w:rPr>
                <w:highlight w:val="none"/>
              </w:rPr>
            </w:r>
          </w:p>
        </w:tc>
        <w:tc>
          <w:tcPr>
            <w:tcW w:w="1365" w:type="dxa"/>
            <w:vAlign w:val="center"/>
            <w:textDirection w:val="lrTb"/>
            <w:noWrap w:val="false"/>
          </w:tcPr>
          <w:p>
            <w:pPr>
              <w:jc w:val="center"/>
              <w:spacing w:line="360" w:lineRule="auto"/>
              <w:rPr>
                <w:rFonts w:ascii="黑体" w:hAnsi="宋体" w:eastAsia="黑体"/>
                <w:b/>
                <w:bCs/>
                <w:sz w:val="24"/>
                <w:highlight w:val="none"/>
              </w:rPr>
            </w:pPr>
            <w:r>
              <w:rPr>
                <w:rFonts w:hint="eastAsia" w:ascii="黑体" w:eastAsia="黑体"/>
                <w:b/>
                <w:bCs/>
                <w:sz w:val="24"/>
                <w:highlight w:val="none"/>
              </w:rPr>
              <w:t xml:space="preserve">　</w:t>
            </w:r>
            <w:r>
              <w:rPr>
                <w:highlight w:val="none"/>
              </w:rPr>
            </w:r>
            <w:r>
              <w:rPr>
                <w:highlight w:val="none"/>
              </w:rPr>
            </w:r>
          </w:p>
        </w:tc>
        <w:tc>
          <w:tcPr>
            <w:tcW w:w="1375"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c>
          <w:tcPr>
            <w:tcW w:w="1509"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r>
      <w:tr>
        <w:trPr>
          <w:cantSplit/>
          <w:jc w:val="center"/>
          <w:trHeight w:val="446"/>
        </w:trPr>
        <w:tc>
          <w:tcPr>
            <w:tcMar>
              <w:left w:w="15" w:type="dxa"/>
              <w:top w:w="15" w:type="dxa"/>
              <w:right w:w="15" w:type="dxa"/>
              <w:bottom w:w="0" w:type="dxa"/>
            </w:tcMar>
            <w:tcW w:w="642"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2</w:t>
            </w:r>
            <w:r>
              <w:rPr>
                <w:highlight w:val="none"/>
              </w:rPr>
            </w:r>
            <w:r>
              <w:rPr>
                <w:highlight w:val="none"/>
              </w:rPr>
            </w:r>
          </w:p>
        </w:tc>
        <w:tc>
          <w:tcPr>
            <w:tcMar>
              <w:left w:w="15" w:type="dxa"/>
              <w:top w:w="15" w:type="dxa"/>
              <w:right w:w="15" w:type="dxa"/>
              <w:bottom w:w="0" w:type="dxa"/>
            </w:tcMar>
            <w:tcW w:w="2257" w:type="dxa"/>
            <w:vAlign w:val="center"/>
            <w:textDirection w:val="lrTb"/>
            <w:noWrap w:val="false"/>
          </w:tcPr>
          <w:p>
            <w:pPr>
              <w:spacing w:line="360" w:lineRule="auto"/>
              <w:rPr>
                <w:rFonts w:hAnsi="宋体"/>
                <w:sz w:val="24"/>
                <w:highlight w:val="none"/>
              </w:rPr>
            </w:pPr>
            <w:r>
              <w:rPr>
                <w:rFonts w:hAnsi="宋体"/>
                <w:sz w:val="24"/>
                <w:highlight w:val="none"/>
              </w:rPr>
            </w:r>
            <w:r>
              <w:rPr>
                <w:highlight w:val="none"/>
              </w:rPr>
            </w:r>
            <w:r>
              <w:rPr>
                <w:highlight w:val="none"/>
              </w:rPr>
            </w:r>
          </w:p>
        </w:tc>
        <w:tc>
          <w:tcPr>
            <w:tcMar>
              <w:left w:w="15" w:type="dxa"/>
              <w:top w:w="15" w:type="dxa"/>
              <w:right w:w="15" w:type="dxa"/>
              <w:bottom w:w="0" w:type="dxa"/>
            </w:tcMar>
            <w:tcW w:w="1530" w:type="dxa"/>
            <w:vAlign w:val="center"/>
            <w:textDirection w:val="lrTb"/>
            <w:noWrap w:val="false"/>
          </w:tcPr>
          <w:p>
            <w:pPr>
              <w:spacing w:line="360" w:lineRule="auto"/>
              <w:rPr>
                <w:bCs/>
                <w:sz w:val="24"/>
                <w:highlight w:val="none"/>
              </w:rPr>
            </w:pPr>
            <w:r>
              <w:rPr>
                <w:bCs/>
                <w:sz w:val="24"/>
                <w:highlight w:val="none"/>
              </w:rPr>
            </w:r>
            <w:r>
              <w:rPr>
                <w:highlight w:val="none"/>
              </w:rPr>
            </w:r>
            <w:r>
              <w:rPr>
                <w:highlight w:val="none"/>
              </w:rPr>
            </w:r>
          </w:p>
        </w:tc>
        <w:tc>
          <w:tcPr>
            <w:tcMar>
              <w:left w:w="15" w:type="dxa"/>
              <w:top w:w="15" w:type="dxa"/>
              <w:right w:w="15" w:type="dxa"/>
              <w:bottom w:w="0" w:type="dxa"/>
            </w:tcMa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75"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c>
          <w:tcPr>
            <w:tcW w:w="1509"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r>
      <w:tr>
        <w:trPr>
          <w:cantSplit/>
          <w:jc w:val="center"/>
          <w:trHeight w:val="482"/>
        </w:trPr>
        <w:tc>
          <w:tcPr>
            <w:tcMar>
              <w:left w:w="15" w:type="dxa"/>
              <w:top w:w="15" w:type="dxa"/>
              <w:right w:w="15" w:type="dxa"/>
              <w:bottom w:w="0" w:type="dxa"/>
            </w:tcMar>
            <w:tcW w:w="642" w:type="dxa"/>
            <w:vAlign w:val="center"/>
            <w:textDirection w:val="lrTb"/>
            <w:noWrap w:val="false"/>
          </w:tcPr>
          <w:p>
            <w:pPr>
              <w:jc w:val="center"/>
              <w:spacing w:line="360" w:lineRule="auto"/>
              <w:rPr>
                <w:rFonts w:hAnsi="宋体"/>
                <w:sz w:val="24"/>
                <w:highlight w:val="none"/>
              </w:rPr>
            </w:pPr>
            <w:r>
              <w:rPr>
                <w:rFonts w:hint="eastAsia" w:hAnsi="宋体"/>
                <w:sz w:val="24"/>
                <w:highlight w:val="none"/>
              </w:rPr>
              <w:t xml:space="preserve">3</w:t>
            </w:r>
            <w:r>
              <w:rPr>
                <w:highlight w:val="none"/>
              </w:rPr>
            </w:r>
            <w:r>
              <w:rPr>
                <w:highlight w:val="none"/>
              </w:rPr>
            </w:r>
          </w:p>
        </w:tc>
        <w:tc>
          <w:tcPr>
            <w:tcMar>
              <w:left w:w="15" w:type="dxa"/>
              <w:top w:w="15" w:type="dxa"/>
              <w:right w:w="15" w:type="dxa"/>
              <w:bottom w:w="0" w:type="dxa"/>
            </w:tcMar>
            <w:tcW w:w="2257" w:type="dxa"/>
            <w:vAlign w:val="center"/>
            <w:textDirection w:val="lrTb"/>
            <w:noWrap w:val="false"/>
          </w:tcPr>
          <w:p>
            <w:pPr>
              <w:spacing w:line="360" w:lineRule="auto"/>
              <w:rPr>
                <w:rFonts w:hAnsi="宋体"/>
                <w:sz w:val="24"/>
                <w:highlight w:val="none"/>
              </w:rPr>
            </w:pPr>
            <w:r>
              <w:rPr>
                <w:rFonts w:hAnsi="宋体"/>
                <w:sz w:val="24"/>
                <w:highlight w:val="none"/>
              </w:rPr>
            </w:r>
            <w:r>
              <w:rPr>
                <w:highlight w:val="none"/>
              </w:rPr>
            </w:r>
            <w:r>
              <w:rPr>
                <w:highlight w:val="none"/>
              </w:rPr>
            </w:r>
          </w:p>
        </w:tc>
        <w:tc>
          <w:tcPr>
            <w:tcMar>
              <w:left w:w="15" w:type="dxa"/>
              <w:top w:w="15" w:type="dxa"/>
              <w:right w:w="15" w:type="dxa"/>
              <w:bottom w:w="0" w:type="dxa"/>
            </w:tcMar>
            <w:tcW w:w="1530" w:type="dxa"/>
            <w:vAlign w:val="center"/>
            <w:textDirection w:val="lrTb"/>
            <w:noWrap w:val="false"/>
          </w:tcPr>
          <w:p>
            <w:pPr>
              <w:spacing w:line="360" w:lineRule="auto"/>
              <w:rPr>
                <w:bCs/>
                <w:sz w:val="24"/>
                <w:highlight w:val="none"/>
              </w:rPr>
            </w:pPr>
            <w:r>
              <w:rPr>
                <w:bCs/>
                <w:sz w:val="24"/>
                <w:highlight w:val="none"/>
              </w:rPr>
            </w:r>
            <w:r>
              <w:rPr>
                <w:highlight w:val="none"/>
              </w:rPr>
            </w:r>
            <w:r>
              <w:rPr>
                <w:highlight w:val="none"/>
              </w:rPr>
            </w:r>
          </w:p>
        </w:tc>
        <w:tc>
          <w:tcPr>
            <w:tcMar>
              <w:left w:w="15" w:type="dxa"/>
              <w:top w:w="15" w:type="dxa"/>
              <w:right w:w="15" w:type="dxa"/>
              <w:bottom w:w="0" w:type="dxa"/>
            </w:tcMa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75"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c>
          <w:tcPr>
            <w:tcW w:w="1509"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r>
      <w:tr>
        <w:trPr>
          <w:cantSplit/>
          <w:jc w:val="center"/>
          <w:trHeight w:val="482"/>
        </w:trPr>
        <w:tc>
          <w:tcPr>
            <w:tcMar>
              <w:left w:w="15" w:type="dxa"/>
              <w:top w:w="15" w:type="dxa"/>
              <w:right w:w="15" w:type="dxa"/>
              <w:bottom w:w="0" w:type="dxa"/>
            </w:tcMar>
            <w:tcW w:w="642" w:type="dxa"/>
            <w:vAlign w:val="center"/>
            <w:textDirection w:val="lrTb"/>
            <w:noWrap w:val="false"/>
          </w:tcPr>
          <w:p>
            <w:pPr>
              <w:jc w:val="center"/>
              <w:spacing w:line="360" w:lineRule="auto"/>
              <w:rPr>
                <w:rFonts w:hint="eastAsia" w:hAnsi="宋体"/>
                <w:sz w:val="24"/>
                <w:highlight w:val="none"/>
              </w:rPr>
            </w:pPr>
            <w:r>
              <w:rPr>
                <w:rFonts w:hint="eastAsia" w:hAnsi="宋体"/>
                <w:sz w:val="24"/>
                <w:highlight w:val="none"/>
              </w:rPr>
            </w:r>
            <w:r>
              <w:rPr>
                <w:highlight w:val="none"/>
              </w:rPr>
            </w:r>
            <w:r>
              <w:rPr>
                <w:highlight w:val="none"/>
              </w:rPr>
            </w:r>
          </w:p>
        </w:tc>
        <w:tc>
          <w:tcPr>
            <w:tcMar>
              <w:left w:w="15" w:type="dxa"/>
              <w:top w:w="15" w:type="dxa"/>
              <w:right w:w="15" w:type="dxa"/>
              <w:bottom w:w="0" w:type="dxa"/>
            </w:tcMar>
            <w:tcW w:w="2257" w:type="dxa"/>
            <w:vAlign w:val="center"/>
            <w:textDirection w:val="lrTb"/>
            <w:noWrap w:val="false"/>
          </w:tcPr>
          <w:p>
            <w:pPr>
              <w:spacing w:line="360" w:lineRule="auto"/>
              <w:rPr>
                <w:rFonts w:hint="default" w:hAnsi="宋体" w:eastAsia="宋体"/>
                <w:sz w:val="24"/>
                <w:highlight w:val="none"/>
              </w:rPr>
            </w:pPr>
            <w:r>
              <w:rPr>
                <w:rFonts w:hint="default" w:hAnsi="宋体" w:eastAsia="宋体"/>
                <w:sz w:val="24"/>
                <w:highlight w:val="none"/>
                <w:lang w:val="en-US" w:eastAsia="zh-CN"/>
              </w:rPr>
            </w:r>
            <w:r>
              <w:rPr>
                <w:highlight w:val="none"/>
              </w:rPr>
            </w:r>
            <w:r>
              <w:rPr>
                <w:highlight w:val="none"/>
              </w:rPr>
            </w:r>
          </w:p>
        </w:tc>
        <w:tc>
          <w:tcPr>
            <w:tcMar>
              <w:left w:w="15" w:type="dxa"/>
              <w:top w:w="15" w:type="dxa"/>
              <w:right w:w="15" w:type="dxa"/>
              <w:bottom w:w="0" w:type="dxa"/>
            </w:tcMar>
            <w:tcW w:w="1530" w:type="dxa"/>
            <w:vAlign w:val="center"/>
            <w:textDirection w:val="lrTb"/>
            <w:noWrap w:val="false"/>
          </w:tcPr>
          <w:p>
            <w:pPr>
              <w:spacing w:line="360" w:lineRule="auto"/>
              <w:rPr>
                <w:bCs/>
                <w:sz w:val="24"/>
                <w:highlight w:val="none"/>
              </w:rPr>
            </w:pPr>
            <w:r>
              <w:rPr>
                <w:bCs/>
                <w:sz w:val="24"/>
                <w:highlight w:val="none"/>
              </w:rPr>
            </w:r>
            <w:r>
              <w:rPr>
                <w:highlight w:val="none"/>
              </w:rPr>
            </w:r>
            <w:r>
              <w:rPr>
                <w:highlight w:val="none"/>
              </w:rPr>
            </w:r>
          </w:p>
        </w:tc>
        <w:tc>
          <w:tcPr>
            <w:tcMar>
              <w:left w:w="15" w:type="dxa"/>
              <w:top w:w="15" w:type="dxa"/>
              <w:right w:w="15" w:type="dxa"/>
              <w:bottom w:w="0" w:type="dxa"/>
            </w:tcMa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75"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c>
          <w:tcPr>
            <w:tcW w:w="1509"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r>
      <w:tr>
        <w:trPr>
          <w:cantSplit/>
          <w:jc w:val="center"/>
          <w:trHeight w:val="482"/>
        </w:trPr>
        <w:tc>
          <w:tcPr>
            <w:tcMar>
              <w:left w:w="15" w:type="dxa"/>
              <w:top w:w="15" w:type="dxa"/>
              <w:right w:w="15" w:type="dxa"/>
              <w:bottom w:w="0" w:type="dxa"/>
            </w:tcMar>
            <w:tcW w:w="642" w:type="dxa"/>
            <w:vAlign w:val="center"/>
            <w:textDirection w:val="lrTb"/>
            <w:noWrap w:val="false"/>
          </w:tcPr>
          <w:p>
            <w:pPr>
              <w:jc w:val="center"/>
              <w:spacing w:line="360" w:lineRule="auto"/>
              <w:rPr>
                <w:rFonts w:hint="eastAsia" w:hAnsi="宋体"/>
                <w:sz w:val="24"/>
                <w:highlight w:val="none"/>
              </w:rPr>
            </w:pPr>
            <w:r>
              <w:rPr>
                <w:rFonts w:hint="eastAsia" w:hAnsi="宋体"/>
                <w:sz w:val="24"/>
                <w:highlight w:val="none"/>
              </w:rPr>
            </w:r>
            <w:r>
              <w:rPr>
                <w:highlight w:val="none"/>
              </w:rPr>
            </w:r>
            <w:r>
              <w:rPr>
                <w:highlight w:val="none"/>
              </w:rPr>
            </w:r>
          </w:p>
        </w:tc>
        <w:tc>
          <w:tcPr>
            <w:tcMar>
              <w:left w:w="15" w:type="dxa"/>
              <w:top w:w="15" w:type="dxa"/>
              <w:right w:w="15" w:type="dxa"/>
              <w:bottom w:w="0" w:type="dxa"/>
            </w:tcMar>
            <w:tcW w:w="2257" w:type="dxa"/>
            <w:vAlign w:val="center"/>
            <w:textDirection w:val="lrTb"/>
            <w:noWrap w:val="false"/>
          </w:tcPr>
          <w:p>
            <w:pPr>
              <w:spacing w:line="360" w:lineRule="auto"/>
              <w:rPr>
                <w:rFonts w:hAnsi="宋体"/>
                <w:sz w:val="24"/>
                <w:highlight w:val="none"/>
              </w:rPr>
            </w:pPr>
            <w:r>
              <w:rPr>
                <w:rFonts w:hAnsi="宋体"/>
                <w:sz w:val="24"/>
                <w:highlight w:val="none"/>
              </w:rPr>
            </w:r>
            <w:r>
              <w:rPr>
                <w:highlight w:val="none"/>
              </w:rPr>
            </w:r>
            <w:r>
              <w:rPr>
                <w:highlight w:val="none"/>
              </w:rPr>
            </w:r>
          </w:p>
        </w:tc>
        <w:tc>
          <w:tcPr>
            <w:tcMar>
              <w:left w:w="15" w:type="dxa"/>
              <w:top w:w="15" w:type="dxa"/>
              <w:right w:w="15" w:type="dxa"/>
              <w:bottom w:w="0" w:type="dxa"/>
            </w:tcMar>
            <w:tcW w:w="1530" w:type="dxa"/>
            <w:vAlign w:val="center"/>
            <w:textDirection w:val="lrTb"/>
            <w:noWrap w:val="false"/>
          </w:tcPr>
          <w:p>
            <w:pPr>
              <w:spacing w:line="360" w:lineRule="auto"/>
              <w:rPr>
                <w:bCs/>
                <w:sz w:val="24"/>
                <w:highlight w:val="none"/>
              </w:rPr>
            </w:pPr>
            <w:r>
              <w:rPr>
                <w:bCs/>
                <w:sz w:val="24"/>
                <w:highlight w:val="none"/>
              </w:rPr>
            </w:r>
            <w:r>
              <w:rPr>
                <w:highlight w:val="none"/>
              </w:rPr>
            </w:r>
            <w:r>
              <w:rPr>
                <w:highlight w:val="none"/>
              </w:rPr>
            </w:r>
          </w:p>
        </w:tc>
        <w:tc>
          <w:tcPr>
            <w:tcMar>
              <w:left w:w="15" w:type="dxa"/>
              <w:top w:w="15" w:type="dxa"/>
              <w:right w:w="15" w:type="dxa"/>
              <w:bottom w:w="0" w:type="dxa"/>
            </w:tcMa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65" w:type="dxa"/>
            <w:vAlign w:val="center"/>
            <w:textDirection w:val="lrTb"/>
            <w:noWrap w:val="false"/>
          </w:tcPr>
          <w:p>
            <w:pPr>
              <w:jc w:val="center"/>
              <w:spacing w:line="360" w:lineRule="auto"/>
              <w:rPr>
                <w:rFonts w:ascii="黑体" w:eastAsia="黑体"/>
                <w:b/>
                <w:bCs/>
                <w:sz w:val="24"/>
                <w:highlight w:val="none"/>
              </w:rPr>
            </w:pPr>
            <w:r>
              <w:rPr>
                <w:rFonts w:ascii="黑体" w:eastAsia="黑体"/>
                <w:b/>
                <w:bCs/>
                <w:sz w:val="24"/>
                <w:highlight w:val="none"/>
              </w:rPr>
            </w:r>
            <w:r>
              <w:rPr>
                <w:highlight w:val="none"/>
              </w:rPr>
            </w:r>
            <w:r>
              <w:rPr>
                <w:highlight w:val="none"/>
              </w:rPr>
            </w:r>
          </w:p>
        </w:tc>
        <w:tc>
          <w:tcPr>
            <w:tcW w:w="1375"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c>
          <w:tcPr>
            <w:tcW w:w="1509" w:type="dxa"/>
            <w:vAlign w:val="center"/>
            <w:textDirection w:val="lrTb"/>
            <w:noWrap w:val="false"/>
          </w:tcPr>
          <w:p>
            <w:pPr>
              <w:jc w:val="center"/>
              <w:spacing w:line="360" w:lineRule="auto"/>
              <w:rPr>
                <w:rFonts w:ascii="黑体" w:hAnsi="宋体" w:eastAsia="黑体"/>
                <w:b/>
                <w:bCs/>
                <w:sz w:val="24"/>
                <w:highlight w:val="none"/>
              </w:rPr>
            </w:pPr>
            <w:r>
              <w:rPr>
                <w:rFonts w:ascii="黑体" w:hAnsi="宋体" w:eastAsia="黑体"/>
                <w:b/>
                <w:bCs/>
                <w:sz w:val="24"/>
                <w:highlight w:val="none"/>
              </w:rPr>
            </w:r>
            <w:r>
              <w:rPr>
                <w:highlight w:val="none"/>
              </w:rPr>
            </w:r>
            <w:r>
              <w:rPr>
                <w:highlight w:val="none"/>
              </w:rPr>
            </w:r>
          </w:p>
        </w:tc>
      </w:tr>
      <w:tr>
        <w:trPr>
          <w:cantSplit/>
          <w:jc w:val="center"/>
          <w:trHeight w:val="772"/>
        </w:trPr>
        <w:tc>
          <w:tcPr>
            <w:gridSpan w:val="3"/>
            <w:tcMar>
              <w:left w:w="15" w:type="dxa"/>
              <w:top w:w="15" w:type="dxa"/>
              <w:right w:w="15" w:type="dxa"/>
              <w:bottom w:w="0" w:type="dxa"/>
            </w:tcMar>
            <w:tcW w:w="4429" w:type="dxa"/>
            <w:vAlign w:val="center"/>
            <w:textDirection w:val="lrTb"/>
            <w:noWrap w:val="false"/>
          </w:tcPr>
          <w:p>
            <w:pPr>
              <w:spacing w:line="360" w:lineRule="auto"/>
              <w:rPr>
                <w:b/>
                <w:bCs/>
                <w:sz w:val="22"/>
                <w:szCs w:val="22"/>
                <w:highlight w:val="none"/>
              </w:rPr>
            </w:pPr>
            <w:r>
              <w:rPr>
                <w:rFonts w:hint="eastAsia"/>
                <w:b/>
                <w:bCs/>
                <w:sz w:val="22"/>
                <w:szCs w:val="22"/>
                <w:highlight w:val="none"/>
              </w:rPr>
              <w:t xml:space="preserve">合计（小写）：</w:t>
            </w:r>
            <w:r>
              <w:rPr>
                <w:highlight w:val="none"/>
              </w:rPr>
            </w:r>
            <w:r>
              <w:rPr>
                <w:highlight w:val="none"/>
              </w:rPr>
            </w:r>
          </w:p>
        </w:tc>
        <w:tc>
          <w:tcPr>
            <w:gridSpan w:val="4"/>
            <w:tcW w:w="5614" w:type="dxa"/>
            <w:vAlign w:val="center"/>
            <w:textDirection w:val="lrTb"/>
            <w:noWrap w:val="false"/>
          </w:tcPr>
          <w:p>
            <w:pPr>
              <w:spacing w:line="360" w:lineRule="auto"/>
              <w:rPr>
                <w:b/>
                <w:bCs/>
                <w:sz w:val="22"/>
                <w:szCs w:val="22"/>
                <w:highlight w:val="none"/>
              </w:rPr>
            </w:pPr>
            <w:r>
              <w:rPr>
                <w:rFonts w:hint="eastAsia"/>
                <w:b/>
                <w:bCs/>
                <w:sz w:val="22"/>
                <w:szCs w:val="22"/>
                <w:highlight w:val="none"/>
              </w:rPr>
              <w:t xml:space="preserve">合计（</w:t>
            </w:r>
            <w:r>
              <w:rPr>
                <w:rFonts w:hint="eastAsia"/>
                <w:b/>
                <w:bCs/>
                <w:sz w:val="22"/>
                <w:szCs w:val="22"/>
                <w:highlight w:val="none"/>
                <w:lang w:val="en-US" w:eastAsia="zh-CN"/>
              </w:rPr>
              <w:t xml:space="preserve">大写</w:t>
            </w:r>
            <w:r>
              <w:rPr>
                <w:rFonts w:hint="eastAsia"/>
                <w:b/>
                <w:bCs/>
                <w:sz w:val="22"/>
                <w:szCs w:val="22"/>
                <w:highlight w:val="none"/>
              </w:rPr>
              <w:t xml:space="preserve">）：</w:t>
            </w:r>
            <w:r>
              <w:rPr>
                <w:highlight w:val="none"/>
              </w:rPr>
            </w:r>
            <w:r>
              <w:rPr>
                <w:highlight w:val="none"/>
              </w:rPr>
            </w:r>
          </w:p>
        </w:tc>
      </w:tr>
    </w:tbl>
    <w:p>
      <w:pPr>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highlight w:val="none"/>
        </w:rPr>
      </w:r>
      <w:r>
        <w:rPr>
          <w:highlight w:val="none"/>
        </w:rPr>
      </w:r>
    </w:p>
    <w:p>
      <w:pPr>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highlight w:val="none"/>
        </w:rPr>
      </w:r>
      <w:r>
        <w:rPr>
          <w:highlight w:val="none"/>
        </w:rPr>
      </w:r>
    </w:p>
    <w:p>
      <w:pPr>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highlight w:val="none"/>
        </w:rPr>
      </w:r>
      <w:r>
        <w:rPr>
          <w:highlight w:val="none"/>
        </w:rPr>
      </w:r>
    </w:p>
    <w:p>
      <w:pPr>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w:t>
      </w:r>
      <w:r>
        <w:rPr>
          <w:highlight w:val="none"/>
        </w:rPr>
      </w:r>
      <w:r>
        <w:rPr>
          <w:highlight w:val="none"/>
        </w:rPr>
      </w:r>
    </w:p>
    <w:p>
      <w:pPr>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1）投标供应商本项目提供的服务全部由符合政策要求的中小企业承接的，须提供按格式填写的《中小企业声明函》（服务）；或提供由省级以上监狱管理局、戒毒管理局(含新疆生产建设兵团)出具的投标供应商属于监狱企业的证明文件复印件；或提供投标供应商《残疾人福利性单位声明函》。投标供应商对所报相关数据的真实性负责，采购代理机构有权将相关内容进行公示；</w:t>
      </w:r>
      <w:r>
        <w:rPr>
          <w:highlight w:val="none"/>
        </w:rPr>
      </w:r>
      <w:r>
        <w:rPr>
          <w:highlight w:val="none"/>
        </w:rPr>
      </w:r>
    </w:p>
    <w:p>
      <w:pPr>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（2）投标供应商应当根据“项目技术要求和有关说明”的内容在上表中详细填写；</w:t>
      </w:r>
      <w:r>
        <w:rPr>
          <w:highlight w:val="none"/>
        </w:rPr>
      </w:r>
      <w:r>
        <w:rPr>
          <w:highlight w:val="none"/>
        </w:rPr>
      </w:r>
    </w:p>
    <w:p>
      <w:pPr>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（3）表格不够可自行延长。</w:t>
      </w:r>
      <w:r>
        <w:rPr>
          <w:highlight w:val="none"/>
        </w:rPr>
      </w:r>
      <w:r>
        <w:rPr>
          <w:highlight w:val="none"/>
        </w:rPr>
      </w:r>
    </w:p>
    <w:p>
      <w:pPr>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31"/>
      <w:r>
        <w:rPr>
          <w:highlight w:val="none"/>
        </w:rPr>
      </w:r>
      <w:bookmarkEnd w:id="32"/>
      <w:r>
        <w:rPr>
          <w:rFonts w:hint="eastAsia" w:ascii="宋体" w:hAnsi="宋体" w:cs="宋体"/>
          <w:b/>
          <w:color w:val="000000"/>
          <w:sz w:val="24"/>
          <w:szCs w:val="24"/>
          <w:highlight w:val="none"/>
        </w:rPr>
        <w:t xml:space="preserve">（格式）：</w:t>
      </w:r>
      <w:r>
        <w:rPr>
          <w:highlight w:val="none"/>
        </w:rPr>
      </w:r>
      <w:r>
        <w:rPr>
          <w:highlight w:val="none"/>
        </w:rPr>
      </w:r>
    </w:p>
    <w:p>
      <w:pPr>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highlight w:val="none"/>
        </w:rPr>
      </w:r>
      <w:r>
        <w:rPr>
          <w:highlight w:val="none"/>
        </w:rPr>
      </w:r>
    </w:p>
    <w:p>
      <w:pPr>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highlight w:val="none"/>
        </w:rPr>
      </w:r>
      <w:r>
        <w:rPr>
          <w:highlight w:val="none"/>
        </w:rPr>
      </w:r>
    </w:p>
    <w:p>
      <w:pPr>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highlight w:val="none"/>
        </w:rPr>
      </w:r>
      <w:r>
        <w:rPr>
          <w:highlight w:val="none"/>
        </w:rPr>
      </w:r>
    </w:p>
    <w:p>
      <w:pPr>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highlight w:val="none"/>
        </w:rPr>
      </w:r>
      <w:r>
        <w:rPr>
          <w:highlight w:val="none"/>
        </w:rPr>
      </w:r>
    </w:p>
    <w:p>
      <w:pPr>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highlight w:val="none"/>
        </w:rPr>
      </w:r>
      <w:r>
        <w:rPr>
          <w:highlight w:val="none"/>
        </w:rPr>
      </w:r>
    </w:p>
    <w:p>
      <w:pPr>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highlight w:val="none"/>
        </w:rPr>
      </w:r>
      <w:r>
        <w:rPr>
          <w:highlight w:val="none"/>
        </w:rPr>
      </w:r>
    </w:p>
    <w:p>
      <w:pPr>
        <w:pStyle w:val="1501"/>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highlight w:val="none"/>
        </w:rPr>
      </w:r>
      <w:r>
        <w:rPr>
          <w:highlight w:val="none"/>
        </w:rPr>
      </w:r>
    </w:p>
    <w:p>
      <w:pPr>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highlight w:val="none"/>
        </w:rPr>
      </w:r>
      <w:r>
        <w:rPr>
          <w:highlight w:val="none"/>
        </w:rPr>
      </w:r>
    </w:p>
    <w:p>
      <w:pPr>
        <w:pStyle w:val="1501"/>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rPr>
          <w:highlight w:val="none"/>
        </w:rPr>
      </w:r>
      <w:r>
        <w:rPr>
          <w:highlight w:val="none"/>
        </w:rPr>
      </w:r>
    </w:p>
    <w:p>
      <w:pPr>
        <w:pStyle w:val="1527"/>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rPr>
          <w:highlight w:val="none"/>
        </w:rPr>
      </w:r>
      <w:r>
        <w:rPr>
          <w:highlight w:val="none"/>
        </w:rPr>
      </w:r>
    </w:p>
    <w:p>
      <w:pPr>
        <w:pStyle w:val="1527"/>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
          <w:color w:val="000000"/>
          <w:sz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highlight w:val="none"/>
        </w:rPr>
      </w:r>
      <w:bookmarkStart w:id="33" w:name="_Toc28479"/>
      <w:r>
        <w:rPr>
          <w:highlight w:val="none"/>
        </w:rPr>
      </w:r>
      <w:bookmarkStart w:id="34"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33"/>
      <w:r>
        <w:rPr>
          <w:highlight w:val="none"/>
        </w:rPr>
      </w:r>
      <w:bookmarkEnd w:id="34"/>
      <w:r>
        <w:rPr>
          <w:rFonts w:hint="eastAsia" w:ascii="宋体" w:hAnsi="宋体" w:cs="宋体"/>
          <w:b/>
          <w:color w:val="000000"/>
          <w:sz w:val="24"/>
          <w:szCs w:val="24"/>
          <w:highlight w:val="none"/>
        </w:rPr>
        <w:t xml:space="preserve">（格式）：</w:t>
      </w:r>
      <w:r>
        <w:rPr>
          <w:highlight w:val="none"/>
        </w:rPr>
      </w:r>
      <w:r>
        <w:rPr>
          <w:highlight w:val="none"/>
        </w:rPr>
      </w:r>
    </w:p>
    <w:p>
      <w:pPr>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420"/>
        <w:jc w:val="center"/>
        <w:rPr>
          <w:rFonts w:hint="eastAsia" w:ascii="宋体" w:hAnsi="宋体" w:cs="宋体"/>
          <w:bCs/>
          <w:color w:val="000000"/>
          <w:sz w:val="24"/>
          <w:szCs w:val="24"/>
          <w:highlight w:val="none"/>
        </w:rPr>
        <w:outlineLvl w:val="9"/>
      </w:pPr>
      <w:r>
        <w:rPr>
          <w:highlight w:val="none"/>
        </w:rPr>
      </w:r>
      <w:bookmarkStart w:id="35" w:name="_Toc27971"/>
      <w:r>
        <w:rPr>
          <w:highlight w:val="none"/>
        </w:rPr>
      </w:r>
      <w:bookmarkStart w:id="36" w:name="_Toc25155"/>
      <w:r>
        <w:rPr>
          <w:rFonts w:hint="eastAsia" w:ascii="宋体" w:hAnsi="宋体" w:cs="宋体"/>
          <w:bCs/>
          <w:color w:val="000000"/>
          <w:sz w:val="24"/>
          <w:szCs w:val="24"/>
          <w:highlight w:val="none"/>
        </w:rPr>
        <w:t xml:space="preserve">投标偏离表</w:t>
      </w:r>
      <w:bookmarkEnd w:id="35"/>
      <w:r>
        <w:rPr>
          <w:highlight w:val="none"/>
        </w:rPr>
      </w:r>
      <w:bookmarkEnd w:id="36"/>
      <w:r>
        <w:rPr>
          <w:highlight w:val="none"/>
        </w:rPr>
      </w:r>
      <w:r>
        <w:rPr>
          <w:highlight w:val="none"/>
        </w:rPr>
      </w:r>
    </w:p>
    <w:p>
      <w:pPr>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项目名称：</w:t>
      </w:r>
      <w:r>
        <w:rPr>
          <w:highlight w:val="none"/>
        </w:rPr>
      </w:r>
      <w:r>
        <w:rPr>
          <w:highlight w:val="none"/>
        </w:rPr>
      </w:r>
    </w:p>
    <w:p>
      <w:pP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highlight w:val="none"/>
        </w:rPr>
      </w:r>
      <w:r>
        <w:rPr>
          <w:highlight w:val="none"/>
        </w:rPr>
      </w:r>
    </w:p>
    <w:tbl>
      <w:tblPr>
        <w:tblStyle w:val="1308"/>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highlight w:val="none"/>
              </w:rPr>
            </w:r>
            <w:r>
              <w:rPr>
                <w:highlight w:val="none"/>
              </w:rP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lang w:val="zh-CN"/>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tc>
      </w:tr>
    </w:tbl>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3120"/>
        <w:rPr>
          <w:rFonts w:hint="eastAsia" w:ascii="宋体" w:hAnsi="宋体" w:cs="宋体"/>
          <w:b/>
          <w:bCs/>
          <w:color w:val="000000"/>
          <w:sz w:val="24"/>
          <w:szCs w:val="24"/>
          <w:highlight w:val="none"/>
        </w:rPr>
        <w:outlineLvl w:val="9"/>
      </w:pPr>
      <w:r>
        <w:rPr>
          <w:highlight w:val="none"/>
        </w:rPr>
      </w:r>
      <w:bookmarkStart w:id="37" w:name="_Toc24453"/>
      <w:r>
        <w:rPr>
          <w:highlight w:val="none"/>
        </w:rPr>
      </w:r>
      <w:bookmarkStart w:id="38" w:name="_Toc31759"/>
      <w:r>
        <w:rPr>
          <w:rFonts w:hint="eastAsia" w:ascii="宋体" w:hAnsi="宋体" w:cs="宋体"/>
          <w:b/>
          <w:bCs/>
          <w:color w:val="000000"/>
          <w:sz w:val="24"/>
          <w:szCs w:val="24"/>
          <w:highlight w:val="none"/>
        </w:rPr>
        <w:t xml:space="preserve">法定代表人或法定代表人授权代表签字或盖章：</w:t>
      </w:r>
      <w:bookmarkEnd w:id="37"/>
      <w:r>
        <w:rPr>
          <w:highlight w:val="none"/>
        </w:rPr>
      </w:r>
      <w:bookmarkEnd w:id="38"/>
      <w:r>
        <w:rPr>
          <w:highlight w:val="none"/>
        </w:rPr>
      </w:r>
      <w:r>
        <w:rPr>
          <w:highlight w:val="none"/>
        </w:rPr>
      </w:r>
    </w:p>
    <w:p>
      <w:pPr>
        <w:pStyle w:val="1501"/>
        <w:ind w:left="7200" w:hanging="7200"/>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rPr>
          <w:highlight w:val="none"/>
        </w:rPr>
      </w:r>
      <w:r>
        <w:rPr>
          <w:highlight w:val="none"/>
        </w:rPr>
      </w:r>
    </w:p>
    <w:p>
      <w:pPr>
        <w:pStyle w:val="1501"/>
        <w:ind w:left="7200" w:hanging="7200"/>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w:t>
      </w:r>
      <w:r>
        <w:rPr>
          <w:highlight w:val="none"/>
        </w:rPr>
      </w:r>
      <w:r>
        <w:rPr>
          <w:highlight w:val="none"/>
        </w:rPr>
      </w:r>
    </w:p>
    <w:p>
      <w:pPr>
        <w:pStyle w:val="1501"/>
        <w:ind w:left="7200" w:hanging="7200"/>
        <w:jc w:val="right"/>
        <w:rPr>
          <w:rFonts w:hint="default" w:eastAsia="宋体"/>
          <w:color w:val="000000"/>
          <w:highlight w:val="none"/>
        </w:rPr>
        <w:outlineLvl w:val="9"/>
      </w:pPr>
      <w:r>
        <w:rPr>
          <w:rFonts w:hint="eastAsia" w:ascii="宋体" w:hAnsi="宋体" w:eastAsia="宋体" w:cs="宋体"/>
          <w:b/>
          <w:color w:val="000000"/>
          <w:sz w:val="24"/>
          <w:szCs w:val="24"/>
          <w:highlight w:val="none"/>
        </w:rPr>
        <w:t xml:space="preserve">日  期：</w:t>
      </w:r>
      <w:r>
        <w:rPr>
          <w:rFonts w:hint="eastAsia" w:ascii="宋体" w:hAnsi="宋体" w:eastAsia="宋体" w:cs="宋体"/>
          <w:b/>
          <w:color w:val="000000"/>
          <w:sz w:val="24"/>
          <w:szCs w:val="24"/>
          <w:highlight w:val="none"/>
          <w:lang w:val="en-US" w:eastAsia="zh-CN"/>
        </w:rPr>
        <w:t xml:space="preserve">    年   月    日    </w:t>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rPr>
          <w:rFonts w:hint="eastAsia" w:ascii="宋体" w:hAnsi="宋体" w:cs="宋体"/>
          <w:bCs/>
          <w:color w:val="000000"/>
          <w:sz w:val="24"/>
          <w:szCs w:val="24"/>
          <w:highlight w:val="none"/>
        </w:rPr>
        <w:outlineLvl w:val="9"/>
      </w:pPr>
      <w:r>
        <w:rPr>
          <w:highlight w:val="none"/>
        </w:rPr>
      </w:r>
      <w:bookmarkStart w:id="39" w:name="_Toc8176"/>
      <w:r>
        <w:rPr>
          <w:highlight w:val="none"/>
        </w:rPr>
      </w:r>
      <w:bookmarkStart w:id="40" w:name="_Toc2067"/>
      <w:r>
        <w:rPr>
          <w:rFonts w:hint="eastAsia" w:ascii="宋体" w:hAnsi="宋体" w:cs="宋体"/>
          <w:bCs/>
          <w:color w:val="000000"/>
          <w:sz w:val="24"/>
          <w:szCs w:val="24"/>
          <w:highlight w:val="none"/>
        </w:rPr>
        <w:t xml:space="preserve">注：（1）本表不得删除，可自行延长；</w:t>
      </w:r>
      <w:bookmarkEnd w:id="39"/>
      <w:r>
        <w:rPr>
          <w:highlight w:val="none"/>
        </w:rPr>
      </w:r>
      <w:bookmarkEnd w:id="40"/>
      <w:r>
        <w:rPr>
          <w:highlight w:val="none"/>
        </w:rPr>
      </w:r>
      <w:r>
        <w:rPr>
          <w:highlight w:val="none"/>
        </w:rPr>
      </w:r>
    </w:p>
    <w:p>
      <w:pPr>
        <w:ind w:left="-214" w:firstLine="720"/>
        <w:rPr>
          <w:rFonts w:hint="eastAsia" w:ascii="宋体" w:hAnsi="宋体" w:cs="宋体"/>
          <w:bCs/>
          <w:color w:val="000000"/>
          <w:sz w:val="24"/>
          <w:szCs w:val="24"/>
          <w:highlight w:val="none"/>
        </w:rPr>
        <w:outlineLvl w:val="9"/>
      </w:pPr>
      <w:r>
        <w:rPr>
          <w:highlight w:val="none"/>
        </w:rPr>
      </w:r>
      <w:bookmarkStart w:id="41" w:name="_Toc22220"/>
      <w:r>
        <w:rPr>
          <w:highlight w:val="none"/>
        </w:rPr>
      </w:r>
      <w:bookmarkStart w:id="42" w:name="_Toc511"/>
      <w:r>
        <w:rPr>
          <w:rFonts w:hint="eastAsia" w:ascii="宋体" w:hAnsi="宋体" w:cs="宋体"/>
          <w:bCs/>
          <w:color w:val="000000"/>
          <w:sz w:val="24"/>
          <w:szCs w:val="24"/>
          <w:highlight w:val="none"/>
        </w:rPr>
        <w:t xml:space="preserve">（2）如无任何服务偏离，请于本表“偏离说明”中注明“无偏离”；</w:t>
      </w:r>
      <w:bookmarkEnd w:id="41"/>
      <w:r>
        <w:rPr>
          <w:highlight w:val="none"/>
        </w:rPr>
      </w:r>
      <w:bookmarkEnd w:id="42"/>
      <w:r>
        <w:rPr>
          <w:highlight w:val="none"/>
        </w:rPr>
      </w:r>
      <w:r>
        <w:rPr>
          <w:highlight w:val="none"/>
        </w:rPr>
      </w:r>
    </w:p>
    <w:p>
      <w:pPr>
        <w:ind w:firstLine="480"/>
        <w:rPr>
          <w:rFonts w:hint="eastAsia" w:ascii="宋体" w:hAnsi="宋体" w:cs="宋体"/>
          <w:bCs/>
          <w:color w:val="000000"/>
          <w:sz w:val="24"/>
          <w:szCs w:val="24"/>
          <w:highlight w:val="none"/>
        </w:rPr>
        <w:outlineLvl w:val="9"/>
      </w:pPr>
      <w:r>
        <w:rPr>
          <w:highlight w:val="none"/>
        </w:rPr>
      </w:r>
      <w:bookmarkStart w:id="43" w:name="_Toc10188"/>
      <w:r>
        <w:rPr>
          <w:highlight w:val="none"/>
        </w:rPr>
      </w:r>
      <w:bookmarkStart w:id="44" w:name="_Toc9412"/>
      <w:r>
        <w:rPr>
          <w:rFonts w:hint="eastAsia" w:ascii="宋体" w:hAnsi="宋体" w:cs="宋体"/>
          <w:bCs/>
          <w:color w:val="000000"/>
          <w:sz w:val="24"/>
          <w:szCs w:val="24"/>
          <w:highlight w:val="none"/>
        </w:rPr>
        <w:t xml:space="preserve">（3）如有服务偏离项，请于本表中列明偏离内容以及相关证明材料，如需要可自行延长，其余无偏离内容不须赘述。</w:t>
      </w:r>
      <w:bookmarkEnd w:id="43"/>
      <w:r>
        <w:rPr>
          <w:highlight w:val="none"/>
        </w:rPr>
      </w:r>
      <w:bookmarkEnd w:id="44"/>
      <w:r>
        <w:rPr>
          <w:highlight w:val="none"/>
        </w:rPr>
      </w:r>
      <w:r>
        <w:rPr>
          <w:highlight w:val="none"/>
        </w:rPr>
      </w:r>
    </w:p>
    <w:p>
      <w:pPr>
        <w:pStyle w:val="15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5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pStyle w:val="1555"/>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）拟投入人员一览表</w:t>
      </w:r>
      <w:r>
        <w:rPr>
          <w:rFonts w:hint="eastAsia" w:ascii="宋体" w:hAnsi="宋体" w:cs="宋体"/>
          <w:b/>
          <w:color w:val="000000"/>
          <w:sz w:val="24"/>
          <w:szCs w:val="24"/>
          <w:highlight w:val="none"/>
        </w:rPr>
        <w:t xml:space="preserve">（格式）：</w:t>
      </w:r>
      <w:r>
        <w:rPr>
          <w:highlight w:val="none"/>
        </w:rPr>
      </w:r>
      <w:r>
        <w:rPr>
          <w:highlight w:val="none"/>
        </w:rP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jc w:val="center"/>
        <w:rPr>
          <w:rFonts w:hint="eastAsia" w:ascii="宋体" w:hAnsi="宋体" w:cs="宋体"/>
          <w:b/>
          <w:color w:val="000000"/>
          <w:sz w:val="24"/>
          <w:szCs w:val="24"/>
          <w:highlight w:val="none"/>
        </w:rPr>
        <w:outlineLvl w:val="9"/>
      </w:pPr>
      <w:r>
        <w:rPr>
          <w:rFonts w:hint="eastAsia" w:ascii="宋体" w:hAnsi="宋体" w:cs="宋体"/>
          <w:bCs/>
          <w:color w:val="000000"/>
          <w:sz w:val="24"/>
          <w:szCs w:val="24"/>
          <w:highlight w:val="none"/>
        </w:rPr>
        <w:t xml:space="preserve">拟投入人员一览表</w:t>
      </w:r>
      <w:r>
        <w:rPr>
          <w:highlight w:val="none"/>
        </w:rPr>
      </w:r>
      <w:r>
        <w:rPr>
          <w:highlight w:val="none"/>
        </w:rPr>
      </w:r>
    </w:p>
    <w:p>
      <w:pPr>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政府采购编号：</w:t>
      </w:r>
      <w:r>
        <w:rPr>
          <w:highlight w:val="none"/>
        </w:rPr>
      </w:r>
      <w:r>
        <w:rPr>
          <w:highlight w:val="none"/>
        </w:rPr>
      </w:r>
    </w:p>
    <w:tbl>
      <w:tblPr>
        <w:tblStyle w:val="13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042"/>
        <w:gridCol w:w="1495"/>
      </w:tblGrid>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序号</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姓名</w:t>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性别</w:t>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年龄</w:t>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岗位</w:t>
            </w:r>
            <w:r>
              <w:rPr>
                <w:highlight w:val="none"/>
              </w:rPr>
            </w:r>
            <w:r>
              <w:rPr>
                <w:highlight w:val="none"/>
              </w:rPr>
            </w:r>
          </w:p>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highlight w:val="none"/>
              </w:rPr>
            </w:r>
            <w:r>
              <w:rPr>
                <w:highlight w:val="none"/>
              </w:rPr>
            </w:r>
          </w:p>
        </w:tc>
        <w:tc>
          <w:tcPr>
            <w:tcW w:w="765" w:type="dxa"/>
            <w:vAlign w:val="center"/>
            <w:textDirection w:val="lrTb"/>
            <w:noWrap w:val="false"/>
          </w:tcPr>
          <w:p>
            <w:pP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职称</w:t>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证书</w:t>
            </w:r>
            <w:r>
              <w:rPr>
                <w:highlight w:val="none"/>
              </w:rPr>
            </w:r>
            <w:r>
              <w:rPr>
                <w:highlight w:val="none"/>
              </w:rPr>
            </w:r>
          </w:p>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名称</w:t>
            </w:r>
            <w:r>
              <w:rPr>
                <w:highlight w:val="none"/>
              </w:rPr>
            </w:r>
            <w:r>
              <w:rPr>
                <w:highlight w:val="none"/>
              </w:rPr>
            </w:r>
          </w:p>
        </w:tc>
        <w:tc>
          <w:tcPr>
            <w:tcW w:w="104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证号</w:t>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备注</w:t>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8</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Height w:val="393"/>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9</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Height w:val="526"/>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10</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r>
        <w:trPr>
          <w:jc w:val="center"/>
        </w:trPr>
        <w:tc>
          <w:tcPr>
            <w:tcW w:w="556"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w:t>
            </w:r>
            <w:r>
              <w:rPr>
                <w:highlight w:val="none"/>
              </w:rPr>
            </w:r>
            <w:r>
              <w:rPr>
                <w:highlight w:val="none"/>
              </w:rPr>
            </w:r>
          </w:p>
        </w:tc>
        <w:tc>
          <w:tcPr>
            <w:tcW w:w="1103"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602"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7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76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1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042" w:type="dxa"/>
            <w:vAlign w:val="top"/>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c>
          <w:tcPr>
            <w:tcW w:w="1495" w:type="dxa"/>
            <w:vAlign w:val="center"/>
            <w:textDirection w:val="lrTb"/>
            <w:noWrap w:val="false"/>
          </w:tcPr>
          <w:p>
            <w:pPr>
              <w:jc w:val="center"/>
              <w:spacing w:line="420" w:lineRule="exac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tc>
      </w:tr>
    </w:tbl>
    <w:p>
      <w:pPr>
        <w:ind w:left="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r>
      <w:r>
        <w:rPr>
          <w:highlight w:val="none"/>
        </w:rPr>
      </w:r>
      <w:r>
        <w:rPr>
          <w:highlight w:val="none"/>
        </w:rPr>
      </w:r>
    </w:p>
    <w:p>
      <w:pPr>
        <w:ind w:firstLine="3120"/>
        <w:spacing w:line="360" w:lineRule="auto"/>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法定代表人或法定代表人授权代表签字或盖章：</w:t>
      </w:r>
      <w:r>
        <w:rPr>
          <w:highlight w:val="none"/>
        </w:rPr>
      </w:r>
      <w:r>
        <w:rPr>
          <w:highlight w:val="none"/>
        </w:rPr>
      </w:r>
    </w:p>
    <w:p>
      <w:pPr>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备注：1.表格不够可自行延长。</w:t>
      </w:r>
      <w:r>
        <w:rPr>
          <w:highlight w:val="none"/>
        </w:rPr>
      </w:r>
      <w:r>
        <w:rPr>
          <w:highlight w:val="none"/>
        </w:rPr>
      </w:r>
    </w:p>
    <w:p>
      <w:pPr>
        <w:ind w:left="120"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  2.相关材料请附本表之后。</w:t>
      </w:r>
      <w:r>
        <w:rPr>
          <w:highlight w:val="none"/>
        </w:rPr>
      </w:r>
      <w:r>
        <w:rPr>
          <w:highlight w:val="none"/>
        </w:rPr>
      </w:r>
    </w:p>
    <w:p>
      <w:pPr>
        <w:ind w:left="1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pStyle w:val="1506"/>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rPr>
          <w:highlight w:val="none"/>
        </w:rPr>
      </w:r>
      <w:r>
        <w:rPr>
          <w:highlight w:val="none"/>
        </w:rP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06"/>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rPr>
          <w:highlight w:val="none"/>
        </w:rPr>
      </w:r>
      <w:r>
        <w:rPr>
          <w:highlight w:val="none"/>
        </w:rP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06"/>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highlight w:val="none"/>
        </w:rPr>
      </w:r>
      <w:r>
        <w:rPr>
          <w:highlight w:val="none"/>
        </w:rPr>
      </w:r>
    </w:p>
    <w:p>
      <w:pP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highlight w:val="none"/>
        </w:rPr>
      </w:r>
      <w:r>
        <w:rPr>
          <w:highlight w:val="none"/>
        </w:rPr>
      </w:r>
    </w:p>
    <w:p>
      <w:pPr>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highlight w:val="none"/>
        </w:rPr>
      </w:r>
      <w:r>
        <w:rPr>
          <w:highlight w:val="none"/>
        </w:rPr>
      </w:r>
    </w:p>
    <w:p>
      <w:pPr>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highlight w:val="none"/>
        </w:rPr>
      </w:r>
      <w:r>
        <w:rPr>
          <w:highlight w:val="none"/>
        </w:rPr>
      </w:r>
    </w:p>
    <w:p>
      <w:pPr>
        <w:pStyle w:val="1333"/>
        <w:rPr>
          <w:rFonts w:hint="eastAsia"/>
          <w:color w:val="000000"/>
          <w:highlight w:val="none"/>
        </w:rPr>
        <w:outlineLvl w:val="9"/>
      </w:pPr>
      <w:r>
        <w:rPr>
          <w:rFonts w:hint="eastAsia"/>
          <w:color w:val="000000"/>
          <w:highlight w:val="none"/>
        </w:rPr>
      </w:r>
      <w:r>
        <w:rPr>
          <w:highlight w:val="none"/>
        </w:rPr>
      </w:r>
      <w:r>
        <w:rPr>
          <w:highlight w:val="none"/>
        </w:rP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highlight w:val="none"/>
        </w:rPr>
      </w:r>
      <w:r>
        <w:rPr>
          <w:highlight w:val="none"/>
        </w:rP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highlight w:val="none"/>
        </w:rPr>
      </w:r>
      <w:r>
        <w:rPr>
          <w:highlight w:val="none"/>
        </w:rPr>
      </w:r>
    </w:p>
    <w:p>
      <w:pPr>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.供应商提供的声明函与事实不符的，依照《政府采购法》第七十七条第一款的规定追究法律责任。</w:t>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highlight w:val="none"/>
        </w:rPr>
      </w:r>
      <w:bookmarkStart w:id="45" w:name="OLE_LINK14"/>
      <w:r>
        <w:rPr>
          <w:highlight w:val="none"/>
        </w:rPr>
      </w:r>
      <w:bookmarkStart w:id="46" w:name="OLE_LINK13"/>
      <w:r>
        <w:rPr>
          <w:highlight w:val="none"/>
        </w:rPr>
      </w:r>
      <w:bookmarkStart w:id="47" w:name="_Hlk6917152"/>
      <w:r>
        <w:rPr>
          <w:rFonts w:hint="eastAsia" w:ascii="宋体" w:hAnsi="宋体" w:eastAsia="宋体" w:cs="宋体"/>
          <w:b/>
          <w:color w:val="000000"/>
          <w:sz w:val="24"/>
          <w:szCs w:val="24"/>
          <w:highlight w:val="none"/>
          <w:lang w:eastAsia="zh-CN"/>
        </w:rPr>
        <w:t xml:space="preserve">（投标人）残疾人福利性单位声明函（格式）：</w:t>
      </w:r>
      <w:bookmarkEnd w:id="45"/>
      <w:r>
        <w:rPr>
          <w:highlight w:val="none"/>
        </w:rPr>
      </w:r>
      <w:bookmarkEnd w:id="46"/>
      <w:r>
        <w:rPr>
          <w:highlight w:val="none"/>
        </w:rPr>
      </w:r>
      <w:r>
        <w:rPr>
          <w:highlight w:val="none"/>
        </w:rPr>
      </w:r>
    </w:p>
    <w:p>
      <w:pPr>
        <w:spacing w:line="588" w:lineRule="exact"/>
        <w:rPr>
          <w:rFonts w:hint="eastAsia" w:ascii="宋体" w:hAnsi="宋体" w:cs="宋体"/>
          <w:b/>
          <w:color w:val="000000"/>
          <w:spacing w:val="6"/>
          <w:sz w:val="24"/>
          <w:szCs w:val="24"/>
          <w:highlight w:val="none"/>
        </w:rPr>
        <w:outlineLvl w:val="9"/>
      </w:pPr>
      <w:r>
        <w:rPr>
          <w:rFonts w:hint="eastAsia" w:ascii="宋体" w:hAnsi="宋体" w:cs="宋体"/>
          <w:b/>
          <w:color w:val="000000"/>
          <w:spacing w:val="6"/>
          <w:sz w:val="24"/>
          <w:szCs w:val="24"/>
          <w:highlight w:val="none"/>
        </w:rPr>
      </w:r>
      <w:r>
        <w:rPr>
          <w:highlight w:val="none"/>
        </w:rPr>
      </w:r>
      <w:r>
        <w:rPr>
          <w:highlight w:val="none"/>
        </w:rP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highlight w:val="none"/>
        </w:rPr>
      </w:r>
      <w:r>
        <w:rPr>
          <w:highlight w:val="none"/>
        </w:rP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highlight w:val="none"/>
        </w:rPr>
      </w:r>
      <w:r>
        <w:rPr>
          <w:highlight w:val="none"/>
        </w:rPr>
      </w:r>
    </w:p>
    <w:p>
      <w:pPr>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bookmarkEnd w:id="47"/>
      <w:r>
        <w:rPr>
          <w:highlight w:val="none"/>
        </w:rPr>
      </w:r>
      <w:r>
        <w:rPr>
          <w:highlight w:val="none"/>
        </w:rPr>
      </w:r>
    </w:p>
    <w:p>
      <w:pPr>
        <w:pStyle w:val="15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55"/>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rPr>
          <w:highlight w:val="none"/>
        </w:rPr>
      </w:r>
      <w:r>
        <w:rPr>
          <w:highlight w:val="none"/>
        </w:rPr>
      </w:r>
    </w:p>
    <w:p>
      <w:pPr>
        <w:pStyle w:val="1555"/>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）技术服务方案：</w:t>
      </w:r>
      <w:r>
        <w:rPr>
          <w:highlight w:val="none"/>
        </w:rPr>
      </w:r>
      <w:r>
        <w:rPr>
          <w:highlight w:val="none"/>
        </w:rPr>
      </w:r>
    </w:p>
    <w:p>
      <w:pPr>
        <w:pStyle w:val="15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pStyle w:val="15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pStyle w:val="1555"/>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highlight w:val="none"/>
        </w:rPr>
      </w:r>
      <w:r>
        <w:rPr>
          <w:highlight w:val="none"/>
        </w:rPr>
      </w:r>
    </w:p>
    <w:p>
      <w:pPr>
        <w:pStyle w:val="15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rPr>
          <w:highlight w:val="none"/>
        </w:rPr>
      </w:r>
      <w:r>
        <w:rPr>
          <w:highlight w:val="none"/>
        </w:rPr>
      </w:r>
    </w:p>
    <w:p>
      <w:pPr>
        <w:pStyle w:val="1555"/>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highlight w:val="none"/>
        </w:rPr>
      </w:r>
      <w:r>
        <w:rPr>
          <w:highlight w:val="none"/>
        </w:rPr>
      </w:r>
    </w:p>
    <w:p>
      <w:pPr>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szCs w:val="24"/>
          <w:highlight w:val="none"/>
        </w:rPr>
      </w:r>
      <w:r>
        <w:rPr>
          <w:highlight w:val="none"/>
        </w:rPr>
      </w:r>
      <w:r>
        <w:rPr>
          <w:highlight w:val="none"/>
        </w:rPr>
      </w:r>
    </w:p>
    <w:p>
      <w:pPr>
        <w:numPr>
          <w:ilvl w:val="0"/>
          <w:numId w:val="0"/>
        </w:numPr>
        <w:rPr>
          <w:rFonts w:hint="eastAsia" w:ascii="宋体" w:hAnsi="宋体" w:eastAsia="宋体" w:cs="宋体"/>
          <w:b/>
          <w:color w:val="000000"/>
          <w:sz w:val="30"/>
          <w:szCs w:val="30"/>
          <w:highlight w:val="none"/>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highlight w:val="none"/>
        </w:rPr>
      </w:r>
      <w:r>
        <w:rPr>
          <w:highlight w:val="none"/>
        </w:rPr>
      </w:r>
    </w:p>
    <w:sectPr>
      <w:footerReference w:type="default" r:id="rId24"/>
      <w:footerReference w:type="even" r:id="rId25"/>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等线">
    <w:panose1 w:val="02010600030101010101"/>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17"/>
                          </w:pPr>
                          <w:r>
                            <w:fldChar w:fldCharType="begin"/>
                          </w:r>
                          <w:r>
                            <w:instrText xml:space="preserve"> PAGE  \* MERGEFORMAT </w:instrText>
                          </w:r>
                          <w:r>
                            <w:fldChar w:fldCharType="separate"/>
                          </w:r>
                          <w:r>
                            <w:t xml:space="preserve">- 1 -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rPr>
        <w:rStyle w:val="1532"/>
      </w:rPr>
      <w:framePr w:wrap="around" w:vAnchor="text" w:hAnchor="margin" w:xAlign="center" w:y="1"/>
    </w:pPr>
    <w:r>
      <w:fldChar w:fldCharType="begin"/>
    </w:r>
    <w:r>
      <w:rPr>
        <w:rStyle w:val="1532"/>
      </w:rPr>
      <w:instrText xml:space="preserve">PAGE  </w:instrText>
    </w:r>
    <w:r>
      <w:fldChar w:fldCharType="separate"/>
    </w:r>
    <w:r>
      <w:rPr>
        <w:rStyle w:val="1532"/>
      </w:rPr>
      <w:t xml:space="preserve">1</w:t>
    </w:r>
    <w:r>
      <w:fldChar w:fldCharType="end"/>
    </w:r>
    <w:r/>
  </w:p>
  <w:p>
    <w:pPr>
      <w:pStyle w:val="1333"/>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1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4" o:spid="_x0000_s14"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5" o:spid="_x0000_s1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6" o:spid="_x0000_s16"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7" o:spid="_x0000_s1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8" o:spid="_x0000_s18"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3"/>
      <w:spacing w:after="240"/>
      <w:rPr>
        <w:rStyle w:val="1532"/>
      </w:rPr>
      <w:framePr w:wrap="around" w:vAnchor="text" w:hAnchor="margin" w:xAlign="center" w:y="1"/>
    </w:pPr>
    <w:r>
      <w:fldChar w:fldCharType="begin"/>
    </w:r>
    <w:r>
      <w:rPr>
        <w:rStyle w:val="1532"/>
      </w:rPr>
      <w:instrText xml:space="preserve">PAGE  </w:instrText>
    </w:r>
    <w:r>
      <w:fldChar w:fldCharType="end"/>
    </w:r>
    <w:r/>
  </w:p>
  <w:p>
    <w:pPr>
      <w:pStyle w:val="1333"/>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560" w:lineRule="exact"/>
      <w:rPr>
        <w:rFonts w:ascii="楷体" w:hAnsi="楷体" w:eastAsia="楷体" w:cs="楷体"/>
        <w:szCs w:val="21"/>
      </w:rPr>
      <w:pBdr>
        <w:bottom w:val="single" w:color="auto" w:sz="12" w:space="0"/>
      </w:pBdr>
    </w:pPr>
    <w:r>
      <w:rPr>
        <w:rFonts w:ascii="楷体" w:hAnsi="楷体" w:eastAsia="楷体" w:cs="楷体"/>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both"/>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jc w:val="both"/>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5"/>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upperLetter"/>
      <w:pStyle w:val="148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97" w:default="1">
    <w:name w:val="Normal"/>
    <w:link w:val="1550"/>
    <w:uiPriority w:val="0"/>
    <w:qFormat/>
    <w:pPr>
      <w:jc w:val="both"/>
      <w:widowControl w:val="off"/>
    </w:pPr>
    <w:rPr>
      <w:rFonts w:hint="default" w:ascii="Times New Roman" w:hAnsi="Times New Roman" w:eastAsia="宋体" w:cs="Times New Roman"/>
      <w:sz w:val="21"/>
      <w:lang w:val="en-US" w:eastAsia="zh-CN" w:bidi="ar-SA"/>
    </w:rPr>
  </w:style>
  <w:style w:type="paragraph" w:styleId="1298">
    <w:name w:val="Heading 1"/>
    <w:basedOn w:val="1297"/>
    <w:next w:val="1297"/>
    <w:link w:val="1335"/>
    <w:uiPriority w:val="9"/>
    <w:qFormat/>
    <w:pPr>
      <w:keepLines/>
      <w:keepNext/>
      <w:spacing w:before="480" w:after="200"/>
      <w:outlineLvl w:val="0"/>
    </w:pPr>
    <w:rPr>
      <w:rFonts w:ascii="Arial" w:hAnsi="Arial" w:eastAsia="Arial" w:cs="Arial"/>
      <w:sz w:val="40"/>
      <w:szCs w:val="40"/>
    </w:rPr>
  </w:style>
  <w:style w:type="paragraph" w:styleId="1299">
    <w:name w:val="Heading 2"/>
    <w:basedOn w:val="1297"/>
    <w:next w:val="1297"/>
    <w:link w:val="1336"/>
    <w:uiPriority w:val="9"/>
    <w:unhideWhenUsed/>
    <w:qFormat/>
    <w:pPr>
      <w:keepLines/>
      <w:keepNext/>
      <w:spacing w:before="360" w:after="200"/>
      <w:outlineLvl w:val="1"/>
    </w:pPr>
    <w:rPr>
      <w:rFonts w:ascii="Arial" w:hAnsi="Arial" w:eastAsia="Arial" w:cs="Arial"/>
      <w:sz w:val="34"/>
    </w:rPr>
  </w:style>
  <w:style w:type="paragraph" w:styleId="1300">
    <w:name w:val="Heading 3"/>
    <w:basedOn w:val="1297"/>
    <w:next w:val="1297"/>
    <w:link w:val="1337"/>
    <w:uiPriority w:val="9"/>
    <w:unhideWhenUsed/>
    <w:qFormat/>
    <w:pPr>
      <w:keepLines/>
      <w:keepNext/>
      <w:spacing w:before="320" w:after="200"/>
      <w:outlineLvl w:val="2"/>
    </w:pPr>
    <w:rPr>
      <w:rFonts w:ascii="Arial" w:hAnsi="Arial" w:eastAsia="Arial" w:cs="Arial"/>
      <w:sz w:val="30"/>
      <w:szCs w:val="30"/>
    </w:rPr>
  </w:style>
  <w:style w:type="paragraph" w:styleId="1301">
    <w:name w:val="Heading 4"/>
    <w:basedOn w:val="1297"/>
    <w:next w:val="1297"/>
    <w:link w:val="1338"/>
    <w:uiPriority w:val="9"/>
    <w:unhideWhenUsed/>
    <w:qFormat/>
    <w:pPr>
      <w:keepLines/>
      <w:keepNext/>
      <w:spacing w:before="320" w:after="200"/>
      <w:outlineLvl w:val="3"/>
    </w:pPr>
    <w:rPr>
      <w:rFonts w:ascii="Arial" w:hAnsi="Arial" w:eastAsia="Arial" w:cs="Arial"/>
      <w:b/>
      <w:bCs/>
      <w:sz w:val="26"/>
      <w:szCs w:val="26"/>
    </w:rPr>
  </w:style>
  <w:style w:type="paragraph" w:styleId="1302">
    <w:name w:val="Heading 5"/>
    <w:basedOn w:val="1297"/>
    <w:next w:val="1297"/>
    <w:link w:val="1339"/>
    <w:uiPriority w:val="9"/>
    <w:unhideWhenUsed/>
    <w:qFormat/>
    <w:pPr>
      <w:keepLines/>
      <w:keepNext/>
      <w:spacing w:before="320" w:after="200"/>
      <w:outlineLvl w:val="4"/>
    </w:pPr>
    <w:rPr>
      <w:rFonts w:ascii="Arial" w:hAnsi="Arial" w:eastAsia="Arial" w:cs="Arial"/>
      <w:b/>
      <w:bCs/>
      <w:sz w:val="24"/>
      <w:szCs w:val="24"/>
    </w:rPr>
  </w:style>
  <w:style w:type="paragraph" w:styleId="1303">
    <w:name w:val="Heading 6"/>
    <w:basedOn w:val="1297"/>
    <w:next w:val="1297"/>
    <w:link w:val="1340"/>
    <w:uiPriority w:val="9"/>
    <w:unhideWhenUsed/>
    <w:qFormat/>
    <w:pPr>
      <w:keepLines/>
      <w:keepNext/>
      <w:spacing w:before="320" w:after="200"/>
      <w:outlineLvl w:val="5"/>
    </w:pPr>
    <w:rPr>
      <w:rFonts w:ascii="Arial" w:hAnsi="Arial" w:eastAsia="Arial" w:cs="Arial"/>
      <w:b/>
      <w:bCs/>
      <w:sz w:val="22"/>
      <w:szCs w:val="22"/>
    </w:rPr>
  </w:style>
  <w:style w:type="paragraph" w:styleId="1304">
    <w:name w:val="Heading 7"/>
    <w:basedOn w:val="1297"/>
    <w:next w:val="1297"/>
    <w:link w:val="1341"/>
    <w:uiPriority w:val="9"/>
    <w:unhideWhenUsed/>
    <w:qFormat/>
    <w:pPr>
      <w:keepLines/>
      <w:keepNext/>
      <w:spacing w:before="320" w:after="200"/>
      <w:outlineLvl w:val="6"/>
    </w:pPr>
    <w:rPr>
      <w:rFonts w:ascii="Arial" w:hAnsi="Arial" w:eastAsia="Arial" w:cs="Arial"/>
      <w:b/>
      <w:bCs/>
      <w:i/>
      <w:iCs/>
      <w:sz w:val="22"/>
      <w:szCs w:val="22"/>
    </w:rPr>
  </w:style>
  <w:style w:type="paragraph" w:styleId="1305">
    <w:name w:val="Heading 8"/>
    <w:basedOn w:val="1297"/>
    <w:next w:val="1297"/>
    <w:link w:val="1342"/>
    <w:uiPriority w:val="9"/>
    <w:unhideWhenUsed/>
    <w:qFormat/>
    <w:pPr>
      <w:keepLines/>
      <w:keepNext/>
      <w:spacing w:before="320" w:after="200"/>
      <w:outlineLvl w:val="7"/>
    </w:pPr>
    <w:rPr>
      <w:rFonts w:ascii="Arial" w:hAnsi="Arial" w:eastAsia="Arial" w:cs="Arial"/>
      <w:i/>
      <w:iCs/>
      <w:sz w:val="22"/>
      <w:szCs w:val="22"/>
    </w:rPr>
  </w:style>
  <w:style w:type="paragraph" w:styleId="1306">
    <w:name w:val="Heading 9"/>
    <w:basedOn w:val="1297"/>
    <w:next w:val="1297"/>
    <w:link w:val="1343"/>
    <w:uiPriority w:val="9"/>
    <w:unhideWhenUsed/>
    <w:qFormat/>
    <w:pPr>
      <w:keepLines/>
      <w:keepNext/>
      <w:spacing w:before="320" w:after="200"/>
      <w:outlineLvl w:val="8"/>
    </w:pPr>
    <w:rPr>
      <w:rFonts w:ascii="Arial" w:hAnsi="Arial" w:eastAsia="Arial" w:cs="Arial"/>
      <w:i/>
      <w:iCs/>
      <w:sz w:val="21"/>
      <w:szCs w:val="21"/>
    </w:rPr>
  </w:style>
  <w:style w:type="character" w:styleId="1307" w:default="1">
    <w:name w:val="Default Paragraph Font"/>
    <w:uiPriority w:val="1"/>
    <w:semiHidden/>
    <w:unhideWhenUsed/>
    <w:qFormat/>
  </w:style>
  <w:style w:type="table" w:styleId="1308" w:default="1">
    <w:name w:val="Normal Table"/>
    <w:uiPriority w:val="99"/>
    <w:semiHidden/>
    <w:unhideWhenUsed/>
    <w:qFormat/>
    <w:tblPr>
      <w:tblCellMar>
        <w:left w:w="108" w:type="dxa"/>
        <w:top w:w="0" w:type="dxa"/>
        <w:right w:w="108" w:type="dxa"/>
        <w:bottom w:w="0" w:type="dxa"/>
      </w:tblCellMar>
    </w:tblPr>
  </w:style>
  <w:style w:type="paragraph" w:styleId="1309">
    <w:name w:val="toc 7"/>
    <w:basedOn w:val="1297"/>
    <w:next w:val="1297"/>
    <w:uiPriority w:val="39"/>
    <w:unhideWhenUsed/>
    <w:qFormat/>
    <w:pPr>
      <w:ind w:left="1701" w:right="0" w:firstLine="0"/>
      <w:spacing w:after="57"/>
    </w:pPr>
  </w:style>
  <w:style w:type="paragraph" w:styleId="1310">
    <w:name w:val="Caption"/>
    <w:basedOn w:val="1297"/>
    <w:next w:val="1297"/>
    <w:uiPriority w:val="35"/>
    <w:semiHidden/>
    <w:unhideWhenUsed/>
    <w:qFormat/>
    <w:pPr>
      <w:spacing w:line="276" w:lineRule="auto"/>
    </w:pPr>
    <w:rPr>
      <w:b/>
      <w:bCs/>
      <w:color w:val="4f81bd" w:themeColor="accent1"/>
      <w:sz w:val="18"/>
      <w:szCs w:val="18"/>
    </w:rPr>
  </w:style>
  <w:style w:type="paragraph" w:styleId="1311">
    <w:name w:val="annotation text"/>
    <w:basedOn w:val="1297"/>
    <w:uiPriority w:val="0"/>
    <w:qFormat/>
    <w:pPr>
      <w:jc w:val="left"/>
    </w:pPr>
  </w:style>
  <w:style w:type="paragraph" w:styleId="1312">
    <w:name w:val="toc 5"/>
    <w:basedOn w:val="1297"/>
    <w:next w:val="1297"/>
    <w:uiPriority w:val="39"/>
    <w:unhideWhenUsed/>
    <w:qFormat/>
    <w:pPr>
      <w:ind w:left="1134" w:right="0" w:firstLine="0"/>
      <w:spacing w:after="57"/>
    </w:pPr>
  </w:style>
  <w:style w:type="paragraph" w:styleId="1313">
    <w:name w:val="toc 3"/>
    <w:basedOn w:val="1297"/>
    <w:next w:val="1297"/>
    <w:uiPriority w:val="39"/>
    <w:unhideWhenUsed/>
    <w:qFormat/>
    <w:pPr>
      <w:ind w:left="567" w:right="0" w:firstLine="0"/>
      <w:spacing w:after="57"/>
    </w:pPr>
  </w:style>
  <w:style w:type="paragraph" w:styleId="1314">
    <w:name w:val="toc 8"/>
    <w:basedOn w:val="1297"/>
    <w:next w:val="1297"/>
    <w:uiPriority w:val="39"/>
    <w:unhideWhenUsed/>
    <w:qFormat/>
    <w:pPr>
      <w:ind w:left="1984" w:right="0" w:firstLine="0"/>
      <w:spacing w:after="57"/>
    </w:pPr>
  </w:style>
  <w:style w:type="paragraph" w:styleId="1315">
    <w:name w:val="Body Text Indent 2"/>
    <w:basedOn w:val="1297"/>
    <w:uiPriority w:val="0"/>
    <w:qFormat/>
    <w:pPr>
      <w:ind w:left="420"/>
      <w:spacing w:after="120" w:line="480" w:lineRule="auto"/>
    </w:pPr>
  </w:style>
  <w:style w:type="paragraph" w:styleId="1316">
    <w:name w:val="endnote text"/>
    <w:basedOn w:val="1297"/>
    <w:link w:val="1480"/>
    <w:uiPriority w:val="99"/>
    <w:semiHidden/>
    <w:unhideWhenUsed/>
    <w:qFormat/>
    <w:pPr>
      <w:spacing w:after="0" w:line="240" w:lineRule="auto"/>
    </w:pPr>
    <w:rPr>
      <w:sz w:val="20"/>
    </w:rPr>
  </w:style>
  <w:style w:type="paragraph" w:styleId="1317">
    <w:name w:val="Footer"/>
    <w:basedOn w:val="1297"/>
    <w:link w:val="1353"/>
    <w:uiPriority w:val="99"/>
    <w:unhideWhenUsed/>
    <w:qFormat/>
    <w:pPr>
      <w:spacing w:after="0" w:line="240" w:lineRule="auto"/>
      <w:tabs>
        <w:tab w:val="center" w:pos="7143" w:leader="none"/>
        <w:tab w:val="right" w:pos="14287" w:leader="none"/>
      </w:tabs>
    </w:pPr>
  </w:style>
  <w:style w:type="paragraph" w:styleId="1318">
    <w:name w:val="Header"/>
    <w:basedOn w:val="1297"/>
    <w:link w:val="1351"/>
    <w:uiPriority w:val="99"/>
    <w:unhideWhenUsed/>
    <w:qFormat/>
    <w:pPr>
      <w:spacing w:after="0" w:line="240" w:lineRule="auto"/>
      <w:tabs>
        <w:tab w:val="center" w:pos="7143" w:leader="none"/>
        <w:tab w:val="right" w:pos="14287" w:leader="none"/>
      </w:tabs>
    </w:pPr>
  </w:style>
  <w:style w:type="paragraph" w:styleId="1319">
    <w:name w:val="toc 1"/>
    <w:basedOn w:val="1297"/>
    <w:next w:val="1297"/>
    <w:uiPriority w:val="39"/>
    <w:unhideWhenUsed/>
    <w:qFormat/>
    <w:pPr>
      <w:ind w:left="0" w:right="0" w:firstLine="0"/>
      <w:spacing w:after="57"/>
    </w:pPr>
  </w:style>
  <w:style w:type="paragraph" w:styleId="1320">
    <w:name w:val="toc 4"/>
    <w:basedOn w:val="1297"/>
    <w:next w:val="1297"/>
    <w:uiPriority w:val="39"/>
    <w:unhideWhenUsed/>
    <w:qFormat/>
    <w:pPr>
      <w:ind w:left="850" w:right="0" w:firstLine="0"/>
      <w:spacing w:after="57"/>
    </w:pPr>
  </w:style>
  <w:style w:type="paragraph" w:styleId="1321">
    <w:name w:val="Subtitle"/>
    <w:basedOn w:val="1297"/>
    <w:next w:val="1297"/>
    <w:link w:val="1346"/>
    <w:uiPriority w:val="11"/>
    <w:qFormat/>
    <w:pPr>
      <w:spacing w:before="200" w:after="200"/>
    </w:pPr>
    <w:rPr>
      <w:sz w:val="24"/>
      <w:szCs w:val="24"/>
    </w:rPr>
  </w:style>
  <w:style w:type="paragraph" w:styleId="1322">
    <w:name w:val="footnote text"/>
    <w:basedOn w:val="1297"/>
    <w:link w:val="1479"/>
    <w:uiPriority w:val="99"/>
    <w:semiHidden/>
    <w:unhideWhenUsed/>
    <w:qFormat/>
    <w:pPr>
      <w:spacing w:after="40" w:line="240" w:lineRule="auto"/>
    </w:pPr>
    <w:rPr>
      <w:sz w:val="18"/>
    </w:rPr>
  </w:style>
  <w:style w:type="paragraph" w:styleId="1323">
    <w:name w:val="toc 6"/>
    <w:basedOn w:val="1297"/>
    <w:next w:val="1297"/>
    <w:uiPriority w:val="39"/>
    <w:unhideWhenUsed/>
    <w:qFormat/>
    <w:pPr>
      <w:ind w:left="1417" w:right="0" w:firstLine="0"/>
      <w:spacing w:after="57"/>
    </w:pPr>
  </w:style>
  <w:style w:type="paragraph" w:styleId="1324">
    <w:name w:val="table of figures"/>
    <w:basedOn w:val="1297"/>
    <w:next w:val="1297"/>
    <w:uiPriority w:val="99"/>
    <w:unhideWhenUsed/>
    <w:qFormat/>
    <w:pPr>
      <w:spacing w:after="0" w:afterAutospacing="0"/>
    </w:pPr>
  </w:style>
  <w:style w:type="paragraph" w:styleId="1325">
    <w:name w:val="toc 2"/>
    <w:basedOn w:val="1297"/>
    <w:next w:val="1297"/>
    <w:uiPriority w:val="39"/>
    <w:unhideWhenUsed/>
    <w:qFormat/>
    <w:pPr>
      <w:ind w:left="283" w:right="0" w:firstLine="0"/>
      <w:spacing w:after="57"/>
    </w:pPr>
  </w:style>
  <w:style w:type="paragraph" w:styleId="1326">
    <w:name w:val="toc 9"/>
    <w:basedOn w:val="1297"/>
    <w:next w:val="1297"/>
    <w:uiPriority w:val="39"/>
    <w:unhideWhenUsed/>
    <w:qFormat/>
    <w:pPr>
      <w:ind w:left="2268" w:right="0" w:firstLine="0"/>
      <w:spacing w:after="57"/>
    </w:pPr>
  </w:style>
  <w:style w:type="paragraph" w:styleId="1327">
    <w:name w:val="Title"/>
    <w:basedOn w:val="1297"/>
    <w:next w:val="1297"/>
    <w:link w:val="1345"/>
    <w:uiPriority w:val="10"/>
    <w:qFormat/>
    <w:pPr>
      <w:contextualSpacing/>
      <w:spacing w:before="300" w:after="200"/>
    </w:pPr>
    <w:rPr>
      <w:sz w:val="48"/>
      <w:szCs w:val="48"/>
    </w:rPr>
  </w:style>
  <w:style w:type="table" w:styleId="13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29">
    <w:name w:val="endnote reference"/>
    <w:uiPriority w:val="99"/>
    <w:semiHidden/>
    <w:unhideWhenUsed/>
    <w:qFormat/>
    <w:rPr>
      <w:vertAlign w:val="superscript"/>
    </w:rPr>
  </w:style>
  <w:style w:type="character" w:styleId="1330">
    <w:name w:val="FollowedHyperlink"/>
    <w:uiPriority w:val="0"/>
    <w:qFormat/>
    <w:rPr>
      <w:color w:val="auto"/>
      <w:sz w:val="21"/>
      <w:szCs w:val="24"/>
      <w:u w:val="none"/>
    </w:rPr>
  </w:style>
  <w:style w:type="character" w:styleId="1331">
    <w:name w:val="Hyperlink"/>
    <w:uiPriority w:val="99"/>
    <w:unhideWhenUsed/>
    <w:qFormat/>
    <w:rPr>
      <w:color w:val="0000ff" w:themeColor="hyperlink"/>
      <w:u w:val="single"/>
    </w:rPr>
  </w:style>
  <w:style w:type="character" w:styleId="1332">
    <w:name w:val="footnote reference"/>
    <w:uiPriority w:val="99"/>
    <w:unhideWhenUsed/>
    <w:qFormat/>
    <w:rPr>
      <w:vertAlign w:val="superscript"/>
    </w:rPr>
  </w:style>
  <w:style w:type="paragraph" w:styleId="1333" w:customStyle="1">
    <w:name w:val="页脚1"/>
    <w:basedOn w:val="1297"/>
    <w:next w:val="1334"/>
    <w:link w:val="1489"/>
    <w:uiPriority w:val="0"/>
    <w:unhideWhenUsed/>
    <w:qFormat/>
    <w:pPr>
      <w:jc w:val="left"/>
      <w:tabs>
        <w:tab w:val="center" w:pos="4153" w:leader="none"/>
        <w:tab w:val="right" w:pos="8306" w:leader="none"/>
      </w:tabs>
    </w:pPr>
    <w:rPr>
      <w:sz w:val="18"/>
      <w:szCs w:val="18"/>
    </w:rPr>
  </w:style>
  <w:style w:type="paragraph" w:styleId="1334" w:customStyle="1">
    <w:name w:val="TOC Heading1"/>
    <w:next w:val="1297"/>
    <w:uiPriority w:val="0"/>
    <w:qFormat/>
    <w:rPr>
      <w:rFonts w:hint="default" w:ascii="Times New Roman" w:hAnsi="Times New Roman" w:eastAsia="宋体" w:cs="Times New Roman"/>
      <w:sz w:val="32"/>
      <w:lang w:val="en-US" w:eastAsia="zh-CN" w:bidi="ar-SA"/>
    </w:rPr>
  </w:style>
  <w:style w:type="character" w:styleId="1335" w:customStyle="1">
    <w:name w:val="Heading 1 Char"/>
    <w:link w:val="1298"/>
    <w:uiPriority w:val="9"/>
    <w:qFormat/>
    <w:rPr>
      <w:rFonts w:ascii="Arial" w:hAnsi="Arial" w:eastAsia="Arial" w:cs="Arial"/>
      <w:sz w:val="40"/>
      <w:szCs w:val="40"/>
    </w:rPr>
  </w:style>
  <w:style w:type="character" w:styleId="1336" w:customStyle="1">
    <w:name w:val="Heading 2 Char"/>
    <w:link w:val="1299"/>
    <w:uiPriority w:val="9"/>
    <w:qFormat/>
    <w:rPr>
      <w:rFonts w:ascii="Arial" w:hAnsi="Arial" w:eastAsia="Arial" w:cs="Arial"/>
      <w:sz w:val="34"/>
    </w:rPr>
  </w:style>
  <w:style w:type="character" w:styleId="1337" w:customStyle="1">
    <w:name w:val="Heading 3 Char"/>
    <w:link w:val="1300"/>
    <w:uiPriority w:val="9"/>
    <w:qFormat/>
    <w:rPr>
      <w:rFonts w:ascii="Arial" w:hAnsi="Arial" w:eastAsia="Arial" w:cs="Arial"/>
      <w:sz w:val="30"/>
      <w:szCs w:val="30"/>
    </w:rPr>
  </w:style>
  <w:style w:type="character" w:styleId="1338" w:customStyle="1">
    <w:name w:val="Heading 4 Char"/>
    <w:link w:val="1301"/>
    <w:uiPriority w:val="9"/>
    <w:qFormat/>
    <w:rPr>
      <w:rFonts w:ascii="Arial" w:hAnsi="Arial" w:eastAsia="Arial" w:cs="Arial"/>
      <w:b/>
      <w:bCs/>
      <w:sz w:val="26"/>
      <w:szCs w:val="26"/>
    </w:rPr>
  </w:style>
  <w:style w:type="character" w:styleId="1339" w:customStyle="1">
    <w:name w:val="Heading 5 Char"/>
    <w:link w:val="1302"/>
    <w:uiPriority w:val="9"/>
    <w:qFormat/>
    <w:rPr>
      <w:rFonts w:ascii="Arial" w:hAnsi="Arial" w:eastAsia="Arial" w:cs="Arial"/>
      <w:b/>
      <w:bCs/>
      <w:sz w:val="24"/>
      <w:szCs w:val="24"/>
    </w:rPr>
  </w:style>
  <w:style w:type="character" w:styleId="1340" w:customStyle="1">
    <w:name w:val="Heading 6 Char"/>
    <w:link w:val="1303"/>
    <w:uiPriority w:val="9"/>
    <w:qFormat/>
    <w:rPr>
      <w:rFonts w:ascii="Arial" w:hAnsi="Arial" w:eastAsia="Arial" w:cs="Arial"/>
      <w:b/>
      <w:bCs/>
      <w:sz w:val="22"/>
      <w:szCs w:val="22"/>
    </w:rPr>
  </w:style>
  <w:style w:type="character" w:styleId="1341" w:customStyle="1">
    <w:name w:val="Heading 7 Char"/>
    <w:link w:val="1304"/>
    <w:uiPriority w:val="9"/>
    <w:qFormat/>
    <w:rPr>
      <w:rFonts w:ascii="Arial" w:hAnsi="Arial" w:eastAsia="Arial" w:cs="Arial"/>
      <w:b/>
      <w:bCs/>
      <w:i/>
      <w:iCs/>
      <w:sz w:val="22"/>
      <w:szCs w:val="22"/>
    </w:rPr>
  </w:style>
  <w:style w:type="character" w:styleId="1342" w:customStyle="1">
    <w:name w:val="Heading 8 Char"/>
    <w:link w:val="1305"/>
    <w:uiPriority w:val="9"/>
    <w:qFormat/>
    <w:rPr>
      <w:rFonts w:ascii="Arial" w:hAnsi="Arial" w:eastAsia="Arial" w:cs="Arial"/>
      <w:i/>
      <w:iCs/>
      <w:sz w:val="22"/>
      <w:szCs w:val="22"/>
    </w:rPr>
  </w:style>
  <w:style w:type="character" w:styleId="1343" w:customStyle="1">
    <w:name w:val="Heading 9 Char"/>
    <w:link w:val="1306"/>
    <w:uiPriority w:val="9"/>
    <w:qFormat/>
    <w:rPr>
      <w:rFonts w:ascii="Arial" w:hAnsi="Arial" w:eastAsia="Arial" w:cs="Arial"/>
      <w:i/>
      <w:iCs/>
      <w:sz w:val="21"/>
      <w:szCs w:val="21"/>
    </w:rPr>
  </w:style>
  <w:style w:type="paragraph" w:styleId="1344">
    <w:name w:val="No Spacing"/>
    <w:uiPriority w:val="1"/>
    <w:qFormat/>
    <w:pPr>
      <w:spacing w:before="0" w:after="0" w:line="240" w:lineRule="auto"/>
    </w:pPr>
    <w:rPr>
      <w:rFonts w:hint="default" w:ascii="Times New Roman" w:hAnsi="Times New Roman" w:eastAsia="宋体" w:cs="Times New Roman"/>
    </w:rPr>
  </w:style>
  <w:style w:type="character" w:styleId="1345" w:customStyle="1">
    <w:name w:val="Title Char"/>
    <w:link w:val="1327"/>
    <w:uiPriority w:val="10"/>
    <w:qFormat/>
    <w:rPr>
      <w:sz w:val="48"/>
      <w:szCs w:val="48"/>
    </w:rPr>
  </w:style>
  <w:style w:type="character" w:styleId="1346" w:customStyle="1">
    <w:name w:val="Subtitle Char"/>
    <w:link w:val="1321"/>
    <w:uiPriority w:val="11"/>
    <w:qFormat/>
    <w:rPr>
      <w:sz w:val="24"/>
      <w:szCs w:val="24"/>
    </w:rPr>
  </w:style>
  <w:style w:type="paragraph" w:styleId="1347">
    <w:name w:val="Quote"/>
    <w:basedOn w:val="1297"/>
    <w:next w:val="1297"/>
    <w:link w:val="1348"/>
    <w:uiPriority w:val="29"/>
    <w:qFormat/>
    <w:pPr>
      <w:ind w:left="720" w:right="720"/>
    </w:pPr>
    <w:rPr>
      <w:i/>
    </w:rPr>
  </w:style>
  <w:style w:type="character" w:styleId="1348" w:customStyle="1">
    <w:name w:val="Quote Char"/>
    <w:link w:val="1347"/>
    <w:uiPriority w:val="29"/>
    <w:qFormat/>
    <w:rPr>
      <w:i/>
    </w:rPr>
  </w:style>
  <w:style w:type="paragraph" w:styleId="1349">
    <w:name w:val="Intense Quote"/>
    <w:basedOn w:val="1297"/>
    <w:next w:val="1297"/>
    <w:link w:val="13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0" w:customStyle="1">
    <w:name w:val="Intense Quote Char"/>
    <w:link w:val="1349"/>
    <w:uiPriority w:val="30"/>
    <w:qFormat/>
    <w:rPr>
      <w:i/>
    </w:rPr>
  </w:style>
  <w:style w:type="character" w:styleId="1351" w:customStyle="1">
    <w:name w:val="Header Char"/>
    <w:link w:val="1318"/>
    <w:uiPriority w:val="99"/>
    <w:qFormat/>
  </w:style>
  <w:style w:type="character" w:styleId="1352" w:customStyle="1">
    <w:name w:val="Footer Char"/>
    <w:link w:val="1317"/>
    <w:uiPriority w:val="99"/>
    <w:qFormat/>
  </w:style>
  <w:style w:type="character" w:styleId="1353" w:customStyle="1">
    <w:name w:val="Caption Char"/>
    <w:link w:val="1317"/>
    <w:uiPriority w:val="99"/>
    <w:qFormat/>
  </w:style>
  <w:style w:type="table" w:styleId="13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3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3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3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3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4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4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4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4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4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4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4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4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4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79" w:customStyle="1">
    <w:name w:val="Footnote Text Char"/>
    <w:link w:val="1322"/>
    <w:uiPriority w:val="99"/>
    <w:qFormat/>
    <w:rPr>
      <w:sz w:val="18"/>
    </w:rPr>
  </w:style>
  <w:style w:type="character" w:styleId="1480" w:customStyle="1">
    <w:name w:val="Endnote Text Char"/>
    <w:link w:val="1316"/>
    <w:uiPriority w:val="99"/>
    <w:qFormat/>
    <w:rPr>
      <w:sz w:val="20"/>
    </w:rPr>
  </w:style>
  <w:style w:type="paragraph" w:styleId="1481" w:customStyle="1">
    <w:name w:val="TOC Heading"/>
    <w:uiPriority w:val="39"/>
    <w:unhideWhenUsed/>
    <w:qFormat/>
    <w:rPr>
      <w:rFonts w:hint="default" w:ascii="Times New Roman" w:hAnsi="Times New Roman" w:eastAsia="宋体" w:cs="Times New Roman"/>
    </w:rPr>
  </w:style>
  <w:style w:type="paragraph" w:styleId="1482" w:customStyle="1">
    <w:name w:val="标题 11"/>
    <w:basedOn w:val="1297"/>
    <w:next w:val="1297"/>
    <w:link w:val="1490"/>
    <w:uiPriority w:val="0"/>
    <w:qFormat/>
    <w:pPr>
      <w:jc w:val="center"/>
      <w:keepNext/>
      <w:outlineLvl w:val="0"/>
    </w:pPr>
    <w:rPr>
      <w:rFonts w:ascii="楷体_GB2312" w:hAnsi="楷体_GB2312" w:eastAsia="宋体"/>
      <w:b/>
      <w:sz w:val="28"/>
      <w:szCs w:val="32"/>
    </w:rPr>
  </w:style>
  <w:style w:type="paragraph" w:styleId="1483" w:customStyle="1">
    <w:name w:val="标题 21"/>
    <w:basedOn w:val="1297"/>
    <w:next w:val="1297"/>
    <w:link w:val="1491"/>
    <w:uiPriority w:val="0"/>
    <w:qFormat/>
    <w:pPr>
      <w:jc w:val="center"/>
      <w:keepNext/>
      <w:outlineLvl w:val="1"/>
    </w:pPr>
    <w:rPr>
      <w:rFonts w:ascii="楷体_GB2312" w:eastAsia="楷体_GB2312"/>
      <w:b/>
      <w:bCs/>
      <w:sz w:val="18"/>
    </w:rPr>
  </w:style>
  <w:style w:type="paragraph" w:styleId="1484" w:customStyle="1">
    <w:name w:val="标题 31"/>
    <w:basedOn w:val="1297"/>
    <w:next w:val="1297"/>
    <w:link w:val="1492"/>
    <w:uiPriority w:val="0"/>
    <w:qFormat/>
    <w:pPr>
      <w:jc w:val="center"/>
      <w:keepNext/>
      <w:outlineLvl w:val="2"/>
    </w:pPr>
    <w:rPr>
      <w:rFonts w:eastAsia="楷体_GB2312"/>
      <w:b/>
      <w:bCs/>
      <w:sz w:val="15"/>
    </w:rPr>
  </w:style>
  <w:style w:type="paragraph" w:styleId="1485" w:customStyle="1">
    <w:name w:val="标题 411"/>
    <w:basedOn w:val="1297"/>
    <w:next w:val="1297"/>
    <w:link w:val="1493"/>
    <w:uiPriority w:val="0"/>
    <w:qFormat/>
    <w:pPr>
      <w:jc w:val="center"/>
      <w:keepNext/>
      <w:outlineLvl w:val="3"/>
    </w:pPr>
    <w:rPr>
      <w:rFonts w:eastAsia="楷体_GB2312"/>
      <w:b/>
      <w:bCs/>
      <w:sz w:val="13"/>
    </w:rPr>
  </w:style>
  <w:style w:type="paragraph" w:styleId="1486" w:customStyle="1">
    <w:name w:val="标题 51"/>
    <w:basedOn w:val="1297"/>
    <w:next w:val="1297"/>
    <w:link w:val="1494"/>
    <w:uiPriority w:val="0"/>
    <w:qFormat/>
    <w:pPr>
      <w:numPr>
        <w:ilvl w:val="0"/>
        <w:numId w:val="1"/>
      </w:numPr>
      <w:keepNext/>
      <w:outlineLvl w:val="4"/>
    </w:pPr>
    <w:rPr>
      <w:rFonts w:ascii="楷体_GB2312" w:eastAsia="楷体_GB2312"/>
      <w:bCs/>
      <w:sz w:val="28"/>
    </w:rPr>
  </w:style>
  <w:style w:type="character" w:styleId="1487" w:customStyle="1">
    <w:name w:val="默认段落字体1"/>
    <w:link w:val="1297"/>
    <w:uiPriority w:val="1"/>
    <w:unhideWhenUsed/>
    <w:qFormat/>
  </w:style>
  <w:style w:type="table" w:styleId="1488" w:customStyle="1">
    <w:name w:val="普通表格1"/>
    <w:uiPriority w:val="99"/>
    <w:unhideWhenUsed/>
    <w:qFormat/>
    <w:tblPr/>
  </w:style>
  <w:style w:type="character" w:styleId="1489" w:customStyle="1">
    <w:name w:val="页脚 字符"/>
    <w:link w:val="1333"/>
    <w:uiPriority w:val="0"/>
    <w:qFormat/>
    <w:rPr>
      <w:sz w:val="18"/>
      <w:szCs w:val="18"/>
    </w:rPr>
  </w:style>
  <w:style w:type="character" w:styleId="1490" w:customStyle="1">
    <w:name w:val="标题 1 字符"/>
    <w:link w:val="1482"/>
    <w:uiPriority w:val="0"/>
    <w:qFormat/>
    <w:rPr>
      <w:rFonts w:ascii="楷体_GB2312" w:hAnsi="楷体_GB2312" w:eastAsia="宋体" w:cs="Times New Roman"/>
      <w:b/>
      <w:sz w:val="28"/>
      <w:szCs w:val="32"/>
    </w:rPr>
  </w:style>
  <w:style w:type="character" w:styleId="1491" w:customStyle="1">
    <w:name w:val="标题 2 字符"/>
    <w:link w:val="1483"/>
    <w:uiPriority w:val="0"/>
    <w:qFormat/>
    <w:rPr>
      <w:rFonts w:ascii="楷体_GB2312" w:hAnsi="Times New Roman" w:eastAsia="楷体_GB2312" w:cs="Times New Roman"/>
      <w:b/>
      <w:bCs/>
      <w:sz w:val="18"/>
      <w:szCs w:val="20"/>
    </w:rPr>
  </w:style>
  <w:style w:type="character" w:styleId="1492" w:customStyle="1">
    <w:name w:val="标题 3 字符"/>
    <w:link w:val="1484"/>
    <w:uiPriority w:val="0"/>
    <w:qFormat/>
    <w:rPr>
      <w:rFonts w:ascii="Times New Roman" w:hAnsi="Times New Roman" w:eastAsia="楷体_GB2312" w:cs="Times New Roman"/>
      <w:b/>
      <w:bCs/>
      <w:sz w:val="15"/>
      <w:szCs w:val="20"/>
    </w:rPr>
  </w:style>
  <w:style w:type="character" w:styleId="1493" w:customStyle="1">
    <w:name w:val="标题 4 字符"/>
    <w:link w:val="1485"/>
    <w:uiPriority w:val="0"/>
    <w:qFormat/>
    <w:rPr>
      <w:rFonts w:ascii="Times New Roman" w:hAnsi="Times New Roman" w:eastAsia="楷体_GB2312" w:cs="Times New Roman"/>
      <w:b/>
      <w:bCs/>
      <w:sz w:val="13"/>
      <w:szCs w:val="20"/>
    </w:rPr>
  </w:style>
  <w:style w:type="character" w:styleId="1494" w:customStyle="1">
    <w:name w:val="标题 5 字符"/>
    <w:link w:val="1486"/>
    <w:uiPriority w:val="0"/>
    <w:qFormat/>
    <w:rPr>
      <w:rFonts w:ascii="楷体_GB2312" w:hAnsi="Times New Roman" w:eastAsia="楷体_GB2312" w:cs="Times New Roman"/>
      <w:bCs/>
      <w:sz w:val="28"/>
      <w:szCs w:val="20"/>
    </w:rPr>
  </w:style>
  <w:style w:type="paragraph" w:styleId="1495" w:customStyle="1">
    <w:name w:val="正文缩进1"/>
    <w:basedOn w:val="1297"/>
    <w:link w:val="1496"/>
    <w:uiPriority w:val="0"/>
    <w:unhideWhenUsed/>
    <w:qFormat/>
    <w:pPr>
      <w:ind w:firstLine="420"/>
    </w:pPr>
  </w:style>
  <w:style w:type="character" w:styleId="1496" w:customStyle="1">
    <w:name w:val="正文缩进 字符"/>
    <w:link w:val="1495"/>
    <w:uiPriority w:val="0"/>
    <w:semiHidden/>
    <w:qFormat/>
    <w:rPr>
      <w:rFonts w:ascii="Times New Roman" w:hAnsi="Times New Roman"/>
      <w:sz w:val="21"/>
    </w:rPr>
  </w:style>
  <w:style w:type="paragraph" w:styleId="1497" w:customStyle="1">
    <w:name w:val="文档结构图1"/>
    <w:basedOn w:val="1297"/>
    <w:link w:val="1498"/>
    <w:uiPriority w:val="0"/>
    <w:semiHidden/>
    <w:qFormat/>
    <w:pPr>
      <w:shd w:val="clear" w:color="auto" w:fill="000080"/>
    </w:pPr>
    <w:rPr>
      <w:sz w:val="20"/>
    </w:rPr>
  </w:style>
  <w:style w:type="character" w:styleId="1498" w:customStyle="1">
    <w:name w:val="文档结构图 字符"/>
    <w:link w:val="1497"/>
    <w:uiPriority w:val="0"/>
    <w:semiHidden/>
    <w:qFormat/>
    <w:rPr>
      <w:rFonts w:ascii="Times New Roman" w:hAnsi="Times New Roman" w:eastAsia="宋体" w:cs="Times New Roman"/>
      <w:szCs w:val="20"/>
      <w:shd w:val="clear" w:color="auto" w:fill="000080"/>
    </w:rPr>
  </w:style>
  <w:style w:type="paragraph" w:styleId="1499" w:customStyle="1">
    <w:name w:val="批注文字1"/>
    <w:basedOn w:val="1297"/>
    <w:link w:val="1500"/>
    <w:uiPriority w:val="99"/>
    <w:semiHidden/>
    <w:qFormat/>
    <w:pPr>
      <w:jc w:val="left"/>
    </w:pPr>
    <w:rPr>
      <w:sz w:val="20"/>
      <w:szCs w:val="24"/>
    </w:rPr>
  </w:style>
  <w:style w:type="character" w:styleId="1500" w:customStyle="1">
    <w:name w:val="批注文字 字符"/>
    <w:link w:val="1499"/>
    <w:uiPriority w:val="99"/>
    <w:semiHidden/>
    <w:qFormat/>
    <w:rPr>
      <w:rFonts w:ascii="Times New Roman" w:hAnsi="Times New Roman" w:eastAsia="宋体" w:cs="Times New Roman"/>
      <w:szCs w:val="24"/>
    </w:rPr>
  </w:style>
  <w:style w:type="paragraph" w:styleId="1501" w:customStyle="1">
    <w:name w:val="正文文本11"/>
    <w:basedOn w:val="1297"/>
    <w:next w:val="1297"/>
    <w:link w:val="1502"/>
    <w:uiPriority w:val="99"/>
    <w:qFormat/>
    <w:rPr>
      <w:rFonts w:ascii="华文中宋" w:eastAsia="华文中宋"/>
      <w:bCs/>
      <w:sz w:val="28"/>
    </w:rPr>
  </w:style>
  <w:style w:type="character" w:styleId="1502" w:customStyle="1">
    <w:name w:val="正文文本 字符"/>
    <w:link w:val="1501"/>
    <w:uiPriority w:val="99"/>
    <w:qFormat/>
    <w:rPr>
      <w:rFonts w:ascii="华文中宋" w:hAnsi="Times New Roman" w:eastAsia="华文中宋" w:cs="Times New Roman"/>
      <w:bCs/>
      <w:sz w:val="28"/>
      <w:szCs w:val="20"/>
    </w:rPr>
  </w:style>
  <w:style w:type="paragraph" w:styleId="1503" w:customStyle="1">
    <w:name w:val="正文文本缩进1"/>
    <w:basedOn w:val="1297"/>
    <w:next w:val="1504"/>
    <w:link w:val="1505"/>
    <w:uiPriority w:val="0"/>
    <w:qFormat/>
    <w:pPr>
      <w:ind w:firstLine="576"/>
    </w:pPr>
    <w:rPr>
      <w:b/>
      <w:sz w:val="30"/>
    </w:rPr>
  </w:style>
  <w:style w:type="paragraph" w:styleId="1504" w:customStyle="1">
    <w:name w:val="寄信人地址1"/>
    <w:basedOn w:val="1297"/>
    <w:uiPriority w:val="0"/>
    <w:qFormat/>
    <w:rPr>
      <w:rFonts w:ascii="Arial" w:hAnsi="Arial"/>
    </w:rPr>
  </w:style>
  <w:style w:type="character" w:styleId="1505" w:customStyle="1">
    <w:name w:val="正文文本缩进 字符"/>
    <w:link w:val="1503"/>
    <w:uiPriority w:val="0"/>
    <w:qFormat/>
    <w:rPr>
      <w:rFonts w:ascii="Times New Roman" w:hAnsi="Times New Roman" w:eastAsia="宋体" w:cs="Times New Roman"/>
      <w:b/>
      <w:sz w:val="30"/>
      <w:szCs w:val="20"/>
    </w:rPr>
  </w:style>
  <w:style w:type="paragraph" w:styleId="1506" w:customStyle="1">
    <w:name w:val="索引 41"/>
    <w:basedOn w:val="1297"/>
    <w:next w:val="1297"/>
    <w:uiPriority w:val="99"/>
    <w:qFormat/>
    <w:pPr>
      <w:ind w:left="600"/>
    </w:pPr>
    <w:rPr>
      <w:szCs w:val="24"/>
    </w:rPr>
  </w:style>
  <w:style w:type="paragraph" w:styleId="1507" w:customStyle="1">
    <w:name w:val="纯文本1"/>
    <w:basedOn w:val="1297"/>
    <w:link w:val="1508"/>
    <w:uiPriority w:val="0"/>
    <w:qFormat/>
    <w:rPr>
      <w:rFonts w:ascii="宋体" w:hAnsi="Courier New"/>
    </w:rPr>
  </w:style>
  <w:style w:type="character" w:styleId="1508" w:customStyle="1">
    <w:name w:val="纯文本 字符"/>
    <w:link w:val="1507"/>
    <w:uiPriority w:val="0"/>
    <w:qFormat/>
    <w:rPr>
      <w:rFonts w:ascii="宋体" w:hAnsi="Courier New"/>
      <w:sz w:val="21"/>
    </w:rPr>
  </w:style>
  <w:style w:type="paragraph" w:styleId="1509" w:customStyle="1">
    <w:name w:val="日期1"/>
    <w:basedOn w:val="1297"/>
    <w:next w:val="1297"/>
    <w:link w:val="1510"/>
    <w:uiPriority w:val="0"/>
    <w:qFormat/>
    <w:rPr>
      <w:rFonts w:eastAsia="黑体"/>
      <w:b/>
      <w:sz w:val="36"/>
    </w:rPr>
  </w:style>
  <w:style w:type="character" w:styleId="1510" w:customStyle="1">
    <w:name w:val="日期 字符"/>
    <w:link w:val="1509"/>
    <w:uiPriority w:val="0"/>
    <w:qFormat/>
    <w:rPr>
      <w:rFonts w:ascii="Times New Roman" w:hAnsi="Times New Roman" w:eastAsia="黑体" w:cs="Times New Roman"/>
      <w:b/>
      <w:sz w:val="36"/>
      <w:szCs w:val="20"/>
    </w:rPr>
  </w:style>
  <w:style w:type="paragraph" w:styleId="1511" w:customStyle="1">
    <w:name w:val="正文文本缩进 21"/>
    <w:basedOn w:val="1297"/>
    <w:link w:val="1512"/>
    <w:uiPriority w:val="0"/>
    <w:qFormat/>
    <w:pPr>
      <w:ind w:left="900"/>
    </w:pPr>
    <w:rPr>
      <w:rFonts w:ascii="楷体_GB2312" w:eastAsia="楷体_GB2312"/>
      <w:b/>
      <w:sz w:val="28"/>
    </w:rPr>
  </w:style>
  <w:style w:type="character" w:styleId="1512" w:customStyle="1">
    <w:name w:val="正文文本缩进 2 字符"/>
    <w:link w:val="1511"/>
    <w:uiPriority w:val="0"/>
    <w:qFormat/>
    <w:rPr>
      <w:rFonts w:ascii="楷体_GB2312" w:hAnsi="Times New Roman" w:eastAsia="楷体_GB2312" w:cs="Times New Roman"/>
      <w:b/>
      <w:sz w:val="28"/>
      <w:szCs w:val="20"/>
    </w:rPr>
  </w:style>
  <w:style w:type="paragraph" w:styleId="1513" w:customStyle="1">
    <w:name w:val="批注框文本1"/>
    <w:basedOn w:val="1297"/>
    <w:link w:val="1514"/>
    <w:uiPriority w:val="99"/>
    <w:unhideWhenUsed/>
    <w:qFormat/>
    <w:rPr>
      <w:sz w:val="18"/>
      <w:szCs w:val="18"/>
    </w:rPr>
  </w:style>
  <w:style w:type="character" w:styleId="1514" w:customStyle="1">
    <w:name w:val="批注框文本 字符"/>
    <w:link w:val="1513"/>
    <w:uiPriority w:val="99"/>
    <w:semiHidden/>
    <w:qFormat/>
    <w:rPr>
      <w:rFonts w:ascii="Times New Roman" w:hAnsi="Times New Roman" w:eastAsia="宋体" w:cs="Times New Roman"/>
      <w:sz w:val="18"/>
      <w:szCs w:val="18"/>
    </w:rPr>
  </w:style>
  <w:style w:type="paragraph" w:styleId="1515" w:customStyle="1">
    <w:name w:val="页眉1"/>
    <w:basedOn w:val="1297"/>
    <w:link w:val="151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16" w:customStyle="1">
    <w:name w:val="页眉 字符"/>
    <w:link w:val="1515"/>
    <w:uiPriority w:val="0"/>
    <w:qFormat/>
    <w:rPr>
      <w:sz w:val="18"/>
      <w:szCs w:val="18"/>
    </w:rPr>
  </w:style>
  <w:style w:type="paragraph" w:styleId="1517" w:customStyle="1">
    <w:name w:val="目录 11"/>
    <w:basedOn w:val="1297"/>
    <w:next w:val="1297"/>
    <w:uiPriority w:val="39"/>
    <w:unhideWhenUsed/>
    <w:qFormat/>
  </w:style>
  <w:style w:type="paragraph" w:styleId="1518" w:customStyle="1">
    <w:name w:val="列表1"/>
    <w:basedOn w:val="1297"/>
    <w:uiPriority w:val="0"/>
    <w:qFormat/>
    <w:pPr>
      <w:ind w:left="420" w:hanging="420"/>
      <w:spacing w:after="20" w:line="288" w:lineRule="auto"/>
      <w:tabs>
        <w:tab w:val="left" w:pos="420" w:leader="none"/>
      </w:tabs>
    </w:pPr>
    <w:rPr>
      <w:szCs w:val="20"/>
      <w:lang w:val="en-GB"/>
    </w:rPr>
  </w:style>
  <w:style w:type="paragraph" w:styleId="1519" w:customStyle="1">
    <w:name w:val="正文文本缩进 31"/>
    <w:basedOn w:val="1297"/>
    <w:link w:val="1520"/>
    <w:uiPriority w:val="0"/>
    <w:qFormat/>
    <w:pPr>
      <w:ind w:left="359" w:firstLine="359"/>
    </w:pPr>
    <w:rPr>
      <w:sz w:val="20"/>
    </w:rPr>
  </w:style>
  <w:style w:type="character" w:styleId="1520" w:customStyle="1">
    <w:name w:val="正文文本缩进 3 字符"/>
    <w:link w:val="1519"/>
    <w:uiPriority w:val="0"/>
    <w:qFormat/>
    <w:rPr>
      <w:rFonts w:ascii="Times New Roman" w:hAnsi="Times New Roman" w:eastAsia="宋体" w:cs="Times New Roman"/>
      <w:szCs w:val="20"/>
    </w:rPr>
  </w:style>
  <w:style w:type="paragraph" w:styleId="1521" w:customStyle="1">
    <w:name w:val="目录 21"/>
    <w:basedOn w:val="1297"/>
    <w:next w:val="1297"/>
    <w:uiPriority w:val="39"/>
    <w:qFormat/>
    <w:pPr>
      <w:ind w:left="210" w:firstLine="150"/>
      <w:jc w:val="left"/>
      <w:tabs>
        <w:tab w:val="right" w:pos="9170" w:leader="dot"/>
      </w:tabs>
    </w:pPr>
    <w:rPr>
      <w:smallCaps/>
      <w:sz w:val="20"/>
    </w:rPr>
  </w:style>
  <w:style w:type="paragraph" w:styleId="1522" w:customStyle="1">
    <w:name w:val="正文文本 21"/>
    <w:basedOn w:val="1297"/>
    <w:link w:val="1523"/>
    <w:uiPriority w:val="0"/>
    <w:qFormat/>
    <w:pPr>
      <w:spacing w:after="120" w:line="480" w:lineRule="auto"/>
    </w:pPr>
    <w:rPr>
      <w:sz w:val="20"/>
    </w:rPr>
  </w:style>
  <w:style w:type="character" w:styleId="1523" w:customStyle="1">
    <w:name w:val="正文文本 2 字符"/>
    <w:link w:val="1522"/>
    <w:uiPriority w:val="0"/>
    <w:qFormat/>
    <w:rPr>
      <w:rFonts w:ascii="Times New Roman" w:hAnsi="Times New Roman" w:eastAsia="宋体" w:cs="Times New Roman"/>
      <w:szCs w:val="20"/>
    </w:rPr>
  </w:style>
  <w:style w:type="paragraph" w:styleId="1524" w:customStyle="1">
    <w:name w:val="普通(网站)1"/>
    <w:basedOn w:val="1297"/>
    <w:uiPriority w:val="99"/>
    <w:qFormat/>
    <w:pPr>
      <w:jc w:val="left"/>
      <w:spacing w:before="100" w:beforeAutospacing="1" w:after="100" w:afterAutospacing="1"/>
      <w:widowControl/>
    </w:pPr>
    <w:rPr>
      <w:rFonts w:ascii="宋体" w:hAnsi="宋体" w:cs="宋体"/>
      <w:sz w:val="24"/>
      <w:szCs w:val="24"/>
    </w:rPr>
  </w:style>
  <w:style w:type="paragraph" w:styleId="1525" w:customStyle="1">
    <w:name w:val="批注主题1"/>
    <w:basedOn w:val="1499"/>
    <w:next w:val="1499"/>
    <w:link w:val="1526"/>
    <w:uiPriority w:val="99"/>
    <w:semiHidden/>
    <w:qFormat/>
    <w:rPr>
      <w:b/>
      <w:bCs/>
    </w:rPr>
  </w:style>
  <w:style w:type="character" w:styleId="1526" w:customStyle="1">
    <w:name w:val="批注主题 字符"/>
    <w:link w:val="1525"/>
    <w:uiPriority w:val="99"/>
    <w:semiHidden/>
    <w:qFormat/>
    <w:rPr>
      <w:rFonts w:ascii="Times New Roman" w:hAnsi="Times New Roman" w:eastAsia="宋体" w:cs="Times New Roman"/>
      <w:b/>
      <w:bCs/>
      <w:szCs w:val="24"/>
    </w:rPr>
  </w:style>
  <w:style w:type="paragraph" w:styleId="1527" w:customStyle="1">
    <w:name w:val="正文首行缩进1"/>
    <w:basedOn w:val="1501"/>
    <w:link w:val="1528"/>
    <w:uiPriority w:val="0"/>
    <w:qFormat/>
    <w:pPr>
      <w:ind w:firstLine="420"/>
      <w:spacing w:after="120"/>
    </w:pPr>
    <w:rPr>
      <w:rFonts w:ascii="Times New Roman" w:eastAsia="宋体"/>
      <w:sz w:val="21"/>
      <w:szCs w:val="24"/>
    </w:rPr>
  </w:style>
  <w:style w:type="character" w:styleId="1528" w:customStyle="1">
    <w:name w:val="正文首行缩进 字符"/>
    <w:link w:val="1527"/>
    <w:uiPriority w:val="0"/>
    <w:qFormat/>
    <w:rPr>
      <w:rFonts w:ascii="Times New Roman" w:eastAsia="宋体"/>
      <w:sz w:val="21"/>
      <w:szCs w:val="24"/>
    </w:rPr>
  </w:style>
  <w:style w:type="paragraph" w:styleId="1529" w:customStyle="1">
    <w:name w:val="正文首行缩进 21"/>
    <w:basedOn w:val="1503"/>
    <w:next w:val="1297"/>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30" w:customStyle="1">
    <w:name w:val="网格型1"/>
    <w:basedOn w:val="1488"/>
    <w:uiPriority w:val="0"/>
    <w:qFormat/>
    <w:pPr>
      <w:jc w:val="both"/>
      <w:widowControl w:val="off"/>
    </w:pPr>
    <w:tblPr/>
  </w:style>
  <w:style w:type="character" w:styleId="1531" w:customStyle="1">
    <w:name w:val="要点1"/>
    <w:link w:val="1297"/>
    <w:uiPriority w:val="99"/>
    <w:qFormat/>
    <w:rPr>
      <w:rFonts w:cs="Times New Roman"/>
      <w:b/>
      <w:bCs/>
    </w:rPr>
  </w:style>
  <w:style w:type="character" w:styleId="1532" w:customStyle="1">
    <w:name w:val="页码1"/>
    <w:link w:val="1297"/>
    <w:uiPriority w:val="0"/>
    <w:qFormat/>
    <w:rPr>
      <w:rFonts w:cs="Times New Roman"/>
    </w:rPr>
  </w:style>
  <w:style w:type="character" w:styleId="1533" w:customStyle="1">
    <w:name w:val="已访问的超链接1"/>
    <w:link w:val="1297"/>
    <w:uiPriority w:val="99"/>
    <w:qFormat/>
    <w:rPr>
      <w:rFonts w:cs="Times New Roman"/>
      <w:color w:val="000000"/>
      <w:u w:val="none"/>
    </w:rPr>
  </w:style>
  <w:style w:type="character" w:styleId="1534" w:customStyle="1">
    <w:name w:val="HTML 打字机1"/>
    <w:link w:val="1297"/>
    <w:uiPriority w:val="99"/>
    <w:qFormat/>
    <w:rPr>
      <w:rFonts w:ascii="宋体" w:hAnsi="宋体" w:eastAsia="宋体" w:cs="宋体"/>
      <w:sz w:val="24"/>
      <w:szCs w:val="24"/>
    </w:rPr>
  </w:style>
  <w:style w:type="character" w:styleId="1535" w:customStyle="1">
    <w:name w:val="超链接1"/>
    <w:link w:val="1297"/>
    <w:uiPriority w:val="0"/>
    <w:qFormat/>
    <w:rPr>
      <w:color w:val="000000"/>
      <w:u w:val="none"/>
    </w:rPr>
  </w:style>
  <w:style w:type="character" w:styleId="1536" w:customStyle="1">
    <w:name w:val="font31"/>
    <w:link w:val="1297"/>
    <w:uiPriority w:val="0"/>
    <w:qFormat/>
    <w:rPr>
      <w:rFonts w:hint="eastAsia" w:ascii="仿宋" w:hAnsi="仿宋" w:eastAsia="仿宋" w:cs="仿宋"/>
      <w:color w:val="000000"/>
      <w:sz w:val="24"/>
      <w:szCs w:val="24"/>
      <w:u w:val="none"/>
    </w:rPr>
  </w:style>
  <w:style w:type="character" w:styleId="1537" w:customStyle="1">
    <w:name w:val="font11"/>
    <w:link w:val="1297"/>
    <w:uiPriority w:val="0"/>
    <w:qFormat/>
    <w:rPr>
      <w:rFonts w:hint="eastAsia" w:ascii="宋体" w:hAnsi="宋体" w:eastAsia="宋体" w:cs="宋体"/>
      <w:color w:val="000000"/>
      <w:sz w:val="20"/>
      <w:szCs w:val="20"/>
      <w:u w:val="none"/>
    </w:rPr>
  </w:style>
  <w:style w:type="character" w:styleId="1538" w:customStyle="1">
    <w:name w:val="正文文本缩进 2 Char1"/>
    <w:link w:val="1297"/>
    <w:uiPriority w:val="0"/>
    <w:semiHidden/>
    <w:qFormat/>
    <w:rPr>
      <w:rFonts w:ascii="Times New Roman" w:hAnsi="Times New Roman" w:eastAsia="宋体" w:cs="Times New Roman"/>
      <w:szCs w:val="20"/>
    </w:rPr>
  </w:style>
  <w:style w:type="character" w:styleId="1539" w:customStyle="1">
    <w:name w:val="批注框文本 Char1"/>
    <w:link w:val="1297"/>
    <w:uiPriority w:val="99"/>
    <w:semiHidden/>
    <w:qFormat/>
    <w:rPr>
      <w:rFonts w:ascii="Times New Roman" w:hAnsi="Times New Roman" w:eastAsia="宋体" w:cs="Times New Roman"/>
      <w:sz w:val="18"/>
      <w:szCs w:val="18"/>
    </w:rPr>
  </w:style>
  <w:style w:type="character" w:styleId="1540" w:customStyle="1">
    <w:name w:val="NormalCharacter1"/>
    <w:link w:val="1541"/>
    <w:uiPriority w:val="99"/>
    <w:qFormat/>
    <w:rPr>
      <w:sz w:val="20"/>
    </w:rPr>
  </w:style>
  <w:style w:type="paragraph" w:styleId="1541" w:customStyle="1">
    <w:name w:val="UserStyle_4"/>
    <w:basedOn w:val="1297"/>
    <w:link w:val="1540"/>
    <w:uiPriority w:val="99"/>
    <w:qFormat/>
    <w:pPr>
      <w:widowControl/>
    </w:pPr>
    <w:rPr>
      <w:sz w:val="20"/>
    </w:rPr>
  </w:style>
  <w:style w:type="character" w:styleId="1542" w:customStyle="1">
    <w:name w:val="正文文本缩进 Char1"/>
    <w:link w:val="1297"/>
    <w:uiPriority w:val="0"/>
    <w:semiHidden/>
    <w:qFormat/>
    <w:rPr>
      <w:rFonts w:ascii="Times New Roman" w:hAnsi="Times New Roman" w:eastAsia="宋体" w:cs="Times New Roman"/>
      <w:szCs w:val="20"/>
    </w:rPr>
  </w:style>
  <w:style w:type="character" w:styleId="1543" w:customStyle="1">
    <w:name w:val="case31"/>
    <w:link w:val="1297"/>
    <w:uiPriority w:val="0"/>
    <w:qFormat/>
    <w:rPr>
      <w:spacing w:val="390"/>
      <w:sz w:val="21"/>
      <w:szCs w:val="21"/>
    </w:rPr>
  </w:style>
  <w:style w:type="character" w:styleId="1544" w:customStyle="1">
    <w:name w:val="正文首行缩进两字 Char"/>
    <w:link w:val="1545"/>
    <w:uiPriority w:val="0"/>
    <w:qFormat/>
    <w:rPr>
      <w:sz w:val="24"/>
      <w:szCs w:val="24"/>
      <w:lang w:val="en-US" w:eastAsia="zh-CN" w:bidi="ar-SA"/>
    </w:rPr>
  </w:style>
  <w:style w:type="paragraph" w:styleId="1545" w:customStyle="1">
    <w:name w:val="正文首行缩进两字"/>
    <w:link w:val="1544"/>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546" w:customStyle="1">
    <w:name w:val="正文文本缩进 3 Char1"/>
    <w:link w:val="1297"/>
    <w:uiPriority w:val="0"/>
    <w:semiHidden/>
    <w:qFormat/>
    <w:rPr>
      <w:rFonts w:ascii="Times New Roman" w:hAnsi="Times New Roman" w:eastAsia="宋体" w:cs="Times New Roman"/>
      <w:sz w:val="16"/>
      <w:szCs w:val="16"/>
    </w:rPr>
  </w:style>
  <w:style w:type="character" w:styleId="1547" w:customStyle="1">
    <w:name w:val="日期 Char1"/>
    <w:link w:val="1297"/>
    <w:uiPriority w:val="0"/>
    <w:semiHidden/>
    <w:qFormat/>
    <w:rPr>
      <w:rFonts w:ascii="Times New Roman" w:hAnsi="Times New Roman" w:eastAsia="宋体" w:cs="Times New Roman"/>
      <w:szCs w:val="20"/>
    </w:rPr>
  </w:style>
  <w:style w:type="character" w:styleId="1548" w:customStyle="1">
    <w:name w:val="文档结构图 Char1"/>
    <w:link w:val="1297"/>
    <w:uiPriority w:val="0"/>
    <w:semiHidden/>
    <w:qFormat/>
    <w:rPr>
      <w:rFonts w:ascii="宋体" w:hAnsi="Times New Roman" w:eastAsia="宋体" w:cs="Times New Roman"/>
      <w:sz w:val="18"/>
      <w:szCs w:val="18"/>
    </w:rPr>
  </w:style>
  <w:style w:type="character" w:styleId="1549" w:customStyle="1">
    <w:name w:val="正文文本 2 Char1"/>
    <w:link w:val="1297"/>
    <w:uiPriority w:val="0"/>
    <w:semiHidden/>
    <w:qFormat/>
    <w:rPr>
      <w:rFonts w:ascii="Times New Roman" w:hAnsi="Times New Roman" w:eastAsia="宋体" w:cs="Times New Roman"/>
      <w:szCs w:val="20"/>
    </w:rPr>
  </w:style>
  <w:style w:type="character" w:styleId="1550" w:customStyle="1">
    <w:name w:val="font21"/>
    <w:basedOn w:val="1307"/>
    <w:link w:val="1297"/>
    <w:uiPriority w:val="0"/>
    <w:qFormat/>
    <w:rPr>
      <w:rFonts w:hint="eastAsia" w:ascii="仿宋" w:hAnsi="仿宋" w:eastAsia="仿宋" w:cs="仿宋"/>
      <w:color w:val="000000"/>
      <w:sz w:val="24"/>
      <w:szCs w:val="24"/>
      <w:u w:val="none"/>
    </w:rPr>
  </w:style>
  <w:style w:type="paragraph" w:styleId="1551" w:customStyle="1">
    <w:name w:val="列出段落"/>
    <w:basedOn w:val="1297"/>
    <w:uiPriority w:val="34"/>
    <w:qFormat/>
    <w:pPr>
      <w:ind w:firstLine="420"/>
    </w:pPr>
  </w:style>
  <w:style w:type="paragraph" w:styleId="1552" w:customStyle="1">
    <w:name w:val="一级条标题"/>
    <w:next w:val="1297"/>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553" w:customStyle="1">
    <w:name w:val="_Style 1"/>
    <w:basedOn w:val="1297"/>
    <w:uiPriority w:val="99"/>
    <w:qFormat/>
    <w:pPr>
      <w:ind w:firstLine="420"/>
    </w:pPr>
    <w:rPr>
      <w:rFonts w:ascii="Calibri" w:hAnsi="Calibri" w:eastAsia="宋体" w:cs="Calibri"/>
      <w:sz w:val="34"/>
      <w:szCs w:val="34"/>
    </w:rPr>
  </w:style>
  <w:style w:type="paragraph" w:styleId="1554" w:customStyle="1">
    <w:name w:val="首行缩进"/>
    <w:basedOn w:val="1297"/>
    <w:uiPriority w:val="0"/>
    <w:qFormat/>
    <w:pPr>
      <w:ind w:firstLine="480"/>
    </w:pPr>
    <w:rPr>
      <w:szCs w:val="20"/>
      <w:lang w:val="zh-CN"/>
    </w:rPr>
  </w:style>
  <w:style w:type="paragraph" w:styleId="1555" w:customStyle="1">
    <w:name w:val="List Paragraph1"/>
    <w:basedOn w:val="1297"/>
    <w:uiPriority w:val="0"/>
    <w:qFormat/>
    <w:pPr>
      <w:ind w:firstLine="420"/>
    </w:pPr>
    <w:rPr>
      <w:szCs w:val="21"/>
    </w:rPr>
  </w:style>
  <w:style w:type="paragraph" w:styleId="1556" w:customStyle="1">
    <w:name w:val="普通文字"/>
    <w:basedOn w:val="1297"/>
    <w:next w:val="1297"/>
    <w:uiPriority w:val="0"/>
    <w:qFormat/>
    <w:rPr>
      <w:rFonts w:ascii="宋体"/>
      <w:sz w:val="24"/>
    </w:rPr>
  </w:style>
  <w:style w:type="paragraph" w:styleId="1557" w:customStyle="1">
    <w:name w:val="二级无"/>
    <w:basedOn w:val="1297"/>
    <w:uiPriority w:val="0"/>
    <w:qFormat/>
    <w:pPr>
      <w:ind w:left="552" w:hanging="420"/>
      <w:jc w:val="left"/>
      <w:widowControl/>
      <w:tabs>
        <w:tab w:val="left" w:pos="552" w:leader="none"/>
      </w:tabs>
      <w:outlineLvl w:val="3"/>
    </w:pPr>
    <w:rPr>
      <w:rFonts w:ascii="宋体"/>
      <w:szCs w:val="21"/>
    </w:rPr>
  </w:style>
  <w:style w:type="paragraph" w:styleId="1558" w:customStyle="1">
    <w:name w:val="正文文本1"/>
    <w:basedOn w:val="1297"/>
    <w:next w:val="1297"/>
    <w:uiPriority w:val="0"/>
    <w:qFormat/>
    <w:rPr>
      <w:rFonts w:ascii="仿宋_GB2312" w:hAnsi="Times New Roman" w:eastAsia="仿宋_GB2312"/>
      <w:sz w:val="28"/>
      <w:szCs w:val="20"/>
    </w:rPr>
  </w:style>
  <w:style w:type="paragraph" w:styleId="1559" w:customStyle="1">
    <w:name w:val="p0 paragraphindent"/>
    <w:basedOn w:val="1297"/>
    <w:uiPriority w:val="0"/>
    <w:qFormat/>
    <w:pPr>
      <w:jc w:val="left"/>
      <w:spacing w:before="100" w:beforeAutospacing="1" w:after="100" w:afterAutospacing="1"/>
      <w:widowControl/>
    </w:pPr>
    <w:rPr>
      <w:rFonts w:ascii="宋体" w:hAnsi="宋体" w:cs="宋体"/>
      <w:sz w:val="24"/>
      <w:szCs w:val="24"/>
    </w:rPr>
  </w:style>
  <w:style w:type="paragraph" w:styleId="1560">
    <w:name w:val="List Paragraph"/>
    <w:basedOn w:val="1297"/>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61"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562" w:customStyle="1">
    <w:name w:val="标题 41"/>
    <w:basedOn w:val="1297"/>
    <w:next w:val="1297"/>
    <w:uiPriority w:val="0"/>
    <w:qFormat/>
    <w:pPr>
      <w:jc w:val="center"/>
      <w:keepNext/>
      <w:outlineLvl w:val="3"/>
    </w:pPr>
    <w:rPr>
      <w:rFonts w:eastAsia="楷体_GB2312"/>
      <w:b/>
      <w:bCs/>
      <w:sz w:val="13"/>
    </w:rPr>
  </w:style>
  <w:style w:type="paragraph" w:styleId="1563" w:customStyle="1">
    <w:name w:val="样式 小四 段前: 5 磅 段后: 5 磅 首行缩进:  2 字符"/>
    <w:basedOn w:val="1297"/>
    <w:uiPriority w:val="0"/>
    <w:qFormat/>
    <w:pPr>
      <w:jc w:val="center"/>
      <w:spacing w:line="360" w:lineRule="auto"/>
    </w:pPr>
    <w:rPr>
      <w:rFonts w:ascii="宋体" w:hAnsi="宋体"/>
      <w:bCs/>
      <w:color w:val="ff0000"/>
      <w:sz w:val="24"/>
      <w:szCs w:val="24"/>
    </w:rPr>
  </w:style>
  <w:style w:type="character" w:styleId="1564" w:customStyle="1">
    <w:name w:val="font61"/>
    <w:basedOn w:val="1307"/>
    <w:uiPriority w:val="0"/>
    <w:qFormat/>
    <w:rPr>
      <w:rFonts w:hint="eastAsia" w:ascii="仿宋" w:hAnsi="仿宋" w:eastAsia="仿宋" w:cs="仿宋"/>
      <w:color w:val="ff0000"/>
      <w:sz w:val="24"/>
      <w:szCs w:val="24"/>
      <w:u w:val="none"/>
    </w:rPr>
  </w:style>
  <w:style w:type="character" w:styleId="1565" w:customStyle="1">
    <w:name w:val="font71"/>
    <w:basedOn w:val="1307"/>
    <w:uiPriority w:val="0"/>
    <w:qFormat/>
    <w:rPr>
      <w:rFonts w:hint="eastAsia" w:ascii="仿宋" w:hAnsi="仿宋" w:eastAsia="仿宋" w:cs="仿宋"/>
      <w:color w:val="000000"/>
      <w:sz w:val="24"/>
      <w:szCs w:val="24"/>
      <w:u w:val="none"/>
    </w:rPr>
  </w:style>
  <w:style w:type="numbering" w:styleId="1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3073" textRotate="1"/>
    <customShpInfo spid="_x0000_s3074" textRotate="1"/>
    <customShpInfo spid="_x0000_s3075" textRotate="1"/>
    <customShpInfo spid="_x0000_s3076" textRotate="1"/>
    <customShpInfo spid="_x0000_s3077" textRotate="1"/>
    <customShpInfo spid="_x0000_s3078" textRotate="1"/>
    <customShpInfo spid="_x0000_s1026"/>
    <customShpInfo spid="_x0000_s3079" textRotate="1"/>
    <customShpInfo spid="_x0000_s3080" textRotate="1"/>
    <customShpInfo spid="_x0000_s3081" textRotate="1"/>
    <customShpInfo spid="_x0000_s3082"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吴一淼</cp:lastModifiedBy>
  <cp:revision>10</cp:revision>
  <dcterms:created xsi:type="dcterms:W3CDTF">2023-03-28T06:55:00Z</dcterms:created>
  <dcterms:modified xsi:type="dcterms:W3CDTF">2024-07-05T04:38:58Z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77B6C2E68D194270A241AD6A40EE9D1B_12</vt:lpwstr>
  </property>
</Properties>
</file>