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ind w:firstLine="0"/>
        <w:jc w:val="both"/>
        <w:rPr>
          <w:rFonts w:hint="eastAsia" w:eastAsia="黑体"/>
          <w:b/>
          <w:bCs/>
          <w:color w:val="000000"/>
          <w:sz w:val="84"/>
        </w:rPr>
      </w:pPr>
      <w:r>
        <w:rPr>
          <w:rFonts w:hint="eastAsia" w:eastAsia="黑体"/>
          <w:b/>
          <w:bCs/>
          <w:color w:val="000000"/>
          <w:sz w:val="84"/>
        </w:rPr>
      </w:r>
      <w:r/>
    </w:p>
    <w:p>
      <w:pPr>
        <w:pStyle w:val="941"/>
        <w:ind w:firstLine="0"/>
        <w:jc w:val="center"/>
        <w:rPr>
          <w:rFonts w:hint="eastAsia" w:eastAsia="黑体"/>
          <w:b/>
          <w:bCs/>
          <w:color w:val="000000"/>
          <w:sz w:val="84"/>
        </w:rPr>
      </w:pPr>
      <w:r>
        <w:rPr>
          <w:rFonts w:hint="eastAsia" w:eastAsia="黑体"/>
          <w:b/>
          <w:bCs/>
          <w:color w:val="000000"/>
          <w:sz w:val="84"/>
        </w:rPr>
        <w:t xml:space="preserve">招　标　文　件</w:t>
      </w:r>
      <w:r/>
    </w:p>
    <w:p>
      <w:pPr>
        <w:pStyle w:val="941"/>
        <w:ind w:left="0" w:firstLine="1285"/>
        <w:jc w:val="both"/>
        <w:rPr>
          <w:rFonts w:hint="eastAsia"/>
          <w:b/>
          <w:bCs/>
          <w:color w:val="000000"/>
          <w:sz w:val="32"/>
        </w:rPr>
      </w:pPr>
      <w:r>
        <w:rPr>
          <w:rFonts w:hint="eastAsia"/>
          <w:b/>
          <w:bCs/>
          <w:color w:val="000000"/>
          <w:sz w:val="32"/>
        </w:rPr>
      </w:r>
      <w:r/>
    </w:p>
    <w:p>
      <w:pPr>
        <w:pStyle w:val="941"/>
        <w:ind w:left="0" w:firstLine="1285"/>
        <w:jc w:val="both"/>
        <w:rPr>
          <w:rFonts w:hint="eastAsia"/>
          <w:b/>
          <w:bCs/>
          <w:color w:val="000000"/>
          <w:sz w:val="32"/>
        </w:rPr>
      </w:pPr>
      <w:r>
        <w:rPr>
          <w:rFonts w:hint="eastAsia"/>
          <w:b/>
          <w:bCs/>
          <w:color w:val="000000"/>
          <w:sz w:val="32"/>
        </w:rPr>
      </w:r>
      <w:r/>
    </w:p>
    <w:p>
      <w:pPr>
        <w:pStyle w:val="941"/>
        <w:ind w:left="0" w:firstLine="1285"/>
        <w:jc w:val="both"/>
        <w:rPr>
          <w:rFonts w:hint="eastAsia"/>
          <w:b/>
          <w:bCs/>
          <w:color w:val="000000"/>
          <w:sz w:val="32"/>
        </w:rPr>
      </w:pPr>
      <w:r>
        <w:rPr>
          <w:rFonts w:hint="eastAsia"/>
          <w:b/>
          <w:bCs/>
          <w:color w:val="000000"/>
          <w:sz w:val="32"/>
        </w:rPr>
      </w:r>
      <w:r/>
    </w:p>
    <w:p>
      <w:pPr>
        <w:pStyle w:val="941"/>
        <w:ind w:left="0" w:firstLine="1285"/>
        <w:jc w:val="both"/>
        <w:rPr>
          <w:rFonts w:hint="eastAsia"/>
          <w:b/>
          <w:bCs/>
          <w:color w:val="000000"/>
          <w:sz w:val="32"/>
        </w:rPr>
      </w:pPr>
      <w:r>
        <w:rPr>
          <w:rFonts w:hint="eastAsia"/>
          <w:b/>
          <w:bCs/>
          <w:color w:val="000000"/>
          <w:sz w:val="32"/>
        </w:rPr>
      </w:r>
      <w:r/>
    </w:p>
    <w:p>
      <w:pPr>
        <w:pStyle w:val="941"/>
        <w:ind w:left="0" w:firstLine="1285"/>
        <w:jc w:val="both"/>
        <w:rPr>
          <w:rFonts w:hint="eastAsia"/>
          <w:b/>
          <w:bCs/>
          <w:color w:val="000000"/>
          <w:sz w:val="32"/>
        </w:rPr>
      </w:pPr>
      <w:r>
        <w:rPr>
          <w:rFonts w:hint="eastAsia"/>
          <w:b/>
          <w:bCs/>
          <w:color w:val="000000"/>
          <w:sz w:val="32"/>
        </w:rPr>
      </w:r>
      <w:r/>
    </w:p>
    <w:p>
      <w:pPr>
        <w:pStyle w:val="941"/>
        <w:ind w:left="0" w:firstLine="1285"/>
        <w:jc w:val="both"/>
        <w:rPr>
          <w:rFonts w:hint="eastAsia"/>
          <w:b/>
          <w:bCs/>
          <w:color w:val="000000"/>
          <w:sz w:val="32"/>
        </w:rPr>
      </w:pPr>
      <w:r>
        <w:rPr>
          <w:rFonts w:hint="eastAsia"/>
          <w:b/>
          <w:bCs/>
          <w:color w:val="000000"/>
          <w:sz w:val="32"/>
        </w:rPr>
      </w:r>
      <w:r/>
    </w:p>
    <w:p>
      <w:pPr>
        <w:pStyle w:val="941"/>
        <w:ind w:left="2883" w:hanging="1606"/>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：高邮市民政局关于高邮市政府购买居家养老服务项目</w:t>
      </w:r>
      <w:r/>
    </w:p>
    <w:p>
      <w:pPr>
        <w:ind w:firstLine="1285"/>
        <w:rPr>
          <w:rFonts w:hint="eastAsia"/>
          <w:b/>
          <w:bCs/>
          <w:color w:val="000000"/>
          <w:sz w:val="32"/>
        </w:rPr>
      </w:pPr>
      <w:r>
        <w:rPr>
          <w:rFonts w:hint="eastAsia"/>
          <w:b/>
          <w:bCs/>
          <w:color w:val="000000"/>
          <w:sz w:val="32"/>
        </w:rPr>
        <w:t xml:space="preserve">项目编号：JSZC-321084-JZCG-G2025-0040</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rPr>
          <w:b/>
          <w:color w:val="000000"/>
          <w:sz w:val="30"/>
          <w:szCs w:val="30"/>
        </w:rPr>
      </w:pPr>
      <w:r>
        <w:rPr>
          <w:rFonts w:hint="eastAsia" w:ascii="宋体" w:hAnsi="宋体" w:eastAsia="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941"/>
        <w:ind w:firstLine="0"/>
        <w:spacing w:before="0" w:after="0"/>
        <w:rPr>
          <w:rFonts w:hint="eastAsia" w:ascii="宋体" w:hAnsi="宋体"/>
          <w:color w:val="000000"/>
        </w:rPr>
      </w:pPr>
      <w:r>
        <w:rPr>
          <w:rFonts w:hint="eastAsia" w:ascii="宋体" w:hAnsi="宋体"/>
          <w:color w:val="000000"/>
        </w:rPr>
      </w:r>
      <w:r/>
    </w:p>
    <w:p>
      <w:pPr>
        <w:pStyle w:val="941"/>
        <w:ind w:firstLine="0"/>
        <w:spacing w:before="0" w:after="0"/>
        <w:rPr>
          <w:rFonts w:hint="eastAsia" w:ascii="宋体" w:hAnsi="宋体"/>
          <w:color w:val="000000"/>
        </w:rPr>
      </w:pPr>
      <w:r>
        <w:rPr>
          <w:rFonts w:hint="eastAsia" w:ascii="宋体" w:hAnsi="宋体"/>
          <w:color w:val="000000"/>
        </w:rPr>
      </w:r>
      <w:r/>
    </w:p>
    <w:p>
      <w:pPr>
        <w:pStyle w:val="941"/>
        <w:ind w:firstLine="0"/>
        <w:spacing w:before="0" w:after="0"/>
        <w:rPr>
          <w:rFonts w:hint="eastAsia" w:ascii="宋体" w:hAnsi="宋体"/>
          <w:color w:val="000000"/>
        </w:rPr>
      </w:pPr>
      <w:r>
        <w:rPr>
          <w:rFonts w:hint="eastAsia" w:ascii="宋体" w:hAnsi="宋体"/>
          <w:color w:val="000000"/>
        </w:rPr>
      </w:r>
      <w:r/>
    </w:p>
    <w:p>
      <w:pPr>
        <w:pStyle w:val="941"/>
        <w:ind w:firstLine="0"/>
        <w:jc w:val="center"/>
        <w:rPr>
          <w:rFonts w:hint="eastAsia"/>
          <w:b/>
          <w:bCs/>
          <w:color w:val="000000"/>
          <w:sz w:val="32"/>
          <w:lang w:val="en-US" w:eastAsia="zh-CN"/>
        </w:rPr>
      </w:pPr>
      <w:r>
        <w:rPr>
          <w:rFonts w:hint="eastAsia"/>
          <w:b/>
          <w:bCs/>
          <w:color w:val="000000"/>
          <w:sz w:val="32"/>
          <w:lang w:val="en-US" w:eastAsia="zh-CN"/>
        </w:rPr>
        <w:t xml:space="preserve">扬州市公共资源交易中心高邮分中心</w:t>
      </w:r>
      <w:r/>
    </w:p>
    <w:p>
      <w:pPr>
        <w:pStyle w:val="941"/>
        <w:ind w:firstLine="0"/>
        <w:jc w:val="center"/>
        <w:rPr>
          <w:rFonts w:hint="eastAsia"/>
          <w:b/>
          <w:bCs/>
          <w:color w:val="000000"/>
          <w:sz w:val="32"/>
        </w:rPr>
      </w:pPr>
      <w:r>
        <w:rPr>
          <w:rFonts w:hint="eastAsia"/>
          <w:b/>
          <w:bCs/>
          <w:color w:val="000000"/>
          <w:sz w:val="32"/>
          <w:u w:val="single"/>
          <w:lang w:val="en-US" w:eastAsia="zh-CN"/>
        </w:rPr>
        <w:t xml:space="preserve">2025</w:t>
      </w:r>
      <w:r>
        <w:rPr>
          <w:rFonts w:hint="eastAsia"/>
          <w:b/>
          <w:bCs/>
          <w:color w:val="000000"/>
          <w:sz w:val="32"/>
        </w:rPr>
        <w:t xml:space="preserve">年</w:t>
      </w:r>
      <w:r>
        <w:rPr>
          <w:rFonts w:hint="eastAsia"/>
          <w:b/>
          <w:bCs/>
          <w:color w:val="000000"/>
          <w:sz w:val="32"/>
          <w:u w:val="single"/>
          <w:lang w:val="en-US" w:eastAsia="zh-CN"/>
        </w:rPr>
        <w:t xml:space="preserve">12</w:t>
      </w:r>
      <w:r>
        <w:rPr>
          <w:rFonts w:hint="eastAsia"/>
          <w:b/>
          <w:bCs/>
          <w:color w:val="000000"/>
          <w:sz w:val="32"/>
        </w:rPr>
        <w:t xml:space="preserve">月</w:t>
      </w:r>
      <w:r/>
    </w:p>
    <w:p>
      <w:pPr>
        <w:pStyle w:val="941"/>
        <w:ind w:firstLine="0"/>
        <w:rPr>
          <w:rFonts w:hint="eastAsia"/>
          <w:color w:val="000000"/>
        </w:rPr>
      </w:pPr>
      <w:r>
        <w:rPr>
          <w:rFonts w:hint="eastAsia"/>
          <w:color w:val="000000"/>
        </w:rPr>
        <w:t xml:space="preserve">                        </w:t>
      </w:r>
      <w:r/>
    </w:p>
    <w:p>
      <w:pPr>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15</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19</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31</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35</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856"/>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高邮市民政局</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扬州市公共资源交易中心高邮分中心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高邮市民政局关于高邮市政府购买居家养老服务项目</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JSZC-321084-JZCG-G2025-0040</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高邮市民政局关于高邮市政府购买居家养老服务项目</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     2025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859"/>
        <w:ind w:firstLine="498"/>
        <w:spacing w:before="145" w:after="145" w:line="400" w:lineRule="exact"/>
        <w:rPr>
          <w:color w:val="000000"/>
        </w:rPr>
      </w:pPr>
      <w:r/>
      <w:bookmarkStart w:id="6" w:name="_Toc35393621"/>
      <w:r/>
      <w:bookmarkStart w:id="7" w:name="_Toc28359002"/>
      <w:r/>
      <w:bookmarkStart w:id="8" w:name="_Toc35393790"/>
      <w:r/>
      <w:bookmarkStart w:id="9" w:name="_Toc28359079"/>
      <w:r/>
      <w:bookmarkStart w:id="10" w:name="_Toc38985263"/>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lang w:val="en-US" w:eastAsia="zh-CN"/>
        </w:rPr>
        <w:t xml:space="preserve">JSZC-321084-JZCG-G2025-0040</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高邮市民政局关于高邮市政府购买居家养老服务项目</w:t>
      </w:r>
      <w:bookmarkEnd w:id="11"/>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68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10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780万元/年</w:t>
            </w:r>
            <w:r/>
          </w:p>
        </w:tc>
      </w:tr>
      <w:tr>
        <w:trPr/>
        <w:tc>
          <w:tcPr>
            <w:tcW w:w="1315" w:type="dxa"/>
            <w:vAlign w:val="top"/>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p>
        </w:tc>
        <w:tc>
          <w:tcPr>
            <w:tcW w:w="3107" w:type="dxa"/>
            <w:vAlign w:val="top"/>
            <w:textDirection w:val="lrTb"/>
            <w:noWrap w:val="false"/>
          </w:tcPr>
          <w:p>
            <w:pPr>
              <w:jc w:val="center"/>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740万元/年</w:t>
            </w:r>
            <w:r/>
          </w:p>
        </w:tc>
      </w:tr>
      <w:tr>
        <w:trPr/>
        <w:tc>
          <w:tcPr>
            <w:tcW w:w="1315" w:type="dxa"/>
            <w:vAlign w:val="top"/>
            <w:textDirection w:val="lrTb"/>
            <w:noWrap w:val="false"/>
          </w:tcPr>
          <w:p>
            <w:pPr>
              <w:jc w:val="center"/>
              <w:spacing w:line="40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3</w:t>
            </w:r>
            <w:r/>
          </w:p>
        </w:tc>
        <w:tc>
          <w:tcPr>
            <w:tcW w:w="3107" w:type="dxa"/>
            <w:vAlign w:val="top"/>
            <w:textDirection w:val="lrTb"/>
            <w:noWrap w:val="false"/>
          </w:tcPr>
          <w:p>
            <w:pPr>
              <w:jc w:val="center"/>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720万元/年</w:t>
            </w:r>
            <w:r/>
          </w:p>
        </w:tc>
      </w:tr>
    </w:tbl>
    <w:p>
      <w:pPr>
        <w:ind w:firstLine="480"/>
        <w:spacing w:line="400" w:lineRule="exact"/>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兼投不兼中，中标顺序同标段序号</w:t>
      </w:r>
      <w:r>
        <w:rPr>
          <w:rFonts w:hint="eastAsia" w:ascii="宋体" w:hAnsi="宋体"/>
          <w:color w:val="000000"/>
          <w:sz w:val="24"/>
          <w:szCs w:val="24"/>
          <w:lang w:eastAsia="zh-CN"/>
        </w:rPr>
        <w:t xml:space="preserve">）</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68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702万元/年</w:t>
            </w:r>
            <w:r/>
          </w:p>
        </w:tc>
      </w:tr>
      <w:tr>
        <w:trPr/>
        <w:tc>
          <w:tcPr>
            <w:tcW w:w="1336" w:type="dxa"/>
            <w:vAlign w:val="top"/>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666万元/年</w:t>
            </w:r>
            <w:r/>
          </w:p>
        </w:tc>
      </w:tr>
      <w:tr>
        <w:trPr/>
        <w:tc>
          <w:tcPr>
            <w:tcW w:w="1336" w:type="dxa"/>
            <w:vAlign w:val="top"/>
            <w:textDirection w:val="lrTb"/>
            <w:noWrap w:val="false"/>
          </w:tcPr>
          <w:p>
            <w:pPr>
              <w:jc w:val="center"/>
              <w:spacing w:line="40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3</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648万元/年</w:t>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numPr>
          <w:ilvl w:val="0"/>
          <w:numId w:val="5"/>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采购需求（简介）：详细内容见本招标文件第四章  </w:t>
      </w:r>
      <w:r/>
    </w:p>
    <w:p>
      <w:pPr>
        <w:numPr>
          <w:ilvl w:val="0"/>
          <w:numId w:val="0"/>
        </w:numPr>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合同履行期限3年，合同一年一签，采购人根据相关政策以及中标人服务质量与中标人续签下一年合同，中标单价不予调整。</w:t>
      </w:r>
      <w:r/>
    </w:p>
    <w:p>
      <w:pPr>
        <w:pStyle w:val="859"/>
        <w:ind w:firstLine="498"/>
        <w:spacing w:before="145" w:after="145" w:line="400" w:lineRule="exact"/>
        <w:rPr>
          <w:color w:val="000000"/>
        </w:rPr>
      </w:pPr>
      <w:r/>
      <w:bookmarkStart w:id="12" w:name="_Toc28359080"/>
      <w:r/>
      <w:bookmarkStart w:id="13" w:name="_Toc28359003"/>
      <w:r/>
      <w:bookmarkStart w:id="14" w:name="_Toc38985264"/>
      <w:r/>
      <w:bookmarkStart w:id="15" w:name="_Toc35393791"/>
      <w:r/>
      <w:bookmarkStart w:id="16" w:name="_Toc35393622"/>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35393792"/>
      <w:r/>
      <w:bookmarkStart w:id="18" w:name="_Toc38985265"/>
      <w:r/>
      <w:bookmarkStart w:id="19" w:name="_Toc28359081"/>
      <w:r/>
      <w:bookmarkStart w:id="20" w:name="_Toc35393623"/>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上一</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683"/>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r>
        <w:trPr/>
        <w:tc>
          <w:tcPr>
            <w:tcW w:w="1211" w:type="dxa"/>
            <w:vAlign w:val="top"/>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p>
        </w:tc>
        <w:tc>
          <w:tcPr>
            <w:tcW w:w="3653" w:type="dxa"/>
            <w:vAlign w:val="center"/>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否</w:t>
            </w:r>
            <w:r/>
          </w:p>
        </w:tc>
        <w:tc>
          <w:tcPr>
            <w:tcW w:w="3643" w:type="dxa"/>
            <w:vAlign w:val="center"/>
            <w:textDirection w:val="lrTb"/>
            <w:noWrap w:val="false"/>
          </w:tcPr>
          <w:p>
            <w:pPr>
              <w:jc w:val="center"/>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w:t>
            </w:r>
            <w:r/>
          </w:p>
        </w:tc>
      </w:tr>
      <w:tr>
        <w:trPr/>
        <w:tc>
          <w:tcPr>
            <w:tcW w:w="1211" w:type="dxa"/>
            <w:vAlign w:val="top"/>
            <w:textDirection w:val="lrTb"/>
            <w:noWrap w:val="false"/>
          </w:tcPr>
          <w:p>
            <w:pPr>
              <w:jc w:val="center"/>
              <w:spacing w:line="40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3</w:t>
            </w:r>
            <w:r/>
          </w:p>
        </w:tc>
        <w:tc>
          <w:tcPr>
            <w:tcW w:w="365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否</w:t>
            </w:r>
            <w:r/>
          </w:p>
        </w:tc>
        <w:tc>
          <w:tcPr>
            <w:tcW w:w="364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683"/>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lang w:val="en-US" w:eastAsia="zh-CN"/>
              </w:rPr>
              <w:t xml:space="preserve">2</w:t>
            </w:r>
            <w:r/>
          </w:p>
        </w:tc>
        <w:tc>
          <w:tcPr>
            <w:tcW w:w="577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lang w:val="en-US" w:eastAsia="zh-CN"/>
              </w:rPr>
              <w:t xml:space="preserve">否</w:t>
            </w:r>
            <w:r/>
          </w:p>
        </w:tc>
      </w:tr>
      <w:tr>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lang w:val="en-US" w:eastAsia="zh-CN"/>
              </w:rPr>
              <w:t xml:space="preserve">3</w:t>
            </w:r>
            <w:r/>
          </w:p>
        </w:tc>
        <w:tc>
          <w:tcPr>
            <w:tcW w:w="577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68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r>
        <w:trPr/>
        <w:tc>
          <w:tcPr>
            <w:tcW w:w="1250" w:type="dxa"/>
            <w:vAlign w:val="top"/>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无</w:t>
            </w:r>
            <w:r/>
          </w:p>
        </w:tc>
      </w:tr>
      <w:tr>
        <w:trPr/>
        <w:tc>
          <w:tcPr>
            <w:tcW w:w="1250" w:type="dxa"/>
            <w:vAlign w:val="top"/>
            <w:textDirection w:val="lrTb"/>
            <w:noWrap w:val="false"/>
          </w:tcPr>
          <w:p>
            <w:pPr>
              <w:jc w:val="center"/>
              <w:spacing w:line="40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3</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bookmarkEnd w:id="18"/>
      <w:bookmarkEnd w:id="19"/>
      <w:bookmarkEnd w:id="20"/>
      <w:bookmarkEnd w:id="21"/>
      <w:r/>
    </w:p>
    <w:p>
      <w:pPr>
        <w:pStyle w:val="859"/>
        <w:ind w:firstLine="498"/>
        <w:spacing w:before="145" w:after="145" w:line="400" w:lineRule="exact"/>
        <w:rPr>
          <w:color w:val="000000"/>
        </w:rPr>
      </w:pPr>
      <w:r/>
      <w:bookmarkStart w:id="22" w:name="_Toc28359082"/>
      <w:r/>
      <w:bookmarkStart w:id="23" w:name="_Toc28359005"/>
      <w:r/>
      <w:bookmarkStart w:id="24" w:name="_Toc38985266"/>
      <w:r/>
      <w:bookmarkStart w:id="25" w:name="_Toc35393624"/>
      <w:r/>
      <w:bookmarkStart w:id="26" w:name="_Toc35393793"/>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lang w:val="en-US" w:eastAsia="zh-CN"/>
        </w:rPr>
        <w:t xml:space="preserve">2025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794"/>
      <w:r/>
      <w:bookmarkStart w:id="28" w:name="_Toc35393625"/>
      <w:r/>
      <w:bookmarkStart w:id="29" w:name="_Toc38985267"/>
      <w:r/>
      <w:bookmarkStart w:id="30" w:name="_Toc28359007"/>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859"/>
        <w:ind w:firstLine="498"/>
        <w:spacing w:before="145" w:after="145" w:line="400" w:lineRule="exact"/>
        <w:rPr>
          <w:color w:val="000000"/>
        </w:rPr>
      </w:pPr>
      <w:r/>
      <w:bookmarkStart w:id="32" w:name="_Toc35393795"/>
      <w:r/>
      <w:bookmarkStart w:id="33" w:name="_Toc35393626"/>
      <w:r/>
      <w:bookmarkStart w:id="34" w:name="_Toc38985268"/>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859"/>
        <w:ind w:firstLine="498"/>
        <w:spacing w:before="145" w:after="145" w:line="400" w:lineRule="exact"/>
        <w:rPr>
          <w:color w:val="000000"/>
        </w:rPr>
      </w:pPr>
      <w:r/>
      <w:bookmarkStart w:id="35" w:name="_Toc28359085"/>
      <w:r/>
      <w:bookmarkStart w:id="36" w:name="_Toc38985269"/>
      <w:r/>
      <w:bookmarkStart w:id="37" w:name="_Toc28359008"/>
      <w:r/>
      <w:bookmarkStart w:id="38" w:name="_Toc35393627"/>
      <w:r/>
      <w:bookmarkStart w:id="39" w:name="_Toc35393796"/>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hint="default" w:ascii="宋体" w:hAnsi="宋体" w:eastAsia="宋体"/>
          <w:color w:val="000000"/>
          <w:sz w:val="24"/>
          <w:szCs w:val="24"/>
          <w:u w:val="single"/>
          <w:lang w:val="en-US" w:eastAsia="zh-CN"/>
        </w:rPr>
      </w:pPr>
      <w:r/>
      <w:bookmarkStart w:id="42" w:name="_Toc28359009"/>
      <w:r/>
      <w:bookmarkStart w:id="43" w:name="_Toc28359086"/>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高邮市民政局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高邮市府前街127号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周玲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0514-80950800     </w:t>
      </w:r>
      <w:r/>
    </w:p>
    <w:p>
      <w:pPr>
        <w:ind w:left="1079" w:hanging="300"/>
        <w:jc w:val="left"/>
        <w:spacing w:line="400" w:lineRule="exact"/>
        <w:rPr>
          <w:rFonts w:hint="eastAsia" w:ascii="宋体" w:hAnsi="宋体" w:eastAsia="宋体"/>
          <w:color w:val="000000"/>
          <w:sz w:val="24"/>
          <w:szCs w:val="24"/>
          <w:lang w:eastAsia="zh-CN"/>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lang w:eastAsia="zh-CN"/>
        </w:rPr>
        <w:t xml:space="preserve">扬州市公共资源交易中心高邮分中心</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高邮市海潮东路997号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杨思磊  王琦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0514-84651312   </w:t>
      </w:r>
      <w:bookmarkEnd w:id="40"/>
      <w:bookmarkEnd w:id="41"/>
      <w:r/>
    </w:p>
    <w:p>
      <w:pPr>
        <w:pStyle w:val="859"/>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扬州市公共资源交易中心高邮分中心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857"/>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黑体" w:eastAsia="黑体"/>
          <w:color w:val="000000"/>
        </w:rPr>
        <w:t xml:space="preserve">投标人须知</w:t>
      </w:r>
      <w:bookmarkEnd w:id="45"/>
      <w:r/>
      <w:bookmarkEnd w:id="46"/>
      <w:r/>
      <w:bookmarkEnd w:id="47"/>
      <w:r/>
      <w:bookmarkEnd w:id="48"/>
      <w:r/>
      <w:r/>
    </w:p>
    <w:p>
      <w:pPr>
        <w:pStyle w:val="859"/>
        <w:ind w:firstLine="498"/>
        <w:spacing w:before="145" w:after="145" w:line="400" w:lineRule="exact"/>
        <w:rPr>
          <w:rFonts w:hint="eastAsia"/>
          <w:color w:val="000000"/>
        </w:rPr>
      </w:pPr>
      <w:r/>
      <w:bookmarkStart w:id="49" w:name="_Toc513029203"/>
      <w:r/>
      <w:bookmarkStart w:id="50" w:name="_Toc16938519"/>
      <w:r/>
      <w:bookmarkStart w:id="51" w:name="_Toc120614214"/>
      <w:r/>
      <w:bookmarkStart w:id="52" w:name="_Toc20823275"/>
      <w:r>
        <w:rPr>
          <w:rFonts w:hint="eastAsia"/>
          <w:color w:val="000000"/>
        </w:rPr>
        <w:t xml:space="preserve">一、总则</w:t>
      </w:r>
      <w:bookmarkEnd w:id="49"/>
      <w:r/>
      <w:bookmarkEnd w:id="50"/>
      <w:r/>
      <w:bookmarkEnd w:id="51"/>
      <w:r/>
      <w:bookmarkEnd w:id="52"/>
      <w:r/>
      <w:r/>
    </w:p>
    <w:p>
      <w:pPr>
        <w:pStyle w:val="860"/>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860"/>
        <w:ind w:firstLine="420"/>
        <w:spacing w:before="0" w:after="0" w:line="400" w:lineRule="exact"/>
        <w:rPr>
          <w:rFonts w:hint="eastAsia"/>
          <w:b w:val="0"/>
          <w:bCs w:val="0"/>
          <w:color w:val="000000"/>
        </w:rPr>
      </w:pPr>
      <w:r/>
      <w:bookmarkStart w:id="58" w:name="_Toc20823277"/>
      <w:r/>
      <w:bookmarkStart w:id="59" w:name="_Toc16938521"/>
      <w:r/>
      <w:bookmarkStart w:id="60" w:name="_Toc513029205"/>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860"/>
        <w:ind w:firstLine="420"/>
        <w:spacing w:before="0" w:after="0" w:line="400" w:lineRule="exact"/>
        <w:rPr>
          <w:rFonts w:hint="eastAsia"/>
          <w:b w:val="0"/>
          <w:bCs w:val="0"/>
          <w:color w:val="000000"/>
        </w:rPr>
      </w:pPr>
      <w:r/>
      <w:bookmarkStart w:id="61" w:name="_Toc20823278"/>
      <w:r/>
      <w:bookmarkStart w:id="62" w:name="_Toc513029206"/>
      <w:r/>
      <w:bookmarkStart w:id="63" w:name="_Toc16938522"/>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860"/>
        <w:ind w:firstLine="420"/>
        <w:spacing w:before="0" w:after="0" w:line="400" w:lineRule="exact"/>
        <w:rPr>
          <w:rFonts w:hint="eastAsia"/>
          <w:b w:val="0"/>
          <w:bCs w:val="0"/>
          <w:color w:val="000000"/>
        </w:rPr>
      </w:pPr>
      <w:r/>
      <w:bookmarkStart w:id="64" w:name="_Toc462564067"/>
      <w:r/>
      <w:bookmarkStart w:id="65" w:name="_Toc513029207"/>
      <w:r/>
      <w:bookmarkStart w:id="66" w:name="_Toc16938523"/>
      <w:r/>
      <w:bookmarkStart w:id="67" w:name="_Toc20823279"/>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扬州市公共资源交易中心高邮分中心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860"/>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859"/>
        <w:ind w:firstLine="321"/>
        <w:spacing w:before="145" w:after="145" w:line="400" w:lineRule="exact"/>
        <w:rPr>
          <w:rFonts w:hint="eastAsia"/>
          <w:color w:val="000000"/>
        </w:rPr>
      </w:pPr>
      <w:r/>
      <w:bookmarkStart w:id="68" w:name="_Toc20823281"/>
      <w:r/>
      <w:bookmarkStart w:id="69" w:name="_Toc120614215"/>
      <w:r/>
      <w:bookmarkStart w:id="70" w:name="_Toc16938525"/>
      <w:r/>
      <w:bookmarkStart w:id="71" w:name="_Toc513029209"/>
      <w:r>
        <w:rPr>
          <w:rFonts w:hint="eastAsia"/>
          <w:color w:val="000000"/>
        </w:rPr>
        <w:t xml:space="preserve">二、招标文件</w:t>
      </w:r>
      <w:bookmarkEnd w:id="68"/>
      <w:r/>
      <w:bookmarkEnd w:id="69"/>
      <w:r/>
      <w:bookmarkEnd w:id="70"/>
      <w:r/>
      <w:bookmarkEnd w:id="71"/>
      <w:r/>
      <w:r/>
    </w:p>
    <w:p>
      <w:pPr>
        <w:pStyle w:val="860"/>
        <w:ind w:firstLine="420"/>
        <w:spacing w:before="0" w:after="0" w:line="400" w:lineRule="exact"/>
        <w:rPr>
          <w:rFonts w:hint="eastAsia"/>
          <w:b w:val="0"/>
          <w:bCs w:val="0"/>
          <w:color w:val="000000"/>
        </w:rPr>
      </w:pPr>
      <w:r/>
      <w:bookmarkStart w:id="72" w:name="_Toc513029210"/>
      <w:r/>
      <w:bookmarkStart w:id="73" w:name="_Toc16938526"/>
      <w:r/>
      <w:bookmarkStart w:id="74" w:name="_Toc20823282"/>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0"/>
        <w:ind w:firstLine="560"/>
        <w:spacing w:before="0" w:after="0" w:line="400" w:lineRule="exact"/>
        <w:rPr>
          <w:rFonts w:hint="eastAsia"/>
          <w:b w:val="0"/>
          <w:bCs w:val="0"/>
          <w:color w:val="000000"/>
        </w:rPr>
      </w:pPr>
      <w:r/>
      <w:bookmarkStart w:id="75" w:name="_Toc20823284"/>
      <w:r/>
      <w:bookmarkStart w:id="76" w:name="_Toc16938528"/>
      <w:r/>
      <w:bookmarkStart w:id="77" w:name="_Toc513029212"/>
      <w:r/>
      <w:bookmarkStart w:id="78" w:name="_Toc462564071"/>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859"/>
        <w:ind w:firstLine="482"/>
        <w:spacing w:before="145" w:after="145" w:line="400" w:lineRule="exact"/>
        <w:rPr>
          <w:rFonts w:hint="eastAsia"/>
          <w:color w:val="000000"/>
        </w:rPr>
      </w:pPr>
      <w:r/>
      <w:bookmarkStart w:id="79" w:name="_Toc120614216"/>
      <w:r/>
      <w:bookmarkStart w:id="80" w:name="_Toc16938529"/>
      <w:r/>
      <w:bookmarkStart w:id="81" w:name="_Toc20823285"/>
      <w:r/>
      <w:bookmarkStart w:id="82" w:name="_Toc513029213"/>
      <w:r/>
      <w:bookmarkStart w:id="83" w:name="_Toc462564072"/>
      <w:r>
        <w:rPr>
          <w:rFonts w:hint="eastAsia"/>
          <w:color w:val="000000"/>
        </w:rPr>
        <w:t xml:space="preserve">三、投标文件的编制</w:t>
      </w:r>
      <w:bookmarkEnd w:id="79"/>
      <w:r/>
      <w:bookmarkEnd w:id="80"/>
      <w:r/>
      <w:bookmarkEnd w:id="81"/>
      <w:r/>
      <w:bookmarkEnd w:id="82"/>
      <w:r/>
      <w:bookmarkEnd w:id="83"/>
      <w:r/>
      <w:r/>
    </w:p>
    <w:p>
      <w:pPr>
        <w:pStyle w:val="860"/>
        <w:ind w:firstLine="560"/>
        <w:spacing w:before="0" w:after="0" w:line="400" w:lineRule="exact"/>
        <w:rPr>
          <w:rFonts w:hint="eastAsia"/>
          <w:bCs w:val="0"/>
          <w:color w:val="000000"/>
        </w:rPr>
      </w:pPr>
      <w:r/>
      <w:bookmarkStart w:id="84" w:name="_Toc20823286"/>
      <w:r/>
      <w:bookmarkStart w:id="85" w:name="_Toc16938530"/>
      <w:r/>
      <w:bookmarkStart w:id="86" w:name="_Toc462564073"/>
      <w:r/>
      <w:bookmarkStart w:id="87" w:name="_Toc513029214"/>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860"/>
        <w:ind w:firstLine="420"/>
        <w:spacing w:before="0" w:after="0" w:line="400" w:lineRule="exact"/>
        <w:rPr>
          <w:rFonts w:hint="eastAsia"/>
          <w:b w:val="0"/>
          <w:bCs w:val="0"/>
          <w:color w:val="000000"/>
        </w:rPr>
      </w:pPr>
      <w:r/>
      <w:bookmarkStart w:id="88" w:name="_Toc462564074"/>
      <w:r/>
      <w:bookmarkStart w:id="89" w:name="_Toc513029215"/>
      <w:r/>
      <w:bookmarkStart w:id="90" w:name="_Toc16938531"/>
      <w:r/>
      <w:bookmarkStart w:id="91" w:name="_Toc20823287"/>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701"/>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860"/>
        <w:ind w:firstLine="420"/>
        <w:spacing w:before="0" w:after="0" w:line="400" w:lineRule="exact"/>
        <w:rPr>
          <w:rFonts w:hint="eastAsia"/>
          <w:b w:val="0"/>
          <w:bCs w:val="0"/>
          <w:color w:val="000000"/>
        </w:rPr>
      </w:pPr>
      <w:r/>
      <w:bookmarkStart w:id="92" w:name="_Hlt26670360"/>
      <w:r/>
      <w:bookmarkEnd w:id="92"/>
      <w:r/>
      <w:bookmarkStart w:id="93" w:name="_Hlt26668975"/>
      <w:r/>
      <w:bookmarkEnd w:id="93"/>
      <w:r/>
      <w:bookmarkStart w:id="94" w:name="_Hlt26954838"/>
      <w:r/>
      <w:bookmarkEnd w:id="94"/>
      <w:r/>
      <w:bookmarkStart w:id="95" w:name="_Toc513029219"/>
      <w:r/>
      <w:bookmarkStart w:id="96" w:name="_Toc14577357"/>
      <w:r/>
      <w:bookmarkStart w:id="97" w:name="_Toc49090509"/>
      <w:r/>
      <w:bookmarkStart w:id="98" w:name="_Toc513029216"/>
      <w:r/>
      <w:bookmarkStart w:id="99" w:name="_Toc49090507"/>
      <w:r/>
      <w:bookmarkStart w:id="100" w:name="_Toc1457735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bookmarkEnd w:id="99"/>
      <w:bookmarkEnd w:id="100"/>
      <w:r/>
    </w:p>
    <w:p>
      <w:pPr>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86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860"/>
        <w:ind w:firstLine="420"/>
        <w:spacing w:before="0" w:after="0" w:line="400" w:lineRule="exact"/>
        <w:rPr>
          <w:rFonts w:hint="eastAsia"/>
          <w:b w:val="0"/>
          <w:bCs w:val="0"/>
          <w:color w:val="000000"/>
        </w:rPr>
      </w:pPr>
      <w:r/>
      <w:bookmarkStart w:id="106" w:name="_Hlt26668983"/>
      <w:r/>
      <w:bookmarkEnd w:id="106"/>
      <w:r/>
      <w:bookmarkStart w:id="107" w:name="_Hlt26954844"/>
      <w:r/>
      <w:bookmarkEnd w:id="107"/>
      <w:r/>
      <w:bookmarkStart w:id="108" w:name="_Hlt26954848"/>
      <w:r/>
      <w:bookmarkEnd w:id="108"/>
      <w:r/>
      <w:bookmarkStart w:id="109" w:name="_Hlt26954846"/>
      <w:r/>
      <w:bookmarkEnd w:id="109"/>
      <w:r/>
      <w:bookmarkStart w:id="110" w:name="_Hlt26670425"/>
      <w:r/>
      <w:bookmarkEnd w:id="110"/>
      <w:r/>
      <w:bookmarkStart w:id="111" w:name="_Hlt26670403"/>
      <w:r/>
      <w:bookmarkEnd w:id="111"/>
      <w:r/>
      <w:bookmarkStart w:id="112" w:name="_Hlt26670482"/>
      <w:r/>
      <w:bookmarkEnd w:id="112"/>
      <w:r/>
      <w:bookmarkStart w:id="113" w:name="_Hlt26954842"/>
      <w:r/>
      <w:bookmarkEnd w:id="113"/>
      <w:r/>
      <w:bookmarkStart w:id="114" w:name="_Hlt26954731"/>
      <w:r/>
      <w:bookmarkEnd w:id="114"/>
      <w:r/>
      <w:bookmarkStart w:id="115" w:name="_Hlt26670486"/>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86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bookmarkEnd w:id="117"/>
      <w:r/>
    </w:p>
    <w:p>
      <w:pPr>
        <w:pStyle w:val="860"/>
        <w:ind w:firstLine="420"/>
        <w:spacing w:before="0" w:after="0" w:line="400" w:lineRule="exact"/>
        <w:rPr>
          <w:rFonts w:hint="eastAsia"/>
          <w:b w:val="0"/>
          <w:bCs w:val="0"/>
          <w:color w:val="00000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86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859"/>
        <w:ind w:firstLine="482"/>
        <w:spacing w:before="145" w:after="145" w:line="400" w:lineRule="exact"/>
        <w:rPr>
          <w:rFonts w:hint="eastAsia"/>
          <w:color w:val="000000"/>
        </w:rPr>
      </w:pPr>
      <w:r/>
      <w:bookmarkStart w:id="123" w:name="_Hlt26954739"/>
      <w:r/>
      <w:bookmarkEnd w:id="123"/>
      <w:r/>
      <w:bookmarkStart w:id="124" w:name="_Hlt26954852"/>
      <w:r/>
      <w:bookmarkEnd w:id="124"/>
      <w:r/>
      <w:bookmarkStart w:id="125" w:name="_Toc120614217"/>
      <w:r/>
      <w:bookmarkStart w:id="126" w:name="_Toc16938540"/>
      <w:r/>
      <w:bookmarkStart w:id="127" w:name="_Toc513029224"/>
      <w:r/>
      <w:bookmarkStart w:id="128" w:name="_Toc20823296"/>
      <w:r>
        <w:rPr>
          <w:rFonts w:hint="eastAsia"/>
          <w:color w:val="000000"/>
        </w:rPr>
        <w:t xml:space="preserve">四、投标文件的递交</w:t>
      </w:r>
      <w:bookmarkEnd w:id="125"/>
      <w:r/>
      <w:bookmarkEnd w:id="126"/>
      <w:r/>
      <w:bookmarkEnd w:id="127"/>
      <w:r/>
      <w:bookmarkEnd w:id="128"/>
      <w:r/>
      <w:r/>
    </w:p>
    <w:p>
      <w:pPr>
        <w:pStyle w:val="860"/>
        <w:ind w:firstLine="560"/>
        <w:spacing w:before="0" w:after="0" w:line="400" w:lineRule="exact"/>
        <w:rPr>
          <w:rFonts w:hint="eastAsia" w:ascii="黑体"/>
          <w:b w:val="0"/>
          <w:bCs w:val="0"/>
          <w:color w:val="000000"/>
        </w:rPr>
      </w:pPr>
      <w:r/>
      <w:bookmarkStart w:id="129" w:name="_Toc462564084"/>
      <w:r/>
      <w:bookmarkStart w:id="130" w:name="_Toc513029225"/>
      <w:r/>
      <w:bookmarkStart w:id="131" w:name="_Toc16938541"/>
      <w:r/>
      <w:bookmarkStart w:id="132" w:name="_Toc20823297"/>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16938542"/>
      <w:r/>
      <w:bookmarkStart w:id="134" w:name="_Toc513029226"/>
      <w:r/>
      <w:bookmarkStart w:id="135" w:name="_Toc20823298"/>
      <w:r/>
      <w:r/>
    </w:p>
    <w:p>
      <w:pPr>
        <w:pStyle w:val="860"/>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860"/>
        <w:ind w:firstLine="420"/>
        <w:spacing w:before="0" w:after="0" w:line="400" w:lineRule="exact"/>
        <w:rPr>
          <w:rFonts w:hint="eastAsia"/>
          <w:b w:val="0"/>
          <w:bCs w:val="0"/>
          <w:color w:val="000000"/>
        </w:rPr>
      </w:pPr>
      <w:r/>
      <w:bookmarkStart w:id="136" w:name="_Toc20823299"/>
      <w:r/>
      <w:bookmarkStart w:id="137" w:name="_Toc16938543"/>
      <w:r/>
      <w:bookmarkStart w:id="138"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860"/>
        <w:ind w:firstLine="420"/>
        <w:spacing w:before="0" w:after="0" w:line="400" w:lineRule="exact"/>
        <w:rPr>
          <w:rFonts w:hint="eastAsia"/>
          <w:b w:val="0"/>
          <w:bCs w:val="0"/>
          <w:color w:val="000000"/>
        </w:rPr>
      </w:pPr>
      <w:r/>
      <w:bookmarkStart w:id="139" w:name="_Toc16938544"/>
      <w:r/>
      <w:bookmarkStart w:id="140" w:name="_Toc513029228"/>
      <w:r/>
      <w:bookmarkStart w:id="141" w:name="_Toc20823300"/>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859"/>
        <w:ind w:firstLine="482"/>
        <w:spacing w:before="145" w:after="145" w:line="400" w:lineRule="exact"/>
        <w:rPr>
          <w:rFonts w:hint="eastAsia"/>
          <w:color w:val="000000"/>
        </w:rPr>
      </w:pPr>
      <w:r/>
      <w:bookmarkStart w:id="142" w:name="_Toc16938545"/>
      <w:r/>
      <w:bookmarkStart w:id="143" w:name="_Toc513029229"/>
      <w:r/>
      <w:bookmarkStart w:id="144" w:name="_Toc20823301"/>
      <w:r/>
      <w:bookmarkStart w:id="145" w:name="_Toc120614218"/>
      <w:r>
        <w:rPr>
          <w:rFonts w:hint="eastAsia"/>
          <w:color w:val="000000"/>
        </w:rPr>
        <w:t xml:space="preserve">五、开标与评标</w:t>
      </w:r>
      <w:bookmarkEnd w:id="142"/>
      <w:r/>
      <w:bookmarkEnd w:id="143"/>
      <w:r/>
      <w:bookmarkEnd w:id="144"/>
      <w:r/>
      <w:bookmarkEnd w:id="145"/>
      <w:r/>
      <w:r/>
    </w:p>
    <w:p>
      <w:pPr>
        <w:pStyle w:val="860"/>
        <w:ind w:firstLine="420"/>
        <w:spacing w:before="0" w:after="0" w:line="400" w:lineRule="exact"/>
        <w:rPr>
          <w:rFonts w:hint="eastAsia"/>
          <w:b w:val="0"/>
          <w:bCs w:val="0"/>
          <w:color w:val="000000"/>
        </w:rPr>
      </w:pPr>
      <w:r/>
      <w:bookmarkStart w:id="146" w:name="_Toc513029230"/>
      <w:r/>
      <w:bookmarkStart w:id="147" w:name="_Toc20823302"/>
      <w:r/>
      <w:bookmarkStart w:id="148" w:name="_Toc16938546"/>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860"/>
        <w:ind w:firstLine="420"/>
        <w:spacing w:before="0" w:after="0" w:line="400" w:lineRule="exact"/>
        <w:rPr>
          <w:rFonts w:hint="eastAsia"/>
          <w:b w:val="0"/>
          <w:bCs w:val="0"/>
          <w:color w:val="000000"/>
        </w:rPr>
      </w:pPr>
      <w:r/>
      <w:bookmarkStart w:id="149" w:name="_Toc513029231"/>
      <w:r/>
      <w:bookmarkStart w:id="150" w:name="_Toc16938547"/>
      <w:r/>
      <w:bookmarkStart w:id="151"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860"/>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bookmarkEnd w:id="150"/>
      <w:bookmarkEnd w:id="151"/>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860"/>
        <w:ind w:firstLine="420"/>
        <w:spacing w:before="0" w:after="0" w:line="400" w:lineRule="exact"/>
        <w:rPr>
          <w:rFonts w:hint="eastAsia"/>
          <w:b w:val="0"/>
          <w:bCs w:val="0"/>
          <w:color w:val="000000"/>
        </w:rPr>
      </w:pPr>
      <w:r/>
      <w:bookmarkStart w:id="152" w:name="_Toc20823304"/>
      <w:r/>
      <w:bookmarkStart w:id="153" w:name="_Toc513029232"/>
      <w:r/>
      <w:bookmarkStart w:id="154"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860"/>
        <w:ind w:firstLine="420"/>
        <w:spacing w:before="0" w:after="0" w:line="400" w:lineRule="exact"/>
        <w:rPr>
          <w:rFonts w:hint="eastAsia"/>
          <w:b w:val="0"/>
          <w:bCs w:val="0"/>
          <w:color w:val="000000"/>
        </w:rPr>
      </w:pPr>
      <w:r/>
      <w:bookmarkStart w:id="155" w:name="_Toc20823305"/>
      <w:r/>
      <w:bookmarkStart w:id="156" w:name="_Toc16938549"/>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16938550"/>
      <w:r/>
      <w:bookmarkStart w:id="159" w:name="_Toc20823306"/>
      <w:r/>
      <w:bookmarkStart w:id="160"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860"/>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1投标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报价低于采购项目预算 50% 的，即投标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报价&lt;采购项目预算×50%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2投标（响应）报价低于采购项目最高限价 45% 的，即投标（响应）报价&lt;采购项目最高限价×45% ；</w:t>
      </w:r>
      <w:r/>
    </w:p>
    <w:p>
      <w:pPr>
        <w:ind w:firstLine="480"/>
        <w:spacing w:line="400" w:lineRule="exact"/>
        <w:rPr>
          <w:rFonts w:hint="eastAsia" w:ascii="宋体" w:hAnsi="宋体"/>
          <w:bCs/>
          <w:color w:val="ff0000"/>
          <w:sz w:val="24"/>
          <w:szCs w:val="21"/>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hint="eastAsia" w:ascii="宋体" w:hAnsi="宋体"/>
          <w:bCs/>
          <w:color w:val="000000"/>
          <w:sz w:val="24"/>
          <w:highlight w:val="green"/>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4</w:t>
      </w:r>
      <w:r>
        <w:rPr>
          <w:rFonts w:hint="eastAsia" w:ascii="宋体" w:hAnsi="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859"/>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860"/>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16938554"/>
      <w:r/>
      <w:bookmarkStart w:id="167"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86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86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59"/>
        <w:spacing w:before="145" w:after="145" w:line="400" w:lineRule="exact"/>
        <w:rPr>
          <w:rFonts w:hint="eastAsia"/>
          <w:color w:val="000000"/>
        </w:rPr>
      </w:pPr>
      <w:r/>
      <w:bookmarkStart w:id="169" w:name="_Toc120614220"/>
      <w:r/>
      <w:bookmarkStart w:id="170" w:name="_Toc16938552"/>
      <w:r/>
      <w:bookmarkStart w:id="171" w:name="_Toc513029236"/>
      <w:r/>
      <w:bookmarkStart w:id="172" w:name="_Toc20823308"/>
      <w:r>
        <w:rPr>
          <w:rFonts w:hint="eastAsia"/>
          <w:color w:val="000000"/>
        </w:rPr>
        <w:t xml:space="preserve">七、授予合同</w:t>
      </w:r>
      <w:bookmarkEnd w:id="169"/>
      <w:r/>
      <w:bookmarkEnd w:id="170"/>
      <w:bookmarkEnd w:id="171"/>
      <w:bookmarkEnd w:id="172"/>
      <w:r/>
    </w:p>
    <w:p>
      <w:pPr>
        <w:pStyle w:val="860"/>
        <w:ind w:firstLine="600"/>
        <w:spacing w:before="0" w:after="0" w:line="400" w:lineRule="exact"/>
        <w:rPr>
          <w:rFonts w:hint="eastAsia" w:ascii="黑体" w:hAnsi="宋体" w:cs="Times New Roman"/>
          <w:b w:val="0"/>
          <w:color w:val="000000"/>
          <w:sz w:val="30"/>
          <w:szCs w:val="30"/>
        </w:rPr>
      </w:pPr>
      <w:r/>
      <w:bookmarkStart w:id="173" w:name="_Toc513029237"/>
      <w:r/>
      <w:bookmarkStart w:id="174" w:name="_Toc16938553"/>
      <w:r/>
      <w:bookmarkStart w:id="175" w:name="_Toc20823309"/>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bookmarkEnd w:id="174"/>
      <w:bookmarkEnd w:id="175"/>
      <w:r/>
    </w:p>
    <w:p>
      <w:pPr>
        <w:pStyle w:val="860"/>
        <w:ind w:firstLine="600"/>
        <w:spacing w:before="0" w:after="0" w:line="400" w:lineRule="exact"/>
        <w:rPr>
          <w:rFonts w:ascii="黑体" w:hAnsi="宋体" w:cs="Times New Roman"/>
          <w:b w:val="0"/>
          <w:color w:val="000000"/>
          <w:sz w:val="30"/>
          <w:szCs w:val="30"/>
        </w:rPr>
      </w:pPr>
      <w:r/>
      <w:bookmarkStart w:id="176" w:name="_Toc120614221"/>
      <w:r/>
      <w:bookmarkStart w:id="177" w:name="_Toc479757207"/>
      <w:r/>
      <w:bookmarkStart w:id="178" w:name="_Toc20823314"/>
      <w:r/>
      <w:bookmarkStart w:id="179" w:name="_Toc16938558"/>
      <w:r/>
      <w:bookmarkStart w:id="180" w:name="_Toc513029242"/>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858"/>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858"/>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856"/>
        <w:rPr>
          <w:rFonts w:ascii="黑体" w:eastAsia="黑体"/>
          <w:bCs/>
          <w:color w:val="000000"/>
          <w:sz w:val="44"/>
        </w:rPr>
      </w:pPr>
      <w:r>
        <w:rPr>
          <w:rFonts w:ascii="黑体" w:eastAsia="黑体"/>
          <w:bCs/>
          <w:color w:val="000000"/>
          <w:sz w:val="44"/>
        </w:rPr>
      </w:r>
      <w:r/>
    </w:p>
    <w:p>
      <w:pPr>
        <w:pStyle w:val="856"/>
        <w:rPr>
          <w:rFonts w:ascii="黑体" w:eastAsia="黑体"/>
          <w:bCs/>
          <w:color w:val="000000"/>
          <w:sz w:val="44"/>
        </w:rPr>
      </w:pPr>
      <w:r>
        <w:rPr>
          <w:rFonts w:ascii="黑体" w:eastAsia="黑体"/>
          <w:bCs/>
          <w:color w:val="000000"/>
          <w:sz w:val="44"/>
        </w:rPr>
      </w:r>
      <w:r/>
    </w:p>
    <w:p>
      <w:pPr>
        <w:rPr>
          <w:rFonts w:hint="eastAsia"/>
          <w:color w:val="000000"/>
        </w:rPr>
      </w:pPr>
      <w:r>
        <w:rPr>
          <w:rFonts w:hint="eastAsia"/>
          <w:color w:val="000000"/>
        </w:rPr>
      </w:r>
      <w:r/>
    </w:p>
    <w:p>
      <w:pPr>
        <w:pStyle w:val="856"/>
        <w:rPr>
          <w:rFonts w:ascii="黑体" w:eastAsia="黑体"/>
          <w:bCs/>
          <w:color w:val="000000"/>
          <w:sz w:val="44"/>
        </w:rPr>
      </w:pPr>
      <w:r>
        <w:rPr>
          <w:rFonts w:ascii="黑体" w:eastAsia="黑体"/>
          <w:bCs/>
          <w:color w:val="000000"/>
          <w:sz w:val="44"/>
        </w:rPr>
      </w:r>
      <w:r/>
    </w:p>
    <w:p>
      <w:pPr>
        <w:pStyle w:val="856"/>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1" w:name="_Toc16938559"/>
      <w:r/>
      <w:bookmarkStart w:id="182" w:name="_Toc513029243"/>
      <w:r/>
      <w:bookmarkStart w:id="183" w:name="_Toc20823315"/>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893"/>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893"/>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893"/>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扬州市公共资源交易中心高邮分中心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893"/>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893"/>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893"/>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893"/>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893"/>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893"/>
        <w:spacing w:before="120" w:after="120"/>
        <w:rPr>
          <w:rFonts w:hAnsi="宋体"/>
          <w:color w:val="000000"/>
          <w:sz w:val="24"/>
          <w:szCs w:val="24"/>
        </w:rPr>
      </w:pPr>
      <w:r>
        <w:rPr>
          <w:rFonts w:hint="eastAsia" w:hAnsi="宋体"/>
          <w:color w:val="000000"/>
          <w:sz w:val="24"/>
          <w:szCs w:val="24"/>
        </w:rPr>
        <w:t xml:space="preserve">1.5 履行地点：</w:t>
      </w:r>
      <w:r/>
    </w:p>
    <w:p>
      <w:pPr>
        <w:pStyle w:val="89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893"/>
        <w:spacing w:before="120" w:after="120"/>
        <w:rPr>
          <w:rFonts w:hAnsi="宋体"/>
          <w:b/>
          <w:color w:val="000000"/>
          <w:sz w:val="24"/>
          <w:szCs w:val="24"/>
        </w:rPr>
      </w:pPr>
      <w:r>
        <w:rPr>
          <w:rFonts w:hAnsi="宋体"/>
          <w:b/>
          <w:color w:val="000000"/>
          <w:sz w:val="24"/>
          <w:szCs w:val="24"/>
        </w:rPr>
        <w:t xml:space="preserve">二、合同金额</w:t>
      </w:r>
      <w:r/>
    </w:p>
    <w:p>
      <w:pPr>
        <w:pStyle w:val="893"/>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893"/>
        <w:spacing w:before="120" w:after="120"/>
        <w:rPr>
          <w:rFonts w:hAnsi="宋体"/>
          <w:b/>
          <w:color w:val="000000"/>
          <w:sz w:val="24"/>
          <w:szCs w:val="24"/>
        </w:rPr>
      </w:pPr>
      <w:r>
        <w:rPr>
          <w:rFonts w:hAnsi="宋体"/>
          <w:b/>
          <w:color w:val="000000"/>
          <w:sz w:val="24"/>
          <w:szCs w:val="24"/>
        </w:rPr>
        <w:t xml:space="preserve">三、技术资料</w:t>
      </w:r>
      <w:r/>
    </w:p>
    <w:p>
      <w:pPr>
        <w:pStyle w:val="893"/>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893"/>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3"/>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893"/>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93"/>
        <w:spacing w:before="120" w:after="120"/>
        <w:rPr>
          <w:rFonts w:hAnsi="宋体"/>
          <w:color w:val="000000"/>
          <w:sz w:val="24"/>
          <w:szCs w:val="24"/>
          <w:u w:val="single"/>
        </w:rPr>
      </w:pPr>
      <w:r>
        <w:rPr>
          <w:rFonts w:hAnsi="宋体"/>
          <w:b/>
          <w:color w:val="000000"/>
          <w:sz w:val="24"/>
          <w:szCs w:val="24"/>
        </w:rPr>
        <w:t xml:space="preserve">五、产权担保</w:t>
      </w:r>
      <w:r/>
    </w:p>
    <w:p>
      <w:pPr>
        <w:pStyle w:val="893"/>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893"/>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893"/>
        <w:ind w:left="408" w:hanging="408"/>
        <w:spacing w:before="120" w:after="120"/>
        <w:rPr>
          <w:rFonts w:hint="eastAsia" w:hAnsi="宋体"/>
          <w:color w:val="0000ff"/>
          <w:sz w:val="24"/>
          <w:szCs w:val="24"/>
          <w:lang w:val="en-US" w:eastAsia="zh-CN"/>
        </w:rPr>
      </w:pPr>
      <w:r>
        <w:rPr>
          <w:rFonts w:hAnsi="宋体"/>
          <w:color w:val="000000"/>
          <w:sz w:val="24"/>
          <w:szCs w:val="24"/>
        </w:rPr>
        <w:t xml:space="preserve">6.1 </w:t>
      </w:r>
      <w:r>
        <w:rPr>
          <w:rFonts w:hint="eastAsia" w:hAnsi="宋体"/>
          <w:color w:val="0000ff"/>
          <w:sz w:val="24"/>
          <w:szCs w:val="24"/>
          <w:lang w:val="en-US" w:eastAsia="zh-CN"/>
        </w:rPr>
        <w:t xml:space="preserve">乙方可以自主选择支票、汇票、本票、保函（电子保函）等非现金形式缴纳中标金额的</w:t>
      </w:r>
      <w:r>
        <w:rPr>
          <w:rFonts w:hint="eastAsia" w:hAnsi="宋体"/>
          <w:color w:val="0000ff"/>
          <w:sz w:val="24"/>
          <w:szCs w:val="24"/>
          <w:u w:val="single"/>
          <w:lang w:val="en-US" w:eastAsia="zh-CN"/>
        </w:rPr>
        <w:t xml:space="preserve">10%</w:t>
      </w:r>
      <w:r>
        <w:rPr>
          <w:rFonts w:hint="eastAsia" w:hAnsi="宋体"/>
          <w:color w:val="0000ff"/>
          <w:sz w:val="24"/>
          <w:szCs w:val="24"/>
          <w:lang w:val="en-US" w:eastAsia="zh-CN"/>
        </w:rPr>
        <w:t xml:space="preserve">作为本合同的履约保证金。</w:t>
      </w:r>
      <w:r/>
    </w:p>
    <w:p>
      <w:pPr>
        <w:pStyle w:val="893"/>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893"/>
        <w:ind w:left="408" w:hanging="408"/>
        <w:spacing w:before="120" w:after="120"/>
        <w:rPr>
          <w:rFonts w:hint="eastAsia" w:hAnsi="宋体" w:eastAsia="宋体"/>
          <w:color w:val="000000"/>
          <w:sz w:val="24"/>
          <w:szCs w:val="24"/>
          <w:lang w:val="en-US" w:eastAsia="zh-CN"/>
        </w:rPr>
      </w:pPr>
      <w:r>
        <w:rPr>
          <w:rFonts w:hint="eastAsia" w:hAnsi="宋体"/>
          <w:color w:val="000000"/>
          <w:sz w:val="24"/>
          <w:szCs w:val="24"/>
        </w:rPr>
        <w:t xml:space="preserve">6.2.1履约保证金退还方式：</w:t>
      </w:r>
      <w:r>
        <w:rPr>
          <w:rFonts w:hint="eastAsia" w:hAnsi="宋体"/>
          <w:color w:val="0000ff"/>
          <w:sz w:val="24"/>
          <w:szCs w:val="24"/>
          <w:lang w:val="en-US" w:eastAsia="zh-CN"/>
        </w:rPr>
        <w:t xml:space="preserve">非现金形式予以无息退还。</w:t>
      </w:r>
      <w:r/>
    </w:p>
    <w:p>
      <w:pPr>
        <w:pStyle w:val="893"/>
        <w:ind w:left="408" w:hanging="408"/>
        <w:spacing w:before="120" w:after="120"/>
        <w:rPr>
          <w:rFonts w:hint="default" w:hAnsi="宋体"/>
          <w:color w:val="000000"/>
          <w:sz w:val="24"/>
          <w:szCs w:val="24"/>
          <w:lang w:val="en-US"/>
        </w:rPr>
      </w:pPr>
      <w:r>
        <w:rPr>
          <w:rFonts w:hint="eastAsia" w:hAnsi="宋体"/>
          <w:color w:val="000000"/>
          <w:sz w:val="24"/>
          <w:szCs w:val="24"/>
        </w:rPr>
        <w:t xml:space="preserve">6.2.2履约保证金退还时间：</w:t>
      </w:r>
      <w:r>
        <w:rPr>
          <w:rFonts w:hint="eastAsia" w:hAnsi="宋体"/>
          <w:color w:val="0000ff"/>
          <w:sz w:val="24"/>
          <w:szCs w:val="24"/>
          <w:lang w:val="en-US" w:eastAsia="zh-CN"/>
        </w:rPr>
        <w:t xml:space="preserve">合同履行结束后，乙方凭甲方签署的项目验收单或项目验收报告，向甲方提请办理履约保证金退还手续，甲方在收到提请后十五日内。</w:t>
      </w:r>
      <w:r/>
    </w:p>
    <w:p>
      <w:pPr>
        <w:pStyle w:val="893"/>
        <w:ind w:left="408" w:hanging="408"/>
        <w:spacing w:before="120" w:after="120"/>
        <w:rPr>
          <w:rFonts w:hint="default" w:hAnsi="宋体"/>
          <w:color w:val="000000"/>
          <w:sz w:val="24"/>
          <w:szCs w:val="24"/>
          <w:lang w:val="en-US"/>
        </w:rPr>
      </w:pPr>
      <w:r>
        <w:rPr>
          <w:rFonts w:hint="eastAsia" w:hAnsi="宋体"/>
          <w:color w:val="000000"/>
          <w:sz w:val="24"/>
          <w:szCs w:val="24"/>
        </w:rPr>
        <w:t xml:space="preserve">6.2.3履约保证金退还条件：</w:t>
      </w:r>
      <w:r>
        <w:rPr>
          <w:rFonts w:hint="eastAsia" w:hAnsi="宋体"/>
          <w:color w:val="0000ff"/>
          <w:sz w:val="24"/>
          <w:szCs w:val="24"/>
          <w:lang w:val="en-US" w:eastAsia="zh-CN"/>
        </w:rPr>
        <w:t xml:space="preserve">合同履行结束后，乙方凭甲方签署的项目验收单或项目验收报告，向甲方提请办理履约保证金退还手续，甲方在收到提请后十五日内以非现金形式予以无息退还，逾期退还的，按中国人民银行同期贷款基准利率支付超期资金占用费，但因乙方自身原因导致无法及时退还的除外。</w:t>
      </w:r>
      <w:r/>
    </w:p>
    <w:p>
      <w:pPr>
        <w:pStyle w:val="893"/>
        <w:ind w:left="408" w:hanging="408"/>
        <w:spacing w:before="120" w:after="120"/>
        <w:rPr>
          <w:rFonts w:hint="default" w:hAnsi="宋体"/>
          <w:color w:val="0000ff"/>
          <w:sz w:val="24"/>
          <w:szCs w:val="24"/>
          <w:lang w:val="en-US" w:eastAsia="zh-CN"/>
        </w:rPr>
      </w:pPr>
      <w:r>
        <w:rPr>
          <w:rFonts w:hint="eastAsia" w:hAnsi="宋体"/>
          <w:color w:val="000000"/>
          <w:sz w:val="24"/>
          <w:szCs w:val="24"/>
        </w:rPr>
        <w:t xml:space="preserve">6.2.4履约保证金不予退还的情形：</w:t>
      </w:r>
      <w:r>
        <w:rPr>
          <w:rFonts w:hint="eastAsia" w:hAnsi="宋体"/>
          <w:color w:val="0000ff"/>
          <w:sz w:val="24"/>
          <w:szCs w:val="24"/>
          <w:lang w:val="en-US" w:eastAsia="zh-CN"/>
        </w:rPr>
        <w:t xml:space="preserve">（1）签订合同后，乙方不得将服务进行转包。未经甲方同意，乙方也不得采用分包的形式履行合同，否则甲方有权终止合同，乙方的履约保证金将不予退还。转包或分包造成甲方损失的，乙方应承担赔偿责任。（2）如乙方未能履行合同规定的义务，给甲方造成损失的，甲方有权从履约保证金中取得补偿。履约保证金扣除甲方应得的补偿后余额在上述规定时间内退还给乙方。</w:t>
      </w:r>
      <w:r/>
    </w:p>
    <w:p>
      <w:pPr>
        <w:pStyle w:val="893"/>
        <w:ind w:left="408" w:hanging="408"/>
        <w:spacing w:before="120" w:after="120"/>
        <w:rPr>
          <w:rFonts w:hint="eastAsia" w:ascii="宋体" w:hAnsi="宋体" w:eastAsia="宋体" w:cs="宋体"/>
          <w:color w:val="ff0000"/>
          <w:sz w:val="24"/>
          <w:szCs w:val="24"/>
          <w:shd w:val="clear" w:color="auto" w:fill="ffff00"/>
          <w:lang w:val="en-US" w:eastAsia="zh-CN"/>
        </w:rPr>
      </w:pPr>
      <w:r>
        <w:rPr>
          <w:rFonts w:hint="eastAsia" w:hAnsi="宋体"/>
          <w:color w:val="auto"/>
          <w:sz w:val="24"/>
          <w:szCs w:val="24"/>
          <w:lang w:val="en-US" w:eastAsia="zh-CN"/>
        </w:rPr>
        <w:t xml:space="preserve">6.2.5履约保证金逾期退还的违约责任：</w:t>
      </w:r>
      <w:r>
        <w:rPr>
          <w:rFonts w:hint="eastAsia" w:hAnsi="宋体"/>
          <w:color w:val="0000ff"/>
          <w:sz w:val="24"/>
          <w:szCs w:val="24"/>
          <w:lang w:val="en-US" w:eastAsia="zh-CN"/>
        </w:rPr>
        <w:t xml:space="preserve">逾期退还的，按中国人民银行同期贷款基准利率支付超期资金占用费，但因乙方自身原因导致无法及时退还的除外。</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893"/>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spacing w:before="145" w:after="145"/>
        <w:rPr>
          <w:rFonts w:hint="eastAsia" w:hAnsi="宋体"/>
          <w:color w:val="auto"/>
          <w:sz w:val="24"/>
          <w:szCs w:val="24"/>
          <w:u w:val="single"/>
        </w:rPr>
      </w:pPr>
      <w:r>
        <w:rPr>
          <w:rFonts w:hint="eastAsia" w:hAnsi="宋体"/>
          <w:color w:val="auto"/>
          <w:sz w:val="24"/>
          <w:szCs w:val="24"/>
          <w:u w:val="single"/>
        </w:rPr>
        <w:t xml:space="preserve">第一种:合同签订，甲方自收到发票后 10 个工作日内，支付合同金额 30%的预付款。乙方正式开展服务后，当年第五个月按服务进度支付当年第一季度的款项(扣除预付款)，从第三季度开始每季度支付上季度款项。</w:t>
      </w:r>
      <w:r/>
    </w:p>
    <w:p>
      <w:pPr>
        <w:spacing w:before="145" w:after="145"/>
        <w:rPr>
          <w:rFonts w:hint="eastAsia" w:hAnsi="宋体"/>
          <w:color w:val="auto"/>
          <w:sz w:val="24"/>
          <w:szCs w:val="24"/>
          <w:u w:val="single"/>
        </w:rPr>
      </w:pPr>
      <w:r>
        <w:rPr>
          <w:rFonts w:hint="eastAsia" w:hAnsi="宋体"/>
          <w:color w:val="auto"/>
          <w:sz w:val="24"/>
          <w:szCs w:val="24"/>
          <w:u w:val="single"/>
        </w:rPr>
        <w:t xml:space="preserve">第二种:乙方自愿放弃预付款，合同签订，乙方正式开展服务后，从第二季度开始每季度支付上季度款项。</w:t>
      </w:r>
      <w:r/>
    </w:p>
    <w:p>
      <w:pPr>
        <w:spacing w:before="145" w:after="145"/>
        <w:rPr>
          <w:rFonts w:hint="eastAsia" w:hAnsi="宋体"/>
          <w:color w:val="auto"/>
          <w:sz w:val="24"/>
          <w:szCs w:val="24"/>
          <w:u w:val="single"/>
        </w:rPr>
      </w:pPr>
      <w:r>
        <w:rPr>
          <w:rFonts w:hint="eastAsia" w:hAnsi="宋体"/>
          <w:color w:val="auto"/>
          <w:sz w:val="24"/>
          <w:szCs w:val="24"/>
          <w:u w:val="single"/>
        </w:rPr>
        <w:t xml:space="preserve">以上款项甲方自收到发票后 10 个工作日内支付。</w:t>
      </w:r>
      <w:r/>
    </w:p>
    <w:p>
      <w:pPr>
        <w:spacing w:before="145" w:after="145"/>
        <w:rPr>
          <w:rFonts w:hint="eastAsia" w:hAnsi="宋体"/>
          <w:color w:val="auto"/>
          <w:sz w:val="24"/>
          <w:szCs w:val="24"/>
          <w:u w:val="single"/>
        </w:rPr>
      </w:pPr>
      <w:r>
        <w:rPr>
          <w:rFonts w:hint="eastAsia" w:hAnsi="宋体"/>
          <w:color w:val="auto"/>
          <w:sz w:val="24"/>
          <w:szCs w:val="24"/>
          <w:u w:val="single"/>
        </w:rPr>
        <w:t xml:space="preserve">(以上两种支付方式由甲乙双方协商确定)</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89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893"/>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893"/>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3"/>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893"/>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893"/>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3"/>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9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89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89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89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89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89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893"/>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89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89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89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893"/>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89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89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89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893"/>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893"/>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893"/>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893"/>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893"/>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893"/>
        <w:jc w:val="center"/>
        <w:spacing w:before="120" w:after="120" w:line="0" w:lineRule="atLeast"/>
        <w:rPr>
          <w:color w:val="000000"/>
        </w:rPr>
      </w:pPr>
      <w:r>
        <w:rPr>
          <w:rFonts w:hint="eastAsia"/>
          <w:color w:val="000000"/>
        </w:rPr>
        <w:t xml:space="preserve">                                         </w:t>
      </w:r>
      <w:r/>
    </w:p>
    <w:p>
      <w:pPr>
        <w:pStyle w:val="893"/>
        <w:jc w:val="right"/>
        <w:spacing w:before="120" w:after="120" w:line="0" w:lineRule="atLeast"/>
        <w:rPr>
          <w:color w:val="000000"/>
          <w:sz w:val="24"/>
          <w:szCs w:val="24"/>
        </w:rPr>
      </w:pPr>
      <w:r>
        <w:rPr>
          <w:rFonts w:hint="eastAsia"/>
          <w:color w:val="000000"/>
          <w:sz w:val="24"/>
          <w:szCs w:val="24"/>
        </w:rPr>
        <w:t xml:space="preserve"> </w:t>
      </w:r>
      <w:r/>
    </w:p>
    <w:p>
      <w:pPr>
        <w:pStyle w:val="893"/>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Toc20823346"/>
      <w:r/>
      <w:bookmarkStart w:id="186" w:name="_Toc16938590"/>
      <w:r/>
      <w:bookmarkStart w:id="187" w:name="_Toc120614244"/>
      <w:r/>
      <w:bookmarkStart w:id="188" w:name="_Hlt16619350"/>
      <w:r/>
      <w:bookmarkStart w:id="189" w:name="_Toc462564139"/>
      <w:r/>
      <w:bookmarkStart w:id="190" w:name="_Toc479757211"/>
      <w:r>
        <w:rPr>
          <w:rFonts w:ascii="黑体" w:eastAsia="黑体"/>
          <w:bCs/>
          <w:color w:val="000000"/>
          <w:sz w:val="44"/>
        </w:rPr>
        <w:br w:type="page" w:clear="all"/>
      </w:r>
      <w:bookmarkEnd w:id="185"/>
      <w:r/>
      <w:bookmarkEnd w:id="186"/>
      <w:r/>
      <w:bookmarkEnd w:id="187"/>
      <w:r/>
      <w:bookmarkEnd w:id="188"/>
      <w:r/>
      <w:bookmarkStart w:id="191" w:name="_Toc49090575"/>
      <w:r/>
      <w:bookmarkStart w:id="192" w:name="_Toc26554093"/>
      <w:r/>
      <w:bookmarkStart w:id="193" w:name="_Toc120614281"/>
      <w:r>
        <w:rPr>
          <w:rFonts w:hint="eastAsia" w:ascii="黑体" w:eastAsia="黑体"/>
          <w:bCs/>
          <w:color w:val="000000"/>
          <w:sz w:val="44"/>
        </w:rPr>
        <w:t xml:space="preserve">第四章 采购需求</w:t>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spacing w:line="360" w:lineRule="auto"/>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color w:val="000000"/>
                <w:sz w:val="24"/>
                <w:szCs w:val="24"/>
                <w:lang w:val="en-US" w:eastAsia="zh-CN"/>
              </w:rPr>
              <w:t xml:space="preserve">高邮市民政局关于高邮市政府购买居家养老服务项目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其他未列明行业</w:t>
            </w:r>
            <w:r/>
          </w:p>
        </w:tc>
      </w:tr>
      <w:tr>
        <w:trPr>
          <w:cantSplit/>
          <w:jc w:val="center"/>
          <w:trHeight w:val="235"/>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color w:val="000000"/>
                <w:sz w:val="24"/>
                <w:szCs w:val="24"/>
                <w:lang w:val="en-US" w:eastAsia="zh-CN"/>
              </w:rPr>
              <w:t xml:space="preserve">高邮市民政局关于高邮市政府购买居家养老服务项目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其他未列明行业</w:t>
            </w:r>
            <w:r/>
          </w:p>
        </w:tc>
      </w:tr>
      <w:tr>
        <w:trPr>
          <w:cantSplit/>
          <w:jc w:val="center"/>
          <w:trHeight w:val="222"/>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color w:val="000000"/>
                <w:sz w:val="24"/>
                <w:szCs w:val="24"/>
                <w:lang w:val="en-US" w:eastAsia="zh-CN"/>
              </w:rPr>
              <w:t xml:space="preserve">高邮市民政局关于高邮市政府购买居家养老服务项目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其他未列明行业</w:t>
            </w:r>
            <w:r/>
          </w:p>
        </w:tc>
      </w:tr>
    </w:tbl>
    <w:p>
      <w:pPr>
        <w:pStyle w:val="701"/>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二、技术要求</w:t>
      </w:r>
      <w:r/>
    </w:p>
    <w:p>
      <w:pPr>
        <w:ind w:firstLine="415"/>
        <w:spacing w:line="360" w:lineRule="auto"/>
        <w:rPr>
          <w:rFonts w:hint="eastAsia" w:ascii="楷体" w:hAnsi="楷体" w:eastAsia="楷体"/>
          <w:szCs w:val="21"/>
        </w:rPr>
      </w:pPr>
      <w:r>
        <w:t xml:space="preserve">  </w:t>
      </w:r>
      <w:r>
        <w:rPr>
          <w:rFonts w:hint="eastAsia" w:ascii="楷体" w:hAnsi="楷体" w:eastAsia="楷体"/>
          <w:szCs w:val="21"/>
        </w:rPr>
        <w:t xml:space="preserve">为推进政府购买居家养老服务工作的规范化、专业化，满足老年人个性化、多样化养老服务需求，采取购买第三方服务的方式，实施新一轮居家养老服务项目采购。</w:t>
      </w:r>
      <w:r/>
    </w:p>
    <w:p>
      <w:pPr>
        <w:ind w:firstLine="417"/>
        <w:spacing w:line="360" w:lineRule="auto"/>
        <w:rPr>
          <w:rFonts w:hint="eastAsia" w:ascii="楷体" w:hAnsi="楷体" w:eastAsia="楷体"/>
          <w:szCs w:val="21"/>
        </w:rPr>
      </w:pPr>
      <w:r>
        <w:rPr>
          <w:rFonts w:hint="eastAsia" w:ascii="楷体" w:hAnsi="楷体" w:eastAsia="楷体"/>
          <w:b/>
          <w:bCs/>
          <w:szCs w:val="21"/>
        </w:rPr>
        <w:t xml:space="preserve">一、采购技术要求</w:t>
      </w:r>
      <w:r>
        <w:rPr>
          <w:rFonts w:hint="eastAsia" w:ascii="楷体" w:hAnsi="楷体" w:eastAsia="楷体"/>
          <w:szCs w:val="21"/>
        </w:rPr>
        <w:t xml:space="preserve">（对不允许偏离的实质性要求和条件，以斜体</w:t>
      </w:r>
      <w:r>
        <w:rPr>
          <w:rFonts w:hint="eastAsia" w:ascii="楷体" w:hAnsi="楷体" w:eastAsia="楷体"/>
          <w:szCs w:val="21"/>
          <w:lang w:val="en-US" w:eastAsia="zh-CN"/>
        </w:rPr>
        <w:t xml:space="preserve">下划线</w:t>
      </w:r>
      <w:r>
        <w:rPr>
          <w:rFonts w:hint="eastAsia" w:ascii="楷体" w:hAnsi="楷体" w:eastAsia="楷体"/>
          <w:szCs w:val="21"/>
        </w:rPr>
        <w:t xml:space="preserve">方式提示）。</w:t>
      </w:r>
      <w:r/>
    </w:p>
    <w:p>
      <w:pPr>
        <w:ind w:firstLine="417"/>
        <w:spacing w:line="360" w:lineRule="auto"/>
        <w:rPr>
          <w:rFonts w:hint="eastAsia" w:ascii="楷体" w:hAnsi="楷体" w:eastAsia="楷体"/>
          <w:szCs w:val="21"/>
        </w:rPr>
      </w:pPr>
      <w:r>
        <w:rPr>
          <w:rFonts w:hint="eastAsia" w:ascii="楷体" w:hAnsi="楷体" w:eastAsia="楷体"/>
          <w:b/>
          <w:bCs/>
          <w:szCs w:val="21"/>
        </w:rPr>
        <w:t xml:space="preserve">二、</w:t>
      </w:r>
      <w:r>
        <w:rPr>
          <w:rFonts w:hint="eastAsia" w:ascii="楷体" w:hAnsi="楷体" w:eastAsia="楷体"/>
          <w:szCs w:val="21"/>
        </w:rPr>
        <w:t xml:space="preserve">本次采购范围包括政府购买居家养老上门服务，协助本地区居家养老服务中心运营。</w:t>
      </w:r>
      <w:r/>
    </w:p>
    <w:p>
      <w:pPr>
        <w:ind w:firstLine="413"/>
        <w:spacing w:line="360" w:lineRule="auto"/>
        <w:rPr>
          <w:rFonts w:hint="eastAsia" w:ascii="楷体" w:hAnsi="楷体" w:eastAsia="楷体"/>
          <w:szCs w:val="21"/>
        </w:rPr>
      </w:pPr>
      <w:r>
        <w:rPr>
          <w:rFonts w:hint="eastAsia" w:ascii="楷体" w:hAnsi="楷体" w:eastAsia="楷体"/>
          <w:b/>
          <w:bCs/>
          <w:szCs w:val="21"/>
        </w:rPr>
        <w:t xml:space="preserve">三、</w:t>
      </w:r>
      <w:r>
        <w:rPr>
          <w:rFonts w:hint="eastAsia" w:ascii="楷体" w:hAnsi="楷体" w:eastAsia="楷体"/>
          <w:szCs w:val="21"/>
        </w:rPr>
        <w:t xml:space="preserve">本项目采购预算金额每年2240万元左右，</w:t>
      </w:r>
      <w:r>
        <w:rPr>
          <w:rFonts w:hint="eastAsia" w:ascii="楷体" w:hAnsi="楷体" w:eastAsia="楷体"/>
          <w:szCs w:val="21"/>
          <w:lang w:val="en-US" w:eastAsia="zh-CN"/>
        </w:rPr>
        <w:t xml:space="preserve">包一</w:t>
      </w:r>
      <w:r>
        <w:rPr>
          <w:rFonts w:hint="eastAsia" w:ascii="楷体" w:hAnsi="楷体" w:eastAsia="楷体"/>
          <w:szCs w:val="21"/>
        </w:rPr>
        <w:t xml:space="preserve">人民币约</w:t>
      </w:r>
      <w:r>
        <w:rPr>
          <w:rFonts w:hint="eastAsia" w:ascii="楷体" w:hAnsi="楷体" w:eastAsia="楷体"/>
          <w:szCs w:val="21"/>
          <w:u w:val="single"/>
        </w:rPr>
        <w:t xml:space="preserve"> 780</w:t>
      </w:r>
      <w:r>
        <w:rPr>
          <w:rFonts w:hint="eastAsia" w:ascii="楷体" w:hAnsi="楷体" w:eastAsia="楷体"/>
          <w:szCs w:val="21"/>
        </w:rPr>
        <w:t xml:space="preserve">万元/年，</w:t>
      </w:r>
      <w:r>
        <w:rPr>
          <w:rFonts w:hint="eastAsia" w:ascii="楷体" w:hAnsi="楷体" w:eastAsia="楷体"/>
          <w:szCs w:val="21"/>
          <w:lang w:val="en-US" w:eastAsia="zh-CN"/>
        </w:rPr>
        <w:t xml:space="preserve">包二</w:t>
      </w:r>
      <w:r>
        <w:rPr>
          <w:rFonts w:hint="eastAsia" w:ascii="楷体" w:hAnsi="楷体" w:eastAsia="楷体"/>
          <w:szCs w:val="21"/>
        </w:rPr>
        <w:t xml:space="preserve">人民币约</w:t>
      </w:r>
      <w:r>
        <w:rPr>
          <w:rFonts w:hint="eastAsia" w:ascii="楷体" w:hAnsi="楷体" w:eastAsia="楷体"/>
          <w:szCs w:val="21"/>
          <w:u w:val="single"/>
        </w:rPr>
        <w:t xml:space="preserve"> 740</w:t>
      </w:r>
      <w:r>
        <w:rPr>
          <w:rFonts w:hint="eastAsia" w:ascii="楷体" w:hAnsi="楷体" w:eastAsia="楷体"/>
          <w:szCs w:val="21"/>
        </w:rPr>
        <w:t xml:space="preserve">万元/年，</w:t>
      </w:r>
      <w:r>
        <w:rPr>
          <w:rFonts w:hint="eastAsia" w:ascii="楷体" w:hAnsi="楷体" w:eastAsia="楷体"/>
          <w:szCs w:val="21"/>
          <w:lang w:val="en-US" w:eastAsia="zh-CN"/>
        </w:rPr>
        <w:t xml:space="preserve">包三</w:t>
      </w:r>
      <w:r>
        <w:rPr>
          <w:rFonts w:hint="eastAsia" w:ascii="楷体" w:hAnsi="楷体" w:eastAsia="楷体"/>
          <w:szCs w:val="21"/>
        </w:rPr>
        <w:t xml:space="preserve">人民币约</w:t>
      </w:r>
      <w:r>
        <w:rPr>
          <w:rFonts w:hint="eastAsia" w:ascii="楷体" w:hAnsi="楷体" w:eastAsia="楷体"/>
          <w:szCs w:val="21"/>
          <w:u w:val="single"/>
        </w:rPr>
        <w:t xml:space="preserve"> 720</w:t>
      </w:r>
      <w:r>
        <w:rPr>
          <w:rFonts w:hint="eastAsia" w:ascii="楷体" w:hAnsi="楷体" w:eastAsia="楷体"/>
          <w:szCs w:val="21"/>
        </w:rPr>
        <w:t xml:space="preserve">万元/年，最终结算以高邮市民政综合监管平台确认的发生服务工单实际数据为准。</w:t>
      </w:r>
      <w:r>
        <w:rPr>
          <w:rFonts w:hint="eastAsia" w:ascii="楷体" w:hAnsi="楷体" w:eastAsia="楷体" w:cs="宋体"/>
          <w:szCs w:val="21"/>
        </w:rPr>
        <w:t xml:space="preserve">单位最高限价为30元/小时。</w:t>
      </w:r>
      <w:r/>
    </w:p>
    <w:p>
      <w:pPr>
        <w:ind w:firstLine="411"/>
        <w:spacing w:line="360" w:lineRule="auto"/>
        <w:rPr>
          <w:rFonts w:hint="eastAsia" w:ascii="楷体" w:hAnsi="楷体" w:eastAsia="楷体"/>
        </w:rPr>
      </w:pPr>
      <w:r>
        <w:rPr>
          <w:rFonts w:hint="eastAsia" w:ascii="楷体" w:hAnsi="楷体" w:eastAsia="楷体"/>
          <w:szCs w:val="21"/>
        </w:rPr>
        <w:t xml:space="preserve">该项目分为三个包。 标段划分如下表：</w:t>
      </w:r>
      <w:r/>
    </w:p>
    <w:tbl>
      <w:tblPr>
        <w:tblStyle w:val="683"/>
        <w:tblW w:w="8897" w:type="dxa"/>
        <w:tblInd w:w="0" w:type="dxa"/>
        <w:tblLayout w:type="fixed"/>
        <w:tblCellMar>
          <w:left w:w="108" w:type="dxa"/>
          <w:top w:w="0" w:type="dxa"/>
          <w:right w:w="108" w:type="dxa"/>
          <w:bottom w:w="0" w:type="dxa"/>
        </w:tblCellMar>
        <w:tblLook w:val="04A0" w:firstRow="1" w:lastRow="0" w:firstColumn="1" w:lastColumn="0" w:noHBand="0" w:noVBand="1"/>
      </w:tblPr>
      <w:tblGrid>
        <w:gridCol w:w="846"/>
        <w:gridCol w:w="829"/>
        <w:gridCol w:w="957"/>
        <w:gridCol w:w="1328"/>
        <w:gridCol w:w="1572"/>
        <w:gridCol w:w="2089"/>
        <w:gridCol w:w="1276"/>
      </w:tblGrid>
      <w:tr>
        <w:trPr>
          <w:trHeight w:val="66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标段（包）</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序号</w:t>
            </w:r>
            <w:r/>
          </w:p>
        </w:tc>
        <w:tc>
          <w:tcPr>
            <w:tcBorders>
              <w:top w:val="single" w:color="auto" w:sz="4" w:space="0"/>
              <w:left w:val="none" w:color="000000" w:sz="4" w:space="0"/>
              <w:bottom w:val="single" w:color="auto" w:sz="4" w:space="0"/>
              <w:right w:val="single" w:color="auto" w:sz="4" w:space="0"/>
            </w:tcBorders>
            <w:tcW w:w="957"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乡镇</w:t>
            </w:r>
            <w:r/>
          </w:p>
        </w:tc>
        <w:tc>
          <w:tcPr>
            <w:tcBorders>
              <w:top w:val="single" w:color="auto" w:sz="4" w:space="0"/>
              <w:left w:val="none" w:color="000000" w:sz="4" w:space="0"/>
              <w:bottom w:val="single" w:color="auto" w:sz="4" w:space="0"/>
              <w:right w:val="single" w:color="auto" w:sz="4" w:space="0"/>
            </w:tcBorders>
            <w:tcW w:w="1328"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村居数量</w:t>
            </w:r>
            <w:r/>
          </w:p>
        </w:tc>
        <w:tc>
          <w:tcPr>
            <w:tcBorders>
              <w:top w:val="single" w:color="auto" w:sz="4" w:space="0"/>
              <w:left w:val="none" w:color="000000"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普惠高龄老人</w:t>
            </w:r>
            <w:r>
              <w:rPr>
                <w:rFonts w:hint="eastAsia" w:ascii="楷体" w:hAnsi="楷体" w:eastAsia="楷体"/>
                <w:szCs w:val="21"/>
              </w:rPr>
              <w:br/>
            </w:r>
            <w:r>
              <w:rPr>
                <w:rFonts w:hint="eastAsia" w:ascii="楷体" w:hAnsi="楷体" w:eastAsia="楷体"/>
                <w:szCs w:val="21"/>
              </w:rPr>
              <w:t xml:space="preserve">人数预计</w:t>
            </w:r>
            <w:r/>
          </w:p>
        </w:tc>
        <w:tc>
          <w:tcPr>
            <w:tcBorders>
              <w:top w:val="single" w:color="auto" w:sz="4" w:space="0"/>
              <w:left w:val="none" w:color="000000"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其中政府保障经济困难老年人人数</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t xml:space="preserve">小计</w:t>
            </w:r>
            <w:r/>
          </w:p>
          <w:p>
            <w:pPr>
              <w:jc w:val="center"/>
              <w:spacing w:line="360" w:lineRule="auto"/>
              <w:widowControl/>
              <w:rPr>
                <w:rFonts w:ascii="楷体" w:hAnsi="楷体" w:eastAsia="楷体"/>
                <w:szCs w:val="21"/>
              </w:rPr>
            </w:pPr>
            <w:r>
              <w:rPr>
                <w:rFonts w:hint="eastAsia" w:ascii="楷体" w:hAnsi="楷体" w:eastAsia="楷体"/>
                <w:szCs w:val="21"/>
              </w:rPr>
              <w:t xml:space="preserve">（人数）</w:t>
            </w:r>
            <w:r/>
          </w:p>
        </w:tc>
      </w:tr>
      <w:tr>
        <w:trPr>
          <w:trHeight w:val="330"/>
        </w:trPr>
        <w:tc>
          <w:tcPr>
            <w:tcBorders>
              <w:top w:val="none" w:color="000000" w:sz="4" w:space="0"/>
              <w:left w:val="single" w:color="auto" w:sz="4" w:space="0"/>
              <w:right w:val="single" w:color="auto" w:sz="4" w:space="0"/>
            </w:tcBorders>
            <w:tcW w:w="846" w:type="dxa"/>
            <w:vAlign w:val="center"/>
            <w:vMerge w:val="restart"/>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一</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1</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甘垛镇</w:t>
            </w:r>
            <w:r/>
          </w:p>
        </w:tc>
        <w:tc>
          <w:tcPr>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19</w:t>
            </w:r>
            <w:r/>
          </w:p>
        </w:tc>
        <w:tc>
          <w:tcPr>
            <w:tcBorders>
              <w:top w:val="none" w:color="000000" w:sz="4" w:space="0"/>
              <w:left w:val="none" w:color="000000"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2842</w:t>
            </w:r>
            <w:r/>
          </w:p>
        </w:tc>
        <w:tc>
          <w:tcPr>
            <w:tcBorders>
              <w:top w:val="none" w:color="000000" w:sz="4" w:space="0"/>
              <w:left w:val="none" w:color="000000"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132</w:t>
            </w:r>
            <w:r/>
          </w:p>
        </w:tc>
        <w:tc>
          <w:tcPr>
            <w:tcBorders>
              <w:top w:val="none" w:color="000000" w:sz="4" w:space="0"/>
              <w:left w:val="single" w:color="auto" w:sz="4" w:space="0"/>
              <w:right w:val="single" w:color="auto" w:sz="4" w:space="0"/>
            </w:tcBorders>
            <w:tcW w:w="1276" w:type="dxa"/>
            <w:vAlign w:val="center"/>
            <w:vMerge w:val="restart"/>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12856</w:t>
            </w:r>
            <w:r/>
          </w:p>
        </w:tc>
      </w:tr>
      <w:tr>
        <w:trPr>
          <w:trHeight w:val="312"/>
        </w:trPr>
        <w:tc>
          <w:tcPr>
            <w:tcBorders>
              <w:left w:val="single" w:color="auto" w:sz="4" w:space="0"/>
              <w:right w:val="single" w:color="auto" w:sz="4" w:space="0"/>
            </w:tcBorders>
            <w:tcW w:w="846" w:type="dxa"/>
            <w:vAlign w:val="center"/>
            <w:vMerge w:val="continue"/>
            <w:textDirection w:val="lrTb"/>
            <w:noWrap w:val="false"/>
          </w:tcPr>
          <w:p>
            <w:pPr>
              <w:jc w:val="center"/>
              <w:spacing w:line="360" w:lineRule="auto"/>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2</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汤庄镇</w:t>
            </w:r>
            <w:r/>
          </w:p>
        </w:tc>
        <w:tc>
          <w:tcPr>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21</w:t>
            </w:r>
            <w:r/>
          </w:p>
        </w:tc>
        <w:tc>
          <w:tcPr>
            <w:tcBorders>
              <w:top w:val="none" w:color="000000" w:sz="4" w:space="0"/>
              <w:left w:val="none" w:color="000000"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3426</w:t>
            </w:r>
            <w:r/>
          </w:p>
        </w:tc>
        <w:tc>
          <w:tcPr>
            <w:tcBorders>
              <w:top w:val="none" w:color="000000" w:sz="4" w:space="0"/>
              <w:left w:val="none" w:color="000000"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113</w:t>
            </w:r>
            <w:r/>
          </w:p>
        </w:tc>
        <w:tc>
          <w:tcPr>
            <w:tcBorders>
              <w:left w:val="single" w:color="auto" w:sz="4" w:space="0"/>
              <w:right w:val="single" w:color="auto" w:sz="4" w:space="0"/>
            </w:tcBorders>
            <w:tcW w:w="1276" w:type="dxa"/>
            <w:vAlign w:val="center"/>
            <w:vMerge w:val="continue"/>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trHeight w:val="312"/>
        </w:trPr>
        <w:tc>
          <w:tcPr>
            <w:tcBorders>
              <w:left w:val="single" w:color="auto" w:sz="4" w:space="0"/>
              <w:right w:val="single" w:color="auto" w:sz="4" w:space="0"/>
            </w:tcBorders>
            <w:tcW w:w="846" w:type="dxa"/>
            <w:vAlign w:val="center"/>
            <w:vMerge w:val="continue"/>
            <w:textDirection w:val="lrTb"/>
            <w:noWrap w:val="false"/>
          </w:tcPr>
          <w:p>
            <w:pPr>
              <w:jc w:val="center"/>
              <w:spacing w:line="360" w:lineRule="auto"/>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3</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卸甲镇</w:t>
            </w:r>
            <w:r/>
          </w:p>
        </w:tc>
        <w:tc>
          <w:tcPr>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21</w:t>
            </w:r>
            <w:r/>
          </w:p>
        </w:tc>
        <w:tc>
          <w:tcPr>
            <w:tcBorders>
              <w:top w:val="none" w:color="000000" w:sz="4" w:space="0"/>
              <w:left w:val="none" w:color="000000"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3980</w:t>
            </w:r>
            <w:r/>
          </w:p>
        </w:tc>
        <w:tc>
          <w:tcPr>
            <w:tcBorders>
              <w:top w:val="none" w:color="000000" w:sz="4" w:space="0"/>
              <w:left w:val="none" w:color="000000"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94</w:t>
            </w:r>
            <w:r/>
          </w:p>
        </w:tc>
        <w:tc>
          <w:tcPr>
            <w:tcBorders>
              <w:left w:val="single" w:color="auto" w:sz="4" w:space="0"/>
              <w:right w:val="single" w:color="auto" w:sz="4" w:space="0"/>
            </w:tcBorders>
            <w:tcW w:w="1276" w:type="dxa"/>
            <w:vAlign w:val="center"/>
            <w:vMerge w:val="continue"/>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trHeight w:val="312"/>
        </w:trPr>
        <w:tc>
          <w:tcPr>
            <w:tcBorders>
              <w:left w:val="single" w:color="auto" w:sz="4" w:space="0"/>
              <w:right w:val="single" w:color="auto" w:sz="4" w:space="0"/>
            </w:tcBorders>
            <w:tcW w:w="846" w:type="dxa"/>
            <w:vAlign w:val="center"/>
            <w:vMerge w:val="continue"/>
            <w:textDirection w:val="lrTb"/>
            <w:noWrap w:val="false"/>
          </w:tcPr>
          <w:p>
            <w:pPr>
              <w:jc w:val="center"/>
              <w:spacing w:line="360" w:lineRule="auto"/>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4</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龙虬镇</w:t>
            </w:r>
            <w:r/>
          </w:p>
        </w:tc>
        <w:tc>
          <w:tcPr>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13</w:t>
            </w:r>
            <w:r/>
          </w:p>
        </w:tc>
        <w:tc>
          <w:tcPr>
            <w:tcBorders>
              <w:top w:val="none" w:color="000000" w:sz="4" w:space="0"/>
              <w:left w:val="none" w:color="000000"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1414</w:t>
            </w:r>
            <w:r/>
          </w:p>
        </w:tc>
        <w:tc>
          <w:tcPr>
            <w:tcBorders>
              <w:top w:val="none" w:color="000000" w:sz="4" w:space="0"/>
              <w:left w:val="none" w:color="000000"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37</w:t>
            </w:r>
            <w:r/>
          </w:p>
        </w:tc>
        <w:tc>
          <w:tcPr>
            <w:tcBorders>
              <w:left w:val="single" w:color="auto" w:sz="4" w:space="0"/>
              <w:right w:val="single" w:color="auto" w:sz="4" w:space="0"/>
            </w:tcBorders>
            <w:tcW w:w="1276" w:type="dxa"/>
            <w:vAlign w:val="center"/>
            <w:vMerge w:val="continue"/>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trHeight w:val="312"/>
        </w:trPr>
        <w:tc>
          <w:tcPr>
            <w:tcBorders>
              <w:left w:val="single" w:color="auto" w:sz="4" w:space="0"/>
              <w:bottom w:val="single" w:color="auto" w:sz="4" w:space="0"/>
              <w:right w:val="single" w:color="auto" w:sz="4" w:space="0"/>
            </w:tcBorders>
            <w:tcW w:w="846" w:type="dxa"/>
            <w:vAlign w:val="center"/>
            <w:vMerge w:val="continue"/>
            <w:textDirection w:val="lrTb"/>
            <w:noWrap w:val="false"/>
          </w:tcPr>
          <w:p>
            <w:pPr>
              <w:jc w:val="center"/>
              <w:spacing w:line="360" w:lineRule="auto"/>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5</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周山镇</w:t>
            </w:r>
            <w:r/>
          </w:p>
        </w:tc>
        <w:tc>
          <w:tcPr>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9</w:t>
            </w:r>
            <w:r/>
          </w:p>
        </w:tc>
        <w:tc>
          <w:tcPr>
            <w:tcBorders>
              <w:top w:val="none" w:color="000000" w:sz="4" w:space="0"/>
              <w:left w:val="none" w:color="000000"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1194</w:t>
            </w:r>
            <w:r/>
          </w:p>
        </w:tc>
        <w:tc>
          <w:tcPr>
            <w:tcBorders>
              <w:top w:val="none" w:color="000000" w:sz="4" w:space="0"/>
              <w:left w:val="none" w:color="000000"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30</w:t>
            </w:r>
            <w:r/>
          </w:p>
        </w:tc>
        <w:tc>
          <w:tcPr>
            <w:tcBorders>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trHeight w:val="312"/>
        </w:trPr>
        <w:tc>
          <w:tcPr>
            <w:tcBorders>
              <w:top w:val="single" w:color="auto" w:sz="4" w:space="0"/>
              <w:left w:val="single" w:color="auto" w:sz="4" w:space="0"/>
              <w:right w:val="single" w:color="auto" w:sz="4" w:space="0"/>
            </w:tcBorders>
            <w:tcW w:w="846" w:type="dxa"/>
            <w:vAlign w:val="center"/>
            <w:vMerge w:val="restart"/>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二</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6</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开发区</w:t>
            </w:r>
            <w:r/>
          </w:p>
        </w:tc>
        <w:tc>
          <w:tcPr>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20</w:t>
            </w:r>
            <w:r/>
          </w:p>
        </w:tc>
        <w:tc>
          <w:tcPr>
            <w:tcBorders>
              <w:top w:val="none" w:color="000000" w:sz="4" w:space="0"/>
              <w:left w:val="none" w:color="000000"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2472</w:t>
            </w:r>
            <w:r/>
          </w:p>
        </w:tc>
        <w:tc>
          <w:tcPr>
            <w:tcBorders>
              <w:top w:val="none" w:color="000000" w:sz="4" w:space="0"/>
              <w:left w:val="none" w:color="000000"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34</w:t>
            </w:r>
            <w:r/>
          </w:p>
        </w:tc>
        <w:tc>
          <w:tcPr>
            <w:tcBorders>
              <w:top w:val="single" w:color="auto" w:sz="4" w:space="0"/>
              <w:left w:val="single" w:color="auto" w:sz="4" w:space="0"/>
              <w:right w:val="single" w:color="auto" w:sz="4" w:space="0"/>
            </w:tcBorders>
            <w:tcW w:w="1276" w:type="dxa"/>
            <w:vAlign w:val="center"/>
            <w:vMerge w:val="restart"/>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11419</w:t>
            </w:r>
            <w:r/>
          </w:p>
        </w:tc>
      </w:tr>
      <w:tr>
        <w:trPr>
          <w:trHeight w:val="312"/>
        </w:trPr>
        <w:tc>
          <w:tcPr>
            <w:tcBorders>
              <w:left w:val="single" w:color="auto" w:sz="4" w:space="0"/>
              <w:right w:val="single" w:color="auto" w:sz="4" w:space="0"/>
            </w:tcBorders>
            <w:tcW w:w="846" w:type="dxa"/>
            <w:vAlign w:val="center"/>
            <w:vMerge w:val="continue"/>
            <w:textDirection w:val="lrTb"/>
            <w:noWrap w:val="false"/>
          </w:tcPr>
          <w:p>
            <w:pPr>
              <w:jc w:val="center"/>
              <w:spacing w:line="360" w:lineRule="auto"/>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7</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界首镇</w:t>
            </w:r>
            <w:r/>
          </w:p>
        </w:tc>
        <w:tc>
          <w:tcPr>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9</w:t>
            </w:r>
            <w:r/>
          </w:p>
        </w:tc>
        <w:tc>
          <w:tcPr>
            <w:tcBorders>
              <w:top w:val="none" w:color="000000" w:sz="4" w:space="0"/>
              <w:left w:val="none" w:color="000000"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1361</w:t>
            </w:r>
            <w:r/>
          </w:p>
        </w:tc>
        <w:tc>
          <w:tcPr>
            <w:tcBorders>
              <w:top w:val="none" w:color="000000" w:sz="4" w:space="0"/>
              <w:left w:val="none" w:color="000000"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38</w:t>
            </w:r>
            <w:r/>
          </w:p>
        </w:tc>
        <w:tc>
          <w:tcPr>
            <w:tcBorders>
              <w:left w:val="single" w:color="auto" w:sz="4" w:space="0"/>
              <w:right w:val="single" w:color="auto" w:sz="4" w:space="0"/>
            </w:tcBorders>
            <w:tcW w:w="1276" w:type="dxa"/>
            <w:vAlign w:val="center"/>
            <w:vMerge w:val="continue"/>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trHeight w:val="330"/>
        </w:trPr>
        <w:tc>
          <w:tcPr>
            <w:tcBorders>
              <w:left w:val="single" w:color="auto" w:sz="4" w:space="0"/>
              <w:right w:val="single" w:color="auto" w:sz="4" w:space="0"/>
            </w:tcBorders>
            <w:tcW w:w="846" w:type="dxa"/>
            <w:vAlign w:val="center"/>
            <w:vMerge w:val="continue"/>
            <w:textDirection w:val="lrTb"/>
            <w:noWrap w:val="false"/>
          </w:tcPr>
          <w:p>
            <w:pPr>
              <w:jc w:val="center"/>
              <w:spacing w:line="360" w:lineRule="auto"/>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8</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临泽镇</w:t>
            </w:r>
            <w:r/>
          </w:p>
        </w:tc>
        <w:tc>
          <w:tcPr>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28</w:t>
            </w:r>
            <w:r/>
          </w:p>
        </w:tc>
        <w:tc>
          <w:tcPr>
            <w:tcBorders>
              <w:top w:val="none" w:color="000000" w:sz="4" w:space="0"/>
              <w:left w:val="none" w:color="000000"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4084</w:t>
            </w:r>
            <w:r/>
          </w:p>
        </w:tc>
        <w:tc>
          <w:tcPr>
            <w:tcBorders>
              <w:top w:val="none" w:color="000000" w:sz="4" w:space="0"/>
              <w:left w:val="none" w:color="000000"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79</w:t>
            </w:r>
            <w:r/>
          </w:p>
        </w:tc>
        <w:tc>
          <w:tcPr>
            <w:tcBorders>
              <w:left w:val="single" w:color="auto" w:sz="4" w:space="0"/>
              <w:right w:val="single" w:color="auto" w:sz="4" w:space="0"/>
            </w:tcBorders>
            <w:tcW w:w="1276" w:type="dxa"/>
            <w:vAlign w:val="center"/>
            <w:vMerge w:val="continue"/>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trHeight w:val="330"/>
        </w:trPr>
        <w:tc>
          <w:tcPr>
            <w:tcBorders>
              <w:left w:val="single" w:color="auto" w:sz="4" w:space="0"/>
              <w:bottom w:val="single" w:color="auto" w:sz="4" w:space="0"/>
              <w:right w:val="single" w:color="auto" w:sz="4" w:space="0"/>
            </w:tcBorders>
            <w:tcW w:w="846" w:type="dxa"/>
            <w:vAlign w:val="center"/>
            <w:vMerge w:val="continue"/>
            <w:textDirection w:val="lrTb"/>
            <w:noWrap w:val="false"/>
          </w:tcPr>
          <w:p>
            <w:pPr>
              <w:jc w:val="center"/>
              <w:spacing w:line="360" w:lineRule="auto"/>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9</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三垛镇</w:t>
            </w:r>
            <w:r/>
          </w:p>
        </w:tc>
        <w:tc>
          <w:tcPr>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25</w:t>
            </w:r>
            <w:r/>
          </w:p>
        </w:tc>
        <w:tc>
          <w:tcPr>
            <w:tcBorders>
              <w:top w:val="none" w:color="000000" w:sz="4" w:space="0"/>
              <w:left w:val="none" w:color="000000"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3502</w:t>
            </w:r>
            <w:r/>
          </w:p>
        </w:tc>
        <w:tc>
          <w:tcPr>
            <w:tcBorders>
              <w:top w:val="none" w:color="000000" w:sz="4" w:space="0"/>
              <w:left w:val="none" w:color="000000"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98</w:t>
            </w:r>
            <w:r/>
          </w:p>
        </w:tc>
        <w:tc>
          <w:tcPr>
            <w:tcBorders>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trHeight w:val="312"/>
        </w:trPr>
        <w:tc>
          <w:tcPr>
            <w:tcBorders>
              <w:top w:val="single" w:color="auto" w:sz="4" w:space="0"/>
              <w:left w:val="single" w:color="auto" w:sz="4" w:space="0"/>
              <w:right w:val="single" w:color="auto" w:sz="4" w:space="0"/>
            </w:tcBorders>
            <w:tcW w:w="846" w:type="dxa"/>
            <w:vAlign w:val="center"/>
            <w:vMerge w:val="restart"/>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三</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10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Cs w:val="21"/>
              </w:rPr>
              <w:t xml:space="preserve">菱塘乡</w:t>
            </w:r>
            <w:r/>
          </w:p>
        </w:tc>
        <w:tc>
          <w:tcPr>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Cs w:val="21"/>
              </w:rPr>
              <w:t xml:space="preserve">8</w:t>
            </w:r>
            <w:r/>
          </w:p>
        </w:tc>
        <w:tc>
          <w:tcPr>
            <w:tcBorders>
              <w:top w:val="none" w:color="000000" w:sz="4" w:space="0"/>
              <w:left w:val="none" w:color="000000"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987</w:t>
            </w:r>
            <w:r/>
          </w:p>
        </w:tc>
        <w:tc>
          <w:tcPr>
            <w:tcBorders>
              <w:top w:val="none" w:color="000000" w:sz="4" w:space="0"/>
              <w:left w:val="none" w:color="000000"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9</w:t>
            </w:r>
            <w:r/>
          </w:p>
        </w:tc>
        <w:tc>
          <w:tcPr>
            <w:tcBorders>
              <w:top w:val="single" w:color="auto" w:sz="4" w:space="0"/>
              <w:left w:val="single" w:color="auto" w:sz="4" w:space="0"/>
              <w:right w:val="single" w:color="auto" w:sz="4" w:space="0"/>
            </w:tcBorders>
            <w:tcW w:w="1276" w:type="dxa"/>
            <w:vAlign w:val="center"/>
            <w:vMerge w:val="restart"/>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12054</w:t>
            </w:r>
            <w:r/>
          </w:p>
        </w:tc>
      </w:tr>
      <w:tr>
        <w:trPr>
          <w:trHeight w:val="312"/>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center"/>
              <w:spacing w:line="360" w:lineRule="auto"/>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11</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送桥镇</w:t>
            </w:r>
            <w:r/>
          </w:p>
        </w:tc>
        <w:tc>
          <w:tcPr>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19</w:t>
            </w:r>
            <w:r/>
          </w:p>
        </w:tc>
        <w:tc>
          <w:tcPr>
            <w:tcBorders>
              <w:top w:val="none" w:color="000000" w:sz="4" w:space="0"/>
              <w:left w:val="none" w:color="000000"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2684</w:t>
            </w:r>
            <w:r/>
          </w:p>
        </w:tc>
        <w:tc>
          <w:tcPr>
            <w:tcBorders>
              <w:top w:val="none" w:color="000000" w:sz="4" w:space="0"/>
              <w:left w:val="none" w:color="000000"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45</w:t>
            </w:r>
            <w:r/>
          </w:p>
        </w:tc>
        <w:tc>
          <w:tcPr>
            <w:tcBorders>
              <w:left w:val="single" w:color="auto" w:sz="4" w:space="0"/>
              <w:right w:val="single" w:color="auto" w:sz="4" w:space="0"/>
            </w:tcBorders>
            <w:tcW w:w="1276" w:type="dxa"/>
            <w:vAlign w:val="center"/>
            <w:vMerge w:val="continue"/>
            <w:textDirection w:val="lrTb"/>
            <w:noWrap w:val="false"/>
          </w:tcPr>
          <w:p>
            <w:pPr>
              <w:jc w:val="center"/>
              <w:spacing w:line="360" w:lineRule="auto"/>
              <w:widowControl/>
              <w:rPr>
                <w:rFonts w:ascii="楷体" w:hAnsi="楷体" w:eastAsia="楷体"/>
                <w:szCs w:val="21"/>
              </w:rPr>
            </w:pPr>
            <w:r>
              <w:rPr>
                <w:rFonts w:ascii="楷体" w:hAnsi="楷体" w:eastAsia="楷体"/>
                <w:szCs w:val="21"/>
              </w:rPr>
            </w:r>
            <w:r/>
          </w:p>
        </w:tc>
      </w:tr>
      <w:tr>
        <w:trPr>
          <w:trHeight w:val="330"/>
        </w:trPr>
        <w:tc>
          <w:tcPr>
            <w:tcBorders>
              <w:top w:val="none" w:color="000000" w:sz="4" w:space="0"/>
              <w:left w:val="single" w:color="auto" w:sz="4" w:space="0"/>
              <w:bottom w:val="none" w:color="000000" w:sz="4" w:space="0"/>
              <w:right w:val="single" w:color="auto" w:sz="4" w:space="0"/>
            </w:tcBorders>
            <w:tcW w:w="846" w:type="dxa"/>
            <w:vAlign w:val="center"/>
            <w:vMerge w:val="continue"/>
            <w:textDirection w:val="lrTb"/>
            <w:noWrap w:val="false"/>
          </w:tcPr>
          <w:p>
            <w:pPr>
              <w:jc w:val="center"/>
              <w:spacing w:line="360" w:lineRule="auto"/>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12</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高邮镇</w:t>
            </w:r>
            <w:r/>
          </w:p>
        </w:tc>
        <w:tc>
          <w:tcPr>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19</w:t>
            </w:r>
            <w:r/>
          </w:p>
        </w:tc>
        <w:tc>
          <w:tcPr>
            <w:tcBorders>
              <w:top w:val="none" w:color="000000" w:sz="4" w:space="0"/>
              <w:left w:val="none" w:color="000000"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6103</w:t>
            </w:r>
            <w:r/>
          </w:p>
        </w:tc>
        <w:tc>
          <w:tcPr>
            <w:tcBorders>
              <w:top w:val="none" w:color="000000" w:sz="4" w:space="0"/>
              <w:left w:val="none" w:color="000000"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33</w:t>
            </w:r>
            <w:r/>
          </w:p>
        </w:tc>
        <w:tc>
          <w:tcPr>
            <w:tcBorders>
              <w:left w:val="single" w:color="auto" w:sz="4" w:space="0"/>
              <w:right w:val="single" w:color="auto" w:sz="4" w:space="0"/>
            </w:tcBorders>
            <w:tcW w:w="1276" w:type="dxa"/>
            <w:vAlign w:val="center"/>
            <w:vMerge w:val="continue"/>
            <w:textDirection w:val="lrTb"/>
            <w:noWrap w:val="false"/>
          </w:tcPr>
          <w:p>
            <w:pPr>
              <w:jc w:val="center"/>
              <w:spacing w:line="360" w:lineRule="auto"/>
              <w:widowControl/>
              <w:rPr>
                <w:rFonts w:ascii="楷体" w:hAnsi="楷体" w:eastAsia="楷体"/>
                <w:szCs w:val="21"/>
              </w:rPr>
            </w:pPr>
            <w:r>
              <w:rPr>
                <w:rFonts w:ascii="楷体" w:hAnsi="楷体" w:eastAsia="楷体"/>
                <w:szCs w:val="21"/>
              </w:rPr>
            </w:r>
            <w:r/>
          </w:p>
        </w:tc>
      </w:tr>
      <w:tr>
        <w:trPr>
          <w:trHeight w:val="330"/>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widowControl/>
              <w:rPr>
                <w:rFonts w:ascii="楷体" w:hAnsi="楷体" w:eastAsia="楷体"/>
                <w:szCs w:val="21"/>
              </w:rPr>
            </w:pPr>
            <w:r>
              <w:rPr>
                <w:rFonts w:ascii="楷体" w:hAnsi="楷体" w:eastAsia="楷体"/>
                <w:szCs w:val="21"/>
              </w:rPr>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szCs w:val="21"/>
              </w:rPr>
              <w:t xml:space="preserve">13</w:t>
            </w:r>
            <w:r/>
          </w:p>
        </w:tc>
        <w:tc>
          <w:tcPr>
            <w:tcBorders>
              <w:top w:val="single" w:color="auto" w:sz="4" w:space="0"/>
              <w:left w:val="none" w:color="000000" w:sz="4" w:space="0"/>
              <w:bottom w:val="single" w:color="auto" w:sz="4" w:space="0"/>
              <w:right w:val="single" w:color="auto" w:sz="4" w:space="0"/>
            </w:tcBorders>
            <w:tcW w:w="957"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车逻镇</w:t>
            </w:r>
            <w:r/>
          </w:p>
        </w:tc>
        <w:tc>
          <w:tcPr>
            <w:tcBorders>
              <w:top w:val="single" w:color="auto" w:sz="4" w:space="0"/>
              <w:left w:val="none" w:color="000000" w:sz="4" w:space="0"/>
              <w:bottom w:val="single" w:color="auto" w:sz="4" w:space="0"/>
              <w:right w:val="single" w:color="auto" w:sz="4" w:space="0"/>
            </w:tcBorders>
            <w:tcW w:w="1328" w:type="dxa"/>
            <w:vAlign w:val="center"/>
            <w:textDirection w:val="lrTb"/>
            <w:noWrap w:val="false"/>
          </w:tcPr>
          <w:p>
            <w:pPr>
              <w:jc w:val="center"/>
              <w:spacing w:line="360" w:lineRule="auto"/>
              <w:widowControl/>
              <w:rPr>
                <w:rFonts w:ascii="楷体" w:hAnsi="楷体" w:eastAsia="楷体"/>
                <w:szCs w:val="21"/>
              </w:rPr>
            </w:pPr>
            <w:r>
              <w:rPr>
                <w:rFonts w:hint="eastAsia" w:ascii="楷体" w:hAnsi="楷体" w:eastAsia="楷体" w:cs="宋体"/>
                <w:sz w:val="24"/>
              </w:rPr>
              <w:t xml:space="preserve">13</w:t>
            </w:r>
            <w:r/>
          </w:p>
        </w:tc>
        <w:tc>
          <w:tcPr>
            <w:tcBorders>
              <w:top w:val="single" w:color="auto" w:sz="4" w:space="0"/>
              <w:left w:val="none" w:color="000000"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2280</w:t>
            </w:r>
            <w:r/>
          </w:p>
        </w:tc>
        <w:tc>
          <w:tcPr>
            <w:tcBorders>
              <w:top w:val="single" w:color="auto" w:sz="4" w:space="0"/>
              <w:left w:val="none" w:color="000000"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39</w:t>
            </w:r>
            <w:r/>
          </w:p>
        </w:tc>
        <w:tc>
          <w:tcPr>
            <w:tcBorders>
              <w:left w:val="single" w:color="auto" w:sz="4" w:space="0"/>
              <w:bottom w:val="single" w:color="000000" w:sz="4" w:space="0"/>
              <w:right w:val="single" w:color="auto" w:sz="4" w:space="0"/>
            </w:tcBorders>
            <w:tcW w:w="1276" w:type="dxa"/>
            <w:vAlign w:val="center"/>
            <w:vMerge w:val="continue"/>
            <w:textDirection w:val="lrTb"/>
            <w:noWrap w:val="false"/>
          </w:tcPr>
          <w:p>
            <w:pPr>
              <w:jc w:val="center"/>
              <w:spacing w:line="360" w:lineRule="auto"/>
              <w:widowControl/>
              <w:rPr>
                <w:rFonts w:ascii="楷体" w:hAnsi="楷体" w:eastAsia="楷体"/>
                <w:szCs w:val="21"/>
              </w:rPr>
            </w:pPr>
            <w:r>
              <w:rPr>
                <w:rFonts w:ascii="楷体" w:hAnsi="楷体" w:eastAsia="楷体"/>
                <w:szCs w:val="21"/>
              </w:rPr>
            </w:r>
            <w:r/>
          </w:p>
        </w:tc>
      </w:tr>
    </w:tbl>
    <w:p>
      <w:pPr>
        <w:ind w:firstLine="314"/>
        <w:spacing w:line="360" w:lineRule="auto"/>
        <w:rPr>
          <w:rFonts w:hint="eastAsia" w:ascii="楷体" w:hAnsi="楷体" w:eastAsia="楷体"/>
          <w:szCs w:val="21"/>
        </w:rPr>
      </w:pPr>
      <w:r>
        <w:rPr>
          <w:rFonts w:hint="eastAsia" w:ascii="楷体" w:hAnsi="楷体" w:eastAsia="楷体"/>
          <w:b/>
          <w:bCs/>
          <w:szCs w:val="21"/>
        </w:rPr>
        <w:t xml:space="preserve">四、项目服务需求概况</w:t>
      </w:r>
      <w:r/>
    </w:p>
    <w:p>
      <w:pPr>
        <w:pStyle w:val="701"/>
        <w:ind w:firstLine="420"/>
        <w:keepLines w:val="0"/>
        <w:keepNext w:val="0"/>
        <w:pageBreakBefore w:val="0"/>
        <w:spacing w:beforeAutospacing="0" w:afterAutospacing="0" w:line="480" w:lineRule="exact"/>
        <w:widowControl/>
        <w:rPr>
          <w:rFonts w:hint="eastAsia" w:ascii="楷体" w:hAnsi="楷体" w:eastAsia="楷体" w:cs="宋体"/>
          <w:sz w:val="21"/>
          <w:szCs w:val="21"/>
        </w:rPr>
      </w:pPr>
      <w:r>
        <w:rPr>
          <w:rFonts w:hint="eastAsia" w:ascii="楷体" w:hAnsi="楷体" w:eastAsia="楷体" w:cs="宋体"/>
          <w:sz w:val="21"/>
          <w:szCs w:val="21"/>
        </w:rPr>
        <w:t xml:space="preserve">1、服务对象：具有本市户籍且长期居住在本市区域内年满60周岁的居家老年人，符合下列7类对象条件之一的：</w:t>
      </w:r>
      <w:r/>
    </w:p>
    <w:p>
      <w:pPr>
        <w:pStyle w:val="701"/>
        <w:ind w:firstLine="420"/>
        <w:keepLines w:val="0"/>
        <w:keepNext w:val="0"/>
        <w:pageBreakBefore w:val="0"/>
        <w:spacing w:beforeAutospacing="0" w:afterAutospacing="0" w:line="480" w:lineRule="exact"/>
        <w:widowControl/>
        <w:rPr>
          <w:rFonts w:hint="eastAsia" w:ascii="楷体" w:hAnsi="楷体" w:eastAsia="楷体" w:cs="宋体"/>
          <w:sz w:val="21"/>
          <w:szCs w:val="21"/>
        </w:rPr>
      </w:pPr>
      <w:r>
        <w:rPr>
          <w:rFonts w:hint="eastAsia" w:ascii="楷体" w:hAnsi="楷体" w:eastAsia="楷体" w:cs="宋体"/>
          <w:sz w:val="21"/>
          <w:szCs w:val="21"/>
        </w:rPr>
        <w:t xml:space="preserve">1）低收入人口中的老年人。对象范围包括低保对象、分散供养特困人员、低保边缘家庭、支出型困难家庭；</w:t>
      </w:r>
      <w:r/>
    </w:p>
    <w:p>
      <w:pPr>
        <w:pStyle w:val="701"/>
        <w:ind w:firstLine="420"/>
        <w:keepLines w:val="0"/>
        <w:keepNext w:val="0"/>
        <w:pageBreakBefore w:val="0"/>
        <w:spacing w:beforeAutospacing="0" w:afterAutospacing="0" w:line="480" w:lineRule="exact"/>
        <w:widowControl/>
        <w:rPr>
          <w:rFonts w:hint="eastAsia" w:ascii="楷体" w:hAnsi="楷体" w:eastAsia="楷体" w:cs="宋体"/>
          <w:sz w:val="21"/>
          <w:szCs w:val="21"/>
        </w:rPr>
      </w:pPr>
      <w:r>
        <w:rPr>
          <w:rFonts w:hint="eastAsia" w:ascii="楷体" w:hAnsi="楷体" w:eastAsia="楷体" w:cs="宋体"/>
          <w:sz w:val="21"/>
          <w:szCs w:val="21"/>
        </w:rPr>
        <w:t xml:space="preserve">2）困难残疾人生活补贴对象中一户多残、依老养残家庭中的老年人； </w:t>
      </w:r>
      <w:r/>
    </w:p>
    <w:p>
      <w:pPr>
        <w:pStyle w:val="701"/>
        <w:ind w:firstLine="420"/>
        <w:keepLines w:val="0"/>
        <w:keepNext w:val="0"/>
        <w:pageBreakBefore w:val="0"/>
        <w:spacing w:beforeAutospacing="0" w:afterAutospacing="0" w:line="480" w:lineRule="exact"/>
        <w:widowControl/>
        <w:rPr>
          <w:rFonts w:hint="eastAsia" w:ascii="楷体" w:hAnsi="楷体" w:eastAsia="楷体" w:cs="宋体"/>
          <w:sz w:val="21"/>
          <w:szCs w:val="21"/>
        </w:rPr>
      </w:pPr>
      <w:r>
        <w:rPr>
          <w:rFonts w:hint="eastAsia" w:ascii="楷体" w:hAnsi="楷体" w:eastAsia="楷体" w:cs="宋体"/>
          <w:sz w:val="21"/>
          <w:szCs w:val="21"/>
        </w:rPr>
        <w:t xml:space="preserve">3）计划生育特别扶助家庭中的老年人；</w:t>
      </w:r>
      <w:r/>
    </w:p>
    <w:p>
      <w:pPr>
        <w:pStyle w:val="701"/>
        <w:ind w:firstLine="420"/>
        <w:keepLines w:val="0"/>
        <w:keepNext w:val="0"/>
        <w:pageBreakBefore w:val="0"/>
        <w:spacing w:beforeAutospacing="0" w:afterAutospacing="0" w:line="480" w:lineRule="exact"/>
        <w:widowControl/>
        <w:rPr>
          <w:rFonts w:hint="eastAsia" w:ascii="楷体" w:hAnsi="楷体" w:eastAsia="楷体" w:cs="宋体"/>
          <w:sz w:val="21"/>
          <w:szCs w:val="21"/>
        </w:rPr>
      </w:pPr>
      <w:r>
        <w:rPr>
          <w:rFonts w:hint="eastAsia" w:ascii="楷体" w:hAnsi="楷体" w:eastAsia="楷体" w:cs="宋体"/>
          <w:sz w:val="21"/>
          <w:szCs w:val="21"/>
        </w:rPr>
        <w:t xml:space="preserve">4）重点优抚对象中的老年人。对象范围包括残疾军人、烈士家属、因公牺牲军人家属、病故军人家属、在乡老复员军人、带病回乡退伍军人等；</w:t>
      </w:r>
      <w:r/>
    </w:p>
    <w:p>
      <w:pPr>
        <w:pStyle w:val="701"/>
        <w:ind w:firstLine="420"/>
        <w:keepLines w:val="0"/>
        <w:keepNext w:val="0"/>
        <w:pageBreakBefore w:val="0"/>
        <w:spacing w:beforeAutospacing="0" w:afterAutospacing="0" w:line="480" w:lineRule="exact"/>
        <w:widowControl/>
        <w:rPr>
          <w:rFonts w:hint="eastAsia" w:ascii="楷体" w:hAnsi="楷体" w:eastAsia="楷体" w:cs="宋体"/>
          <w:sz w:val="21"/>
          <w:szCs w:val="21"/>
        </w:rPr>
      </w:pPr>
      <w:r>
        <w:rPr>
          <w:rFonts w:hint="eastAsia" w:ascii="楷体" w:hAnsi="楷体" w:eastAsia="楷体" w:cs="宋体"/>
          <w:sz w:val="21"/>
          <w:szCs w:val="21"/>
        </w:rPr>
        <w:t xml:space="preserve">5）空巢独居老年人。主要指没有子女、与子女不在同一设区市主城区或同一县(市)居住的老人，且长期一个人居住；</w:t>
      </w:r>
      <w:r/>
    </w:p>
    <w:p>
      <w:pPr>
        <w:pStyle w:val="701"/>
        <w:ind w:firstLine="420"/>
        <w:keepLines w:val="0"/>
        <w:keepNext w:val="0"/>
        <w:pageBreakBefore w:val="0"/>
        <w:spacing w:beforeAutospacing="0" w:afterAutospacing="0" w:line="480" w:lineRule="exact"/>
        <w:widowControl/>
        <w:rPr>
          <w:rFonts w:hint="eastAsia" w:ascii="楷体" w:hAnsi="楷体" w:eastAsia="楷体" w:cs="宋体"/>
          <w:sz w:val="21"/>
          <w:szCs w:val="21"/>
        </w:rPr>
      </w:pPr>
      <w:r>
        <w:rPr>
          <w:rFonts w:hint="eastAsia" w:ascii="楷体" w:hAnsi="楷体" w:eastAsia="楷体" w:cs="宋体"/>
          <w:sz w:val="21"/>
          <w:szCs w:val="21"/>
        </w:rPr>
        <w:t xml:space="preserve">6）特殊贡献老年人。对象范围包括市级及以上政府特殊津贴获得者、劳动模范、道德模范；</w:t>
      </w:r>
      <w:r/>
    </w:p>
    <w:p>
      <w:pPr>
        <w:pStyle w:val="701"/>
        <w:ind w:firstLine="420"/>
        <w:keepLines w:val="0"/>
        <w:keepNext w:val="0"/>
        <w:pageBreakBefore w:val="0"/>
        <w:spacing w:beforeAutospacing="0" w:afterAutospacing="0" w:line="480" w:lineRule="exact"/>
        <w:widowControl/>
        <w:rPr>
          <w:rFonts w:hint="eastAsia" w:ascii="楷体" w:hAnsi="楷体" w:eastAsia="楷体" w:cs="宋体"/>
          <w:sz w:val="21"/>
          <w:szCs w:val="21"/>
        </w:rPr>
      </w:pPr>
      <w:r>
        <w:rPr>
          <w:rFonts w:hint="eastAsia" w:ascii="楷体" w:hAnsi="楷体" w:eastAsia="楷体" w:cs="宋体"/>
          <w:sz w:val="21"/>
          <w:szCs w:val="21"/>
        </w:rPr>
        <w:t xml:space="preserve">7）80周岁及以上高龄老年人。</w:t>
      </w:r>
      <w:r/>
    </w:p>
    <w:p>
      <w:pPr>
        <w:pStyle w:val="701"/>
        <w:ind w:firstLine="420"/>
        <w:keepLines w:val="0"/>
        <w:keepNext w:val="0"/>
        <w:pageBreakBefore w:val="0"/>
        <w:spacing w:beforeAutospacing="0" w:after="0" w:afterAutospacing="0" w:line="480" w:lineRule="exact"/>
        <w:widowControl/>
        <w:rPr>
          <w:rFonts w:hint="eastAsia" w:ascii="楷体" w:hAnsi="楷体" w:eastAsia="楷体" w:cs="宋体"/>
          <w:color w:val="auto"/>
          <w:sz w:val="21"/>
          <w:szCs w:val="21"/>
          <w:highlight w:val="none"/>
        </w:rPr>
      </w:pPr>
      <w:r>
        <w:rPr>
          <w:rFonts w:hint="eastAsia" w:ascii="楷体" w:hAnsi="楷体" w:eastAsia="楷体" w:cs="宋体"/>
          <w:color w:val="auto"/>
          <w:sz w:val="21"/>
          <w:szCs w:val="21"/>
          <w:highlight w:val="none"/>
        </w:rPr>
        <w:t xml:space="preserve">2、服务内容：服务基本内容主要为</w:t>
      </w:r>
      <w:r>
        <w:rPr>
          <w:rFonts w:hint="eastAsia" w:ascii="楷体" w:hAnsi="楷体" w:eastAsia="楷体" w:cs="宋体"/>
          <w:color w:val="auto"/>
          <w:sz w:val="21"/>
          <w:szCs w:val="21"/>
          <w:highlight w:val="none"/>
          <w:lang w:eastAsia="zh-CN"/>
        </w:rPr>
        <w:t xml:space="preserve">七</w:t>
      </w:r>
      <w:r>
        <w:rPr>
          <w:rFonts w:hint="eastAsia" w:ascii="楷体" w:hAnsi="楷体" w:eastAsia="楷体" w:cs="宋体"/>
          <w:color w:val="auto"/>
          <w:sz w:val="21"/>
          <w:szCs w:val="21"/>
          <w:highlight w:val="none"/>
        </w:rPr>
        <w:t xml:space="preserve">个方面，分别是生活照料服务、</w:t>
      </w:r>
      <w:r>
        <w:rPr>
          <w:rFonts w:hint="eastAsia" w:ascii="楷体" w:hAnsi="楷体" w:eastAsia="楷体" w:cs="宋体"/>
          <w:color w:val="auto"/>
          <w:sz w:val="21"/>
          <w:szCs w:val="21"/>
          <w:highlight w:val="none"/>
          <w:lang w:eastAsia="zh-CN"/>
        </w:rPr>
        <w:t xml:space="preserve">基础照护</w:t>
      </w:r>
      <w:r>
        <w:rPr>
          <w:rFonts w:hint="eastAsia" w:ascii="楷体" w:hAnsi="楷体" w:eastAsia="楷体" w:cs="宋体"/>
          <w:color w:val="auto"/>
          <w:sz w:val="21"/>
          <w:szCs w:val="21"/>
          <w:highlight w:val="none"/>
        </w:rPr>
        <w:t xml:space="preserve">服务、</w:t>
      </w:r>
      <w:r>
        <w:rPr>
          <w:rFonts w:hint="eastAsia" w:ascii="楷体" w:hAnsi="楷体" w:eastAsia="楷体" w:cs="宋体"/>
          <w:color w:val="auto"/>
          <w:sz w:val="21"/>
          <w:szCs w:val="21"/>
          <w:highlight w:val="none"/>
          <w:lang w:eastAsia="zh-CN"/>
        </w:rPr>
        <w:t xml:space="preserve">健康管理</w:t>
      </w:r>
      <w:r>
        <w:rPr>
          <w:rFonts w:hint="eastAsia" w:ascii="楷体" w:hAnsi="楷体" w:eastAsia="楷体" w:cs="宋体"/>
          <w:color w:val="auto"/>
          <w:sz w:val="21"/>
          <w:szCs w:val="21"/>
          <w:highlight w:val="none"/>
        </w:rPr>
        <w:t xml:space="preserve">服务</w:t>
      </w:r>
      <w:r>
        <w:rPr>
          <w:rFonts w:hint="eastAsia" w:ascii="楷体" w:hAnsi="楷体" w:eastAsia="楷体" w:cs="宋体"/>
          <w:color w:val="auto"/>
          <w:sz w:val="21"/>
          <w:szCs w:val="21"/>
          <w:highlight w:val="none"/>
          <w:lang w:eastAsia="zh-CN"/>
        </w:rPr>
        <w:t xml:space="preserve">、探访关爱服务、精神慰藉服务、委托代办服务</w:t>
      </w:r>
      <w:r>
        <w:rPr>
          <w:rFonts w:hint="eastAsia" w:ascii="楷体" w:hAnsi="楷体" w:eastAsia="楷体" w:cs="宋体"/>
          <w:color w:val="auto"/>
          <w:sz w:val="21"/>
          <w:szCs w:val="21"/>
          <w:highlight w:val="none"/>
        </w:rPr>
        <w:t xml:space="preserve">和其他</w:t>
      </w:r>
      <w:r>
        <w:rPr>
          <w:rFonts w:hint="eastAsia" w:ascii="楷体" w:hAnsi="楷体" w:eastAsia="楷体" w:cs="宋体"/>
          <w:color w:val="auto"/>
          <w:sz w:val="21"/>
          <w:szCs w:val="21"/>
          <w:highlight w:val="none"/>
          <w:lang w:eastAsia="zh-CN"/>
        </w:rPr>
        <w:t xml:space="preserve">个性化</w:t>
      </w:r>
      <w:r>
        <w:rPr>
          <w:rFonts w:hint="eastAsia" w:ascii="楷体" w:hAnsi="楷体" w:eastAsia="楷体" w:cs="宋体"/>
          <w:color w:val="auto"/>
          <w:sz w:val="21"/>
          <w:szCs w:val="21"/>
          <w:highlight w:val="none"/>
        </w:rPr>
        <w:t xml:space="preserve">服务。</w:t>
      </w:r>
      <w:r/>
    </w:p>
    <w:tbl>
      <w:tblPr>
        <w:tblStyle w:val="683"/>
        <w:tblW w:w="8360" w:type="dxa"/>
        <w:tblInd w:w="-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5"/>
        <w:gridCol w:w="1192"/>
        <w:gridCol w:w="411"/>
        <w:gridCol w:w="876"/>
        <w:gridCol w:w="2773"/>
        <w:gridCol w:w="966"/>
        <w:gridCol w:w="993"/>
        <w:gridCol w:w="1139"/>
        <w:gridCol w:w="5"/>
      </w:tblGrid>
      <w:tr>
        <w:trPr>
          <w:gridAfter w:val="1"/>
          <w:trHeight w:val="2228"/>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b/>
                <w:bCs/>
                <w:color w:val="000000"/>
                <w:sz w:val="21"/>
                <w:szCs w:val="21"/>
                <w:lang w:val="en-US" w:eastAsia="zh-CN" w:bidi="ar"/>
              </w:rPr>
              <w:t xml:space="preserve">服务项目</w:t>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b/>
                <w:bCs/>
                <w:color w:val="000000"/>
                <w:sz w:val="21"/>
                <w:szCs w:val="21"/>
                <w:lang w:val="en-US" w:eastAsia="zh-CN" w:bidi="ar"/>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b/>
                <w:bCs/>
                <w:color w:val="000000"/>
                <w:sz w:val="21"/>
                <w:szCs w:val="21"/>
                <w:lang w:val="en-US" w:eastAsia="zh-CN" w:bidi="ar"/>
              </w:rPr>
              <w:t xml:space="preserve">基本要求</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b/>
                <w:bCs/>
                <w:color w:val="000000"/>
                <w:sz w:val="21"/>
                <w:szCs w:val="21"/>
                <w:lang w:val="en-US" w:eastAsia="zh-CN" w:bidi="ar"/>
              </w:rPr>
              <w:t xml:space="preserve">每次服务最低时长(最小结算</w:t>
            </w:r>
            <w:r>
              <w:rPr>
                <w:rFonts w:hint="eastAsia" w:ascii="华文楷体" w:hAnsi="华文楷体" w:eastAsia="华文楷体" w:cs="华文楷体"/>
                <w:b/>
                <w:bCs/>
                <w:color w:val="000000"/>
                <w:sz w:val="21"/>
                <w:szCs w:val="21"/>
                <w:lang w:val="en-US" w:eastAsia="zh-CN" w:bidi="ar"/>
              </w:rPr>
              <w:br/>
            </w:r>
            <w:r>
              <w:rPr>
                <w:rFonts w:hint="eastAsia" w:ascii="华文楷体" w:hAnsi="华文楷体" w:eastAsia="华文楷体" w:cs="华文楷体"/>
                <w:b/>
                <w:bCs/>
                <w:color w:val="000000"/>
                <w:sz w:val="21"/>
                <w:szCs w:val="21"/>
                <w:lang w:val="en-US" w:eastAsia="zh-CN" w:bidi="ar"/>
              </w:rPr>
              <w:t xml:space="preserve">单元)</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b/>
                <w:bCs/>
                <w:color w:val="000000"/>
                <w:sz w:val="21"/>
                <w:szCs w:val="21"/>
                <w:lang w:val="en-US" w:eastAsia="zh-CN" w:bidi="ar"/>
              </w:rPr>
              <w:t xml:space="preserve">建议结算服务工时/结算单</w:t>
            </w:r>
            <w:r>
              <w:rPr>
                <w:rFonts w:hint="eastAsia" w:ascii="华文楷体" w:hAnsi="华文楷体" w:eastAsia="华文楷体" w:cs="华文楷体"/>
                <w:b/>
                <w:bCs/>
                <w:color w:val="000000"/>
                <w:sz w:val="21"/>
                <w:szCs w:val="21"/>
                <w:lang w:val="en-US" w:eastAsia="zh-CN" w:bidi="ar"/>
              </w:rPr>
              <w:br/>
            </w:r>
            <w:r>
              <w:rPr>
                <w:rFonts w:hint="eastAsia" w:ascii="华文楷体" w:hAnsi="华文楷体" w:eastAsia="华文楷体" w:cs="华文楷体"/>
                <w:b/>
                <w:bCs/>
                <w:color w:val="000000"/>
                <w:sz w:val="21"/>
                <w:szCs w:val="21"/>
                <w:lang w:val="en-US" w:eastAsia="zh-CN" w:bidi="ar"/>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b/>
                <w:bCs/>
                <w:color w:val="000000"/>
                <w:sz w:val="21"/>
                <w:szCs w:val="21"/>
                <w:lang w:val="en-US" w:eastAsia="zh-CN" w:bidi="ar"/>
              </w:rPr>
              <w:t xml:space="preserve">备注</w:t>
            </w:r>
            <w:r/>
          </w:p>
        </w:tc>
      </w:tr>
      <w:tr>
        <w:trPr>
          <w:gridAfter w:val="1"/>
          <w:trHeight w:val="1067"/>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生活照料</w:t>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助餐</w:t>
            </w:r>
            <w:r>
              <w:rPr>
                <w:rFonts w:hint="eastAsia" w:ascii="华文楷体" w:hAnsi="华文楷体" w:eastAsia="华文楷体" w:cs="华文楷体"/>
                <w:color w:val="000000"/>
                <w:sz w:val="21"/>
                <w:szCs w:val="21"/>
                <w:lang w:val="en-US" w:eastAsia="zh-CN" w:bidi="ar"/>
              </w:rPr>
              <w:br/>
            </w:r>
            <w:r>
              <w:rPr>
                <w:rFonts w:hint="eastAsia" w:ascii="华文楷体" w:hAnsi="华文楷体" w:eastAsia="华文楷体" w:cs="华文楷体"/>
                <w:color w:val="000000"/>
                <w:sz w:val="21"/>
                <w:szCs w:val="21"/>
                <w:lang w:val="en-US" w:eastAsia="zh-CN" w:bidi="ar"/>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送餐服务</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应按要求及时送达，送餐用具应清洁、卫生、保温，防止污染。</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0.2工时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送餐服务在5公里范围以内；餐费由老人自付。</w:t>
            </w:r>
            <w:r/>
          </w:p>
        </w:tc>
      </w:tr>
      <w:tr>
        <w:trPr>
          <w:gridAfter w:val="1"/>
          <w:trHeight w:val="481"/>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烹饪服务</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按照老人饮食习惯要求代买食材、清洗烹饪，餐后卫生及时清理。</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设施设备由老人提供</w:t>
            </w:r>
            <w:r/>
          </w:p>
        </w:tc>
      </w:tr>
      <w:tr>
        <w:trPr>
          <w:gridAfter w:val="1"/>
          <w:trHeight w:val="306"/>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协助就餐</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top"/>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应符合老人实际生理状况，助餐用具卫生、进餐速度适当。</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jc w:val="left"/>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9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助洁</w:t>
            </w:r>
            <w:r>
              <w:rPr>
                <w:rFonts w:hint="eastAsia" w:ascii="华文楷体" w:hAnsi="华文楷体" w:eastAsia="华文楷体" w:cs="华文楷体"/>
                <w:color w:val="000000"/>
                <w:sz w:val="21"/>
                <w:szCs w:val="21"/>
                <w:lang w:val="en-US" w:eastAsia="zh-CN" w:bidi="ar"/>
              </w:rPr>
              <w:br/>
            </w:r>
            <w:r>
              <w:rPr>
                <w:rFonts w:hint="eastAsia" w:ascii="华文楷体" w:hAnsi="华文楷体" w:eastAsia="华文楷体" w:cs="华文楷体"/>
                <w:color w:val="000000"/>
                <w:sz w:val="21"/>
                <w:szCs w:val="21"/>
                <w:lang w:val="en-US" w:eastAsia="zh-CN" w:bidi="ar"/>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居室清洁</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打扫后的居室整洁美观、目测无尘、空气清新无异味。</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jc w:val="left"/>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182"/>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居室消毒</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居家消毒，开窗通风。消毒剂由供应商提供。</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jc w:val="left"/>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705"/>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衣物洗涤</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洗涤前服务人员应当面与老人或其家属查验送洗衣物，明确相关事项。贵重衣物不在洗涤服务范围内；洗涤应分类洗涤衣物并做到洗净、晾晒。</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jc w:val="left"/>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742"/>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窗户等玻</w:t>
            </w:r>
            <w:r>
              <w:rPr>
                <w:rFonts w:hint="eastAsia" w:ascii="华文楷体" w:hAnsi="华文楷体" w:eastAsia="华文楷体" w:cs="华文楷体"/>
                <w:color w:val="000000"/>
                <w:sz w:val="21"/>
                <w:szCs w:val="21"/>
                <w:lang w:val="en-US" w:eastAsia="zh-CN" w:bidi="ar"/>
              </w:rPr>
              <w:br/>
            </w:r>
            <w:r>
              <w:rPr>
                <w:rFonts w:hint="eastAsia" w:ascii="华文楷体" w:hAnsi="华文楷体" w:eastAsia="华文楷体" w:cs="华文楷体"/>
                <w:color w:val="000000"/>
                <w:sz w:val="21"/>
                <w:szCs w:val="21"/>
                <w:lang w:val="en-US" w:eastAsia="zh-CN" w:bidi="ar"/>
              </w:rPr>
              <w:t xml:space="preserve">璃清洁</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清洁范围：所有对外的窗户玻璃(自建阳光房和加装玻璃除外)。</w:t>
            </w:r>
            <w:r>
              <w:rPr>
                <w:rFonts w:hint="eastAsia" w:ascii="华文楷体" w:hAnsi="华文楷体" w:eastAsia="华文楷体" w:cs="华文楷体"/>
                <w:color w:val="000000"/>
                <w:sz w:val="21"/>
                <w:szCs w:val="21"/>
                <w:lang w:val="en-US" w:eastAsia="zh-CN" w:bidi="ar"/>
              </w:rPr>
              <w:br/>
            </w:r>
            <w:r>
              <w:rPr>
                <w:rFonts w:hint="eastAsia" w:ascii="华文楷体" w:hAnsi="华文楷体" w:eastAsia="华文楷体" w:cs="华文楷体"/>
                <w:color w:val="000000"/>
                <w:sz w:val="21"/>
                <w:szCs w:val="21"/>
                <w:lang w:val="en-US" w:eastAsia="zh-CN" w:bidi="ar"/>
              </w:rPr>
              <w:t xml:space="preserve">服务标准：玻璃表面干净、明亮，无水渍、无污溃；窗框、窗槽干净，完成后地面清洁、无水渍。</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1工时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每季度服务不超过1次</w:t>
            </w:r>
            <w:r/>
          </w:p>
        </w:tc>
      </w:tr>
      <w:tr>
        <w:trPr>
          <w:gridAfter w:val="1"/>
          <w:trHeight w:val="398"/>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油烟机</w:t>
            </w:r>
            <w:r>
              <w:rPr>
                <w:rFonts w:hint="eastAsia" w:ascii="华文楷体" w:hAnsi="华文楷体" w:eastAsia="华文楷体" w:cs="华文楷体"/>
                <w:color w:val="000000"/>
                <w:sz w:val="21"/>
                <w:szCs w:val="21"/>
                <w:lang w:val="en-US" w:eastAsia="zh-CN" w:bidi="ar"/>
              </w:rPr>
              <w:br/>
            </w:r>
            <w:r>
              <w:rPr>
                <w:rFonts w:hint="eastAsia" w:ascii="华文楷体" w:hAnsi="华文楷体" w:eastAsia="华文楷体" w:cs="华文楷体"/>
                <w:color w:val="000000"/>
                <w:sz w:val="21"/>
                <w:szCs w:val="21"/>
                <w:lang w:val="en-US" w:eastAsia="zh-CN" w:bidi="ar"/>
              </w:rPr>
              <w:t xml:space="preserve">清洗</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清洁方式：非拆洗不拆卸，高温高压设备蒸汽清洗。</w:t>
            </w:r>
            <w:r>
              <w:rPr>
                <w:rFonts w:hint="eastAsia" w:ascii="华文楷体" w:hAnsi="华文楷体" w:eastAsia="华文楷体" w:cs="华文楷体"/>
                <w:color w:val="000000"/>
                <w:sz w:val="21"/>
                <w:szCs w:val="21"/>
                <w:lang w:val="en-US" w:eastAsia="zh-CN" w:bidi="ar"/>
              </w:rPr>
              <w:br/>
            </w:r>
            <w:r>
              <w:rPr>
                <w:rFonts w:hint="eastAsia" w:ascii="华文楷体" w:hAnsi="华文楷体" w:eastAsia="华文楷体" w:cs="华文楷体"/>
                <w:color w:val="000000"/>
                <w:sz w:val="21"/>
                <w:szCs w:val="21"/>
                <w:lang w:val="en-US" w:eastAsia="zh-CN" w:bidi="ar"/>
              </w:rPr>
              <w:t xml:space="preserve">清洁范围：包括油烟机风轮、内框、过滤网、油杯和外表等。</w:t>
            </w:r>
            <w:r>
              <w:rPr>
                <w:rFonts w:hint="eastAsia" w:ascii="华文楷体" w:hAnsi="华文楷体" w:eastAsia="华文楷体" w:cs="华文楷体"/>
                <w:color w:val="000000"/>
                <w:sz w:val="21"/>
                <w:szCs w:val="21"/>
                <w:lang w:val="en-US" w:eastAsia="zh-CN" w:bidi="ar"/>
              </w:rPr>
              <w:br/>
            </w:r>
            <w:r>
              <w:rPr>
                <w:rFonts w:hint="eastAsia" w:ascii="华文楷体" w:hAnsi="华文楷体" w:eastAsia="华文楷体" w:cs="华文楷体"/>
                <w:color w:val="000000"/>
                <w:sz w:val="21"/>
                <w:szCs w:val="21"/>
                <w:lang w:val="en-US" w:eastAsia="zh-CN" w:bidi="ar"/>
              </w:rPr>
              <w:t xml:space="preserve">服务标准：高温蒸汽去油污，涡轮表面无油腻，油盒洁净无油，油烟机外壳表面、网罩干净无油污；无漏油现象。</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2工时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每季度服务不超过1次</w:t>
            </w:r>
            <w:r/>
          </w:p>
        </w:tc>
      </w:tr>
      <w:tr>
        <w:trPr>
          <w:gridAfter w:val="1"/>
          <w:trHeight w:val="556"/>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空调清洗</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清洁范围：室内机机壳及过滤网清洁，风机、风板、风道、风轮、翘片、散热片等清洁。</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2工时(挂机)</w:t>
            </w:r>
            <w:r>
              <w:rPr>
                <w:rFonts w:hint="eastAsia" w:ascii="华文楷体" w:hAnsi="华文楷体" w:eastAsia="华文楷体" w:cs="华文楷体"/>
                <w:color w:val="000000"/>
                <w:sz w:val="21"/>
                <w:szCs w:val="21"/>
                <w:lang w:val="en-US" w:eastAsia="zh-CN" w:bidi="ar"/>
              </w:rPr>
              <w:br/>
            </w:r>
            <w:r>
              <w:rPr>
                <w:rFonts w:hint="eastAsia" w:ascii="华文楷体" w:hAnsi="华文楷体" w:eastAsia="华文楷体" w:cs="华文楷体"/>
                <w:color w:val="000000"/>
                <w:sz w:val="21"/>
                <w:szCs w:val="21"/>
                <w:lang w:val="en-US" w:eastAsia="zh-CN" w:bidi="ar"/>
              </w:rPr>
              <w:t xml:space="preserve">3工时(柜机)</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每年服务不超过2次</w:t>
            </w:r>
            <w:r/>
          </w:p>
        </w:tc>
      </w:tr>
      <w:tr>
        <w:trPr>
          <w:gridAfter w:val="1"/>
          <w:trHeight w:val="9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洗衣机</w:t>
            </w:r>
            <w:r>
              <w:rPr>
                <w:rFonts w:hint="eastAsia" w:ascii="华文楷体" w:hAnsi="华文楷体" w:eastAsia="华文楷体" w:cs="华文楷体"/>
                <w:color w:val="000000"/>
                <w:sz w:val="21"/>
                <w:szCs w:val="21"/>
                <w:lang w:val="en-US" w:eastAsia="zh-CN" w:bidi="ar"/>
              </w:rPr>
              <w:br/>
            </w:r>
            <w:r>
              <w:rPr>
                <w:rFonts w:hint="eastAsia" w:ascii="华文楷体" w:hAnsi="华文楷体" w:eastAsia="华文楷体" w:cs="华文楷体"/>
                <w:color w:val="000000"/>
                <w:sz w:val="21"/>
                <w:szCs w:val="21"/>
                <w:lang w:val="en-US" w:eastAsia="zh-CN" w:bidi="ar"/>
              </w:rPr>
              <w:t xml:space="preserve">清洗</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top"/>
            <w:vMerge w:val="restart"/>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滚筒洗衣机：免拆洗，滚筒洗衣机表面、滚筒内壁、滚筒隔层、密封橡皮圈、洗衣粉槽及工作区域清洁、高温杀菌。</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2工时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每季度服务不超 过 1 次</w:t>
            </w:r>
            <w:r/>
          </w:p>
        </w:tc>
      </w:tr>
      <w:tr>
        <w:trPr>
          <w:gridAfter w:val="1"/>
          <w:trHeight w:val="103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波轮洗衣机：半拆洗，洗衣机表面、内壁、洗衣机波轮内桶、波轮桶隔毛絮过滤器分配器、接水管及工作区域清洁、高温杀菌。</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506"/>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top"/>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    助浴</w:t>
            </w:r>
            <w:r>
              <w:rPr>
                <w:rFonts w:hint="eastAsia" w:ascii="华文楷体" w:hAnsi="华文楷体" w:eastAsia="华文楷体" w:cs="华文楷体"/>
                <w:color w:val="000000"/>
                <w:sz w:val="21"/>
                <w:szCs w:val="21"/>
                <w:lang w:val="en-US" w:eastAsia="zh-CN" w:bidi="ar"/>
              </w:rPr>
              <w:br/>
            </w:r>
            <w:r>
              <w:rPr>
                <w:rFonts w:hint="eastAsia" w:ascii="华文楷体" w:hAnsi="华文楷体" w:eastAsia="华文楷体" w:cs="华文楷体"/>
                <w:color w:val="000000"/>
                <w:sz w:val="21"/>
                <w:szCs w:val="21"/>
                <w:lang w:val="en-US" w:eastAsia="zh-CN" w:bidi="ar"/>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洗发</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给老人洗头时水温适宜，力度适中；洗头后要及时给老人把头发吹干。</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15分钟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0.25工时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692"/>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top"/>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理发</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理发(含刮胡子、洗头发、吹干头发)不包含焗油、染发等。理发工具由服务单位提供。</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上门不少于30分钟/次；集中不少于15分钟/次</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上门1工时，集中0.5工时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219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top"/>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洗脚剪</w:t>
            </w:r>
            <w:r>
              <w:rPr>
                <w:rFonts w:hint="eastAsia" w:ascii="华文楷体" w:hAnsi="华文楷体" w:eastAsia="华文楷体" w:cs="华文楷体"/>
                <w:color w:val="000000"/>
                <w:sz w:val="21"/>
                <w:szCs w:val="21"/>
                <w:lang w:val="en-US" w:eastAsia="zh-CN" w:bidi="ar"/>
              </w:rPr>
              <w:br/>
            </w:r>
            <w:r>
              <w:rPr>
                <w:rFonts w:hint="eastAsia" w:ascii="华文楷体" w:hAnsi="华文楷体" w:eastAsia="华文楷体" w:cs="华文楷体"/>
                <w:color w:val="000000"/>
                <w:sz w:val="21"/>
                <w:szCs w:val="21"/>
                <w:lang w:val="en-US" w:eastAsia="zh-CN" w:bidi="ar"/>
              </w:rPr>
              <w:t xml:space="preserve">指甲</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根据服务对象的足部皮肤状况，采用适宜的清洁方式进行清洁护理，确保足部干净无异味。同时，根据对象的健康状况、生活自理能力和个人卫生习惯，为趾甲提供专业修剪护理，包括但不限于对灰指甲的妥善处理，避免趾甲病变恶化，或过长藏垢等其他卫生问题。</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1067"/>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top"/>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协助助浴</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上门助浴(含洗头)时应根据气候状况和洗浴条件，注意为老人防寒保暖、防暑降温，做好安全防护，助浴时应有老人家人陪同。</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218"/>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top"/>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专业助浴</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携带专业助浴设备为符合助浴条件的中重度失能老年人提供助浴服务(含洗头)。</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1工时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63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助行</w:t>
            </w:r>
            <w:r>
              <w:rPr>
                <w:rFonts w:hint="eastAsia" w:ascii="华文楷体" w:hAnsi="华文楷体" w:eastAsia="华文楷体" w:cs="华文楷体"/>
                <w:color w:val="000000"/>
                <w:sz w:val="21"/>
                <w:szCs w:val="21"/>
                <w:lang w:val="en-US" w:eastAsia="zh-CN" w:bidi="ar"/>
              </w:rPr>
              <w:br/>
            </w:r>
            <w:r>
              <w:rPr>
                <w:rFonts w:hint="eastAsia" w:ascii="华文楷体" w:hAnsi="华文楷体" w:eastAsia="华文楷体" w:cs="华文楷体"/>
                <w:color w:val="000000"/>
                <w:sz w:val="21"/>
                <w:szCs w:val="21"/>
                <w:lang w:val="en-US" w:eastAsia="zh-CN" w:bidi="ar"/>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陪同外出</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陪同时应注意途中安全，使用助行器具时，应按助行器具的使用说明进行操作。</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315"/>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协助行走</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协助时应注意老人状态，确保老人安全。</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63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参加活动</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陪同老人参与活动时需全程关注老人状态，做好安全防范工作。</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141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助急</w:t>
            </w:r>
            <w:r>
              <w:rPr>
                <w:rFonts w:hint="eastAsia" w:ascii="华文楷体" w:hAnsi="华文楷体" w:eastAsia="华文楷体" w:cs="华文楷体"/>
                <w:color w:val="000000"/>
                <w:sz w:val="21"/>
                <w:szCs w:val="21"/>
                <w:lang w:val="en-US" w:eastAsia="zh-CN" w:bidi="ar"/>
              </w:rPr>
              <w:br/>
            </w:r>
            <w:r>
              <w:rPr>
                <w:rFonts w:hint="eastAsia" w:ascii="华文楷体" w:hAnsi="华文楷体" w:eastAsia="华文楷体" w:cs="华文楷体"/>
                <w:color w:val="000000"/>
                <w:sz w:val="21"/>
                <w:szCs w:val="21"/>
                <w:lang w:val="en-US" w:eastAsia="zh-CN" w:bidi="ar"/>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紧急呼叫受里</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含设备及服务，提供紧急呼叫转介服务。建立紧急援助服务热线，保持24小时在线畅通。建立《突发事件应急方案》,城市社区要求15分钟内响应，农村社区要求30分钟内响应。</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63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助医</w:t>
            </w:r>
            <w:r>
              <w:rPr>
                <w:rFonts w:hint="eastAsia" w:ascii="华文楷体" w:hAnsi="华文楷体" w:eastAsia="华文楷体" w:cs="华文楷体"/>
                <w:color w:val="000000"/>
                <w:sz w:val="21"/>
                <w:szCs w:val="21"/>
                <w:lang w:val="en-US" w:eastAsia="zh-CN" w:bidi="ar"/>
              </w:rPr>
              <w:br/>
            </w:r>
            <w:r>
              <w:rPr>
                <w:rFonts w:hint="eastAsia" w:ascii="华文楷体" w:hAnsi="华文楷体" w:eastAsia="华文楷体" w:cs="华文楷体"/>
                <w:color w:val="000000"/>
                <w:sz w:val="21"/>
                <w:szCs w:val="21"/>
                <w:lang w:val="en-US" w:eastAsia="zh-CN" w:bidi="ar"/>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治疗陪伴</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交通费及相关费用由用户支付。</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63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11"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就医陪护</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交通费及相关费用由用户支付。</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315"/>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基础照护</w:t>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排泄护理</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含排尿护理、排便护理、排气护理等。</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63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护理协助</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为老年人进行保暖和物理降温，协助和指导翻身、拍背、褥疮预防等。</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315"/>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康复护理</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包括康复评估、计划制定、康复指导、康复理疗等。</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315"/>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用药照护</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包括用药提醒、用药指导及不良反应观察等。</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315"/>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生活照护</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协助穿（脱）衣、饮食照护、睡眠照护等。</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315"/>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关爱探访</w:t>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远程照护</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接受与协助老年人电话呼叫和紧急求助。</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15分钟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0.25工时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63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上门探访</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了解掌握老年人的健康状况、精神状况、安全情况、卫生状况、居室环境、服务需求等。</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15分钟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0.25工时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63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健康管理</w:t>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信息采集</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采集老年人的体检信息、既往疾病史等健康信息，建立老年人健康档案。</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63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健康咨询</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为老年人提供防跌倒、疾病预防、膳食营养、康复保健等指导。</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63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健康干预</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制定服务方案，为老年人的生活起居、慢病调理等提供干预服务。</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315"/>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常规生理指标监测</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监测体温、体重、血压、呼吸、心率、血糖等。</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15分钟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0.25工时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63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委托代办</w:t>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代购日常用品</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代购日常生活用品、果蔬等，购买后需提供购物发票，并将结余款项返还用户。</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63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代缴日常费用</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代缴水、电、气、通讯费等日常费用，缴费费用由用户支付。</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15分钟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0.25工时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630"/>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代订代取业务</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代订车票、预约车辆，代取送信函、文件和物品等，需确保代取物件完好</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315"/>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代为申请服务</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代为申请法律援助、救助服务等</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15分钟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0.25工时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145"/>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精神慰藉</w:t>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陪伴支持</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定期协助有意愿的老年人外出活动或前往服务机构参加集体活动。</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308"/>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情绪疏导</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与老年人进行谈心、交流，耐心倾听老年人的诉说。</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308"/>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心理慰藉</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通过心理健康教育、心理干预手段调整老年人心理状态。</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top"/>
            <w:textDirection w:val="lrTb"/>
            <w:noWrap w:val="false"/>
          </w:tcPr>
          <w:p>
            <w:pP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After w:val="1"/>
          <w:trHeight w:val="308"/>
        </w:trPr>
        <w:tc>
          <w:tcPr>
            <w:gridSpan w:val="2"/>
            <w:shd w:val="clear" w:color="auto" w:fill="auto"/>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个性化</w:t>
            </w:r>
            <w:r/>
          </w:p>
        </w:tc>
        <w:tc>
          <w:tcPr>
            <w:gridSpan w:val="2"/>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定制化服务</w:t>
            </w:r>
            <w:r/>
          </w:p>
        </w:tc>
        <w:tc>
          <w:tcPr>
            <w:shd w:val="clear" w:color="auto" w:fill="auto"/>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根据老人需求，制定个性化服务内容</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30分钟</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0.5工时</w:t>
            </w:r>
            <w:r/>
          </w:p>
        </w:tc>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rPr>
                <w:rFonts w:hint="eastAsia" w:ascii="华文楷体" w:hAnsi="华文楷体" w:eastAsia="华文楷体" w:cs="华文楷体"/>
                <w:color w:val="000000"/>
                <w:sz w:val="21"/>
                <w:szCs w:val="21"/>
              </w:rPr>
            </w:pPr>
            <w:r>
              <w:rPr>
                <w:rFonts w:hint="eastAsia" w:ascii="华文楷体" w:hAnsi="华文楷体" w:eastAsia="华文楷体" w:cs="华文楷体"/>
                <w:color w:val="000000"/>
                <w:sz w:val="21"/>
                <w:szCs w:val="21"/>
              </w:rPr>
            </w:r>
            <w:r/>
          </w:p>
        </w:tc>
      </w:tr>
      <w:tr>
        <w:trPr>
          <w:gridBefore w:val="1"/>
          <w:trHeight w:val="308"/>
        </w:trPr>
        <w:tc>
          <w:tcPr>
            <w:gridSpan w:val="8"/>
            <w:shd w:val="clear" w:color="auto" w:fill="auto"/>
            <w:tcW w:w="8355" w:type="dxa"/>
            <w:vAlign w:val="center"/>
            <w:textDirection w:val="lrTb"/>
            <w:noWrap w:val="false"/>
          </w:tcPr>
          <w:p>
            <w:pPr>
              <w:jc w:val="left"/>
              <w:keepLines w:val="0"/>
              <w:keepNext w:val="0"/>
              <w:spacing w:line="240" w:lineRule="auto"/>
              <w:widowControl/>
              <w:rPr>
                <w:rFonts w:hint="eastAsia" w:ascii="华文楷体" w:hAnsi="华文楷体" w:eastAsia="华文楷体" w:cs="华文楷体"/>
                <w:color w:val="000000"/>
                <w:sz w:val="21"/>
                <w:szCs w:val="21"/>
              </w:rPr>
              <w:suppressLineNumbers w:val="0"/>
            </w:pPr>
            <w:r>
              <w:rPr>
                <w:rFonts w:hint="eastAsia" w:ascii="华文楷体" w:hAnsi="华文楷体" w:eastAsia="华文楷体" w:cs="华文楷体"/>
                <w:color w:val="000000"/>
                <w:sz w:val="21"/>
                <w:szCs w:val="21"/>
                <w:lang w:val="en-US" w:eastAsia="zh-CN" w:bidi="ar"/>
              </w:rPr>
              <w:t xml:space="preserve">注：最低服务时长和结算工时为最小结算单元。</w:t>
            </w:r>
            <w:r/>
          </w:p>
        </w:tc>
      </w:tr>
    </w:tbl>
    <w:p>
      <w:pPr>
        <w:pStyle w:val="701"/>
        <w:ind w:firstLine="420"/>
        <w:keepLines w:val="0"/>
        <w:keepNext w:val="0"/>
        <w:pageBreakBefore w:val="0"/>
        <w:spacing w:beforeAutospacing="0" w:after="0" w:afterAutospacing="0" w:line="480" w:lineRule="exact"/>
        <w:widowControl/>
        <w:rPr>
          <w:rFonts w:hint="eastAsia" w:ascii="楷体" w:hAnsi="楷体" w:eastAsia="楷体" w:cs="宋体"/>
          <w:szCs w:val="21"/>
        </w:rPr>
      </w:pPr>
      <w:r>
        <w:rPr>
          <w:rFonts w:hint="eastAsia" w:ascii="楷体" w:hAnsi="楷体" w:eastAsia="楷体" w:cs="宋体"/>
          <w:color w:val="auto"/>
          <w:sz w:val="21"/>
          <w:szCs w:val="21"/>
          <w:highlight w:val="none"/>
        </w:rPr>
        <w:t xml:space="preserve">服务具体要求以《居家养老上门服务基本规范》（GB/T43153-2023）为指导规范。每次服务种类不少于2种。</w:t>
      </w:r>
      <w:r/>
    </w:p>
    <w:p>
      <w:pPr>
        <w:pStyle w:val="701"/>
        <w:ind w:firstLine="420"/>
        <w:keepLines w:val="0"/>
        <w:keepNext w:val="0"/>
        <w:pageBreakBefore w:val="0"/>
        <w:spacing w:beforeAutospacing="0" w:after="0" w:afterAutospacing="0" w:line="480" w:lineRule="exact"/>
        <w:widowControl/>
        <w:rPr>
          <w:rFonts w:hint="eastAsia" w:ascii="楷体" w:hAnsi="楷体" w:eastAsia="楷体" w:cs="宋体"/>
          <w:sz w:val="21"/>
          <w:szCs w:val="21"/>
        </w:rPr>
      </w:pPr>
      <w:r>
        <w:rPr>
          <w:rFonts w:hint="eastAsia" w:ascii="楷体" w:hAnsi="楷体" w:eastAsia="楷体" w:cs="宋体"/>
          <w:sz w:val="21"/>
          <w:szCs w:val="21"/>
        </w:rPr>
        <w:t xml:space="preserve">3、服务标准：</w:t>
      </w:r>
      <w:r/>
    </w:p>
    <w:p>
      <w:pPr>
        <w:pStyle w:val="701"/>
        <w:ind w:firstLine="420"/>
        <w:keepLines w:val="0"/>
        <w:keepNext w:val="0"/>
        <w:pageBreakBefore w:val="0"/>
        <w:spacing w:beforeAutospacing="0" w:after="0" w:afterAutospacing="0" w:line="480" w:lineRule="exact"/>
        <w:widowControl/>
        <w:rPr>
          <w:rFonts w:hint="eastAsia" w:ascii="楷体" w:hAnsi="楷体" w:eastAsia="楷体"/>
          <w:sz w:val="21"/>
          <w:szCs w:val="21"/>
        </w:rPr>
      </w:pPr>
      <w:r>
        <w:rPr>
          <w:rFonts w:hint="eastAsia" w:ascii="楷体" w:hAnsi="楷体" w:eastAsia="楷体"/>
          <w:sz w:val="21"/>
          <w:szCs w:val="21"/>
        </w:rPr>
        <w:t xml:space="preserve">80周岁及以上高龄老人每月享受政府购买居家上门服务标准为30元/月。低保及其他类别中的半失能、失能老年人每月享受政府购买居家上门服务标准分别为100元/月、150元/月。低保高龄自理老年人每月享受政府购买居家上门服务标准为60元/月，低保低龄自理老年人每月享受政府购买居家上门服务标准为</w:t>
      </w:r>
      <w:r>
        <w:rPr>
          <w:rFonts w:hint="eastAsia" w:ascii="楷体" w:hAnsi="楷体" w:eastAsia="楷体"/>
          <w:color w:val="auto"/>
          <w:sz w:val="21"/>
          <w:szCs w:val="21"/>
          <w:highlight w:val="none"/>
        </w:rPr>
        <w:t xml:space="preserve">30元/月。</w:t>
      </w:r>
      <w:r>
        <w:rPr>
          <w:rFonts w:hint="eastAsia" w:ascii="楷体" w:hAnsi="楷体" w:eastAsia="楷体" w:cs="宋体"/>
          <w:color w:val="auto"/>
          <w:sz w:val="21"/>
          <w:szCs w:val="21"/>
          <w:highlight w:val="none"/>
        </w:rPr>
        <w:t xml:space="preserve">散居特困人员</w:t>
      </w:r>
      <w:r>
        <w:rPr>
          <w:rFonts w:hint="eastAsia" w:ascii="楷体" w:hAnsi="楷体" w:eastAsia="楷体" w:cs="宋体"/>
          <w:color w:val="auto"/>
          <w:sz w:val="21"/>
          <w:szCs w:val="21"/>
          <w:highlight w:val="none"/>
          <w:lang w:eastAsia="zh-CN"/>
        </w:rPr>
        <w:t xml:space="preserve">按照能力评估结果，</w:t>
      </w:r>
      <w:r>
        <w:rPr>
          <w:rFonts w:hint="eastAsia" w:ascii="楷体" w:hAnsi="楷体" w:eastAsia="楷体" w:cs="宋体"/>
          <w:color w:val="auto"/>
          <w:sz w:val="21"/>
          <w:szCs w:val="21"/>
          <w:highlight w:val="none"/>
        </w:rPr>
        <w:t xml:space="preserve">遵循就高原则，享受政府购买居家上门服务。</w:t>
      </w:r>
      <w:r>
        <w:rPr>
          <w:rFonts w:hint="eastAsia" w:ascii="楷体" w:hAnsi="楷体" w:eastAsia="楷体"/>
          <w:color w:val="auto"/>
          <w:sz w:val="21"/>
          <w:szCs w:val="21"/>
          <w:highlight w:val="none"/>
        </w:rPr>
        <w:t xml:space="preserve">（实际服务标准以</w:t>
      </w:r>
      <w:r>
        <w:rPr>
          <w:rFonts w:hint="eastAsia" w:ascii="楷体" w:hAnsi="楷体" w:eastAsia="楷体"/>
          <w:sz w:val="21"/>
          <w:szCs w:val="21"/>
        </w:rPr>
        <w:t xml:space="preserve">最新政策为准）</w:t>
      </w:r>
      <w:r/>
    </w:p>
    <w:p>
      <w:pPr>
        <w:ind w:firstLine="411"/>
        <w:keepLines w:val="0"/>
        <w:keepNext w:val="0"/>
        <w:pageBreakBefore w:val="0"/>
        <w:spacing w:beforeAutospacing="0" w:afterAutospacing="0" w:line="480" w:lineRule="exact"/>
        <w:rPr>
          <w:rFonts w:hint="eastAsia" w:ascii="楷体" w:hAnsi="楷体" w:eastAsia="楷体"/>
          <w:szCs w:val="21"/>
        </w:rPr>
      </w:pPr>
      <w:r>
        <w:rPr>
          <w:rFonts w:hint="eastAsia" w:ascii="楷体" w:hAnsi="楷体" w:eastAsia="楷体"/>
          <w:szCs w:val="21"/>
        </w:rPr>
        <w:t xml:space="preserve"> 4、服务要求：</w:t>
      </w:r>
      <w:r/>
    </w:p>
    <w:p>
      <w:pPr>
        <w:ind w:firstLine="411"/>
        <w:keepLines w:val="0"/>
        <w:keepNext w:val="0"/>
        <w:pageBreakBefore w:val="0"/>
        <w:spacing w:beforeAutospacing="0" w:afterAutospacing="0" w:line="480" w:lineRule="exact"/>
        <w:rPr>
          <w:rFonts w:hint="eastAsia" w:ascii="楷体" w:hAnsi="楷体" w:eastAsia="楷体"/>
          <w:szCs w:val="21"/>
          <w:highlight w:val="none"/>
        </w:rPr>
      </w:pPr>
      <w:r>
        <w:rPr>
          <w:rFonts w:hint="eastAsia" w:ascii="楷体" w:hAnsi="楷体" w:eastAsia="楷体"/>
          <w:szCs w:val="21"/>
          <w:highlight w:val="none"/>
        </w:rPr>
        <w:t xml:space="preserve">①</w:t>
      </w:r>
      <w:r>
        <w:rPr>
          <w:rFonts w:hint="eastAsia" w:ascii="楷体" w:hAnsi="楷体" w:eastAsia="楷体"/>
          <w:szCs w:val="21"/>
          <w:highlight w:val="none"/>
          <w:lang w:eastAsia="zh-CN"/>
        </w:rPr>
        <w:t xml:space="preserve">规范服务流程</w:t>
      </w:r>
      <w:r>
        <w:rPr>
          <w:rFonts w:hint="eastAsia" w:ascii="楷体" w:hAnsi="楷体" w:eastAsia="楷体"/>
          <w:szCs w:val="21"/>
          <w:highlight w:val="none"/>
        </w:rPr>
        <w:t xml:space="preserve">。</w:t>
      </w:r>
      <w:r>
        <w:rPr>
          <w:rFonts w:hint="eastAsia" w:ascii="楷体" w:hAnsi="楷体" w:eastAsia="楷体"/>
          <w:szCs w:val="21"/>
          <w:highlight w:val="none"/>
          <w:lang w:eastAsia="zh-CN"/>
        </w:rPr>
        <w:t xml:space="preserve">遵循自愿原则，</w:t>
      </w:r>
      <w:r>
        <w:rPr>
          <w:rFonts w:hint="eastAsia" w:ascii="楷体" w:hAnsi="楷体" w:eastAsia="楷体"/>
          <w:szCs w:val="21"/>
          <w:highlight w:val="none"/>
        </w:rPr>
        <w:t xml:space="preserve">推行预约上门与标准化服务，主动向老人及家属介绍服务内容与预约方式，推动“被服务”转为“要服务”</w:t>
      </w:r>
      <w:r>
        <w:rPr>
          <w:rFonts w:hint="eastAsia" w:ascii="楷体" w:hAnsi="楷体" w:eastAsia="楷体"/>
          <w:szCs w:val="21"/>
          <w:highlight w:val="none"/>
          <w:lang w:eastAsia="zh-CN"/>
        </w:rPr>
        <w:t xml:space="preserve">，每月预约服务工单占比不少于</w:t>
      </w:r>
      <w:r>
        <w:rPr>
          <w:rFonts w:hint="eastAsia" w:ascii="楷体" w:hAnsi="楷体" w:eastAsia="楷体"/>
          <w:szCs w:val="21"/>
          <w:highlight w:val="none"/>
          <w:lang w:val="en-US" w:eastAsia="zh-CN"/>
        </w:rPr>
        <w:t xml:space="preserve">50%</w:t>
      </w:r>
      <w:r>
        <w:rPr>
          <w:rFonts w:hint="eastAsia" w:ascii="楷体" w:hAnsi="楷体" w:eastAsia="楷体"/>
          <w:szCs w:val="21"/>
          <w:highlight w:val="none"/>
        </w:rPr>
        <w:t xml:space="preserve">；同时鼓励</w:t>
      </w:r>
      <w:r>
        <w:rPr>
          <w:rFonts w:hint="eastAsia" w:ascii="楷体" w:hAnsi="楷体" w:eastAsia="楷体"/>
          <w:szCs w:val="21"/>
          <w:highlight w:val="none"/>
          <w:lang w:eastAsia="zh-CN"/>
        </w:rPr>
        <w:t xml:space="preserve">老人年</w:t>
      </w:r>
      <w:r>
        <w:rPr>
          <w:rFonts w:hint="eastAsia" w:ascii="楷体" w:hAnsi="楷体" w:eastAsia="楷体"/>
          <w:szCs w:val="21"/>
          <w:highlight w:val="none"/>
        </w:rPr>
        <w:t xml:space="preserve">按市场价格购买个性化服务，拓展自费市场。</w:t>
      </w:r>
      <w:r/>
    </w:p>
    <w:p>
      <w:pPr>
        <w:ind w:firstLine="411"/>
        <w:keepLines w:val="0"/>
        <w:keepNext w:val="0"/>
        <w:pageBreakBefore w:val="0"/>
        <w:spacing w:beforeAutospacing="0" w:afterAutospacing="0" w:line="480" w:lineRule="exact"/>
        <w:rPr>
          <w:rFonts w:hint="eastAsia" w:ascii="楷体" w:hAnsi="楷体" w:eastAsia="楷体"/>
          <w:szCs w:val="21"/>
          <w:highlight w:val="none"/>
        </w:rPr>
      </w:pPr>
      <w:r>
        <w:rPr>
          <w:rFonts w:hint="eastAsia" w:ascii="楷体" w:hAnsi="楷体" w:eastAsia="楷体"/>
          <w:szCs w:val="21"/>
          <w:highlight w:val="none"/>
        </w:rPr>
        <w:t xml:space="preserve">②丰富服务内容。结合老年人实际需求，并</w:t>
      </w:r>
      <w:r>
        <w:rPr>
          <w:rFonts w:hint="eastAsia" w:ascii="楷体" w:hAnsi="楷体" w:eastAsia="楷体"/>
          <w:szCs w:val="21"/>
          <w:highlight w:val="none"/>
          <w:lang w:eastAsia="zh-CN"/>
        </w:rPr>
        <w:t xml:space="preserve">组建专业服务队伍，</w:t>
      </w:r>
      <w:r>
        <w:rPr>
          <w:rFonts w:hint="eastAsia" w:ascii="楷体" w:hAnsi="楷体" w:eastAsia="楷体"/>
          <w:szCs w:val="21"/>
          <w:highlight w:val="none"/>
        </w:rPr>
        <w:t xml:space="preserve">配备多类专业持证人员</w:t>
      </w:r>
      <w:r>
        <w:rPr>
          <w:rFonts w:hint="eastAsia" w:ascii="楷体" w:hAnsi="楷体" w:eastAsia="楷体"/>
          <w:szCs w:val="21"/>
          <w:highlight w:val="none"/>
          <w:lang w:eastAsia="zh-CN"/>
        </w:rPr>
        <w:t xml:space="preserve">，</w:t>
      </w:r>
      <w:r>
        <w:rPr>
          <w:rFonts w:hint="eastAsia" w:ascii="楷体" w:hAnsi="楷体" w:eastAsia="楷体"/>
          <w:szCs w:val="21"/>
          <w:highlight w:val="none"/>
        </w:rPr>
        <w:t xml:space="preserve">如社会工作师、养老护理师、护士、医生、药师、康复治疗师（康复医学治疗技术）、老年人能力评估师、健康管理师、公共营养师、电工维修人员、</w:t>
      </w:r>
      <w:r>
        <w:rPr>
          <w:rFonts w:hint="eastAsia" w:ascii="楷体" w:hAnsi="楷体" w:eastAsia="楷体"/>
          <w:szCs w:val="21"/>
          <w:highlight w:val="none"/>
          <w:lang w:eastAsia="zh-CN"/>
        </w:rPr>
        <w:t xml:space="preserve">理发师、</w:t>
      </w:r>
      <w:r>
        <w:rPr>
          <w:rFonts w:hint="eastAsia" w:ascii="楷体" w:hAnsi="楷体" w:eastAsia="楷体"/>
          <w:szCs w:val="21"/>
          <w:highlight w:val="none"/>
        </w:rPr>
        <w:t xml:space="preserve">心理咨询师、法律工作者等，</w:t>
      </w:r>
      <w:r>
        <w:rPr>
          <w:rFonts w:hint="eastAsia" w:ascii="楷体" w:hAnsi="楷体" w:eastAsia="楷体"/>
          <w:szCs w:val="21"/>
          <w:highlight w:val="none"/>
          <w:lang w:eastAsia="zh-CN"/>
        </w:rPr>
        <w:t xml:space="preserve">提供多元化服务，专业持证人员人数占服务人员人数比例不少于</w:t>
      </w:r>
      <w:r>
        <w:rPr>
          <w:rFonts w:hint="eastAsia" w:ascii="楷体" w:hAnsi="楷体" w:eastAsia="楷体"/>
          <w:szCs w:val="21"/>
          <w:highlight w:val="none"/>
          <w:lang w:val="en-US" w:eastAsia="zh-CN"/>
        </w:rPr>
        <w:t xml:space="preserve">3%，</w:t>
      </w:r>
      <w:r>
        <w:rPr>
          <w:rFonts w:hint="eastAsia" w:ascii="楷体" w:hAnsi="楷体" w:eastAsia="楷体"/>
          <w:szCs w:val="21"/>
          <w:highlight w:val="none"/>
          <w:lang w:eastAsia="zh-CN"/>
        </w:rPr>
        <w:t xml:space="preserve">每月专业服务类工单占总工单比例不少于</w:t>
      </w:r>
      <w:r>
        <w:rPr>
          <w:rFonts w:hint="eastAsia" w:ascii="楷体" w:hAnsi="楷体" w:eastAsia="楷体"/>
          <w:szCs w:val="21"/>
          <w:highlight w:val="none"/>
          <w:lang w:val="en-US" w:eastAsia="zh-CN"/>
        </w:rPr>
        <w:t xml:space="preserve">3%</w:t>
      </w:r>
      <w:r>
        <w:rPr>
          <w:rFonts w:hint="eastAsia" w:ascii="楷体" w:hAnsi="楷体" w:eastAsia="楷体"/>
          <w:szCs w:val="21"/>
          <w:highlight w:val="none"/>
        </w:rPr>
        <w:t xml:space="preserve">。</w:t>
      </w:r>
      <w:r/>
    </w:p>
    <w:p>
      <w:pPr>
        <w:ind w:firstLine="411"/>
        <w:keepLines w:val="0"/>
        <w:keepNext w:val="0"/>
        <w:pageBreakBefore w:val="0"/>
        <w:spacing w:beforeAutospacing="0" w:afterAutospacing="0" w:line="480" w:lineRule="exact"/>
        <w:rPr>
          <w:rFonts w:hint="eastAsia" w:ascii="楷体" w:hAnsi="楷体" w:eastAsia="楷体"/>
          <w:szCs w:val="21"/>
          <w:highlight w:val="none"/>
        </w:rPr>
      </w:pPr>
      <w:r>
        <w:rPr>
          <w:rFonts w:hint="eastAsia" w:ascii="楷体" w:hAnsi="楷体" w:eastAsia="楷体"/>
          <w:szCs w:val="21"/>
          <w:highlight w:val="none"/>
        </w:rPr>
        <w:t xml:space="preserve">③提升服务能力。</w:t>
      </w:r>
      <w:r>
        <w:rPr>
          <w:rFonts w:hint="eastAsia" w:ascii="楷体" w:hAnsi="楷体" w:eastAsia="楷体"/>
          <w:szCs w:val="21"/>
        </w:rPr>
        <w:t xml:space="preserve">对服务人员集中开展文明礼仪和业务技能的培训，</w:t>
      </w:r>
      <w:r>
        <w:rPr>
          <w:rFonts w:hint="eastAsia" w:ascii="楷体" w:hAnsi="楷体" w:eastAsia="楷体"/>
          <w:szCs w:val="21"/>
          <w:lang w:eastAsia="zh-CN"/>
        </w:rPr>
        <w:t xml:space="preserve">发放</w:t>
      </w:r>
      <w:r>
        <w:rPr>
          <w:rFonts w:hint="eastAsia" w:ascii="楷体" w:hAnsi="楷体" w:eastAsia="楷体"/>
          <w:szCs w:val="21"/>
        </w:rPr>
        <w:t xml:space="preserve">培训合格证书，培训不合格人员不得上岗，并要求</w:t>
      </w:r>
      <w:r>
        <w:rPr>
          <w:rFonts w:hint="eastAsia" w:ascii="楷体" w:hAnsi="楷体" w:eastAsia="楷体"/>
          <w:szCs w:val="21"/>
          <w:lang w:eastAsia="zh-CN"/>
        </w:rPr>
        <w:t xml:space="preserve">服务人员</w:t>
      </w:r>
      <w:r>
        <w:rPr>
          <w:rFonts w:hint="eastAsia" w:ascii="楷体" w:hAnsi="楷体" w:eastAsia="楷体"/>
          <w:szCs w:val="21"/>
        </w:rPr>
        <w:t xml:space="preserve">严格执行相关管理规定</w:t>
      </w:r>
      <w:r>
        <w:rPr>
          <w:rFonts w:hint="eastAsia" w:ascii="楷体" w:hAnsi="楷体" w:eastAsia="楷体"/>
          <w:szCs w:val="21"/>
          <w:lang w:eastAsia="zh-CN"/>
        </w:rPr>
        <w:t xml:space="preserve">，</w:t>
      </w:r>
      <w:r>
        <w:rPr>
          <w:rFonts w:hint="eastAsia" w:ascii="楷体" w:hAnsi="楷体" w:eastAsia="楷体"/>
          <w:szCs w:val="21"/>
        </w:rPr>
        <w:t xml:space="preserve">不断提高服务人员综合素质和服务形象。</w:t>
      </w:r>
      <w:r/>
    </w:p>
    <w:p>
      <w:pPr>
        <w:numPr>
          <w:ilvl w:val="0"/>
          <w:numId w:val="0"/>
        </w:numPr>
        <w:keepLines w:val="0"/>
        <w:keepNext w:val="0"/>
        <w:pageBreakBefore w:val="0"/>
        <w:spacing w:beforeAutospacing="0" w:afterAutospacing="0" w:line="480" w:lineRule="exact"/>
        <w:rPr>
          <w:rFonts w:hint="eastAsia" w:ascii="楷体" w:hAnsi="楷体" w:eastAsia="楷体"/>
          <w:szCs w:val="21"/>
          <w:highlight w:val="none"/>
          <w:lang w:val="en-US" w:eastAsia="zh-CN"/>
        </w:rPr>
      </w:pPr>
      <w:r>
        <w:rPr>
          <w:rFonts w:hint="eastAsia" w:ascii="楷体" w:hAnsi="楷体" w:eastAsia="楷体"/>
          <w:szCs w:val="21"/>
        </w:rPr>
        <w:t xml:space="preserve"> </w:t>
      </w:r>
      <w:r>
        <w:rPr>
          <w:rFonts w:hint="eastAsia" w:ascii="楷体" w:hAnsi="楷体" w:eastAsia="楷体"/>
          <w:szCs w:val="21"/>
          <w:lang w:val="en-US" w:eastAsia="zh-CN"/>
        </w:rPr>
        <w:t xml:space="preserve">    5</w:t>
      </w:r>
      <w:r>
        <w:rPr>
          <w:rFonts w:hint="eastAsia" w:ascii="楷体" w:hAnsi="楷体" w:eastAsia="楷体"/>
          <w:szCs w:val="21"/>
        </w:rPr>
        <w:t xml:space="preserve">、</w:t>
      </w:r>
      <w:r>
        <w:rPr>
          <w:rFonts w:hint="eastAsia" w:ascii="楷体" w:hAnsi="楷体" w:eastAsia="楷体"/>
          <w:szCs w:val="21"/>
          <w:highlight w:val="none"/>
          <w:lang w:val="en-US" w:eastAsia="zh-CN"/>
        </w:rPr>
        <w:t xml:space="preserve">人员要求：</w:t>
      </w:r>
      <w:r/>
    </w:p>
    <w:p>
      <w:pPr>
        <w:ind w:firstLine="411"/>
        <w:keepLines w:val="0"/>
        <w:keepNext w:val="0"/>
        <w:pageBreakBefore w:val="0"/>
        <w:spacing w:beforeAutospacing="0" w:afterAutospacing="0" w:line="480" w:lineRule="exact"/>
        <w:rPr>
          <w:rFonts w:hint="eastAsia" w:ascii="楷体" w:hAnsi="楷体" w:eastAsia="楷体"/>
          <w:szCs w:val="21"/>
          <w:highlight w:val="none"/>
        </w:rPr>
      </w:pPr>
      <w:r>
        <w:rPr>
          <w:rFonts w:hint="eastAsia" w:ascii="楷体" w:hAnsi="楷体" w:eastAsia="楷体"/>
          <w:szCs w:val="21"/>
          <w:highlight w:val="none"/>
        </w:rPr>
        <w:t xml:space="preserve">①</w:t>
      </w:r>
      <w:r>
        <w:rPr>
          <w:rFonts w:hint="eastAsia" w:ascii="华文楷体" w:hAnsi="华文楷体" w:eastAsia="华文楷体" w:cs="华文楷体"/>
          <w:i/>
          <w:iCs/>
          <w:sz w:val="21"/>
          <w:szCs w:val="21"/>
          <w:highlight w:val="none"/>
          <w:u w:val="single"/>
          <w:lang w:val="en-US" w:eastAsia="zh-CN"/>
        </w:rPr>
        <w:t xml:space="preserve">管理人员：中标供应商应设置专职项目经理、服务站站长等管理岗位，相关人员</w:t>
      </w:r>
      <w:r>
        <w:rPr>
          <w:rFonts w:hint="eastAsia" w:ascii="华文楷体" w:hAnsi="华文楷体" w:eastAsia="华文楷体" w:cs="华文楷体"/>
          <w:i/>
          <w:iCs/>
          <w:sz w:val="21"/>
          <w:szCs w:val="21"/>
          <w:highlight w:val="none"/>
          <w:u w:val="single"/>
          <w:lang w:val="en-US" w:eastAsia="zh-CN"/>
        </w:rPr>
        <w:t xml:space="preserve">年龄不超过60岁，均须持养老护理员等级证书或社工师证书，各岗位不得兼职。项目经理岗位要求具有从事管理相关工作经验，且每年驻留甲方所在地不少于200天。助老员超过20人的乡镇须设置专职站长，站长需每月至少对本乡镇所有助老员服务中工单进行两轮走访，通过服务记录仪记录全程，每人每次拍摄时间不得少于5分钟，并形成走访台账，入户期间着统一工作服。中标供应商应保持各岗位人员相对稳定，项目经理除采购方要求外禁止变动，站长和助老员变动须向甲方报备。采购方有权参加中标供应商组织的培训会议。（提供加盖公章的承诺函原件扫描上传）</w:t>
      </w:r>
      <w:r>
        <w:rPr>
          <w:rFonts w:hint="eastAsia" w:ascii="楷体" w:hAnsi="楷体" w:eastAsia="楷体"/>
          <w:szCs w:val="21"/>
          <w:highlight w:val="none"/>
        </w:rPr>
        <w:t xml:space="preserve">。</w:t>
      </w:r>
      <w:r/>
    </w:p>
    <w:p>
      <w:pPr>
        <w:ind w:firstLine="411"/>
        <w:keepLines w:val="0"/>
        <w:keepNext w:val="0"/>
        <w:pageBreakBefore w:val="0"/>
        <w:spacing w:beforeAutospacing="0" w:afterAutospacing="0" w:line="480" w:lineRule="exact"/>
        <w:rPr>
          <w:rFonts w:hint="eastAsia" w:ascii="楷体" w:hAnsi="楷体" w:eastAsia="楷体"/>
          <w:szCs w:val="21"/>
          <w:highlight w:val="none"/>
        </w:rPr>
      </w:pPr>
      <w:r>
        <w:rPr>
          <w:rFonts w:hint="eastAsia" w:ascii="楷体" w:hAnsi="楷体" w:eastAsia="楷体"/>
          <w:szCs w:val="21"/>
          <w:highlight w:val="none"/>
        </w:rPr>
        <w:t xml:space="preserve">②</w:t>
      </w:r>
      <w:r>
        <w:rPr>
          <w:rFonts w:hint="eastAsia" w:ascii="华文楷体" w:hAnsi="华文楷体" w:eastAsia="华文楷体" w:cs="华文楷体"/>
          <w:i w:val="0"/>
          <w:iCs w:val="0"/>
          <w:sz w:val="21"/>
          <w:szCs w:val="21"/>
          <w:highlight w:val="none"/>
          <w:u w:val="none"/>
          <w:lang w:val="en-US" w:eastAsia="zh-CN"/>
        </w:rPr>
        <w:t xml:space="preserve">服务人员：合同签订后一个月内，中标供应商负责组建覆盖服务范围的与服务相匹配的服务队伍，确保服务对象与中标人招录助老员比例≤110:1，队伍的男女性别比例应合理，并上交人员名单，名单中需注明岗位职责，如</w:t>
      </w:r>
      <w:r>
        <w:rPr>
          <w:rFonts w:hint="eastAsia" w:ascii="华文楷体" w:hAnsi="华文楷体" w:eastAsia="华文楷体" w:cs="华文楷体"/>
          <w:i w:val="0"/>
          <w:iCs w:val="0"/>
          <w:sz w:val="21"/>
          <w:szCs w:val="21"/>
          <w:u w:val="none"/>
          <w:lang w:val="en-US" w:eastAsia="zh-CN"/>
        </w:rPr>
        <w:t xml:space="preserve">社会工作师、养老护理师、护士、医生、药师、康复治疗师（康复医学治疗技术）、老年人能力评估师、健康管理师、公共营养师、电工维修人员、心理咨询师、法律工作者等，</w:t>
      </w:r>
      <w:r>
        <w:rPr>
          <w:rFonts w:hint="eastAsia" w:ascii="华文楷体" w:hAnsi="华文楷体" w:eastAsia="华文楷体" w:cs="华文楷体"/>
          <w:i w:val="0"/>
          <w:iCs w:val="0"/>
          <w:sz w:val="21"/>
          <w:szCs w:val="21"/>
          <w:highlight w:val="none"/>
          <w:u w:val="none"/>
          <w:lang w:val="en-US" w:eastAsia="zh-CN"/>
        </w:rPr>
        <w:t xml:space="preserve">所属人员均需应用于服务中，并遵从统一服务规范。</w:t>
      </w:r>
      <w:r>
        <w:rPr>
          <w:rFonts w:hint="eastAsia" w:ascii="华文楷体" w:hAnsi="华文楷体" w:eastAsia="华文楷体" w:cs="华文楷体"/>
          <w:i/>
          <w:iCs/>
          <w:sz w:val="21"/>
          <w:szCs w:val="21"/>
          <w:highlight w:val="none"/>
          <w:u w:val="single"/>
          <w:lang w:val="en-US" w:eastAsia="zh-CN"/>
        </w:rPr>
        <w:t xml:space="preserve">助老员年龄原则上不超过60周岁，最高不超过65周岁，且均需持有《健康证》、公安机关出具的《无犯罪记录证明函》、培训合格证，同时获得养老护理员等级证书助老员人员比例不低于70%，特殊情况需向甲方汇报。在未来可以根据采购方的需求随时拓展服务内容和服务量。（提供加盖公章的承诺函原件扫描上传）</w:t>
      </w:r>
      <w:r/>
    </w:p>
    <w:p>
      <w:pPr>
        <w:ind w:firstLine="411"/>
        <w:keepLines w:val="0"/>
        <w:keepNext w:val="0"/>
        <w:pageBreakBefore w:val="0"/>
        <w:spacing w:beforeAutospacing="0" w:afterAutospacing="0" w:line="480" w:lineRule="exact"/>
        <w:rPr>
          <w:rFonts w:hint="eastAsia" w:ascii="楷体" w:hAnsi="楷体" w:eastAsia="楷体"/>
          <w:szCs w:val="21"/>
          <w:highlight w:val="none"/>
        </w:rPr>
      </w:pPr>
      <w:r>
        <w:rPr>
          <w:rFonts w:hint="eastAsia" w:ascii="楷体" w:hAnsi="楷体" w:eastAsia="楷体"/>
          <w:szCs w:val="21"/>
          <w:highlight w:val="none"/>
        </w:rPr>
        <w:t xml:space="preserve">③服务能力</w:t>
      </w:r>
      <w:r>
        <w:rPr>
          <w:rFonts w:hint="eastAsia" w:ascii="楷体" w:hAnsi="楷体" w:eastAsia="楷体"/>
          <w:szCs w:val="21"/>
          <w:highlight w:val="none"/>
          <w:lang w:eastAsia="zh-CN"/>
        </w:rPr>
        <w:t xml:space="preserve">：</w:t>
      </w:r>
      <w:r>
        <w:rPr>
          <w:rFonts w:hint="eastAsia" w:ascii="华文楷体" w:hAnsi="华文楷体" w:eastAsia="华文楷体" w:cs="华文楷体"/>
          <w:sz w:val="21"/>
          <w:szCs w:val="21"/>
          <w:lang w:val="en-US" w:eastAsia="zh-CN"/>
        </w:rPr>
        <w:t xml:space="preserve">服务人员须经专业业务培训并熟练掌握专业的养老服务知识、方法和技能，如社会工作师、养老护理师、护士、医生、药师、康复治疗师（康复医学治疗技术）、老年人能力评估师、健康管理师、公共营养师、电工维修人员、心理咨询师、法律工作者等相关能力，队伍的男女性别比例应合理。确保每个助老员设备齐全</w:t>
      </w:r>
      <w:r>
        <w:rPr>
          <w:rFonts w:hint="eastAsia" w:ascii="华文楷体" w:hAnsi="华文楷体" w:eastAsia="华文楷体" w:cs="华文楷体"/>
          <w:sz w:val="21"/>
          <w:szCs w:val="21"/>
          <w:highlight w:val="none"/>
          <w:lang w:val="en-US" w:eastAsia="zh-CN"/>
        </w:rPr>
        <w:t xml:space="preserve">，配备价值不低于300元的服务工具包（含血压仪</w:t>
      </w:r>
      <w:r>
        <w:rPr>
          <w:rFonts w:hint="eastAsia" w:ascii="华文楷体" w:hAnsi="华文楷体" w:eastAsia="华文楷体" w:cs="华文楷体"/>
          <w:sz w:val="21"/>
          <w:szCs w:val="21"/>
          <w:lang w:val="en-US" w:eastAsia="zh-CN"/>
        </w:rPr>
        <w:t xml:space="preserve">、血糖仪、理发套装、剃须刀、电吹风、擦玻璃套装、手套、清洁球、毛巾、垃圾袋、酒精棉签等）。配备一定数量的服务记录仪用于涉及专业护理、人身风险及容易引起服务纠纷的服务（涉及服务对象隐私的除外）。</w:t>
      </w:r>
      <w:r/>
    </w:p>
    <w:p>
      <w:pPr>
        <w:numPr>
          <w:ilvl w:val="0"/>
          <w:numId w:val="0"/>
        </w:numPr>
        <w:ind w:firstLine="420"/>
        <w:jc w:val="both"/>
        <w:keepLines w:val="0"/>
        <w:keepNext w:val="0"/>
        <w:pageBreakBefore w:val="0"/>
        <w:spacing w:beforeAutospacing="0" w:afterAutospacing="0" w:line="480" w:lineRule="exact"/>
        <w:widowControl w:val="off"/>
        <w:rPr>
          <w:rFonts w:hint="eastAsia" w:ascii="楷体" w:hAnsi="楷体" w:eastAsia="楷体"/>
          <w:szCs w:val="21"/>
          <w:highlight w:val="none"/>
        </w:rPr>
      </w:pPr>
      <w:r>
        <w:rPr>
          <w:rFonts w:hint="eastAsia" w:ascii="楷体" w:hAnsi="楷体" w:eastAsia="楷体"/>
          <w:szCs w:val="21"/>
          <w:lang w:val="en-US" w:eastAsia="zh-CN"/>
        </w:rPr>
        <w:t xml:space="preserve"> 6</w:t>
      </w:r>
      <w:r>
        <w:rPr>
          <w:rFonts w:hint="eastAsia" w:ascii="楷体" w:hAnsi="楷体" w:eastAsia="楷体"/>
          <w:szCs w:val="21"/>
        </w:rPr>
        <w:t xml:space="preserve">、</w:t>
      </w:r>
      <w:r>
        <w:rPr>
          <w:rFonts w:hint="eastAsia" w:ascii="楷体" w:hAnsi="楷体" w:eastAsia="楷体"/>
          <w:szCs w:val="21"/>
          <w:highlight w:val="none"/>
          <w:lang w:val="en-US" w:eastAsia="zh-CN"/>
        </w:rPr>
        <w:t xml:space="preserve">管理要求：</w:t>
      </w:r>
      <w:r/>
    </w:p>
    <w:p>
      <w:pPr>
        <w:numPr>
          <w:ilvl w:val="0"/>
          <w:numId w:val="0"/>
        </w:numPr>
        <w:ind w:firstLine="420"/>
        <w:jc w:val="both"/>
        <w:keepLines w:val="0"/>
        <w:keepNext w:val="0"/>
        <w:pageBreakBefore w:val="0"/>
        <w:spacing w:beforeAutospacing="0" w:afterAutospacing="0" w:line="480" w:lineRule="exact"/>
        <w:widowControl w:val="off"/>
        <w:rPr>
          <w:rFonts w:hint="eastAsia" w:ascii="楷体" w:hAnsi="楷体" w:eastAsia="楷体"/>
          <w:szCs w:val="21"/>
        </w:rPr>
      </w:pPr>
      <w:r>
        <w:rPr>
          <w:rFonts w:hint="eastAsia" w:ascii="楷体" w:hAnsi="楷体" w:eastAsia="楷体"/>
          <w:szCs w:val="21"/>
          <w:highlight w:val="none"/>
        </w:rPr>
        <w:t xml:space="preserve">①</w:t>
      </w:r>
      <w:r>
        <w:rPr>
          <w:rFonts w:hint="eastAsia" w:ascii="华文楷体" w:hAnsi="华文楷体" w:eastAsia="华文楷体" w:cs="华文楷体"/>
          <w:i w:val="0"/>
          <w:iCs w:val="0"/>
          <w:sz w:val="21"/>
          <w:szCs w:val="21"/>
          <w:highlight w:val="none"/>
          <w:u w:val="none"/>
          <w:lang w:val="en-US" w:eastAsia="zh-CN"/>
        </w:rPr>
        <w:t xml:space="preserve">制度要求：中标供应商需根据本项目制定具有针对性的内部管理架构和各类规章制度，内部管理构架需完整针对性强，各类规章制度健全。中标人应建立人员岗位责任制度、人员聘用制度、培训制度、考核与奖惩制度、服务质量管理制度等相关制度。落实文明管理的措施，提供文明优质的服务。建立健全的档案管理制度：包括服务对象、服务项目、服务标准、服务时间、服务地点、服务人员等。</w:t>
      </w:r>
      <w:r/>
    </w:p>
    <w:p>
      <w:pPr>
        <w:ind w:firstLine="411"/>
        <w:keepLines w:val="0"/>
        <w:keepNext w:val="0"/>
        <w:pageBreakBefore w:val="0"/>
        <w:spacing w:beforeAutospacing="0" w:afterAutospacing="0" w:line="480" w:lineRule="exact"/>
        <w:rPr>
          <w:rFonts w:hint="eastAsia" w:ascii="华文楷体" w:hAnsi="华文楷体" w:eastAsia="华文楷体" w:cs="华文楷体"/>
          <w:i w:val="0"/>
          <w:iCs w:val="0"/>
          <w:sz w:val="21"/>
          <w:szCs w:val="21"/>
          <w:highlight w:val="none"/>
          <w:u w:val="none"/>
          <w:lang w:val="en-US" w:eastAsia="zh-CN"/>
        </w:rPr>
      </w:pPr>
      <w:r>
        <w:rPr>
          <w:rFonts w:hint="eastAsia" w:ascii="楷体" w:hAnsi="楷体" w:eastAsia="楷体"/>
          <w:szCs w:val="21"/>
          <w:highlight w:val="none"/>
        </w:rPr>
        <w:t xml:space="preserve">②</w:t>
      </w:r>
      <w:r>
        <w:rPr>
          <w:rFonts w:hint="eastAsia" w:ascii="华文楷体" w:hAnsi="华文楷体" w:eastAsia="华文楷体" w:cs="华文楷体"/>
          <w:i w:val="0"/>
          <w:iCs w:val="0"/>
          <w:sz w:val="21"/>
          <w:szCs w:val="21"/>
          <w:highlight w:val="none"/>
          <w:u w:val="none"/>
          <w:lang w:val="en-US" w:eastAsia="zh-CN"/>
        </w:rPr>
        <w:t xml:space="preserve">流程要求：中标供应商合同期内应对采购方提供的老人名单按要求和次数上门服务。服务人员上门服务前须与老人就服务时间和服务项目进行预约，预约服务工单比例原则上不低于总服务工单数的50%；每位助老员单日服务工单数不超过8单，每次服务时长不低于60分钟。服务时间以立春、立夏、立秋、立冬划分，春秋时段为7:00-19:00，夏令时为6:00-19:00，冬令时为7:00-18:00；服务工单签入与签出必须得到管理平台认可。</w:t>
      </w:r>
      <w:r/>
    </w:p>
    <w:p>
      <w:pPr>
        <w:ind w:firstLine="411"/>
        <w:keepLines w:val="0"/>
        <w:keepNext w:val="0"/>
        <w:pageBreakBefore w:val="0"/>
        <w:spacing w:beforeAutospacing="0" w:afterAutospacing="0" w:line="480" w:lineRule="exact"/>
        <w:rPr>
          <w:rFonts w:hint="eastAsia" w:ascii="华文楷体" w:hAnsi="华文楷体" w:eastAsia="华文楷体" w:cs="华文楷体"/>
          <w:i w:val="0"/>
          <w:iCs w:val="0"/>
          <w:sz w:val="21"/>
          <w:szCs w:val="21"/>
          <w:highlight w:val="none"/>
          <w:u w:val="none"/>
          <w:lang w:val="en-US" w:eastAsia="zh-CN"/>
        </w:rPr>
      </w:pPr>
      <w:r>
        <w:rPr>
          <w:rFonts w:hint="eastAsia" w:ascii="楷体" w:hAnsi="楷体" w:eastAsia="楷体"/>
          <w:szCs w:val="21"/>
          <w:highlight w:val="none"/>
        </w:rPr>
        <w:t xml:space="preserve">③</w:t>
      </w:r>
      <w:r>
        <w:rPr>
          <w:rFonts w:hint="eastAsia" w:ascii="华文楷体" w:hAnsi="华文楷体" w:eastAsia="华文楷体" w:cs="华文楷体"/>
          <w:i w:val="0"/>
          <w:iCs w:val="0"/>
          <w:sz w:val="21"/>
          <w:szCs w:val="21"/>
          <w:highlight w:val="none"/>
          <w:u w:val="none"/>
          <w:lang w:val="en-US" w:eastAsia="zh-CN"/>
        </w:rPr>
        <w:t xml:space="preserve">培训要求：中标供应商应针对本项目特点提供完善的人员培训计划及措施，如入职培训、岗前培训、文明礼仪及专业业务技能培训等，加强对员工的培训、管理，严格督导员工的行为规范，并要求员工严格执行采购人相关管理规定维护采购人整体形象，有效提高服务人员的综合素质，以达到符合采购单位管理要求。服务机构需结合项目需求及老人的不同需求，对相关服务人员提供有针对性的培训方案。每季度至少1次组织服务人员就相关知识、职业技能、政策法规等进行培训，每次培训不少于2小时。培训内容包含如下：</w:t>
      </w:r>
      <w:r/>
    </w:p>
    <w:p>
      <w:pPr>
        <w:ind w:firstLine="411"/>
        <w:keepLines w:val="0"/>
        <w:keepNext w:val="0"/>
        <w:pageBreakBefore w:val="0"/>
        <w:spacing w:beforeAutospacing="0" w:afterAutospacing="0" w:line="480" w:lineRule="exact"/>
        <w:rPr>
          <w:rFonts w:hint="eastAsia" w:ascii="华文楷体" w:hAnsi="华文楷体" w:eastAsia="华文楷体" w:cs="华文楷体"/>
          <w:i w:val="0"/>
          <w:iCs w:val="0"/>
          <w:sz w:val="21"/>
          <w:szCs w:val="21"/>
          <w:highlight w:val="none"/>
          <w:u w:val="none"/>
          <w:lang w:val="en-US" w:eastAsia="zh-CN"/>
        </w:rPr>
      </w:pPr>
      <w:r>
        <w:rPr>
          <w:rFonts w:hint="eastAsia" w:ascii="华文楷体" w:hAnsi="华文楷体" w:eastAsia="华文楷体" w:cs="华文楷体"/>
          <w:i w:val="0"/>
          <w:iCs w:val="0"/>
          <w:sz w:val="21"/>
          <w:szCs w:val="21"/>
          <w:highlight w:val="none"/>
          <w:u w:val="none"/>
          <w:lang w:val="en-US" w:eastAsia="zh-CN"/>
        </w:rPr>
        <w:t xml:space="preserve">1）职业道德：包括传统孝道、正确养老观、服务人员职业道德、职业行规规范等。</w:t>
      </w:r>
      <w:r/>
    </w:p>
    <w:p>
      <w:pPr>
        <w:ind w:firstLine="411"/>
        <w:keepLines w:val="0"/>
        <w:keepNext w:val="0"/>
        <w:pageBreakBefore w:val="0"/>
        <w:spacing w:beforeAutospacing="0" w:afterAutospacing="0" w:line="480" w:lineRule="exact"/>
        <w:rPr>
          <w:rFonts w:hint="eastAsia" w:ascii="华文楷体" w:hAnsi="华文楷体" w:eastAsia="华文楷体" w:cs="华文楷体"/>
          <w:i w:val="0"/>
          <w:iCs w:val="0"/>
          <w:sz w:val="21"/>
          <w:szCs w:val="21"/>
          <w:highlight w:val="none"/>
          <w:u w:val="none"/>
          <w:lang w:val="en-US" w:eastAsia="zh-CN"/>
        </w:rPr>
      </w:pPr>
      <w:r>
        <w:rPr>
          <w:rFonts w:hint="eastAsia" w:ascii="华文楷体" w:hAnsi="华文楷体" w:eastAsia="华文楷体" w:cs="华文楷体"/>
          <w:i w:val="0"/>
          <w:iCs w:val="0"/>
          <w:sz w:val="21"/>
          <w:szCs w:val="21"/>
          <w:highlight w:val="none"/>
          <w:u w:val="none"/>
          <w:lang w:val="en-US" w:eastAsia="zh-CN"/>
        </w:rPr>
        <w:t xml:space="preserve">2）政策法规：国家及各级政府发布的养老事业发展规划、老年权益保障法、老年优待政策、居家养老服务政策、服务人员培训政策等。</w:t>
      </w:r>
      <w:r/>
    </w:p>
    <w:p>
      <w:pPr>
        <w:ind w:firstLine="411"/>
        <w:keepLines w:val="0"/>
        <w:keepNext w:val="0"/>
        <w:pageBreakBefore w:val="0"/>
        <w:spacing w:beforeAutospacing="0" w:afterAutospacing="0" w:line="480" w:lineRule="exact"/>
        <w:rPr>
          <w:rFonts w:hint="eastAsia" w:ascii="华文楷体" w:hAnsi="华文楷体" w:eastAsia="华文楷体" w:cs="华文楷体"/>
          <w:i w:val="0"/>
          <w:iCs w:val="0"/>
          <w:sz w:val="21"/>
          <w:szCs w:val="21"/>
          <w:highlight w:val="none"/>
          <w:u w:val="none"/>
          <w:lang w:val="en-US" w:eastAsia="zh-CN"/>
        </w:rPr>
      </w:pPr>
      <w:r>
        <w:rPr>
          <w:rFonts w:hint="eastAsia" w:ascii="华文楷体" w:hAnsi="华文楷体" w:eastAsia="华文楷体" w:cs="华文楷体"/>
          <w:i w:val="0"/>
          <w:iCs w:val="0"/>
          <w:sz w:val="21"/>
          <w:szCs w:val="21"/>
          <w:highlight w:val="none"/>
          <w:u w:val="none"/>
          <w:lang w:val="en-US" w:eastAsia="zh-CN"/>
        </w:rPr>
        <w:t xml:space="preserve">3）专业知识：居家养老服务模式、工作职责、服务内容、服务流程、服务基本规范及相关管理制度等。</w:t>
      </w:r>
      <w:r/>
    </w:p>
    <w:p>
      <w:pPr>
        <w:ind w:firstLine="411"/>
        <w:keepLines w:val="0"/>
        <w:keepNext w:val="0"/>
        <w:pageBreakBefore w:val="0"/>
        <w:spacing w:beforeAutospacing="0" w:afterAutospacing="0" w:line="480" w:lineRule="exact"/>
        <w:rPr>
          <w:rFonts w:hint="eastAsia" w:ascii="华文楷体" w:hAnsi="华文楷体" w:eastAsia="华文楷体" w:cs="华文楷体"/>
          <w:i w:val="0"/>
          <w:iCs w:val="0"/>
          <w:sz w:val="21"/>
          <w:szCs w:val="21"/>
          <w:highlight w:val="none"/>
          <w:u w:val="none"/>
          <w:lang w:val="en-US" w:eastAsia="zh-CN"/>
        </w:rPr>
      </w:pPr>
      <w:r>
        <w:rPr>
          <w:rFonts w:hint="eastAsia" w:ascii="华文楷体" w:hAnsi="华文楷体" w:eastAsia="华文楷体" w:cs="华文楷体"/>
          <w:i w:val="0"/>
          <w:iCs w:val="0"/>
          <w:sz w:val="21"/>
          <w:szCs w:val="21"/>
          <w:highlight w:val="none"/>
          <w:u w:val="none"/>
          <w:lang w:val="en-US" w:eastAsia="zh-CN"/>
        </w:rPr>
        <w:t xml:space="preserve">4）职业技能：老年人饮食照料、身体清洁照料、常见病预防及护理、突发疾病急救措施等。</w:t>
      </w:r>
      <w:r/>
    </w:p>
    <w:p>
      <w:pPr>
        <w:ind w:firstLine="411"/>
        <w:keepLines w:val="0"/>
        <w:keepNext w:val="0"/>
        <w:pageBreakBefore w:val="0"/>
        <w:spacing w:beforeAutospacing="0" w:afterAutospacing="0" w:line="480" w:lineRule="exact"/>
        <w:rPr>
          <w:rFonts w:hint="eastAsia" w:ascii="华文楷体" w:hAnsi="华文楷体" w:eastAsia="华文楷体" w:cs="华文楷体"/>
          <w:i w:val="0"/>
          <w:iCs w:val="0"/>
          <w:sz w:val="21"/>
          <w:szCs w:val="21"/>
          <w:highlight w:val="none"/>
          <w:u w:val="none"/>
          <w:lang w:val="en-US" w:eastAsia="zh-CN"/>
        </w:rPr>
      </w:pPr>
      <w:r>
        <w:rPr>
          <w:rFonts w:hint="eastAsia" w:ascii="华文楷体" w:hAnsi="华文楷体" w:eastAsia="华文楷体" w:cs="华文楷体"/>
          <w:i w:val="0"/>
          <w:iCs w:val="0"/>
          <w:sz w:val="21"/>
          <w:szCs w:val="21"/>
          <w:highlight w:val="none"/>
          <w:u w:val="none"/>
          <w:lang w:val="en-US" w:eastAsia="zh-CN"/>
        </w:rPr>
        <w:t xml:space="preserve">5）安全知识：安全常识、防护常识、突发自然灾害及火灾时的应对措施及逃生办法等。</w:t>
      </w:r>
      <w:r/>
    </w:p>
    <w:p>
      <w:pPr>
        <w:numPr>
          <w:ilvl w:val="0"/>
          <w:numId w:val="0"/>
        </w:numPr>
        <w:ind w:firstLine="420"/>
        <w:keepLines w:val="0"/>
        <w:keepNext w:val="0"/>
        <w:pageBreakBefore w:val="0"/>
        <w:spacing w:beforeAutospacing="0" w:afterAutospacing="0" w:line="480" w:lineRule="exact"/>
        <w:rPr>
          <w:rFonts w:hint="eastAsia" w:ascii="楷体" w:hAnsi="楷体" w:eastAsia="楷体"/>
          <w:i/>
          <w:iCs/>
          <w:szCs w:val="21"/>
          <w:highlight w:val="none"/>
          <w:u w:val="single"/>
          <w:lang w:eastAsia="zh-CN"/>
        </w:rPr>
      </w:pPr>
      <w:r>
        <w:rPr>
          <w:rFonts w:hint="eastAsia" w:ascii="楷体" w:hAnsi="楷体" w:eastAsia="楷体"/>
          <w:szCs w:val="21"/>
          <w:highlight w:val="none"/>
          <w:lang w:eastAsia="zh-CN"/>
        </w:rPr>
        <w:t xml:space="preserve">④</w:t>
      </w:r>
      <w:r>
        <w:rPr>
          <w:rFonts w:hint="eastAsia" w:ascii="楷体" w:hAnsi="楷体" w:eastAsia="楷体"/>
          <w:i/>
          <w:iCs/>
          <w:szCs w:val="21"/>
          <w:highlight w:val="none"/>
          <w:u w:val="single"/>
          <w:lang w:eastAsia="zh-CN"/>
        </w:rPr>
        <w:t xml:space="preserve">日常管理：中标供应商应根据采购人的要求及服务需求，及时更换不能胜任工作的工作人员；自行负责处理合同服务期内所有劳资纠纷和调解管理纠纷。服务机构应落实采购人根据规章制度和工作需要提出的其他管理要求，并向采购人提供相关证明材料或方案。（提供加盖公章的承诺函原件</w:t>
      </w:r>
      <w:r>
        <w:rPr>
          <w:rFonts w:hint="eastAsia" w:ascii="华文楷体" w:hAnsi="华文楷体" w:eastAsia="华文楷体" w:cs="华文楷体"/>
          <w:i/>
          <w:iCs/>
          <w:sz w:val="21"/>
          <w:szCs w:val="21"/>
          <w:highlight w:val="none"/>
          <w:u w:val="single"/>
          <w:lang w:val="en-US" w:eastAsia="zh-CN"/>
        </w:rPr>
        <w:t xml:space="preserve">扫描上传</w:t>
      </w:r>
      <w:r>
        <w:rPr>
          <w:rFonts w:hint="eastAsia" w:ascii="楷体" w:hAnsi="楷体" w:eastAsia="楷体"/>
          <w:i/>
          <w:iCs/>
          <w:szCs w:val="21"/>
          <w:highlight w:val="none"/>
          <w:u w:val="single"/>
          <w:lang w:eastAsia="zh-CN"/>
        </w:rPr>
        <w:t xml:space="preserve">）</w:t>
      </w:r>
      <w:r/>
    </w:p>
    <w:p>
      <w:pPr>
        <w:numPr>
          <w:ilvl w:val="0"/>
          <w:numId w:val="0"/>
        </w:numPr>
        <w:ind w:firstLine="420"/>
        <w:keepLines w:val="0"/>
        <w:keepNext w:val="0"/>
        <w:pageBreakBefore w:val="0"/>
        <w:spacing w:beforeAutospacing="0" w:afterAutospacing="0" w:line="480" w:lineRule="exact"/>
        <w:rPr>
          <w:rFonts w:hint="eastAsia" w:ascii="楷体" w:hAnsi="楷体" w:eastAsia="楷体"/>
          <w:i/>
          <w:iCs/>
          <w:szCs w:val="21"/>
          <w:highlight w:val="none"/>
          <w:u w:val="single"/>
          <w:lang w:val="en-US" w:eastAsia="zh-CN"/>
        </w:rPr>
      </w:pPr>
      <w:r>
        <w:rPr>
          <w:rFonts w:hint="eastAsia" w:ascii="楷体" w:hAnsi="楷体" w:eastAsia="楷体"/>
          <w:i/>
          <w:iCs/>
          <w:szCs w:val="21"/>
          <w:highlight w:val="none"/>
          <w:u w:val="single"/>
          <w:lang w:val="en-US" w:eastAsia="zh-CN"/>
        </w:rPr>
        <w:t xml:space="preserve">⑤用工要求：中标供应商必须依法规范用工，符合规定条件的人员须签订合同。同时须为员工购买相关保险，并负责办理保险的理赔手续和发放保险金，并向采购人提供相关证明材料备案。服务机构须及时足额发放所有一线助老员工资，发放方式须为打卡发放，且一线助老员总工资占工单费用比例不低于75%（提供加盖公章的承诺函原件</w:t>
      </w:r>
      <w:r>
        <w:rPr>
          <w:rFonts w:hint="eastAsia" w:ascii="华文楷体" w:hAnsi="华文楷体" w:eastAsia="华文楷体" w:cs="华文楷体"/>
          <w:i/>
          <w:iCs/>
          <w:sz w:val="21"/>
          <w:szCs w:val="21"/>
          <w:highlight w:val="none"/>
          <w:u w:val="single"/>
          <w:lang w:val="en-US" w:eastAsia="zh-CN"/>
        </w:rPr>
        <w:t xml:space="preserve">扫描上传</w:t>
      </w:r>
      <w:r>
        <w:rPr>
          <w:rFonts w:hint="eastAsia" w:ascii="楷体" w:hAnsi="楷体" w:eastAsia="楷体"/>
          <w:i/>
          <w:iCs/>
          <w:szCs w:val="21"/>
          <w:highlight w:val="none"/>
          <w:u w:val="single"/>
          <w:lang w:val="en-US" w:eastAsia="zh-CN"/>
        </w:rPr>
        <w:t xml:space="preserve">）</w:t>
      </w:r>
      <w:r/>
    </w:p>
    <w:p>
      <w:pPr>
        <w:numPr>
          <w:ilvl w:val="0"/>
          <w:numId w:val="0"/>
        </w:numPr>
        <w:ind w:firstLine="420"/>
        <w:keepLines w:val="0"/>
        <w:keepNext w:val="0"/>
        <w:pageBreakBefore w:val="0"/>
        <w:spacing w:beforeAutospacing="0" w:afterAutospacing="0" w:line="480" w:lineRule="exact"/>
        <w:rPr>
          <w:rFonts w:hint="eastAsia" w:ascii="楷体" w:hAnsi="楷体" w:eastAsia="楷体"/>
          <w:i/>
          <w:iCs/>
          <w:szCs w:val="21"/>
          <w:highlight w:val="none"/>
          <w:u w:val="single"/>
          <w:lang w:val="en-US" w:eastAsia="zh-CN"/>
        </w:rPr>
      </w:pPr>
      <w:r>
        <w:rPr>
          <w:rFonts w:hint="eastAsia" w:ascii="楷体" w:hAnsi="楷体" w:eastAsia="楷体"/>
          <w:i/>
          <w:iCs/>
          <w:szCs w:val="21"/>
          <w:highlight w:val="none"/>
          <w:u w:val="single"/>
          <w:lang w:val="en-US" w:eastAsia="zh-CN"/>
        </w:rPr>
        <w:t xml:space="preserve">⑥应急和安全保障措施：中标供应商在服务过程中遇到老人突发昏倒、摔倒等紧急情况下有较好的应变能力，及时拨打120急救电话并通知医疗团队，保留现场的录音、照片或视频等证据作为必要的物证资料。（提供加盖公章的承诺函原件</w:t>
      </w:r>
      <w:r>
        <w:rPr>
          <w:rFonts w:hint="eastAsia" w:ascii="华文楷体" w:hAnsi="华文楷体" w:eastAsia="华文楷体" w:cs="华文楷体"/>
          <w:i/>
          <w:iCs/>
          <w:sz w:val="21"/>
          <w:szCs w:val="21"/>
          <w:highlight w:val="none"/>
          <w:u w:val="single"/>
          <w:lang w:val="en-US" w:eastAsia="zh-CN"/>
        </w:rPr>
        <w:t xml:space="preserve">扫描上传</w:t>
      </w:r>
      <w:r>
        <w:rPr>
          <w:rFonts w:hint="eastAsia" w:ascii="楷体" w:hAnsi="楷体" w:eastAsia="楷体"/>
          <w:i/>
          <w:iCs/>
          <w:szCs w:val="21"/>
          <w:highlight w:val="none"/>
          <w:u w:val="single"/>
          <w:lang w:val="en-US" w:eastAsia="zh-CN"/>
        </w:rPr>
        <w:t xml:space="preserve">）</w:t>
      </w:r>
      <w:r/>
    </w:p>
    <w:p>
      <w:pPr>
        <w:ind w:firstLine="206"/>
        <w:keepLines w:val="0"/>
        <w:keepNext w:val="0"/>
        <w:pageBreakBefore w:val="0"/>
        <w:spacing w:line="360" w:lineRule="auto"/>
        <w:rPr>
          <w:rFonts w:hint="eastAsia" w:ascii="华文楷体" w:hAnsi="华文楷体" w:eastAsia="华文楷体" w:cs="华文楷体"/>
          <w:b/>
          <w:bCs/>
          <w:sz w:val="21"/>
          <w:szCs w:val="21"/>
          <w:lang w:val="en-US" w:eastAsia="zh-CN"/>
        </w:rPr>
      </w:pPr>
      <w:r>
        <w:rPr>
          <w:rFonts w:hint="eastAsia" w:ascii="华文楷体" w:hAnsi="华文楷体" w:eastAsia="华文楷体" w:cs="华文楷体"/>
          <w:b/>
          <w:bCs/>
          <w:sz w:val="21"/>
          <w:szCs w:val="21"/>
          <w:lang w:val="en-US" w:eastAsia="zh-CN"/>
        </w:rPr>
        <w:t xml:space="preserve">五、服务机构要求</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i/>
          <w:iCs/>
          <w:sz w:val="21"/>
          <w:szCs w:val="21"/>
          <w:highlight w:val="none"/>
          <w:u w:val="single"/>
          <w:lang w:val="en-US" w:eastAsia="zh-CN"/>
        </w:rPr>
        <w:suppressLineNumbers w:val="0"/>
      </w:pPr>
      <w:r>
        <w:rPr>
          <w:rFonts w:hint="eastAsia" w:ascii="华文楷体" w:hAnsi="华文楷体" w:eastAsia="华文楷体" w:cs="华文楷体"/>
          <w:sz w:val="21"/>
          <w:szCs w:val="21"/>
          <w:highlight w:val="none"/>
          <w:lang w:val="en-US" w:eastAsia="zh-CN"/>
        </w:rPr>
        <w:t xml:space="preserve">（1）</w:t>
      </w:r>
      <w:r>
        <w:rPr>
          <w:rFonts w:hint="eastAsia" w:ascii="华文楷体" w:hAnsi="华文楷体" w:eastAsia="华文楷体" w:cs="华文楷体"/>
          <w:i/>
          <w:iCs/>
          <w:sz w:val="21"/>
          <w:szCs w:val="21"/>
          <w:highlight w:val="none"/>
          <w:u w:val="single"/>
          <w:lang w:val="en-US" w:eastAsia="zh-CN"/>
        </w:rPr>
        <w:t xml:space="preserve">机构</w:t>
      </w:r>
      <w:r>
        <w:rPr>
          <w:rFonts w:hint="eastAsia" w:ascii="华文楷体" w:hAnsi="华文楷体" w:eastAsia="华文楷体" w:cs="华文楷体"/>
          <w:i/>
          <w:iCs/>
          <w:color w:val="auto"/>
          <w:sz w:val="21"/>
          <w:szCs w:val="21"/>
          <w:highlight w:val="none"/>
          <w:u w:val="single"/>
          <w:lang w:val="en-US" w:eastAsia="zh-CN"/>
        </w:rPr>
        <w:t xml:space="preserve">场所设置及基本要求：服务机构应配备固定办公场所，组建专业的服务运营团队，将人员名单报与采购方，并依据采购方提供的服务对象名单开展服务。</w:t>
      </w:r>
      <w:r>
        <w:rPr>
          <w:rFonts w:hint="eastAsia" w:ascii="华文楷体" w:hAnsi="华文楷体" w:eastAsia="华文楷体" w:cs="华文楷体"/>
          <w:i/>
          <w:iCs/>
          <w:sz w:val="21"/>
          <w:szCs w:val="21"/>
          <w:highlight w:val="none"/>
          <w:u w:val="single"/>
          <w:lang w:val="en-US" w:eastAsia="zh-CN"/>
        </w:rPr>
        <w:t xml:space="preserve">（提供加盖公章的承诺函原件扫描上传）</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bCs/>
          <w:color w:val="auto"/>
          <w:sz w:val="21"/>
          <w:szCs w:val="21"/>
          <w:lang w:val="en-US" w:eastAsia="zh-CN"/>
        </w:rPr>
        <w:suppressLineNumbers w:val="0"/>
      </w:pPr>
      <w:r>
        <w:rPr>
          <w:rFonts w:hint="eastAsia" w:ascii="华文楷体" w:hAnsi="华文楷体" w:eastAsia="华文楷体" w:cs="华文楷体"/>
          <w:sz w:val="21"/>
          <w:szCs w:val="21"/>
          <w:lang w:val="en-US" w:eastAsia="zh-CN"/>
        </w:rPr>
        <w:t xml:space="preserve">（2）采购人除服务费用之外不再承担其它任何费用，</w:t>
      </w:r>
      <w:r>
        <w:rPr>
          <w:rFonts w:hint="eastAsia" w:ascii="华文楷体" w:hAnsi="华文楷体" w:eastAsia="华文楷体" w:cs="华文楷体"/>
          <w:bCs/>
          <w:color w:val="000000"/>
          <w:sz w:val="21"/>
          <w:szCs w:val="21"/>
          <w:lang w:val="en-US" w:eastAsia="zh-CN"/>
        </w:rPr>
        <w:t xml:space="preserve">不仅限于人员费用（工资、福利、培训、社会</w:t>
      </w:r>
      <w:r>
        <w:rPr>
          <w:rFonts w:hint="eastAsia" w:ascii="华文楷体" w:hAnsi="华文楷体" w:eastAsia="华文楷体" w:cs="华文楷体"/>
          <w:bCs/>
          <w:color w:val="auto"/>
          <w:sz w:val="21"/>
          <w:szCs w:val="21"/>
          <w:lang w:val="en-US" w:eastAsia="zh-CN"/>
        </w:rPr>
        <w:t xml:space="preserve">保险等）、服务所用设备工具购置及维修费用、服务所用材料消耗费用、管理费用、利润、税金、政策性文件规定及合同包含的所有风险、责任等各项应有费用。</w:t>
      </w:r>
      <w:r/>
    </w:p>
    <w:p>
      <w:pPr>
        <w:ind w:firstLine="411"/>
        <w:keepLines w:val="0"/>
        <w:keepNext w:val="0"/>
        <w:pageBreakBefore w:val="0"/>
        <w:spacing w:beforeAutospacing="0" w:afterAutospacing="0" w:line="480" w:lineRule="exact"/>
        <w:rPr>
          <w:rFonts w:hint="eastAsia" w:ascii="楷体" w:hAnsi="楷体" w:eastAsia="楷体"/>
          <w:i/>
          <w:szCs w:val="21"/>
          <w:u w:val="single"/>
        </w:rPr>
      </w:pPr>
      <w:r>
        <w:rPr>
          <w:rFonts w:hint="eastAsia" w:ascii="华文楷体" w:hAnsi="华文楷体" w:eastAsia="华文楷体" w:cs="华文楷体"/>
          <w:color w:val="auto"/>
          <w:sz w:val="21"/>
          <w:szCs w:val="21"/>
          <w:lang w:val="en-US" w:eastAsia="zh-CN"/>
        </w:rPr>
        <w:t xml:space="preserve">（3）</w:t>
      </w:r>
      <w:r>
        <w:rPr>
          <w:rFonts w:hint="eastAsia" w:ascii="楷体" w:hAnsi="楷体" w:eastAsia="楷体"/>
          <w:i/>
          <w:szCs w:val="21"/>
          <w:u w:val="single"/>
          <w:lang w:eastAsia="zh-CN"/>
        </w:rPr>
        <w:t xml:space="preserve">中标供应商</w:t>
      </w:r>
      <w:r>
        <w:rPr>
          <w:rFonts w:hint="eastAsia" w:ascii="楷体" w:hAnsi="楷体" w:eastAsia="楷体"/>
          <w:i/>
          <w:szCs w:val="21"/>
          <w:u w:val="single"/>
        </w:rPr>
        <w:t xml:space="preserve">违反国家相关法规，与聘用人员发生纠纷，均由</w:t>
      </w:r>
      <w:r>
        <w:rPr>
          <w:rFonts w:hint="eastAsia" w:ascii="楷体" w:hAnsi="楷体" w:eastAsia="楷体"/>
          <w:i/>
          <w:szCs w:val="21"/>
          <w:u w:val="single"/>
          <w:lang w:eastAsia="zh-CN"/>
        </w:rPr>
        <w:t xml:space="preserve">服务机构</w:t>
      </w:r>
      <w:r>
        <w:rPr>
          <w:rFonts w:hint="eastAsia" w:ascii="楷体" w:hAnsi="楷体" w:eastAsia="楷体"/>
          <w:i/>
          <w:szCs w:val="21"/>
          <w:u w:val="single"/>
        </w:rPr>
        <w:t xml:space="preserve">负责调解与处理，采购单位不承担责任。</w:t>
      </w:r>
      <w:r>
        <w:rPr>
          <w:rFonts w:hint="eastAsia" w:ascii="楷体" w:hAnsi="楷体" w:eastAsia="楷体"/>
          <w:i/>
          <w:szCs w:val="21"/>
          <w:u w:val="single"/>
          <w:lang w:eastAsia="zh-CN"/>
        </w:rPr>
        <w:t xml:space="preserve">中标供应商</w:t>
      </w:r>
      <w:r>
        <w:rPr>
          <w:rFonts w:hint="eastAsia" w:ascii="楷体" w:hAnsi="楷体" w:eastAsia="楷体"/>
          <w:i/>
          <w:szCs w:val="21"/>
          <w:u w:val="single"/>
        </w:rPr>
        <w:t xml:space="preserve">聘用人员在岗履行工作职责期间发生的聘用人员人身伤害、伤亡，均由</w:t>
      </w:r>
      <w:r>
        <w:rPr>
          <w:rFonts w:hint="eastAsia" w:ascii="楷体" w:hAnsi="楷体" w:eastAsia="楷体"/>
          <w:i/>
          <w:szCs w:val="21"/>
          <w:u w:val="single"/>
          <w:lang w:eastAsia="zh-CN"/>
        </w:rPr>
        <w:t xml:space="preserve">服务机构</w:t>
      </w:r>
      <w:r>
        <w:rPr>
          <w:rFonts w:hint="eastAsia" w:ascii="楷体" w:hAnsi="楷体" w:eastAsia="楷体"/>
          <w:i/>
          <w:szCs w:val="21"/>
          <w:u w:val="single"/>
        </w:rPr>
        <w:t xml:space="preserve">负责处理并承担经济和道义上的责任，采购单位不承担任何责任。因</w:t>
      </w:r>
      <w:r>
        <w:rPr>
          <w:rFonts w:hint="eastAsia" w:ascii="楷体" w:hAnsi="楷体" w:eastAsia="楷体"/>
          <w:i/>
          <w:szCs w:val="21"/>
          <w:u w:val="single"/>
          <w:lang w:eastAsia="zh-CN"/>
        </w:rPr>
        <w:t xml:space="preserve">中标供应商</w:t>
      </w:r>
      <w:r>
        <w:rPr>
          <w:rFonts w:hint="eastAsia" w:ascii="楷体" w:hAnsi="楷体" w:eastAsia="楷体"/>
          <w:i/>
          <w:szCs w:val="21"/>
          <w:u w:val="single"/>
        </w:rPr>
        <w:t xml:space="preserve">原因或工作人员工作失职或故意行为或违法犯罪行为造成采购方声誉影响或经济损失的，</w:t>
      </w:r>
      <w:r>
        <w:rPr>
          <w:rFonts w:hint="eastAsia" w:ascii="楷体" w:hAnsi="楷体" w:eastAsia="楷体"/>
          <w:i/>
          <w:szCs w:val="21"/>
          <w:u w:val="single"/>
          <w:lang w:eastAsia="zh-CN"/>
        </w:rPr>
        <w:t xml:space="preserve">中标供应商构</w:t>
      </w:r>
      <w:r>
        <w:rPr>
          <w:rFonts w:hint="eastAsia" w:ascii="楷体" w:hAnsi="楷体" w:eastAsia="楷体"/>
          <w:i/>
          <w:szCs w:val="21"/>
          <w:u w:val="single"/>
        </w:rPr>
        <w:t xml:space="preserve">应根据公安机关的立案调查结果或法院判决，承担相应的赔偿责任；因</w:t>
      </w:r>
      <w:r>
        <w:rPr>
          <w:rFonts w:hint="eastAsia" w:ascii="楷体" w:hAnsi="楷体" w:eastAsia="楷体"/>
          <w:i/>
          <w:szCs w:val="21"/>
          <w:u w:val="single"/>
          <w:lang w:eastAsia="zh-CN"/>
        </w:rPr>
        <w:t xml:space="preserve">中标供应商</w:t>
      </w:r>
      <w:r>
        <w:rPr>
          <w:rFonts w:hint="eastAsia" w:ascii="楷体" w:hAnsi="楷体" w:eastAsia="楷体"/>
          <w:i/>
          <w:szCs w:val="21"/>
          <w:u w:val="single"/>
        </w:rPr>
        <w:t xml:space="preserve">自身原因所引发的一切纠纷，由</w:t>
      </w:r>
      <w:r>
        <w:rPr>
          <w:rFonts w:hint="eastAsia" w:ascii="楷体" w:hAnsi="楷体" w:eastAsia="楷体"/>
          <w:i/>
          <w:szCs w:val="21"/>
          <w:u w:val="single"/>
          <w:lang w:eastAsia="zh-CN"/>
        </w:rPr>
        <w:t xml:space="preserve">中标供应商</w:t>
      </w:r>
      <w:r>
        <w:rPr>
          <w:rFonts w:hint="eastAsia" w:ascii="楷体" w:hAnsi="楷体" w:eastAsia="楷体"/>
          <w:i/>
          <w:szCs w:val="21"/>
          <w:u w:val="single"/>
        </w:rPr>
        <w:t xml:space="preserve">负全责；工作人员在非工作时间内发生的人身意外或其他纠纷，由</w:t>
      </w:r>
      <w:r>
        <w:rPr>
          <w:rFonts w:hint="eastAsia" w:ascii="楷体" w:hAnsi="楷体" w:eastAsia="楷体"/>
          <w:i/>
          <w:szCs w:val="21"/>
          <w:u w:val="single"/>
          <w:lang w:eastAsia="zh-CN"/>
        </w:rPr>
        <w:t xml:space="preserve">中标供应商</w:t>
      </w:r>
      <w:r>
        <w:rPr>
          <w:rFonts w:hint="eastAsia" w:ascii="楷体" w:hAnsi="楷体" w:eastAsia="楷体"/>
          <w:i/>
          <w:szCs w:val="21"/>
          <w:u w:val="single"/>
        </w:rPr>
        <w:t xml:space="preserve">负责处理。如</w:t>
      </w:r>
      <w:r>
        <w:rPr>
          <w:rFonts w:hint="eastAsia" w:ascii="楷体" w:hAnsi="楷体" w:eastAsia="楷体"/>
          <w:i/>
          <w:szCs w:val="21"/>
          <w:u w:val="single"/>
          <w:lang w:eastAsia="zh-CN"/>
        </w:rPr>
        <w:t xml:space="preserve">中标供应商</w:t>
      </w:r>
      <w:r>
        <w:rPr>
          <w:rFonts w:hint="eastAsia" w:ascii="楷体" w:hAnsi="楷体" w:eastAsia="楷体"/>
          <w:i/>
          <w:szCs w:val="21"/>
          <w:u w:val="single"/>
        </w:rPr>
        <w:t xml:space="preserve">挪用工作人员工资和其他薪酬、社会保险和商业保险投保费用，除承担由此引发的一切法律责任外，采购人有权终止服务合同。（提供加盖公章的承诺函原件</w:t>
      </w:r>
      <w:r>
        <w:rPr>
          <w:rFonts w:hint="eastAsia" w:ascii="华文楷体" w:hAnsi="华文楷体" w:eastAsia="华文楷体" w:cs="华文楷体"/>
          <w:i/>
          <w:iCs/>
          <w:sz w:val="21"/>
          <w:szCs w:val="21"/>
          <w:highlight w:val="none"/>
          <w:u w:val="single"/>
          <w:lang w:val="en-US" w:eastAsia="zh-CN"/>
        </w:rPr>
        <w:t xml:space="preserve">扫描上传</w:t>
      </w:r>
      <w:r>
        <w:rPr>
          <w:rFonts w:hint="eastAsia" w:ascii="楷体" w:hAnsi="楷体" w:eastAsia="楷体"/>
          <w:i/>
          <w:szCs w:val="21"/>
          <w:u w:val="single"/>
        </w:rPr>
        <w:t xml:space="preserve">）</w:t>
      </w:r>
      <w:r/>
    </w:p>
    <w:p>
      <w:pPr>
        <w:ind w:right="0" w:firstLine="42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i/>
          <w:iCs/>
          <w:color w:val="auto"/>
          <w:sz w:val="21"/>
          <w:szCs w:val="21"/>
          <w:u w:val="single"/>
          <w:lang w:val="en-US" w:eastAsia="zh-CN"/>
        </w:rPr>
        <w:suppressLineNumbers w:val="0"/>
      </w:pPr>
      <w:r>
        <w:rPr>
          <w:rFonts w:hint="eastAsia" w:ascii="华文楷体" w:hAnsi="华文楷体" w:eastAsia="华文楷体" w:cs="华文楷体"/>
          <w:color w:val="auto"/>
          <w:sz w:val="21"/>
          <w:szCs w:val="21"/>
          <w:lang w:val="en-US" w:eastAsia="zh-CN"/>
        </w:rPr>
        <w:t xml:space="preserve">（4）</w:t>
      </w:r>
      <w:r>
        <w:rPr>
          <w:rFonts w:hint="eastAsia" w:ascii="华文楷体" w:hAnsi="华文楷体" w:eastAsia="华文楷体" w:cs="华文楷体"/>
          <w:i/>
          <w:iCs/>
          <w:color w:val="auto"/>
          <w:sz w:val="21"/>
          <w:szCs w:val="21"/>
          <w:u w:val="single"/>
          <w:lang w:val="en-US" w:eastAsia="zh-CN"/>
        </w:rPr>
        <w:t xml:space="preserve">沟通协作方案：如采购人根据项目开展情况和预算资金等其他原因需要增减服务项目，需配合做好相关服务项目的增减工作并在1个月内调整到位。服务期内，采购人根据工作需要召开会议，服务机构的法定代表或管理人员必须准时参加。 （提供加盖公章的承诺函原件</w:t>
      </w:r>
      <w:r>
        <w:rPr>
          <w:rFonts w:hint="eastAsia" w:ascii="华文楷体" w:hAnsi="华文楷体" w:eastAsia="华文楷体" w:cs="华文楷体"/>
          <w:i/>
          <w:iCs/>
          <w:sz w:val="21"/>
          <w:szCs w:val="21"/>
          <w:highlight w:val="none"/>
          <w:u w:val="single"/>
          <w:lang w:val="en-US" w:eastAsia="zh-CN"/>
        </w:rPr>
        <w:t xml:space="preserve">扫描上传</w:t>
      </w:r>
      <w:r>
        <w:rPr>
          <w:rFonts w:hint="eastAsia" w:ascii="华文楷体" w:hAnsi="华文楷体" w:eastAsia="华文楷体" w:cs="华文楷体"/>
          <w:i/>
          <w:iCs/>
          <w:color w:val="auto"/>
          <w:sz w:val="21"/>
          <w:szCs w:val="21"/>
          <w:u w:val="single"/>
          <w:lang w:val="en-US" w:eastAsia="zh-CN"/>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color w:val="auto"/>
          <w:sz w:val="21"/>
          <w:szCs w:val="21"/>
          <w:lang w:val="en-US" w:eastAsia="zh-CN"/>
        </w:rPr>
        <w:suppressLineNumbers w:val="0"/>
      </w:pPr>
      <w:r>
        <w:rPr>
          <w:rFonts w:hint="eastAsia" w:ascii="华文楷体" w:hAnsi="华文楷体" w:eastAsia="华文楷体" w:cs="华文楷体"/>
          <w:color w:val="auto"/>
          <w:sz w:val="21"/>
          <w:szCs w:val="21"/>
          <w:lang w:val="en-US" w:eastAsia="zh-CN"/>
        </w:rPr>
        <w:t xml:space="preserve">（5）服务机构须配合对政府保障经济困难老人能力状况进行初评，开展定性服务。</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i/>
          <w:iCs/>
          <w:color w:val="auto"/>
          <w:sz w:val="21"/>
          <w:szCs w:val="21"/>
          <w:u w:val="single"/>
          <w:lang w:val="en-US" w:eastAsia="zh-CN"/>
        </w:rPr>
        <w:suppressLineNumbers w:val="0"/>
      </w:pPr>
      <w:r>
        <w:rPr>
          <w:rFonts w:hint="eastAsia" w:ascii="华文楷体" w:hAnsi="华文楷体" w:eastAsia="华文楷体" w:cs="华文楷体"/>
          <w:color w:val="auto"/>
          <w:sz w:val="21"/>
          <w:szCs w:val="21"/>
          <w:lang w:val="en-US" w:eastAsia="zh-CN"/>
        </w:rPr>
        <w:t xml:space="preserve">（6）</w:t>
      </w:r>
      <w:r>
        <w:rPr>
          <w:rFonts w:hint="eastAsia" w:ascii="华文楷体" w:hAnsi="华文楷体" w:eastAsia="华文楷体" w:cs="华文楷体"/>
          <w:i/>
          <w:iCs/>
          <w:color w:val="auto"/>
          <w:sz w:val="21"/>
          <w:szCs w:val="21"/>
          <w:u w:val="single"/>
          <w:lang w:val="en-US" w:eastAsia="zh-CN"/>
        </w:rPr>
        <w:t xml:space="preserve">服务机构须配合采购方做好智慧养老服务平台信息录入，如初次服务上传、更新服务对象基本信息，服务过程中上传服务前、中、后佐证照片并描述服务事项等。（提供加盖公章的承诺函原件</w:t>
      </w:r>
      <w:r>
        <w:rPr>
          <w:rFonts w:hint="eastAsia" w:ascii="华文楷体" w:hAnsi="华文楷体" w:eastAsia="华文楷体" w:cs="华文楷体"/>
          <w:i/>
          <w:iCs/>
          <w:sz w:val="21"/>
          <w:szCs w:val="21"/>
          <w:highlight w:val="none"/>
          <w:u w:val="single"/>
          <w:lang w:val="en-US" w:eastAsia="zh-CN"/>
        </w:rPr>
        <w:t xml:space="preserve">扫描上传</w:t>
      </w:r>
      <w:r>
        <w:rPr>
          <w:rFonts w:hint="eastAsia" w:ascii="华文楷体" w:hAnsi="华文楷体" w:eastAsia="华文楷体" w:cs="华文楷体"/>
          <w:i/>
          <w:iCs/>
          <w:color w:val="auto"/>
          <w:sz w:val="21"/>
          <w:szCs w:val="21"/>
          <w:u w:val="single"/>
          <w:lang w:val="en-US" w:eastAsia="zh-CN"/>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color w:val="auto"/>
          <w:sz w:val="21"/>
          <w:szCs w:val="21"/>
          <w:lang w:val="en-US" w:eastAsia="zh-CN"/>
        </w:rPr>
        <w:suppressLineNumbers w:val="0"/>
      </w:pPr>
      <w:r>
        <w:rPr>
          <w:rFonts w:hint="eastAsia" w:ascii="华文楷体" w:hAnsi="华文楷体" w:eastAsia="华文楷体" w:cs="华文楷体"/>
          <w:color w:val="auto"/>
          <w:sz w:val="21"/>
          <w:szCs w:val="21"/>
          <w:lang w:val="en-US" w:eastAsia="zh-CN"/>
        </w:rPr>
        <w:t xml:space="preserve">（7）</w:t>
      </w:r>
      <w:r>
        <w:rPr>
          <w:rFonts w:hint="eastAsia" w:ascii="华文楷体" w:hAnsi="华文楷体" w:eastAsia="华文楷体" w:cs="华文楷体"/>
          <w:color w:val="auto"/>
          <w:sz w:val="21"/>
          <w:szCs w:val="21"/>
          <w:highlight w:val="none"/>
          <w:lang w:val="en-US" w:eastAsia="zh-CN"/>
        </w:rPr>
        <w:t xml:space="preserve">服务机构须统</w:t>
      </w:r>
      <w:r>
        <w:rPr>
          <w:rFonts w:hint="eastAsia" w:ascii="华文楷体" w:hAnsi="华文楷体" w:eastAsia="华文楷体" w:cs="华文楷体"/>
          <w:color w:val="auto"/>
          <w:sz w:val="21"/>
          <w:szCs w:val="21"/>
          <w:lang w:val="en-US" w:eastAsia="zh-CN"/>
        </w:rPr>
        <w:t xml:space="preserve">一服从市购买服务信息平台的监管，如服务数据不能上传平台等原因影响考核，所导致的一切后果服务机构自负。</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color w:val="auto"/>
          <w:sz w:val="21"/>
          <w:szCs w:val="21"/>
          <w:lang w:val="en-US" w:eastAsia="zh-CN"/>
        </w:rPr>
        <w:suppressLineNumbers w:val="0"/>
      </w:pPr>
      <w:r>
        <w:rPr>
          <w:rFonts w:hint="eastAsia" w:ascii="华文楷体" w:hAnsi="华文楷体" w:eastAsia="华文楷体" w:cs="华文楷体"/>
          <w:color w:val="auto"/>
          <w:sz w:val="21"/>
          <w:szCs w:val="21"/>
          <w:lang w:val="en-US" w:eastAsia="zh-CN"/>
        </w:rPr>
        <w:t xml:space="preserve">（8）服务机构须印制并发放手册，标明服务时间、标准、内容及投诉电话，接受服务对象监督。</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color w:val="auto"/>
          <w:sz w:val="21"/>
          <w:szCs w:val="21"/>
          <w:shd w:val="clear" w:color="auto" w:fill="ffffff"/>
          <w:lang w:val="en-US"/>
        </w:rPr>
        <w:suppressLineNumbers w:val="0"/>
      </w:pPr>
      <w:r>
        <w:rPr>
          <w:rFonts w:hint="eastAsia" w:ascii="华文楷体" w:hAnsi="华文楷体" w:eastAsia="华文楷体" w:cs="华文楷体"/>
          <w:color w:val="auto"/>
          <w:sz w:val="21"/>
          <w:szCs w:val="21"/>
          <w:shd w:val="clear" w:color="auto" w:fill="ffffff"/>
          <w:lang w:val="en-US" w:eastAsia="zh-CN"/>
        </w:rPr>
        <w:t xml:space="preserve">（9）服务机构按指定服务内容进行上门服务，须与接受服务的老人签订服务协议；对在一个月内无任何服务需求的老人须写拒绝服务承诺书，服务机构应提供定期上门走访或电话联系等无偿服务。</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color w:val="auto"/>
          <w:sz w:val="21"/>
          <w:szCs w:val="21"/>
          <w:shd w:val="clear" w:color="auto" w:fill="ffffff"/>
          <w:lang w:val="en-US"/>
        </w:rPr>
        <w:suppressLineNumbers w:val="0"/>
      </w:pPr>
      <w:r>
        <w:rPr>
          <w:rFonts w:hint="eastAsia" w:ascii="华文楷体" w:hAnsi="华文楷体" w:eastAsia="华文楷体" w:cs="华文楷体"/>
          <w:color w:val="auto"/>
          <w:sz w:val="21"/>
          <w:szCs w:val="21"/>
          <w:lang w:val="en-US" w:eastAsia="zh-CN"/>
        </w:rPr>
        <w:t xml:space="preserve">（10）</w:t>
      </w:r>
      <w:r>
        <w:rPr>
          <w:rFonts w:hint="eastAsia" w:ascii="华文楷体" w:hAnsi="华文楷体" w:eastAsia="华文楷体" w:cs="华文楷体"/>
          <w:color w:val="auto"/>
          <w:sz w:val="21"/>
          <w:szCs w:val="21"/>
          <w:shd w:val="clear" w:color="auto" w:fill="ffffff"/>
          <w:lang w:val="en-US" w:eastAsia="zh-CN"/>
        </w:rPr>
        <w:t xml:space="preserve">项目实施总体服务方案：服务机构须针对本项目制定实施总体服务方案，应根据本次招标项目要求，对所投服务发展规划、服务理念、工作内容及工作计划等进行详细的说明与描述。</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color w:val="auto"/>
          <w:sz w:val="21"/>
          <w:szCs w:val="21"/>
          <w:shd w:val="clear" w:color="auto" w:fill="ffffff"/>
          <w:lang w:val="en-US"/>
        </w:rPr>
        <w:suppressLineNumbers w:val="0"/>
      </w:pPr>
      <w:r>
        <w:rPr>
          <w:rFonts w:hint="eastAsia" w:ascii="华文楷体" w:hAnsi="华文楷体" w:eastAsia="华文楷体" w:cs="华文楷体"/>
          <w:color w:val="auto"/>
          <w:sz w:val="21"/>
          <w:szCs w:val="21"/>
          <w:shd w:val="clear" w:color="auto" w:fill="ffffff"/>
          <w:lang w:val="en-US" w:eastAsia="zh-CN"/>
        </w:rPr>
        <w:t xml:space="preserve">（11）</w:t>
      </w:r>
      <w:r>
        <w:rPr>
          <w:rFonts w:hint="eastAsia" w:ascii="华文楷体" w:hAnsi="华文楷体" w:eastAsia="华文楷体" w:cs="华文楷体"/>
          <w:color w:val="auto"/>
          <w:sz w:val="21"/>
          <w:szCs w:val="21"/>
          <w:lang w:val="en-US" w:eastAsia="zh-CN"/>
        </w:rPr>
        <w:t xml:space="preserve">基础服务实施方案：</w:t>
      </w:r>
      <w:r>
        <w:rPr>
          <w:rFonts w:hint="eastAsia" w:ascii="华文楷体" w:hAnsi="华文楷体" w:eastAsia="华文楷体" w:cs="华文楷体"/>
          <w:color w:val="auto"/>
          <w:sz w:val="21"/>
          <w:szCs w:val="21"/>
          <w:shd w:val="clear" w:color="auto" w:fill="ffffff"/>
          <w:lang w:val="en-US" w:eastAsia="zh-CN"/>
        </w:rPr>
        <w:t xml:space="preserve">服务机构须针对《高邮市政府购买居家养老服务项目指导目录》制定具体的实施服务方案，方案应完整详细、有针对性，方案中需涵盖具体的服务规范、操作流程、服务标准等。</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color w:val="auto"/>
          <w:sz w:val="21"/>
          <w:szCs w:val="21"/>
          <w:shd w:val="clear" w:color="auto" w:fill="ffffff"/>
          <w:lang w:val="en-US"/>
        </w:rPr>
        <w:suppressLineNumbers w:val="0"/>
      </w:pPr>
      <w:r>
        <w:rPr>
          <w:rFonts w:hint="eastAsia" w:ascii="华文楷体" w:hAnsi="华文楷体" w:eastAsia="华文楷体" w:cs="华文楷体"/>
          <w:color w:val="auto"/>
          <w:sz w:val="21"/>
          <w:szCs w:val="21"/>
          <w:shd w:val="clear" w:color="auto" w:fill="ffffff"/>
          <w:lang w:val="en-US" w:eastAsia="zh-CN"/>
        </w:rPr>
        <w:t xml:space="preserve">（12）</w:t>
      </w:r>
      <w:r>
        <w:rPr>
          <w:rFonts w:hint="eastAsia" w:ascii="华文楷体" w:hAnsi="华文楷体" w:eastAsia="华文楷体" w:cs="华文楷体"/>
          <w:color w:val="auto"/>
          <w:sz w:val="21"/>
          <w:szCs w:val="21"/>
          <w:lang w:val="en-US" w:eastAsia="zh-CN"/>
        </w:rPr>
        <w:t xml:space="preserve">特色服务实施方案：</w:t>
      </w:r>
      <w:r>
        <w:rPr>
          <w:rFonts w:hint="eastAsia" w:ascii="华文楷体" w:hAnsi="华文楷体" w:eastAsia="华文楷体" w:cs="华文楷体"/>
          <w:color w:val="auto"/>
          <w:sz w:val="21"/>
          <w:szCs w:val="21"/>
          <w:shd w:val="clear" w:color="auto" w:fill="ffffff"/>
          <w:lang w:val="en-US" w:eastAsia="zh-CN"/>
        </w:rPr>
        <w:t xml:space="preserve">服务机构应</w:t>
      </w:r>
      <w:r>
        <w:rPr>
          <w:rFonts w:hint="eastAsia" w:ascii="华文楷体" w:hAnsi="华文楷体" w:eastAsia="华文楷体" w:cs="华文楷体"/>
          <w:color w:val="auto"/>
          <w:sz w:val="21"/>
          <w:szCs w:val="21"/>
          <w:lang w:val="en-US" w:eastAsia="zh-CN"/>
        </w:rPr>
        <w:t xml:space="preserve">针对老年人的不同需求，为老年人提供个性化、专业化护理等特色服务方案，而不是同质化的管理，同时要尊重每位老人享受各项服务项目的意愿，最大限度给予老人自主选择的权利。</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color w:val="auto"/>
          <w:sz w:val="21"/>
          <w:szCs w:val="21"/>
          <w:lang w:val="en-US"/>
        </w:rPr>
        <w:suppressLineNumbers w:val="0"/>
      </w:pPr>
      <w:r>
        <w:rPr>
          <w:rFonts w:hint="eastAsia" w:ascii="华文楷体" w:hAnsi="华文楷体" w:eastAsia="华文楷体" w:cs="华文楷体"/>
          <w:color w:val="auto"/>
          <w:sz w:val="21"/>
          <w:szCs w:val="21"/>
          <w:shd w:val="clear" w:color="auto" w:fill="ffffff"/>
          <w:lang w:val="en-US" w:eastAsia="zh-CN"/>
        </w:rPr>
        <w:t xml:space="preserve">（13）</w:t>
      </w:r>
      <w:r>
        <w:rPr>
          <w:rFonts w:hint="eastAsia" w:ascii="华文楷体" w:hAnsi="华文楷体" w:eastAsia="华文楷体" w:cs="华文楷体"/>
          <w:color w:val="auto"/>
          <w:sz w:val="21"/>
          <w:szCs w:val="21"/>
          <w:highlight w:val="none"/>
          <w:shd w:val="clear" w:color="auto" w:fill="ffffff"/>
          <w:lang w:val="en-US" w:eastAsia="zh-CN"/>
        </w:rPr>
        <w:t xml:space="preserve">运营管理及</w:t>
      </w:r>
      <w:r>
        <w:rPr>
          <w:rFonts w:hint="eastAsia" w:ascii="华文楷体" w:hAnsi="华文楷体" w:eastAsia="华文楷体" w:cs="华文楷体"/>
          <w:color w:val="auto"/>
          <w:sz w:val="21"/>
          <w:szCs w:val="21"/>
          <w:highlight w:val="none"/>
          <w:lang w:val="en-US" w:eastAsia="zh-CN"/>
        </w:rPr>
        <w:t xml:space="preserve">市场化实施方案：</w:t>
      </w:r>
      <w:r>
        <w:rPr>
          <w:rFonts w:hint="eastAsia" w:ascii="华文楷体" w:hAnsi="华文楷体" w:eastAsia="华文楷体" w:cs="华文楷体"/>
          <w:color w:val="auto"/>
          <w:sz w:val="21"/>
          <w:szCs w:val="21"/>
          <w:highlight w:val="none"/>
          <w:shd w:val="clear" w:color="auto" w:fill="ffffff"/>
          <w:lang w:val="en-US" w:eastAsia="zh-CN"/>
        </w:rPr>
        <w:t xml:space="preserve">服务机构</w:t>
      </w:r>
      <w:r>
        <w:rPr>
          <w:rFonts w:hint="eastAsia" w:ascii="华文楷体" w:hAnsi="华文楷体" w:eastAsia="华文楷体" w:cs="华文楷体"/>
          <w:color w:val="auto"/>
          <w:sz w:val="21"/>
          <w:szCs w:val="21"/>
          <w:highlight w:val="none"/>
          <w:lang w:val="en-US" w:eastAsia="zh-CN"/>
        </w:rPr>
        <w:t xml:space="preserve">对未来的运营管理及市场化发展有专门的规划，针对高邮市老年人现状，提供市场化方案，结合目标定位制定科学的未来市场化发展规划，能够展现未来养老服务提供的丰富性，包括高邮市老年人刚性服务需求分析、服务宣传方案、自费服务项目可行性分析、</w:t>
      </w:r>
      <w:r>
        <w:rPr>
          <w:rFonts w:hint="eastAsia" w:ascii="华文楷体" w:hAnsi="华文楷体" w:eastAsia="华文楷体" w:cs="华文楷体"/>
          <w:color w:val="auto"/>
          <w:szCs w:val="21"/>
          <w:highlight w:val="none"/>
        </w:rPr>
        <w:t xml:space="preserve">服务质量管理、服务反馈、服务监督、工作人员守则、考评及奖惩制度等</w:t>
      </w:r>
      <w:r>
        <w:rPr>
          <w:rFonts w:hint="eastAsia" w:ascii="华文楷体" w:hAnsi="华文楷体" w:eastAsia="华文楷体" w:cs="华文楷体"/>
          <w:color w:val="auto"/>
          <w:sz w:val="21"/>
          <w:szCs w:val="21"/>
          <w:highlight w:val="none"/>
          <w:lang w:val="en-US" w:eastAsia="zh-CN"/>
        </w:rPr>
        <w:t xml:space="preserve">。同时积极挖掘社会需求，具备一定的市场化拓展能力，在服务范围内积极拓展自费对象，市场化达到一定规模。</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sz w:val="21"/>
          <w:szCs w:val="21"/>
          <w:lang w:val="en-US" w:eastAsia="zh-CN"/>
        </w:rPr>
        <w:suppressLineNumbers w:val="0"/>
      </w:pPr>
      <w:r>
        <w:rPr>
          <w:rFonts w:hint="eastAsia" w:ascii="华文楷体" w:hAnsi="华文楷体" w:eastAsia="华文楷体" w:cs="华文楷体"/>
          <w:sz w:val="21"/>
          <w:szCs w:val="21"/>
          <w:lang w:val="en-US" w:eastAsia="zh-CN"/>
        </w:rPr>
        <w:t xml:space="preserve">（14）</w:t>
      </w:r>
      <w:r>
        <w:rPr>
          <w:rFonts w:hint="eastAsia" w:ascii="华文楷体" w:hAnsi="华文楷体" w:eastAsia="华文楷体" w:cs="华文楷体"/>
          <w:color w:val="000000"/>
          <w:sz w:val="21"/>
          <w:szCs w:val="21"/>
          <w:lang w:val="en-US" w:eastAsia="zh-CN"/>
        </w:rPr>
        <w:t xml:space="preserve">服务质量控制：</w:t>
      </w:r>
      <w:r>
        <w:rPr>
          <w:rFonts w:hint="eastAsia" w:ascii="华文楷体" w:hAnsi="华文楷体" w:eastAsia="华文楷体" w:cs="华文楷体"/>
          <w:sz w:val="21"/>
          <w:szCs w:val="21"/>
          <w:lang w:val="en-US" w:eastAsia="zh-CN"/>
        </w:rPr>
        <w:t xml:space="preserve">服务机构针对本项目需具备规范的居家养老服务作业流程，需具有质量控制措施且符合服务实际汇编成册的规范文件。组建一支专业的团队，通过满意度调查报告、电话回访、暗访等多种形式，结合考核制度，定期或不定期的对服务质量进行监督管理。对于不合格服务及潜在不合格项进行汇集整理、统计分析，制定改进措施，优化服务方案。</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sz w:val="21"/>
          <w:szCs w:val="21"/>
          <w:lang w:val="en-US"/>
        </w:rPr>
        <w:suppressLineNumbers w:val="0"/>
      </w:pPr>
      <w:r>
        <w:rPr>
          <w:rFonts w:hint="eastAsia" w:ascii="华文楷体" w:hAnsi="华文楷体" w:eastAsia="华文楷体" w:cs="华文楷体"/>
          <w:color w:val="auto"/>
          <w:sz w:val="21"/>
          <w:szCs w:val="21"/>
          <w:lang w:val="en-US" w:eastAsia="zh-CN"/>
        </w:rPr>
        <w:t xml:space="preserve">（15）</w:t>
      </w:r>
      <w:r>
        <w:rPr>
          <w:rFonts w:hint="eastAsia" w:ascii="华文楷体" w:hAnsi="华文楷体" w:eastAsia="华文楷体" w:cs="华文楷体"/>
          <w:color w:val="auto"/>
          <w:sz w:val="21"/>
          <w:szCs w:val="21"/>
          <w:highlight w:val="none"/>
          <w:lang w:val="en-US" w:eastAsia="zh-CN"/>
        </w:rPr>
        <w:t xml:space="preserve">应急预案及保障措施</w:t>
      </w:r>
      <w:r>
        <w:rPr>
          <w:rFonts w:hint="eastAsia" w:ascii="华文楷体" w:hAnsi="华文楷体" w:eastAsia="华文楷体" w:cs="华文楷体"/>
          <w:color w:val="auto"/>
          <w:sz w:val="21"/>
          <w:szCs w:val="21"/>
          <w:lang w:val="en-US" w:eastAsia="zh-CN"/>
        </w:rPr>
        <w:t xml:space="preserve">：服务</w:t>
      </w:r>
      <w:r>
        <w:rPr>
          <w:rFonts w:hint="eastAsia" w:ascii="华文楷体" w:hAnsi="华文楷体" w:eastAsia="华文楷体" w:cs="华文楷体"/>
          <w:sz w:val="21"/>
          <w:szCs w:val="21"/>
          <w:lang w:val="en-US" w:eastAsia="zh-CN"/>
        </w:rPr>
        <w:t xml:space="preserve">机构应制定日常安全管理目标，且对本项目居家养老服务过程中可预见的、有几率发生的危急、紧急（突发）事件及矛盾纠纷处理预案制定应急预案</w:t>
      </w:r>
      <w:r>
        <w:rPr>
          <w:rFonts w:hint="eastAsia" w:ascii="华文楷体" w:hAnsi="华文楷体" w:eastAsia="华文楷体" w:cs="华文楷体"/>
          <w:color w:val="ff0000"/>
          <w:sz w:val="21"/>
          <w:szCs w:val="21"/>
          <w:lang w:val="en-US" w:eastAsia="zh-CN"/>
        </w:rPr>
        <w:t xml:space="preserve">，</w:t>
      </w:r>
      <w:r>
        <w:rPr>
          <w:rFonts w:hint="eastAsia" w:ascii="华文楷体" w:hAnsi="华文楷体" w:eastAsia="华文楷体" w:cs="华文楷体"/>
          <w:color w:val="auto"/>
          <w:szCs w:val="21"/>
          <w:highlight w:val="none"/>
        </w:rPr>
        <w:t xml:space="preserve">有应急保障车辆至少1辆</w:t>
      </w: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color w:val="auto"/>
          <w:sz w:val="21"/>
          <w:szCs w:val="21"/>
          <w:lang w:val="en-US" w:eastAsia="zh-CN"/>
        </w:rPr>
        <w:t xml:space="preserve">结</w:t>
      </w:r>
      <w:r>
        <w:rPr>
          <w:rFonts w:hint="eastAsia" w:ascii="华文楷体" w:hAnsi="华文楷体" w:eastAsia="华文楷体" w:cs="华文楷体"/>
          <w:sz w:val="21"/>
          <w:szCs w:val="21"/>
          <w:lang w:val="en-US" w:eastAsia="zh-CN"/>
        </w:rPr>
        <w:t xml:space="preserve">合自身规章制度和服务规范制定合理的突发疾病急救措施、突发自然灾害及火灾时的应对措施及逃生办法等，保障服务人员及服务对象在服务过程中的安全。在服务过程中遇到老人突发昏倒、摔倒等紧急情况下有较好的应变能力，及时拨打120急救电话，保留现场的录音、照片或视频等证据作为必要的物证资料。</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sz w:val="21"/>
          <w:szCs w:val="21"/>
          <w:lang w:val="en-US"/>
        </w:rPr>
        <w:suppressLineNumbers w:val="0"/>
      </w:pPr>
      <w:r>
        <w:rPr>
          <w:rFonts w:hint="eastAsia" w:ascii="华文楷体" w:hAnsi="华文楷体" w:eastAsia="华文楷体" w:cs="华文楷体"/>
          <w:sz w:val="21"/>
          <w:szCs w:val="21"/>
          <w:lang w:val="en-US" w:eastAsia="zh-CN"/>
        </w:rPr>
        <w:t xml:space="preserve">（16）服务承诺：服务机构应对采购人所有委托服务事项有具体的管理指标承诺及具体措施，与采购人之间建立有效的沟通、回访机制，及时有效的处理采购人所提出的合理要求与建议。</w:t>
      </w:r>
      <w:r/>
    </w:p>
    <w:p>
      <w:pPr>
        <w:ind w:left="0" w:right="0" w:firstLine="480"/>
        <w:jc w:val="both"/>
        <w:keepLines w:val="0"/>
        <w:keepNext w:val="0"/>
        <w:pageBreakBefore w:val="0"/>
        <w:spacing w:before="0" w:beforeAutospacing="0" w:after="0" w:afterAutospacing="0" w:line="360" w:lineRule="auto"/>
        <w:widowControl w:val="off"/>
        <w:rPr>
          <w:rFonts w:hint="eastAsia" w:ascii="华文楷体" w:hAnsi="华文楷体" w:eastAsia="华文楷体" w:cs="华文楷体"/>
          <w:sz w:val="21"/>
          <w:szCs w:val="21"/>
          <w:lang w:val="en-US"/>
        </w:rPr>
        <w:suppressLineNumbers w:val="0"/>
      </w:pPr>
      <w:r>
        <w:rPr>
          <w:rFonts w:hint="eastAsia" w:ascii="华文楷体" w:hAnsi="华文楷体" w:eastAsia="华文楷体" w:cs="华文楷体"/>
          <w:sz w:val="21"/>
          <w:szCs w:val="21"/>
          <w:lang w:val="en-US" w:eastAsia="zh-CN"/>
        </w:rPr>
        <w:t xml:space="preserve">（17）配合协调措施：服务机构服务期间有应配合与其他部门、乡镇上门对服务人员的物色、推荐制定配合协调措施与方案。协调服务人员与服务对象的关系，根据服务对象反映的情况进行核实。定期对居家养老服务工作进行全方位的评估，总结服务工作经验，制定出相应的考核、奖惩制度。服务期内，采购人根据工作需要召开会议，中标人的管理人员必须准时参加。中标后须提供与上一个服务商交接方案，明确交接时间，并协调采购单位及有关部门做好养老服务各项工作的信息反馈及收集工作。</w:t>
      </w:r>
      <w:r/>
    </w:p>
    <w:p>
      <w:pPr>
        <w:ind w:firstLine="420"/>
        <w:jc w:val="left"/>
        <w:keepLines w:val="0"/>
        <w:keepNext w:val="0"/>
        <w:pageBreakBefore w:val="0"/>
        <w:spacing w:line="360" w:lineRule="auto"/>
        <w:widowControl/>
        <w:rPr>
          <w:rFonts w:hint="eastAsia" w:ascii="华文楷体" w:hAnsi="华文楷体" w:eastAsia="华文楷体" w:cs="华文楷体"/>
          <w:sz w:val="21"/>
          <w:szCs w:val="21"/>
          <w:lang w:val="en-US" w:eastAsia="zh-CN"/>
        </w:rPr>
        <w:suppressLineNumbers w:val="0"/>
      </w:pPr>
      <w:r>
        <w:rPr>
          <w:rFonts w:hint="eastAsia" w:ascii="华文楷体" w:hAnsi="华文楷体" w:eastAsia="华文楷体" w:cs="华文楷体"/>
          <w:sz w:val="21"/>
          <w:szCs w:val="21"/>
          <w:lang w:val="en-US" w:eastAsia="zh-CN"/>
        </w:rPr>
        <w:t xml:space="preserve">（18）</w:t>
      </w:r>
      <w:r>
        <w:rPr>
          <w:rFonts w:hint="eastAsia" w:ascii="华文楷体" w:hAnsi="华文楷体" w:eastAsia="华文楷体" w:cs="华文楷体"/>
          <w:color w:val="000000"/>
          <w:sz w:val="21"/>
          <w:szCs w:val="21"/>
          <w:lang w:val="en-US" w:eastAsia="zh-CN"/>
        </w:rPr>
        <w:t xml:space="preserve">配备服务设施：</w:t>
      </w:r>
      <w:r>
        <w:rPr>
          <w:rFonts w:hint="eastAsia" w:ascii="华文楷体" w:hAnsi="华文楷体" w:eastAsia="华文楷体" w:cs="华文楷体"/>
          <w:sz w:val="21"/>
          <w:szCs w:val="21"/>
          <w:lang w:val="en-US" w:eastAsia="zh-CN"/>
        </w:rPr>
        <w:t xml:space="preserve">服务机构需根据《居家养老上门服务基本规范》中的各项服务配备服务设施，包含基础生活照料类、健康照护类、个性服务类，由服务机构根据实际需求合理配备现场服务设施。</w:t>
      </w:r>
      <w:r/>
    </w:p>
    <w:p>
      <w:pPr>
        <w:ind w:firstLine="420"/>
        <w:jc w:val="left"/>
        <w:keepLines w:val="0"/>
        <w:keepNext w:val="0"/>
        <w:pageBreakBefore w:val="0"/>
        <w:spacing w:line="360" w:lineRule="auto"/>
        <w:widowControl/>
        <w:rPr>
          <w:rFonts w:hint="eastAsia" w:ascii="华文楷体" w:hAnsi="华文楷体" w:eastAsia="华文楷体" w:cs="华文楷体"/>
          <w:color w:val="auto"/>
          <w:highlight w:val="none"/>
          <w:lang w:eastAsia="zh-CN"/>
        </w:rPr>
        <w:suppressLineNumbers w:val="0"/>
      </w:pPr>
      <w:r>
        <w:rPr>
          <w:rFonts w:hint="eastAsia" w:ascii="华文楷体" w:hAnsi="华文楷体" w:eastAsia="华文楷体" w:cs="华文楷体"/>
          <w:color w:val="auto"/>
          <w:sz w:val="21"/>
          <w:szCs w:val="21"/>
          <w:highlight w:val="none"/>
          <w:lang w:val="en-US" w:eastAsia="zh-CN"/>
        </w:rPr>
        <w:t xml:space="preserve">（19）档案管理措施：服务机构应安排专人根据不同的服务类型、服务人群、服务地点有针对性的制作</w:t>
      </w:r>
      <w:r>
        <w:rPr>
          <w:rFonts w:hint="eastAsia" w:ascii="华文楷体" w:hAnsi="华文楷体" w:eastAsia="华文楷体" w:cs="华文楷体"/>
          <w:color w:val="auto"/>
          <w:highlight w:val="none"/>
        </w:rPr>
        <w:t xml:space="preserve">项目档案资料管理</w:t>
      </w:r>
      <w:r>
        <w:rPr>
          <w:rFonts w:hint="eastAsia" w:ascii="华文楷体" w:hAnsi="华文楷体" w:eastAsia="华文楷体" w:cs="华文楷体"/>
          <w:color w:val="auto"/>
          <w:highlight w:val="none"/>
          <w:lang w:val="en-US" w:eastAsia="zh-CN"/>
        </w:rPr>
        <w:t xml:space="preserve">方案</w:t>
      </w:r>
      <w:r>
        <w:rPr>
          <w:rFonts w:hint="eastAsia" w:ascii="华文楷体" w:hAnsi="华文楷体" w:eastAsia="华文楷体" w:cs="华文楷体"/>
          <w:color w:val="auto"/>
          <w:highlight w:val="none"/>
        </w:rPr>
        <w:t xml:space="preserve">，配合采购人完成省、市有关考核数据维护、保管、上报等工作</w:t>
      </w:r>
      <w:r>
        <w:rPr>
          <w:rFonts w:hint="eastAsia" w:ascii="华文楷体" w:hAnsi="华文楷体" w:eastAsia="华文楷体" w:cs="华文楷体"/>
          <w:color w:val="auto"/>
          <w:highlight w:val="none"/>
          <w:lang w:eastAsia="zh-CN"/>
        </w:rPr>
        <w:t xml:space="preserve">，</w:t>
      </w:r>
      <w:r>
        <w:rPr>
          <w:rFonts w:hint="eastAsia" w:ascii="华文楷体" w:hAnsi="华文楷体" w:eastAsia="华文楷体" w:cs="华文楷体"/>
          <w:color w:val="auto"/>
          <w:highlight w:val="none"/>
          <w:lang w:val="en-US" w:eastAsia="zh-CN"/>
        </w:rPr>
        <w:t xml:space="preserve">确保</w:t>
      </w:r>
      <w:r>
        <w:rPr>
          <w:rFonts w:hint="eastAsia" w:ascii="华文楷体" w:hAnsi="华文楷体" w:eastAsia="华文楷体" w:cs="华文楷体"/>
          <w:color w:val="auto"/>
          <w:highlight w:val="none"/>
        </w:rPr>
        <w:t xml:space="preserve">档案收集、整理、存放、保护和利用各环节规范、有序</w:t>
      </w:r>
      <w:r>
        <w:rPr>
          <w:rFonts w:hint="eastAsia" w:ascii="华文楷体" w:hAnsi="华文楷体" w:eastAsia="华文楷体" w:cs="华文楷体"/>
          <w:color w:val="auto"/>
          <w:highlight w:val="none"/>
          <w:lang w:eastAsia="zh-CN"/>
        </w:rPr>
        <w:t xml:space="preserve">。服务机构不得私自对外提供老年人的数据信息，因数据维护不准确造成财政资金损失的，由服务机构负责承担相应的损失并处以罚款，情节严重的追究其经济和法律责任。</w:t>
      </w:r>
      <w:r/>
    </w:p>
    <w:p>
      <w:pPr>
        <w:ind w:firstLine="310"/>
        <w:spacing w:line="360" w:lineRule="auto"/>
        <w:rPr>
          <w:rFonts w:hint="eastAsia" w:ascii="楷体" w:hAnsi="楷体" w:eastAsia="楷体"/>
          <w:b/>
          <w:szCs w:val="21"/>
        </w:rPr>
      </w:pPr>
      <w:r>
        <w:rPr>
          <w:rFonts w:hint="eastAsia" w:ascii="楷体" w:hAnsi="楷体" w:eastAsia="楷体"/>
          <w:b/>
          <w:szCs w:val="21"/>
          <w:lang w:val="en-US" w:eastAsia="zh-CN"/>
        </w:rPr>
        <w:t xml:space="preserve">六、</w:t>
      </w:r>
      <w:r>
        <w:rPr>
          <w:rFonts w:hint="eastAsia" w:ascii="楷体" w:hAnsi="楷体" w:eastAsia="楷体"/>
          <w:b/>
          <w:szCs w:val="21"/>
        </w:rPr>
        <w:t xml:space="preserve">考核及服务费支付方式</w:t>
      </w:r>
      <w:r/>
    </w:p>
    <w:p>
      <w:pPr>
        <w:ind w:firstLine="420"/>
        <w:spacing w:line="360" w:lineRule="auto"/>
        <w:rPr>
          <w:rFonts w:hint="eastAsia" w:ascii="楷体" w:hAnsi="楷体" w:eastAsia="楷体" w:cs="宋体"/>
          <w:color w:val="auto"/>
          <w:szCs w:val="21"/>
        </w:rPr>
      </w:pPr>
      <w:r>
        <w:rPr>
          <w:rFonts w:hint="eastAsia" w:ascii="楷体" w:hAnsi="楷体" w:eastAsia="楷体"/>
          <w:color w:val="auto"/>
          <w:szCs w:val="21"/>
        </w:rPr>
        <w:t xml:space="preserve">1、</w:t>
      </w:r>
      <w:r>
        <w:rPr>
          <w:rFonts w:hint="eastAsia" w:ascii="楷体" w:hAnsi="楷体" w:eastAsia="楷体" w:cs="宋体"/>
          <w:color w:val="auto"/>
          <w:szCs w:val="21"/>
        </w:rPr>
        <w:t xml:space="preserve">第一种:合同签订，甲方自收到发票后 10 个工作日内，支付合同金额 30%的预付款。乙方正式开展服务后，当年第五个月按服务进度支付当年第一季度的款项(扣除预付款)，从第三季度开始每季度支付上季度款项。</w:t>
      </w:r>
      <w:r/>
    </w:p>
    <w:p>
      <w:pPr>
        <w:ind w:firstLine="420"/>
        <w:spacing w:line="360" w:lineRule="auto"/>
        <w:rPr>
          <w:rFonts w:hint="eastAsia" w:ascii="楷体" w:hAnsi="楷体" w:eastAsia="楷体" w:cs="宋体"/>
          <w:color w:val="auto"/>
          <w:szCs w:val="21"/>
        </w:rPr>
      </w:pPr>
      <w:r>
        <w:rPr>
          <w:rFonts w:hint="eastAsia" w:ascii="楷体" w:hAnsi="楷体" w:eastAsia="楷体" w:cs="宋体"/>
          <w:color w:val="auto"/>
          <w:szCs w:val="21"/>
        </w:rPr>
        <w:t xml:space="preserve">第二种:乙方自愿放弃预付款，合同签订，乙方正式开展服务后，从第二季度开始每季度支付上季度款项。</w:t>
      </w:r>
      <w:r/>
    </w:p>
    <w:p>
      <w:pPr>
        <w:ind w:firstLine="420"/>
        <w:spacing w:line="360" w:lineRule="auto"/>
        <w:rPr>
          <w:rFonts w:hint="eastAsia" w:ascii="楷体" w:hAnsi="楷体" w:eastAsia="楷体" w:cs="宋体"/>
          <w:color w:val="auto"/>
          <w:szCs w:val="21"/>
        </w:rPr>
      </w:pPr>
      <w:r>
        <w:rPr>
          <w:rFonts w:hint="eastAsia" w:ascii="楷体" w:hAnsi="楷体" w:eastAsia="楷体" w:cs="宋体"/>
          <w:color w:val="auto"/>
          <w:szCs w:val="21"/>
        </w:rPr>
        <w:t xml:space="preserve">以上款项甲方自收到发票后 10 个工作日内支付。</w:t>
      </w:r>
      <w:r/>
    </w:p>
    <w:p>
      <w:pPr>
        <w:ind w:firstLine="420"/>
        <w:spacing w:line="360" w:lineRule="auto"/>
        <w:rPr>
          <w:rFonts w:hint="eastAsia" w:ascii="楷体" w:hAnsi="楷体" w:eastAsia="楷体" w:cs="宋体"/>
          <w:color w:val="auto"/>
          <w:szCs w:val="21"/>
        </w:rPr>
      </w:pPr>
      <w:r>
        <w:rPr>
          <w:rFonts w:hint="eastAsia" w:ascii="楷体" w:hAnsi="楷体" w:eastAsia="楷体" w:cs="宋体"/>
          <w:color w:val="auto"/>
          <w:szCs w:val="21"/>
        </w:rPr>
        <w:t xml:space="preserve">(以上两种支付方式由甲乙双方协商确定)</w:t>
      </w:r>
      <w:r/>
    </w:p>
    <w:p>
      <w:pPr>
        <w:ind w:firstLine="420"/>
        <w:spacing w:line="360" w:lineRule="auto"/>
        <w:rPr>
          <w:rFonts w:hint="eastAsia" w:ascii="楷体" w:hAnsi="楷体" w:eastAsia="楷体" w:cs="宋体"/>
          <w:color w:val="auto"/>
          <w:szCs w:val="21"/>
        </w:rPr>
      </w:pPr>
      <w:r>
        <w:rPr>
          <w:rFonts w:hint="eastAsia" w:ascii="楷体" w:hAnsi="楷体" w:eastAsia="楷体" w:cs="宋体"/>
          <w:color w:val="auto"/>
          <w:szCs w:val="21"/>
          <w:lang w:val="en-US" w:eastAsia="zh-CN"/>
        </w:rPr>
        <w:t xml:space="preserve">2、</w:t>
      </w:r>
      <w:r>
        <w:rPr>
          <w:rFonts w:hint="eastAsia" w:ascii="楷体" w:hAnsi="楷体" w:eastAsia="楷体" w:cs="宋体"/>
          <w:color w:val="auto"/>
          <w:szCs w:val="21"/>
          <w:lang w:eastAsia="zh-CN"/>
        </w:rPr>
        <w:t xml:space="preserve">乙方</w:t>
      </w:r>
      <w:r>
        <w:rPr>
          <w:rFonts w:hint="eastAsia" w:ascii="楷体" w:hAnsi="楷体" w:eastAsia="楷体" w:cs="宋体"/>
          <w:color w:val="auto"/>
          <w:szCs w:val="21"/>
        </w:rPr>
        <w:t xml:space="preserve">自行组织开展内部监管工作，人员配置</w:t>
      </w:r>
      <w:r>
        <w:rPr>
          <w:rFonts w:hint="eastAsia" w:ascii="楷体" w:hAnsi="楷体" w:eastAsia="楷体" w:cs="宋体"/>
          <w:color w:val="auto"/>
          <w:szCs w:val="21"/>
          <w:lang w:eastAsia="zh-CN"/>
        </w:rPr>
        <w:t xml:space="preserve">分</w:t>
      </w:r>
      <w:r>
        <w:rPr>
          <w:rFonts w:hint="eastAsia" w:ascii="楷体" w:hAnsi="楷体" w:eastAsia="楷体" w:cs="宋体"/>
          <w:color w:val="auto"/>
          <w:szCs w:val="21"/>
        </w:rPr>
        <w:t xml:space="preserve">内勤和外勤人员，</w:t>
      </w:r>
      <w:r>
        <w:rPr>
          <w:rFonts w:hint="eastAsia" w:ascii="楷体" w:hAnsi="楷体" w:eastAsia="楷体" w:cs="宋体"/>
          <w:color w:val="auto"/>
          <w:szCs w:val="21"/>
          <w:lang w:eastAsia="zh-CN"/>
        </w:rPr>
        <w:t xml:space="preserve">并</w:t>
      </w:r>
      <w:r>
        <w:rPr>
          <w:rFonts w:hint="eastAsia" w:ascii="楷体" w:hAnsi="楷体" w:eastAsia="楷体" w:cs="宋体"/>
          <w:color w:val="auto"/>
          <w:szCs w:val="21"/>
        </w:rPr>
        <w:t xml:space="preserve">自备巡查车辆</w:t>
      </w:r>
      <w:r>
        <w:rPr>
          <w:rFonts w:hint="eastAsia" w:ascii="楷体" w:hAnsi="楷体" w:eastAsia="楷体" w:cs="宋体"/>
          <w:color w:val="auto"/>
          <w:szCs w:val="21"/>
          <w:lang w:eastAsia="zh-CN"/>
        </w:rPr>
        <w:t xml:space="preserve">，每天下午19：30点前将当日服务情况统计上报民政综合监管平台</w:t>
      </w:r>
      <w:r>
        <w:rPr>
          <w:rFonts w:hint="eastAsia" w:ascii="楷体" w:hAnsi="楷体" w:eastAsia="楷体" w:cs="宋体"/>
          <w:color w:val="auto"/>
          <w:szCs w:val="21"/>
        </w:rPr>
        <w:t xml:space="preserve">。</w:t>
      </w:r>
      <w:r>
        <w:rPr>
          <w:rFonts w:hint="eastAsia" w:ascii="楷体" w:hAnsi="楷体" w:eastAsia="楷体" w:cs="宋体"/>
          <w:color w:val="auto"/>
          <w:szCs w:val="21"/>
          <w:lang w:eastAsia="zh-CN"/>
        </w:rPr>
        <w:t xml:space="preserve">甲方</w:t>
      </w:r>
      <w:r>
        <w:rPr>
          <w:rFonts w:hint="eastAsia" w:ascii="楷体" w:hAnsi="楷体" w:eastAsia="楷体" w:cs="宋体"/>
          <w:color w:val="auto"/>
          <w:szCs w:val="21"/>
        </w:rPr>
        <w:t xml:space="preserve">依托高邮民政综合监管平台和随机抽查等监管方式参与居家养老上门服务的质量监督和信息反馈。</w:t>
      </w:r>
      <w:r/>
    </w:p>
    <w:p>
      <w:pPr>
        <w:ind w:firstLine="420"/>
        <w:spacing w:line="360" w:lineRule="auto"/>
        <w:rPr>
          <w:rFonts w:hint="eastAsia" w:ascii="楷体" w:hAnsi="楷体" w:eastAsia="楷体" w:cs="宋体"/>
          <w:szCs w:val="21"/>
        </w:rPr>
      </w:pPr>
      <w:r>
        <w:rPr>
          <w:rFonts w:hint="eastAsia" w:ascii="楷体" w:hAnsi="楷体" w:eastAsia="楷体" w:cs="宋体"/>
          <w:szCs w:val="21"/>
        </w:rPr>
        <w:t xml:space="preserve">2、甲方以运营管理、服务质量、社会评价、服务对象满意度等内容，依据高邮民政综合监管平台和日常监管结果，对中标供应商采用百分制打分进行考核。考评得分90分（含90分）以上，甲方按实际工单服务费总额的90%结算服务费；得分90分以下每扣减1分，按已服务工单总额扣减1%。</w:t>
      </w:r>
      <w:r/>
    </w:p>
    <w:p>
      <w:pPr>
        <w:ind w:firstLine="420"/>
        <w:spacing w:line="360" w:lineRule="auto"/>
        <w:rPr>
          <w:rFonts w:hint="eastAsia" w:ascii="楷体" w:hAnsi="楷体" w:eastAsia="楷体" w:cs="宋体"/>
          <w:szCs w:val="21"/>
        </w:rPr>
      </w:pPr>
      <w:r>
        <w:rPr>
          <w:rFonts w:hint="eastAsia" w:ascii="楷体" w:hAnsi="楷体" w:eastAsia="楷体" w:cs="宋体"/>
          <w:szCs w:val="21"/>
        </w:rPr>
        <w:t xml:space="preserve">3、</w:t>
      </w:r>
      <w:r>
        <w:rPr>
          <w:rFonts w:hint="eastAsia" w:ascii="楷体" w:hAnsi="楷体" w:eastAsia="楷体" w:cs="宋体"/>
          <w:szCs w:val="21"/>
          <w:lang w:eastAsia="zh-CN"/>
        </w:rPr>
        <w:t xml:space="preserve">甲方</w:t>
      </w:r>
      <w:r>
        <w:rPr>
          <w:rFonts w:hint="eastAsia" w:ascii="楷体" w:hAnsi="楷体" w:eastAsia="楷体" w:cs="宋体"/>
          <w:szCs w:val="21"/>
        </w:rPr>
        <w:t xml:space="preserve">对</w:t>
      </w:r>
      <w:r>
        <w:rPr>
          <w:rFonts w:hint="eastAsia" w:ascii="楷体" w:hAnsi="楷体" w:eastAsia="楷体" w:cs="宋体"/>
          <w:szCs w:val="21"/>
          <w:lang w:eastAsia="zh-CN"/>
        </w:rPr>
        <w:t xml:space="preserve">乙方</w:t>
      </w:r>
      <w:r>
        <w:rPr>
          <w:rFonts w:hint="eastAsia" w:ascii="楷体" w:hAnsi="楷体" w:eastAsia="楷体" w:cs="宋体"/>
          <w:szCs w:val="21"/>
        </w:rPr>
        <w:t xml:space="preserve">的服务质量考核测评管理，</w:t>
      </w:r>
      <w:r>
        <w:rPr>
          <w:rFonts w:hint="eastAsia" w:ascii="楷体" w:hAnsi="楷体" w:eastAsia="楷体" w:cs="宋体"/>
          <w:szCs w:val="21"/>
          <w:lang w:eastAsia="zh-CN"/>
        </w:rPr>
        <w:t xml:space="preserve">乙方</w:t>
      </w:r>
      <w:r>
        <w:rPr>
          <w:rFonts w:hint="eastAsia" w:ascii="楷体" w:hAnsi="楷体" w:eastAsia="楷体" w:cs="宋体"/>
          <w:szCs w:val="21"/>
        </w:rPr>
        <w:t xml:space="preserve">连续两个月得分低于75分，对其进行约谈，并要求其出具整改方案；连续三个月得分低于75分，责令其停工至整改完成</w:t>
      </w:r>
      <w:r>
        <w:rPr>
          <w:rFonts w:hint="eastAsia" w:ascii="楷体" w:hAnsi="楷体" w:eastAsia="楷体" w:cs="宋体"/>
          <w:szCs w:val="21"/>
          <w:lang w:eastAsia="zh-CN"/>
        </w:rPr>
        <w:t xml:space="preserve">；乙方</w:t>
      </w:r>
      <w:r>
        <w:rPr>
          <w:rFonts w:hint="eastAsia" w:ascii="楷体" w:hAnsi="楷体" w:eastAsia="楷体" w:cs="宋体"/>
          <w:szCs w:val="21"/>
        </w:rPr>
        <w:t xml:space="preserve">年度综合考核得分在我市3家供应商中排名倒数第一且年服务满意度低于90%的，</w:t>
      </w:r>
      <w:r>
        <w:rPr>
          <w:rFonts w:hint="eastAsia" w:ascii="楷体" w:hAnsi="楷体" w:eastAsia="楷体" w:cs="宋体"/>
          <w:szCs w:val="21"/>
          <w:lang w:eastAsia="zh-CN"/>
        </w:rPr>
        <w:t xml:space="preserve">甲</w:t>
      </w:r>
      <w:r>
        <w:rPr>
          <w:rFonts w:hint="eastAsia" w:ascii="楷体" w:hAnsi="楷体" w:eastAsia="楷体" w:cs="宋体"/>
          <w:szCs w:val="21"/>
        </w:rPr>
        <w:t xml:space="preserve">方有权终止服务合同，该标段实施重新招标或按照评审报告推荐的</w:t>
      </w:r>
      <w:r>
        <w:rPr>
          <w:rFonts w:hint="eastAsia" w:ascii="楷体" w:hAnsi="楷体" w:eastAsia="楷体" w:cs="宋体"/>
          <w:szCs w:val="21"/>
          <w:lang w:eastAsia="zh-CN"/>
        </w:rPr>
        <w:t xml:space="preserve">乙方</w:t>
      </w:r>
      <w:r>
        <w:rPr>
          <w:rFonts w:hint="eastAsia" w:ascii="楷体" w:hAnsi="楷体" w:eastAsia="楷体" w:cs="宋体"/>
          <w:szCs w:val="21"/>
        </w:rPr>
        <w:t xml:space="preserve">顺序，确定下一候选人为</w:t>
      </w:r>
      <w:r>
        <w:rPr>
          <w:rFonts w:hint="eastAsia" w:ascii="楷体" w:hAnsi="楷体" w:eastAsia="楷体" w:cs="宋体"/>
          <w:szCs w:val="21"/>
          <w:lang w:eastAsia="zh-CN"/>
        </w:rPr>
        <w:t xml:space="preserve">乙方</w:t>
      </w:r>
      <w:r>
        <w:rPr>
          <w:rFonts w:hint="eastAsia" w:ascii="楷体" w:hAnsi="楷体" w:eastAsia="楷体" w:cs="宋体"/>
          <w:szCs w:val="21"/>
        </w:rPr>
        <w:t xml:space="preserve">。</w:t>
      </w:r>
      <w:r/>
    </w:p>
    <w:p>
      <w:pPr>
        <w:ind w:firstLine="420"/>
        <w:spacing w:line="360" w:lineRule="auto"/>
        <w:rPr>
          <w:rFonts w:hint="eastAsia" w:ascii="楷体" w:hAnsi="楷体" w:eastAsia="楷体" w:cs="宋体"/>
          <w:szCs w:val="21"/>
        </w:rPr>
      </w:pPr>
      <w:r>
        <w:rPr>
          <w:rFonts w:hint="eastAsia" w:ascii="楷体" w:hAnsi="楷体" w:eastAsia="楷体" w:cs="宋体"/>
          <w:szCs w:val="21"/>
          <w:lang w:val="en-US" w:eastAsia="zh-CN"/>
        </w:rPr>
        <w:t xml:space="preserve">4</w:t>
      </w:r>
      <w:r>
        <w:rPr>
          <w:rFonts w:hint="eastAsia" w:ascii="楷体" w:hAnsi="楷体" w:eastAsia="楷体" w:cs="宋体"/>
          <w:szCs w:val="21"/>
        </w:rPr>
        <w:t xml:space="preserve">、经调查核实被认定为虚假工单，每发现1例，扣除当月总工单费用的10%；每发现2例，扣除</w:t>
      </w:r>
      <w:r>
        <w:rPr>
          <w:rFonts w:hint="eastAsia" w:ascii="楷体" w:hAnsi="楷体" w:eastAsia="楷体" w:cs="宋体"/>
          <w:color w:val="auto"/>
          <w:szCs w:val="21"/>
          <w:highlight w:val="none"/>
        </w:rPr>
        <w:t xml:space="preserve">当月总工单费用的50%；每发现3例及以上，扣除当月工单全部费用，落实整改，次月仍有虚假工单，甲方有权随时中止</w:t>
      </w:r>
      <w:r>
        <w:rPr>
          <w:rFonts w:hint="eastAsia" w:ascii="楷体" w:hAnsi="楷体" w:eastAsia="楷体" w:cs="宋体"/>
          <w:szCs w:val="21"/>
        </w:rPr>
        <w:t xml:space="preserve">合同。</w:t>
      </w:r>
      <w:r/>
    </w:p>
    <w:p>
      <w:pPr>
        <w:pStyle w:val="70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0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1"/>
        <w:ind w:left="120" w:firstLine="36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spacing w:line="0" w:lineRule="atLeast"/>
        <w:rPr>
          <w:rFonts w:hint="eastAsia" w:ascii="宋体" w:hAnsi="宋体"/>
          <w:bCs/>
          <w:color w:val="000000"/>
          <w:sz w:val="24"/>
          <w:szCs w:val="24"/>
        </w:rPr>
      </w:pPr>
      <w:r>
        <w:rPr>
          <w:rFonts w:hint="eastAsia" w:ascii="宋体" w:hAnsi="宋体"/>
          <w:bCs/>
          <w:color w:val="000000"/>
          <w:sz w:val="24"/>
          <w:szCs w:val="24"/>
        </w:rPr>
      </w:r>
      <w:r/>
    </w:p>
    <w:p>
      <w:pPr>
        <w:spacing w:line="0" w:lineRule="atLeast"/>
        <w:rPr>
          <w:rFonts w:hint="eastAsia" w:ascii="宋体" w:hAnsi="宋体"/>
          <w:bCs/>
          <w:color w:val="000000"/>
          <w:sz w:val="24"/>
          <w:szCs w:val="24"/>
        </w:rPr>
      </w:pPr>
      <w:r>
        <w:rPr>
          <w:rFonts w:hint="eastAsia" w:ascii="宋体" w:hAnsi="宋体"/>
          <w:bCs/>
          <w:color w:val="000000"/>
          <w:sz w:val="24"/>
          <w:szCs w:val="24"/>
        </w:rPr>
      </w:r>
      <w:r/>
    </w:p>
    <w:p>
      <w:pPr>
        <w:rPr>
          <w:rFonts w:hint="eastAsia"/>
          <w:color w:val="000000"/>
        </w:rPr>
      </w:pPr>
      <w:r>
        <w:rPr>
          <w:rFonts w:hint="eastAsia"/>
          <w:color w:val="000000"/>
        </w:rPr>
      </w:r>
      <w:r/>
    </w:p>
    <w:p>
      <w:pPr>
        <w:pStyle w:val="856"/>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pStyle w:val="856"/>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941"/>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p>
      <w:pPr>
        <w:pStyle w:val="941"/>
        <w:ind w:firstLine="439"/>
        <w:rPr>
          <w:rFonts w:cs="Arial"/>
          <w:color w:val="000000"/>
        </w:rPr>
      </w:pPr>
      <w:r>
        <w:rPr>
          <w:rFonts w:cs="Arial"/>
          <w:color w:val="000000"/>
        </w:rPr>
      </w:r>
      <w:r/>
    </w:p>
    <w:tbl>
      <w:tblPr>
        <w:tblStyle w:val="68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vMerge w:val="restart"/>
            <w:textDirection w:val="lrTb"/>
            <w:noWrap w:val="false"/>
          </w:tcPr>
          <w:p>
            <w:pPr>
              <w:jc w:val="center"/>
              <w:rPr>
                <w:rFonts w:ascii="宋体" w:hAnsi="宋体"/>
                <w:sz w:val="24"/>
                <w:szCs w:val="24"/>
              </w:rPr>
            </w:pPr>
            <w:r>
              <w:rPr>
                <w:rFonts w:ascii="宋体" w:hAnsi="宋体"/>
                <w:sz w:val="24"/>
                <w:szCs w:val="24"/>
              </w:rPr>
            </w:r>
            <w:r/>
          </w:p>
          <w:p>
            <w:pPr>
              <w:jc w:val="center"/>
              <w:rPr>
                <w:rFonts w:hint="eastAsia" w:ascii="宋体" w:hAnsi="宋体" w:eastAsia="宋体"/>
                <w:sz w:val="24"/>
                <w:szCs w:val="24"/>
                <w:lang w:eastAsia="zh-CN"/>
              </w:rPr>
            </w:pPr>
            <w:r>
              <w:rPr>
                <w:rFonts w:ascii="宋体" w:hAnsi="宋体"/>
                <w:sz w:val="24"/>
                <w:szCs w:val="24"/>
              </w:rPr>
              <w:t xml:space="preserve">3</w:t>
            </w:r>
            <w:r/>
          </w:p>
          <w:p>
            <w:pPr>
              <w:jc w:val="both"/>
              <w:rPr>
                <w:rFonts w:ascii="宋体" w:hAnsi="宋体"/>
                <w:sz w:val="24"/>
                <w:szCs w:val="24"/>
              </w:rPr>
            </w:pPr>
            <w:r>
              <w:rPr>
                <w:rFonts w:ascii="宋体" w:hAnsi="宋体"/>
                <w:sz w:val="24"/>
                <w:szCs w:val="24"/>
              </w:rPr>
            </w:r>
            <w:r/>
          </w:p>
        </w:tc>
        <w:tc>
          <w:tcPr>
            <w:tcW w:w="4618" w:type="dxa"/>
            <w:vAlign w:val="center"/>
            <w:vMerge w:val="restart"/>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2485"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4618"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r>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lang w:val="en-US" w:eastAsia="zh-CN"/>
              </w:rPr>
              <w:t xml:space="preserve">3</w:t>
            </w:r>
            <w:r/>
          </w:p>
        </w:tc>
        <w:tc>
          <w:tcPr>
            <w:tcW w:w="2485"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4618"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r>
    </w:tbl>
    <w:p>
      <w:pPr>
        <w:pStyle w:val="701"/>
        <w:ind w:right="0"/>
        <w:keepLines w:val="0"/>
        <w:keepNext w:val="0"/>
        <w:spacing w:before="120" w:beforeAutospacing="0" w:after="120" w:afterAutospacing="0" w:line="0" w:lineRule="atLeast"/>
        <w:widowControl w:val="off"/>
        <w:rPr>
          <w:rFonts w:hint="eastAsia" w:ascii="Arial" w:hAnsi="Arial" w:eastAsia="宋体" w:cs="Arial"/>
          <w:color w:val="ff0000"/>
          <w:sz w:val="24"/>
          <w:szCs w:val="24"/>
          <w:shd w:val="clear" w:color="auto" w:fill="ffff00"/>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Arial" w:hAnsi="Arial" w:eastAsia="宋体" w:cs="Arial"/>
          <w:color w:val="ff0000"/>
          <w:sz w:val="24"/>
          <w:szCs w:val="24"/>
          <w:shd w:val="clear" w:color="auto" w:fill="ffff00"/>
          <w:lang w:eastAsia="zh-CN"/>
        </w:rPr>
      </w:r>
      <w:r/>
    </w:p>
    <w:p>
      <w:pPr>
        <w:pStyle w:val="941"/>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本项目专门面向中小企业：否</w:t>
      </w:r>
      <w:r/>
    </w:p>
    <w:tbl>
      <w:tblPr>
        <w:tblStyle w:val="68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lang w:val="en-US" w:eastAsia="zh-CN"/>
              </w:rPr>
              <w:t xml:space="preserve">否</w:t>
            </w:r>
            <w:r/>
          </w:p>
        </w:tc>
      </w:tr>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lang w:val="en-US" w:eastAsia="zh-CN"/>
              </w:rPr>
              <w:t xml:space="preserve">3</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lang w:val="en-US" w:eastAsia="zh-CN"/>
              </w:rPr>
              <w:t xml:space="preserve">否</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941"/>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pStyle w:val="941"/>
        <w:ind w:firstLine="482"/>
        <w:spacing w:line="0" w:lineRule="atLeast"/>
        <w:rPr>
          <w:rFonts w:hint="eastAsia"/>
          <w:color w:val="000000"/>
        </w:rPr>
      </w:pPr>
      <w:r>
        <w:rPr>
          <w:rFonts w:hint="eastAsia" w:ascii="宋体" w:hAnsi="宋体"/>
          <w:b/>
          <w:color w:val="000000"/>
        </w:rPr>
        <w:t xml:space="preserve">评标方法与评标标准</w:t>
      </w:r>
      <w:r>
        <w:rPr>
          <w:rFonts w:hint="eastAsia"/>
          <w:color w:val="000000"/>
        </w:rPr>
        <w:t xml:space="preserve"> </w:t>
      </w:r>
      <w:r/>
    </w:p>
    <w:tbl>
      <w:tblPr>
        <w:tblStyle w:val="683"/>
        <w:tblW w:w="9110" w:type="dxa"/>
        <w:tblInd w:w="0" w:type="dxa"/>
        <w:tblLayout w:type="fixed"/>
        <w:tblCellMar>
          <w:left w:w="0" w:type="dxa"/>
          <w:top w:w="0" w:type="dxa"/>
          <w:right w:w="0" w:type="dxa"/>
          <w:bottom w:w="0" w:type="dxa"/>
        </w:tblCellMar>
        <w:tblLook w:val="04A0" w:firstRow="1" w:lastRow="0" w:firstColumn="1" w:lastColumn="0" w:noHBand="0" w:noVBand="1"/>
      </w:tblPr>
      <w:tblGrid>
        <w:gridCol w:w="822"/>
        <w:gridCol w:w="911"/>
        <w:gridCol w:w="6710"/>
        <w:gridCol w:w="667"/>
      </w:tblGrid>
      <w:tr>
        <w:trPr>
          <w:trHeight w:val="120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3" w:type="dxa"/>
            <w:vAlign w:val="center"/>
            <w:textDirection w:val="lrTb"/>
            <w:noWrap w:val="false"/>
          </w:tcPr>
          <w:p>
            <w:pPr>
              <w:ind w:left="420"/>
              <w:spacing w:line="360" w:lineRule="auto"/>
              <w:rPr>
                <w:rFonts w:ascii="楷体" w:hAnsi="楷体" w:eastAsia="楷体" w:cs="宋体"/>
                <w:szCs w:val="21"/>
              </w:rPr>
            </w:pPr>
            <w:r>
              <w:rPr>
                <w:rFonts w:hint="eastAsia" w:ascii="楷体" w:hAnsi="楷体" w:eastAsia="楷体" w:cs="宋体"/>
                <w:szCs w:val="21"/>
              </w:rPr>
              <w:t xml:space="preserve">报价得分</w:t>
            </w:r>
            <w:r>
              <w:rPr>
                <w:rFonts w:hint="eastAsia" w:ascii="楷体" w:hAnsi="楷体" w:eastAsia="楷体" w:cs="宋体"/>
                <w:szCs w:val="21"/>
              </w:rPr>
              <w:br/>
            </w:r>
            <w:r>
              <w:rPr>
                <w:rFonts w:hint="eastAsia" w:ascii="楷体" w:hAnsi="楷体" w:eastAsia="楷体" w:cs="宋体"/>
                <w:szCs w:val="21"/>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vAlign w:val="center"/>
            <w:textDirection w:val="lrTb"/>
            <w:noWrap w:val="false"/>
          </w:tcPr>
          <w:p>
            <w:pPr>
              <w:spacing w:line="360" w:lineRule="auto"/>
              <w:rPr>
                <w:rFonts w:hint="eastAsia" w:ascii="楷体" w:hAnsi="楷体" w:eastAsia="楷体" w:cs="宋体"/>
                <w:szCs w:val="21"/>
              </w:rPr>
            </w:pPr>
            <w:r>
              <w:rPr>
                <w:rFonts w:hint="eastAsia" w:ascii="楷体" w:hAnsi="楷体" w:eastAsia="楷体" w:cs="宋体"/>
                <w:szCs w:val="21"/>
              </w:rPr>
              <w:t xml:space="preserve">以满足采购文件要求的最低投标报价为评标基准价，得满分10分，其他投标报价得分=（评标基准价/其他投标报价）</w:t>
            </w:r>
            <w:bookmarkStart w:id="199" w:name="_GoBack"/>
            <w:r/>
            <w:bookmarkEnd w:id="199"/>
            <w:r>
              <w:rPr>
                <w:rFonts w:hint="eastAsia" w:ascii="楷体" w:hAnsi="楷体" w:eastAsia="楷体" w:cs="宋体"/>
                <w:szCs w:val="21"/>
              </w:rPr>
              <w:t xml:space="preserve">×10×100%。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jc w:val="center"/>
              <w:spacing w:line="360" w:lineRule="auto"/>
              <w:rPr>
                <w:rFonts w:ascii="楷体" w:hAnsi="楷体" w:eastAsia="楷体" w:cs="宋体"/>
                <w:szCs w:val="21"/>
              </w:rPr>
            </w:pPr>
            <w:r>
              <w:rPr>
                <w:rFonts w:hint="eastAsia" w:ascii="楷体" w:hAnsi="楷体" w:eastAsia="楷体" w:cs="宋体"/>
                <w:szCs w:val="21"/>
              </w:rPr>
              <w:t xml:space="preserve">10</w:t>
            </w:r>
            <w:r/>
          </w:p>
        </w:tc>
      </w:tr>
      <w:tr>
        <w:trPr>
          <w:trHeight w:val="1422"/>
        </w:trPr>
        <w:tc>
          <w:tcPr>
            <w:tcBorders>
              <w:top w:val="none" w:color="000000" w:sz="4" w:space="0"/>
              <w:left w:val="single" w:color="000000" w:sz="4" w:space="0"/>
              <w:bottom w:val="none" w:color="000000" w:sz="4" w:space="0"/>
              <w:right w:val="single" w:color="000000" w:sz="4" w:space="0"/>
            </w:tcBorders>
            <w:tcMar>
              <w:left w:w="15" w:type="dxa"/>
              <w:top w:w="15" w:type="dxa"/>
              <w:right w:w="15" w:type="dxa"/>
              <w:bottom w:w="0" w:type="dxa"/>
            </w:tcMar>
            <w:tcW w:w="822" w:type="dxa"/>
            <w:vAlign w:val="center"/>
            <w:vMerge w:val="restart"/>
            <w:textDirection w:val="lrTb"/>
            <w:noWrap w:val="false"/>
          </w:tcPr>
          <w:p>
            <w:pPr>
              <w:spacing w:line="360" w:lineRule="auto"/>
              <w:rPr>
                <w:rFonts w:ascii="楷体" w:hAnsi="楷体" w:eastAsia="楷体" w:cs="宋体"/>
                <w:szCs w:val="21"/>
              </w:rPr>
            </w:pPr>
            <w:r>
              <w:rPr>
                <w:rFonts w:hint="eastAsia" w:ascii="楷体" w:hAnsi="楷体" w:eastAsia="楷体" w:cs="宋体"/>
                <w:szCs w:val="21"/>
              </w:rPr>
              <w:t xml:space="preserve">综合实力（40分）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val="false"/>
          </w:tcPr>
          <w:p>
            <w:pPr>
              <w:spacing w:line="360" w:lineRule="auto"/>
              <w:rPr>
                <w:rFonts w:ascii="楷体" w:hAnsi="楷体" w:eastAsia="楷体" w:cs="宋体"/>
                <w:szCs w:val="21"/>
              </w:rPr>
            </w:pPr>
            <w:r>
              <w:rPr>
                <w:rFonts w:hint="eastAsia" w:ascii="楷体" w:hAnsi="楷体" w:eastAsia="楷体" w:cs="宋体"/>
                <w:szCs w:val="21"/>
              </w:rPr>
              <w:t xml:space="preserve">体系认证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vAlign w:val="center"/>
            <w:textDirection w:val="lrTb"/>
            <w:noWrap w:val="false"/>
          </w:tcPr>
          <w:p>
            <w:pPr>
              <w:spacing w:line="360" w:lineRule="auto"/>
              <w:rPr>
                <w:rFonts w:ascii="楷体" w:hAnsi="楷体" w:eastAsia="楷体" w:cs="宋体"/>
                <w:szCs w:val="21"/>
              </w:rPr>
            </w:pPr>
            <w:r>
              <w:rPr>
                <w:rFonts w:hint="eastAsia" w:ascii="楷体" w:hAnsi="楷体" w:eastAsia="楷体" w:cs="宋体"/>
                <w:szCs w:val="21"/>
              </w:rPr>
              <w:t xml:space="preserve">投标人具有在有效期内的3A级及以上养老服务认证证书、质量管理体系认证证书、职业健康安全管理体系认证证书、环境管理体系认证证书的，有一项得1分，最高得4分（提供认证证书原件和国家认监委官网查询截图扫描后上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jc w:val="center"/>
              <w:spacing w:line="360" w:lineRule="auto"/>
              <w:rPr>
                <w:rFonts w:ascii="楷体" w:hAnsi="楷体" w:eastAsia="楷体" w:cs="宋体"/>
                <w:szCs w:val="21"/>
              </w:rPr>
            </w:pPr>
            <w:r>
              <w:rPr>
                <w:rFonts w:hint="eastAsia" w:ascii="楷体" w:hAnsi="楷体" w:eastAsia="楷体" w:cs="宋体"/>
                <w:szCs w:val="21"/>
              </w:rPr>
              <w:t xml:space="preserve">4</w:t>
            </w:r>
            <w:r/>
          </w:p>
        </w:tc>
      </w:tr>
      <w:tr>
        <w:trPr>
          <w:trHeight w:val="1284"/>
        </w:trPr>
        <w:tc>
          <w:tcPr>
            <w:shd w:val="clear" w:color="auto" w:fill="auto"/>
            <w:tcBorders>
              <w:top w:val="none" w:color="000000" w:sz="4" w:space="0"/>
              <w:left w:val="single" w:color="000000" w:sz="4" w:space="0"/>
              <w:bottom w:val="none" w:color="000000" w:sz="4" w:space="0"/>
              <w:right w:val="single" w:color="000000" w:sz="4" w:space="0"/>
            </w:tcBorders>
            <w:tcW w:w="822" w:type="dxa"/>
            <w:vAlign w:val="center"/>
            <w:vMerge w:val="continue"/>
            <w:textDirection w:val="lrTb"/>
            <w:noWrap w:val="false"/>
          </w:tcPr>
          <w:p>
            <w:pPr>
              <w:jc w:val="left"/>
              <w:spacing w:line="360" w:lineRule="auto"/>
              <w:widowControl/>
              <w:rPr>
                <w:rFonts w:ascii="楷体" w:hAnsi="楷体" w:eastAsia="楷体" w:cs="宋体"/>
                <w:szCs w:val="21"/>
              </w:rPr>
            </w:pPr>
            <w:r>
              <w:rPr>
                <w:rFonts w:ascii="楷体" w:hAnsi="楷体" w:eastAsia="楷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val="false"/>
          </w:tcPr>
          <w:p>
            <w:pPr>
              <w:spacing w:line="360" w:lineRule="auto"/>
              <w:rPr>
                <w:rFonts w:ascii="楷体" w:hAnsi="楷体" w:eastAsia="楷体" w:cs="宋体"/>
                <w:szCs w:val="21"/>
              </w:rPr>
            </w:pPr>
            <w:r>
              <w:rPr>
                <w:rFonts w:hint="eastAsia" w:ascii="楷体" w:hAnsi="楷体" w:eastAsia="楷体" w:cs="宋体"/>
                <w:szCs w:val="21"/>
              </w:rPr>
              <w:t xml:space="preserve">社会荣誉</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vAlign w:val="center"/>
            <w:textDirection w:val="lrTb"/>
            <w:noWrap w:val="false"/>
          </w:tcPr>
          <w:p>
            <w:pPr>
              <w:spacing w:line="360" w:lineRule="auto"/>
              <w:rPr>
                <w:rFonts w:hint="eastAsia" w:ascii="楷体" w:hAnsi="楷体" w:eastAsia="楷体" w:cs="宋体"/>
                <w:szCs w:val="21"/>
              </w:rPr>
            </w:pPr>
            <w:r>
              <w:rPr>
                <w:rFonts w:hint="eastAsia" w:ascii="楷体" w:hAnsi="楷体" w:eastAsia="楷体" w:cs="宋体"/>
                <w:szCs w:val="21"/>
              </w:rPr>
              <w:t xml:space="preserve">投标人或其员工自2022年1月1日以来获得政府等相关行政部门颁发荣誉的有一项得</w:t>
            </w:r>
            <w:r>
              <w:rPr>
                <w:rFonts w:hint="eastAsia" w:ascii="楷体" w:hAnsi="楷体" w:eastAsia="楷体" w:cs="宋体"/>
                <w:szCs w:val="21"/>
                <w:lang w:val="en-US" w:eastAsia="zh-CN"/>
              </w:rPr>
              <w:t xml:space="preserve">1</w:t>
            </w:r>
            <w:r>
              <w:rPr>
                <w:rFonts w:hint="eastAsia" w:ascii="楷体" w:hAnsi="楷体" w:eastAsia="楷体" w:cs="宋体"/>
                <w:szCs w:val="21"/>
              </w:rPr>
              <w:t xml:space="preserve">分，本项总计最高得</w:t>
            </w:r>
            <w:r>
              <w:rPr>
                <w:rFonts w:hint="eastAsia" w:ascii="楷体" w:hAnsi="楷体" w:eastAsia="楷体" w:cs="宋体"/>
                <w:szCs w:val="21"/>
                <w:lang w:val="en-US" w:eastAsia="zh-CN"/>
              </w:rPr>
              <w:t xml:space="preserve">3</w:t>
            </w:r>
            <w:r>
              <w:rPr>
                <w:rFonts w:hint="eastAsia" w:ascii="楷体" w:hAnsi="楷体" w:eastAsia="楷体" w:cs="宋体"/>
                <w:szCs w:val="21"/>
              </w:rPr>
              <w:t xml:space="preserve">分。（提供相关证明材料原件扫描后上传）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jc w:val="center"/>
              <w:spacing w:line="360" w:lineRule="auto"/>
              <w:rPr>
                <w:rFonts w:hint="eastAsia" w:ascii="楷体" w:hAnsi="楷体" w:eastAsia="楷体" w:cs="宋体"/>
                <w:szCs w:val="21"/>
                <w:lang w:eastAsia="zh-CN"/>
              </w:rPr>
            </w:pPr>
            <w:r>
              <w:rPr>
                <w:rFonts w:hint="eastAsia" w:ascii="楷体" w:hAnsi="楷体" w:eastAsia="楷体" w:cs="宋体"/>
                <w:szCs w:val="21"/>
                <w:lang w:val="en-US" w:eastAsia="zh-CN"/>
              </w:rPr>
              <w:t xml:space="preserve">3</w:t>
            </w:r>
            <w:r/>
          </w:p>
        </w:tc>
      </w:tr>
      <w:tr>
        <w:trPr>
          <w:trHeight w:val="650"/>
        </w:trPr>
        <w:tc>
          <w:tcPr>
            <w:tcBorders>
              <w:top w:val="none" w:color="000000" w:sz="4" w:space="0"/>
              <w:left w:val="single" w:color="000000" w:sz="4" w:space="0"/>
              <w:bottom w:val="none" w:color="000000" w:sz="4" w:space="0"/>
              <w:right w:val="single" w:color="000000" w:sz="4" w:space="0"/>
            </w:tcBorders>
            <w:tcW w:w="822" w:type="dxa"/>
            <w:vAlign w:val="center"/>
            <w:vMerge w:val="continue"/>
            <w:textDirection w:val="lrTb"/>
            <w:noWrap w:val="false"/>
          </w:tcPr>
          <w:p>
            <w:pPr>
              <w:jc w:val="left"/>
              <w:spacing w:line="360" w:lineRule="auto"/>
              <w:widowControl/>
              <w:rPr>
                <w:rFonts w:ascii="楷体" w:hAnsi="楷体" w:eastAsia="楷体" w:cs="宋体"/>
                <w:szCs w:val="21"/>
              </w:rPr>
            </w:pPr>
            <w:r>
              <w:rPr>
                <w:rFonts w:ascii="楷体" w:hAnsi="楷体" w:eastAsia="楷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val="false"/>
          </w:tcPr>
          <w:p>
            <w:pPr>
              <w:jc w:val="center"/>
              <w:rPr>
                <w:rFonts w:hint="eastAsia" w:ascii="楷体" w:hAnsi="楷体" w:eastAsia="楷体" w:cs="宋体"/>
                <w:szCs w:val="21"/>
              </w:rPr>
            </w:pPr>
            <w:r>
              <w:rPr>
                <w:rFonts w:hint="eastAsia" w:ascii="楷体" w:hAnsi="楷体" w:eastAsia="楷体" w:cs="宋体"/>
                <w:szCs w:val="21"/>
              </w:rPr>
              <w:t xml:space="preserve">人员培训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vAlign w:val="center"/>
            <w:textDirection w:val="lrTb"/>
            <w:noWrap w:val="false"/>
          </w:tcPr>
          <w:p>
            <w:pPr>
              <w:spacing w:line="360" w:lineRule="auto"/>
              <w:rPr>
                <w:rFonts w:ascii="楷体" w:hAnsi="楷体" w:eastAsia="楷体" w:cs="宋体"/>
                <w:szCs w:val="21"/>
              </w:rPr>
            </w:pPr>
            <w:r>
              <w:rPr>
                <w:rFonts w:hint="eastAsia" w:ascii="楷体" w:hAnsi="楷体" w:eastAsia="楷体" w:cs="宋体"/>
                <w:color w:val="auto"/>
                <w:szCs w:val="21"/>
              </w:rPr>
              <w:t xml:space="preserve">投标人与高校或养老专业培训机构有长期合作协议，并定期为助老员开展培训的得3分。（提供合作协议和培训记录等相关证明文件原件扫描后上传。）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jc w:val="center"/>
              <w:rPr>
                <w:rFonts w:hint="eastAsia" w:ascii="楷体" w:hAnsi="楷体" w:eastAsia="楷体" w:cs="宋体"/>
                <w:szCs w:val="21"/>
              </w:rPr>
            </w:pPr>
            <w:r>
              <w:rPr>
                <w:rFonts w:hint="eastAsia" w:ascii="楷体" w:hAnsi="楷体" w:eastAsia="楷体" w:cs="宋体"/>
                <w:szCs w:val="21"/>
              </w:rPr>
              <w:t xml:space="preserve">3</w:t>
            </w:r>
            <w:r/>
          </w:p>
        </w:tc>
      </w:tr>
      <w:tr>
        <w:trPr>
          <w:trHeight w:val="650"/>
        </w:trPr>
        <w:tc>
          <w:tcPr>
            <w:tcBorders>
              <w:top w:val="none" w:color="000000" w:sz="4" w:space="0"/>
              <w:left w:val="single" w:color="000000" w:sz="4" w:space="0"/>
              <w:bottom w:val="none" w:color="000000" w:sz="4" w:space="0"/>
              <w:right w:val="single" w:color="000000" w:sz="4" w:space="0"/>
            </w:tcBorders>
            <w:tcW w:w="822" w:type="dxa"/>
            <w:vAlign w:val="center"/>
            <w:vMerge w:val="continue"/>
            <w:textDirection w:val="lrTb"/>
            <w:noWrap w:val="false"/>
          </w:tcPr>
          <w:p>
            <w:pPr>
              <w:jc w:val="left"/>
              <w:spacing w:line="360" w:lineRule="auto"/>
              <w:widowControl/>
              <w:rPr>
                <w:rFonts w:ascii="楷体" w:hAnsi="楷体" w:eastAsia="楷体" w:cs="宋体"/>
                <w:szCs w:val="21"/>
              </w:rPr>
            </w:pPr>
            <w:r>
              <w:rPr>
                <w:rFonts w:ascii="楷体" w:hAnsi="楷体" w:eastAsia="楷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val="false"/>
          </w:tcPr>
          <w:p>
            <w:pPr>
              <w:spacing w:line="360" w:lineRule="auto"/>
              <w:rPr>
                <w:rFonts w:ascii="楷体" w:hAnsi="楷体" w:eastAsia="楷体" w:cs="宋体"/>
                <w:color w:val="auto"/>
                <w:szCs w:val="21"/>
              </w:rPr>
            </w:pPr>
            <w:r>
              <w:rPr>
                <w:rFonts w:hint="eastAsia" w:ascii="楷体" w:hAnsi="楷体" w:eastAsia="楷体" w:cs="宋体"/>
                <w:color w:val="auto"/>
                <w:szCs w:val="21"/>
              </w:rPr>
              <w:t xml:space="preserve">人员配置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vAlign w:val="center"/>
            <w:textDirection w:val="lrTb"/>
            <w:noWrap w:val="false"/>
          </w:tcPr>
          <w:p>
            <w:pPr>
              <w:pStyle w:val="717"/>
              <w:ind w:left="0" w:firstLine="0"/>
              <w:rPr>
                <w:rFonts w:hint="eastAsia" w:ascii="楷体" w:hAnsi="楷体" w:eastAsia="楷体" w:cs="宋体"/>
                <w:color w:val="auto"/>
                <w:sz w:val="21"/>
              </w:rPr>
            </w:pPr>
            <w:r>
              <w:rPr>
                <w:rFonts w:hint="eastAsia" w:ascii="楷体" w:hAnsi="楷体" w:eastAsia="楷体" w:cs="宋体"/>
                <w:color w:val="auto"/>
                <w:sz w:val="21"/>
              </w:rPr>
              <w:t xml:space="preserve">1、拟派项目负责人资格：本项最高得</w:t>
            </w:r>
            <w:r>
              <w:rPr>
                <w:rFonts w:hint="eastAsia" w:ascii="楷体" w:hAnsi="楷体" w:eastAsia="楷体" w:cs="宋体"/>
                <w:color w:val="auto"/>
                <w:sz w:val="21"/>
                <w:lang w:val="en-US" w:eastAsia="zh-CN"/>
              </w:rPr>
              <w:t xml:space="preserve">6</w:t>
            </w:r>
            <w:r>
              <w:rPr>
                <w:rFonts w:hint="eastAsia" w:ascii="楷体" w:hAnsi="楷体" w:eastAsia="楷体" w:cs="宋体"/>
                <w:color w:val="auto"/>
                <w:sz w:val="21"/>
              </w:rPr>
              <w:t xml:space="preserve">分。</w:t>
            </w:r>
            <w:r/>
          </w:p>
          <w:p>
            <w:pPr>
              <w:spacing w:line="360" w:lineRule="auto"/>
              <w:rPr>
                <w:rFonts w:hint="eastAsia" w:ascii="楷体" w:hAnsi="楷体" w:eastAsia="楷体" w:cs="宋体"/>
                <w:color w:val="auto"/>
                <w:szCs w:val="21"/>
              </w:rPr>
            </w:pPr>
            <w:r>
              <w:rPr>
                <w:rFonts w:hint="eastAsia" w:ascii="楷体" w:hAnsi="楷体" w:eastAsia="楷体" w:cs="宋体"/>
                <w:color w:val="auto"/>
                <w:szCs w:val="21"/>
              </w:rPr>
              <w:t xml:space="preserve">拟派项目负责人管理运营过政府购买居家养老服务项目，有1个得2分，最高6分。</w:t>
            </w:r>
            <w:r/>
          </w:p>
          <w:p>
            <w:pPr>
              <w:spacing w:line="360" w:lineRule="auto"/>
              <w:rPr>
                <w:rFonts w:ascii="楷体" w:hAnsi="楷体" w:eastAsia="楷体" w:cs="宋体"/>
                <w:color w:val="auto"/>
                <w:szCs w:val="21"/>
              </w:rPr>
            </w:pPr>
            <w:r>
              <w:rPr>
                <w:rFonts w:hint="eastAsia" w:ascii="楷体" w:hAnsi="楷体" w:eastAsia="楷体" w:cs="宋体"/>
                <w:color w:val="auto"/>
                <w:szCs w:val="21"/>
              </w:rPr>
              <w:t xml:space="preserve">（提供相应证明材料和投标人为其缴纳的近三个月任意一个月社保及其他证明材料原件扫描后上传）。</w:t>
            </w:r>
            <w:r>
              <w:rPr>
                <w:rFonts w:hint="eastAsia" w:ascii="楷体" w:hAnsi="楷体" w:eastAsia="楷体" w:cs="宋体"/>
                <w:color w:val="auto"/>
                <w:szCs w:val="21"/>
              </w:rPr>
              <w:br/>
            </w:r>
            <w:r>
              <w:rPr>
                <w:rFonts w:hint="eastAsia" w:ascii="楷体" w:hAnsi="楷体" w:eastAsia="楷体" w:cs="宋体"/>
                <w:color w:val="auto"/>
                <w:szCs w:val="21"/>
              </w:rPr>
              <w:t xml:space="preserve">2、项目团队人员配备资格：本项最高得</w:t>
            </w:r>
            <w:r>
              <w:rPr>
                <w:rFonts w:hint="eastAsia" w:ascii="楷体" w:hAnsi="楷体" w:eastAsia="楷体" w:cs="宋体"/>
                <w:color w:val="auto"/>
                <w:szCs w:val="21"/>
                <w:lang w:val="en-US" w:eastAsia="zh-CN"/>
              </w:rPr>
              <w:t xml:space="preserve">10</w:t>
            </w:r>
            <w:r>
              <w:rPr>
                <w:rFonts w:hint="eastAsia" w:ascii="楷体" w:hAnsi="楷体" w:eastAsia="楷体" w:cs="宋体"/>
                <w:color w:val="auto"/>
                <w:szCs w:val="21"/>
              </w:rPr>
              <w:t xml:space="preserve">分</w:t>
            </w:r>
            <w:r>
              <w:rPr>
                <w:rFonts w:hint="eastAsia" w:ascii="楷体" w:hAnsi="楷体" w:eastAsia="楷体" w:cs="宋体"/>
                <w:color w:val="auto"/>
                <w:szCs w:val="21"/>
              </w:rPr>
              <w:br/>
            </w:r>
            <w:r>
              <w:rPr>
                <w:rFonts w:hint="eastAsia" w:ascii="楷体" w:hAnsi="楷体" w:eastAsia="楷体" w:cs="宋体"/>
                <w:color w:val="auto"/>
                <w:szCs w:val="21"/>
                <w:lang w:val="en-US" w:eastAsia="zh-CN"/>
              </w:rPr>
              <w:t xml:space="preserve">每具有一名</w:t>
            </w:r>
            <w:r>
              <w:rPr>
                <w:rFonts w:hint="eastAsia" w:ascii="楷体" w:hAnsi="楷体" w:eastAsia="楷体" w:cs="宋体"/>
                <w:color w:val="auto"/>
                <w:szCs w:val="21"/>
              </w:rPr>
              <w:t xml:space="preserve">社会工作</w:t>
            </w:r>
            <w:r>
              <w:rPr>
                <w:rFonts w:hint="eastAsia" w:ascii="楷体" w:hAnsi="楷体" w:eastAsia="楷体" w:cs="宋体"/>
                <w:color w:val="auto"/>
                <w:szCs w:val="21"/>
                <w:lang w:val="en-US" w:eastAsia="zh-CN"/>
              </w:rPr>
              <w:t xml:space="preserve">师</w:t>
            </w:r>
            <w:r>
              <w:rPr>
                <w:rFonts w:hint="eastAsia" w:ascii="楷体" w:hAnsi="楷体" w:eastAsia="楷体" w:cs="宋体"/>
                <w:color w:val="auto"/>
                <w:szCs w:val="21"/>
              </w:rPr>
              <w:t xml:space="preserve">、养老护理</w:t>
            </w:r>
            <w:r>
              <w:rPr>
                <w:rFonts w:hint="eastAsia" w:ascii="楷体" w:hAnsi="楷体" w:eastAsia="楷体" w:cs="宋体"/>
                <w:color w:val="auto"/>
                <w:szCs w:val="21"/>
                <w:lang w:val="en-US" w:eastAsia="zh-CN"/>
              </w:rPr>
              <w:t xml:space="preserve">师</w:t>
            </w:r>
            <w:r>
              <w:rPr>
                <w:rFonts w:hint="eastAsia" w:ascii="楷体" w:hAnsi="楷体" w:eastAsia="楷体" w:cs="宋体"/>
                <w:color w:val="auto"/>
                <w:szCs w:val="21"/>
              </w:rPr>
              <w:t xml:space="preserve">、健康管理师、公共营养师、老年人能力评估师、</w:t>
            </w:r>
            <w:r>
              <w:rPr>
                <w:rFonts w:hint="eastAsia" w:ascii="楷体" w:hAnsi="楷体" w:eastAsia="楷体" w:cs="宋体"/>
                <w:color w:val="auto"/>
                <w:szCs w:val="21"/>
                <w:lang w:val="en-US" w:eastAsia="zh-CN"/>
              </w:rPr>
              <w:t xml:space="preserve">医生、护士、药师、康复治疗师（康复医学治疗技术）、心理咨询师的</w:t>
            </w:r>
            <w:r>
              <w:rPr>
                <w:rFonts w:hint="eastAsia" w:ascii="楷体" w:hAnsi="楷体" w:eastAsia="楷体" w:cs="宋体"/>
                <w:color w:val="auto"/>
                <w:szCs w:val="21"/>
              </w:rPr>
              <w:t xml:space="preserve">得1分</w:t>
            </w:r>
            <w:r>
              <w:rPr>
                <w:rFonts w:hint="eastAsia" w:ascii="楷体" w:hAnsi="楷体" w:eastAsia="楷体" w:cs="宋体"/>
                <w:color w:val="auto"/>
                <w:szCs w:val="21"/>
                <w:lang w:eastAsia="zh-CN"/>
              </w:rPr>
              <w:t xml:space="preserve">，</w:t>
            </w:r>
            <w:r>
              <w:rPr>
                <w:rFonts w:hint="eastAsia" w:ascii="楷体" w:hAnsi="楷体" w:eastAsia="楷体" w:cs="宋体"/>
                <w:color w:val="auto"/>
                <w:szCs w:val="21"/>
                <w:lang w:val="en-US" w:eastAsia="zh-CN"/>
              </w:rPr>
              <w:t xml:space="preserve">最高得10分。</w:t>
            </w:r>
            <w:r>
              <w:rPr>
                <w:rFonts w:ascii="楷体" w:hAnsi="楷体" w:eastAsia="楷体"/>
                <w:color w:val="auto"/>
              </w:rPr>
              <w:t xml:space="preserve">1</w:t>
            </w:r>
            <w:r>
              <w:rPr>
                <w:rFonts w:hint="eastAsia" w:ascii="楷体" w:hAnsi="楷体" w:eastAsia="楷体"/>
                <w:color w:val="auto"/>
              </w:rPr>
              <w:t xml:space="preserve">人持多种证书不重复计分</w:t>
            </w:r>
            <w:r>
              <w:rPr>
                <w:rFonts w:hint="eastAsia" w:ascii="楷体" w:hAnsi="楷体" w:eastAsia="楷体" w:cs="宋体"/>
                <w:color w:val="auto"/>
                <w:szCs w:val="21"/>
              </w:rPr>
              <w:t xml:space="preserve">。（提供人社、卫健等相关部门或评价机构颁发的证书原件和投标人为其缴纳的近三个月任意一个月社保及其他证明材料原件扫描后上传。离退休人员需提供退休证原件和聘用合同原件扫描上传）。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jc w:val="center"/>
              <w:spacing w:line="360" w:lineRule="auto"/>
              <w:rPr>
                <w:rFonts w:hint="default" w:ascii="楷体" w:hAnsi="楷体" w:eastAsia="楷体" w:cs="宋体"/>
                <w:szCs w:val="21"/>
                <w:lang w:val="en-US" w:eastAsia="zh-CN"/>
              </w:rPr>
            </w:pPr>
            <w:r>
              <w:rPr>
                <w:rFonts w:hint="eastAsia" w:ascii="楷体" w:hAnsi="楷体" w:eastAsia="楷体" w:cs="宋体"/>
                <w:szCs w:val="21"/>
                <w:lang w:val="en-US" w:eastAsia="zh-CN"/>
              </w:rPr>
              <w:t xml:space="preserve">16</w:t>
            </w:r>
            <w:r/>
          </w:p>
        </w:tc>
      </w:tr>
      <w:tr>
        <w:trPr>
          <w:trHeight w:val="968"/>
        </w:trPr>
        <w:tc>
          <w:tcPr>
            <w:tcBorders>
              <w:top w:val="none" w:color="000000" w:sz="4" w:space="0"/>
              <w:left w:val="single" w:color="000000" w:sz="4" w:space="0"/>
              <w:bottom w:val="none" w:color="000000" w:sz="4" w:space="0"/>
              <w:right w:val="single" w:color="000000" w:sz="4" w:space="0"/>
            </w:tcBorders>
            <w:tcW w:w="822" w:type="dxa"/>
            <w:vAlign w:val="center"/>
            <w:vMerge w:val="continue"/>
            <w:textDirection w:val="lrTb"/>
            <w:noWrap w:val="false"/>
          </w:tcPr>
          <w:p>
            <w:pPr>
              <w:jc w:val="left"/>
              <w:spacing w:line="360" w:lineRule="auto"/>
              <w:widowControl/>
              <w:rPr>
                <w:rFonts w:ascii="楷体" w:hAnsi="楷体" w:eastAsia="楷体" w:cs="宋体"/>
                <w:szCs w:val="21"/>
              </w:rPr>
            </w:pPr>
            <w:r>
              <w:rPr>
                <w:rFonts w:ascii="楷体" w:hAnsi="楷体" w:eastAsia="楷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val="false"/>
          </w:tcPr>
          <w:p>
            <w:pPr>
              <w:spacing w:line="360" w:lineRule="auto"/>
              <w:rPr>
                <w:rFonts w:ascii="楷体" w:hAnsi="楷体" w:eastAsia="楷体" w:cs="宋体"/>
                <w:szCs w:val="21"/>
              </w:rPr>
            </w:pPr>
            <w:r>
              <w:rPr>
                <w:rFonts w:hint="eastAsia" w:ascii="楷体" w:hAnsi="楷体" w:eastAsia="楷体" w:cs="宋体"/>
                <w:szCs w:val="21"/>
              </w:rPr>
              <w:t xml:space="preserve">医养结合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vAlign w:val="center"/>
            <w:textDirection w:val="lrTb"/>
            <w:noWrap w:val="false"/>
          </w:tcPr>
          <w:p>
            <w:pPr>
              <w:spacing w:line="360" w:lineRule="auto"/>
              <w:rPr>
                <w:rFonts w:ascii="楷体" w:hAnsi="楷体" w:eastAsia="楷体" w:cs="宋体"/>
                <w:szCs w:val="21"/>
              </w:rPr>
            </w:pPr>
            <w:r>
              <w:rPr>
                <w:rFonts w:hint="eastAsia" w:ascii="楷体" w:hAnsi="楷体" w:eastAsia="楷体" w:cs="宋体"/>
                <w:szCs w:val="21"/>
              </w:rPr>
              <w:t xml:space="preserve">投标人具有健全的医养结合服务体系，</w:t>
            </w:r>
            <w:r>
              <w:rPr>
                <w:rFonts w:hint="eastAsia" w:ascii="楷体" w:hAnsi="楷体" w:eastAsia="楷体" w:cs="宋体"/>
                <w:color w:val="auto"/>
                <w:szCs w:val="21"/>
              </w:rPr>
              <w:t xml:space="preserve">需至少与</w:t>
            </w:r>
            <w:r>
              <w:rPr>
                <w:rFonts w:hint="default" w:ascii="楷体" w:hAnsi="楷体" w:eastAsia="楷体" w:cs="宋体"/>
                <w:color w:val="auto"/>
                <w:szCs w:val="21"/>
                <w:lang w:val="en-US"/>
              </w:rPr>
              <w:t xml:space="preserve">本地</w:t>
            </w:r>
            <w:r>
              <w:rPr>
                <w:rFonts w:hint="eastAsia" w:ascii="楷体" w:hAnsi="楷体" w:eastAsia="楷体" w:cs="宋体"/>
                <w:color w:val="auto"/>
                <w:szCs w:val="21"/>
              </w:rPr>
              <w:t xml:space="preserve">一家医院签订合作协议，</w:t>
            </w:r>
            <w:r>
              <w:rPr>
                <w:rFonts w:hint="eastAsia" w:ascii="楷体" w:hAnsi="楷体" w:eastAsia="楷体" w:cs="宋体"/>
                <w:szCs w:val="21"/>
              </w:rPr>
              <w:t xml:space="preserve">该医院可为老年人提供但不限于如下服务：为老年人提供就医绿色通道等优先优惠服务；老年人健康管理服务；慢性病的干预与治疗服务；远程医疗指导服务；推荐转诊服务等。有1项得1分，本项最多5分（提供协议等相关证明材料原件扫描后上传）。</w:t>
            </w:r>
            <w:r>
              <w:rPr>
                <w:rFonts w:hint="eastAsia" w:ascii="楷体" w:hAnsi="楷体" w:eastAsia="楷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jc w:val="center"/>
              <w:spacing w:line="360" w:lineRule="auto"/>
              <w:rPr>
                <w:rFonts w:ascii="楷体" w:hAnsi="楷体" w:eastAsia="楷体" w:cs="宋体"/>
                <w:szCs w:val="21"/>
              </w:rPr>
            </w:pPr>
            <w:r>
              <w:rPr>
                <w:rFonts w:hint="eastAsia" w:ascii="楷体" w:hAnsi="楷体" w:eastAsia="楷体" w:cs="宋体"/>
                <w:szCs w:val="21"/>
              </w:rPr>
              <w:t xml:space="preserve">5</w:t>
            </w:r>
            <w:r/>
          </w:p>
        </w:tc>
      </w:tr>
      <w:tr>
        <w:trPr>
          <w:trHeight w:val="968"/>
        </w:trPr>
        <w:tc>
          <w:tcPr>
            <w:tcBorders>
              <w:top w:val="none" w:color="000000" w:sz="4" w:space="0"/>
              <w:left w:val="single" w:color="000000" w:sz="4" w:space="0"/>
              <w:bottom w:val="none" w:color="000000" w:sz="4" w:space="0"/>
              <w:right w:val="single" w:color="000000" w:sz="4" w:space="0"/>
            </w:tcBorders>
            <w:tcW w:w="822" w:type="dxa"/>
            <w:vAlign w:val="center"/>
            <w:textDirection w:val="lrTb"/>
            <w:noWrap w:val="false"/>
          </w:tcPr>
          <w:p>
            <w:pPr>
              <w:jc w:val="left"/>
              <w:spacing w:line="360" w:lineRule="auto"/>
              <w:widowControl/>
              <w:rPr>
                <w:rFonts w:ascii="楷体" w:hAnsi="楷体" w:eastAsia="楷体" w:cs="宋体"/>
                <w:szCs w:val="21"/>
              </w:rPr>
            </w:pPr>
            <w:r>
              <w:rPr>
                <w:rFonts w:ascii="楷体" w:hAnsi="楷体" w:eastAsia="楷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val="false"/>
          </w:tcPr>
          <w:p>
            <w:pPr>
              <w:spacing w:line="360" w:lineRule="auto"/>
              <w:rPr>
                <w:rFonts w:hint="eastAsia" w:ascii="楷体" w:hAnsi="楷体" w:eastAsia="楷体" w:cs="宋体"/>
                <w:szCs w:val="21"/>
              </w:rPr>
            </w:pPr>
            <w:r>
              <w:rPr>
                <w:rFonts w:hint="eastAsia" w:ascii="楷体" w:hAnsi="楷体" w:eastAsia="楷体" w:cs="宋体"/>
                <w:szCs w:val="21"/>
              </w:rPr>
              <w:t xml:space="preserve">类似业绩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vAlign w:val="center"/>
            <w:textDirection w:val="lrTb"/>
            <w:noWrap w:val="false"/>
          </w:tcPr>
          <w:p>
            <w:pPr>
              <w:spacing w:line="360" w:lineRule="auto"/>
              <w:rPr>
                <w:rFonts w:hint="eastAsia" w:ascii="楷体" w:hAnsi="楷体" w:eastAsia="楷体" w:cs="宋体"/>
                <w:szCs w:val="21"/>
              </w:rPr>
            </w:pPr>
            <w:r>
              <w:rPr>
                <w:rFonts w:hint="eastAsia" w:ascii="楷体" w:hAnsi="楷体" w:eastAsia="楷体" w:cs="宋体"/>
                <w:szCs w:val="21"/>
              </w:rPr>
              <w:t xml:space="preserve">投标人2022年1月1日至今承担过类似业绩的，每提供一个业绩得</w:t>
            </w:r>
            <w:r>
              <w:rPr>
                <w:rFonts w:hint="eastAsia" w:ascii="楷体" w:hAnsi="楷体" w:eastAsia="楷体" w:cs="宋体"/>
                <w:szCs w:val="21"/>
                <w:lang w:val="en-US" w:eastAsia="zh-CN"/>
              </w:rPr>
              <w:t xml:space="preserve">3</w:t>
            </w:r>
            <w:r>
              <w:rPr>
                <w:rFonts w:hint="eastAsia" w:ascii="楷体" w:hAnsi="楷体" w:eastAsia="楷体" w:cs="宋体"/>
                <w:szCs w:val="21"/>
              </w:rPr>
              <w:t xml:space="preserve">分，满分</w:t>
            </w:r>
            <w:r>
              <w:rPr>
                <w:rFonts w:hint="eastAsia" w:ascii="楷体" w:hAnsi="楷体" w:eastAsia="楷体" w:cs="宋体"/>
                <w:szCs w:val="21"/>
                <w:lang w:val="en-US" w:eastAsia="zh-CN"/>
              </w:rPr>
              <w:t xml:space="preserve">9</w:t>
            </w:r>
            <w:r>
              <w:rPr>
                <w:rFonts w:hint="eastAsia" w:ascii="楷体" w:hAnsi="楷体" w:eastAsia="楷体" w:cs="宋体"/>
                <w:szCs w:val="21"/>
              </w:rPr>
              <w:t xml:space="preserve">分（提供合同原件扫描件上传）。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jc w:val="center"/>
              <w:spacing w:line="360" w:lineRule="auto"/>
              <w:rPr>
                <w:rFonts w:hint="eastAsia" w:ascii="楷体" w:hAnsi="楷体" w:eastAsia="楷体" w:cs="宋体"/>
                <w:szCs w:val="21"/>
                <w:lang w:eastAsia="zh-CN"/>
              </w:rPr>
            </w:pPr>
            <w:r>
              <w:rPr>
                <w:rFonts w:hint="eastAsia" w:ascii="楷体" w:hAnsi="楷体" w:eastAsia="楷体" w:cs="宋体"/>
                <w:szCs w:val="21"/>
                <w:lang w:val="en-US" w:eastAsia="zh-CN"/>
              </w:rPr>
              <w:t xml:space="preserve">9</w:t>
            </w:r>
            <w:r/>
          </w:p>
        </w:tc>
      </w:tr>
      <w:tr>
        <w:trPr>
          <w:trHeight w:val="1140"/>
        </w:trPr>
        <w:tc>
          <w:tcPr>
            <w:tcBorders>
              <w:top w:val="single" w:color="000000" w:sz="4" w:space="0"/>
              <w:left w:val="single" w:color="000000" w:sz="4" w:space="0"/>
              <w:right w:val="single" w:color="000000" w:sz="4" w:space="0"/>
            </w:tcBorders>
            <w:tcMar>
              <w:left w:w="15" w:type="dxa"/>
              <w:top w:w="15" w:type="dxa"/>
              <w:right w:w="15" w:type="dxa"/>
              <w:bottom w:w="0" w:type="dxa"/>
            </w:tcMar>
            <w:tcW w:w="822" w:type="dxa"/>
            <w:vAlign w:val="center"/>
            <w:vMerge w:val="restart"/>
            <w:textDirection w:val="lrTb"/>
            <w:noWrap w:val="false"/>
          </w:tcPr>
          <w:p>
            <w:pPr>
              <w:spacing w:line="360" w:lineRule="auto"/>
              <w:rPr>
                <w:rFonts w:ascii="楷体" w:hAnsi="楷体" w:eastAsia="楷体" w:cs="宋体"/>
                <w:szCs w:val="21"/>
              </w:rPr>
            </w:pPr>
            <w:r>
              <w:rPr>
                <w:rFonts w:hint="eastAsia" w:ascii="楷体" w:hAnsi="楷体" w:eastAsia="楷体" w:cs="宋体"/>
                <w:szCs w:val="21"/>
              </w:rPr>
              <w:t xml:space="preserve">服务 方案（50分）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val="false"/>
          </w:tcPr>
          <w:p>
            <w:pPr>
              <w:jc w:val="center"/>
              <w:spacing w:line="360" w:lineRule="auto"/>
              <w:rPr>
                <w:rFonts w:ascii="楷体" w:hAnsi="楷体" w:eastAsia="楷体" w:cs="宋体"/>
                <w:szCs w:val="21"/>
              </w:rPr>
            </w:pPr>
            <w:r>
              <w:rPr>
                <w:rFonts w:hint="eastAsia" w:ascii="楷体" w:hAnsi="楷体" w:eastAsia="楷体" w:cs="宋体"/>
                <w:szCs w:val="21"/>
              </w:rPr>
              <w:t xml:space="preserve">人员配置及组织机构架构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vAlign w:val="center"/>
            <w:textDirection w:val="lrTb"/>
            <w:noWrap w:val="false"/>
          </w:tcPr>
          <w:p>
            <w:pPr>
              <w:ind w:firstLine="1"/>
              <w:spacing w:line="360" w:lineRule="auto"/>
              <w:rPr>
                <w:rFonts w:ascii="楷体" w:hAnsi="楷体" w:eastAsia="楷体" w:cs="宋体"/>
                <w:color w:val="000000"/>
                <w:szCs w:val="21"/>
              </w:rPr>
            </w:pPr>
            <w:r>
              <w:rPr>
                <w:rFonts w:hint="eastAsia" w:ascii="楷体" w:hAnsi="楷体" w:eastAsia="楷体" w:cs="宋体"/>
                <w:color w:val="000000"/>
                <w:szCs w:val="21"/>
              </w:rPr>
              <w:t xml:space="preserve">结合需要服务不同类型的老人实际情况，围绕服务人员配置、组织机构架构的组成等方面，依据投标文件方案的完整性、可行性及阐述的全面性进行综合评审，提供的内容优于招标文件相关要求的得5分，符合得3分，不符合或未提供得0分。(满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ind w:firstLine="10"/>
              <w:jc w:val="center"/>
              <w:spacing w:line="360" w:lineRule="auto"/>
              <w:rPr>
                <w:rFonts w:hint="eastAsia" w:ascii="楷体" w:hAnsi="楷体" w:eastAsia="楷体" w:cs="宋体"/>
                <w:szCs w:val="21"/>
                <w:lang w:eastAsia="zh-CN"/>
              </w:rPr>
            </w:pPr>
            <w:r>
              <w:rPr>
                <w:rFonts w:hint="eastAsia" w:ascii="楷体" w:hAnsi="楷体" w:eastAsia="楷体" w:cs="宋体"/>
                <w:szCs w:val="21"/>
                <w:lang w:val="en-US" w:eastAsia="zh-CN"/>
              </w:rPr>
              <w:t xml:space="preserve">5</w:t>
            </w:r>
            <w:r/>
          </w:p>
        </w:tc>
      </w:tr>
      <w:tr>
        <w:trPr>
          <w:trHeight w:val="1140"/>
        </w:trPr>
        <w:tc>
          <w:tcPr>
            <w:tcBorders>
              <w:left w:val="single" w:color="000000" w:sz="4" w:space="0"/>
              <w:right w:val="single" w:color="000000" w:sz="4" w:space="0"/>
            </w:tcBorders>
            <w:tcMar>
              <w:left w:w="15" w:type="dxa"/>
              <w:top w:w="15" w:type="dxa"/>
              <w:right w:w="15" w:type="dxa"/>
              <w:bottom w:w="0" w:type="dxa"/>
            </w:tcMar>
            <w:tcW w:w="822" w:type="dxa"/>
            <w:vAlign w:val="center"/>
            <w:vMerge w:val="continue"/>
            <w:textDirection w:val="lrTb"/>
            <w:noWrap w:val="false"/>
          </w:tcPr>
          <w:p>
            <w:pPr>
              <w:spacing w:line="360" w:lineRule="auto"/>
              <w:rPr>
                <w:rFonts w:hint="eastAsia" w:ascii="楷体" w:hAnsi="楷体" w:eastAsia="楷体" w:cs="宋体"/>
                <w:szCs w:val="21"/>
              </w:rPr>
            </w:pPr>
            <w:r>
              <w:rPr>
                <w:rFonts w:hint="eastAsia" w:ascii="楷体" w:hAnsi="楷体" w:eastAsia="楷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val="false"/>
          </w:tcPr>
          <w:p>
            <w:pPr>
              <w:jc w:val="center"/>
              <w:spacing w:line="360" w:lineRule="auto"/>
              <w:rPr>
                <w:rFonts w:hint="eastAsia" w:ascii="楷体" w:hAnsi="楷体" w:eastAsia="楷体" w:cs="宋体"/>
                <w:szCs w:val="21"/>
              </w:rPr>
            </w:pPr>
            <w:r>
              <w:rPr>
                <w:rFonts w:hint="eastAsia" w:ascii="楷体" w:hAnsi="楷体" w:eastAsia="楷体" w:cs="宋体"/>
                <w:szCs w:val="21"/>
              </w:rPr>
              <w:t xml:space="preserve">基础服务实施方案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vAlign w:val="center"/>
            <w:textDirection w:val="lrTb"/>
            <w:noWrap w:val="false"/>
          </w:tcPr>
          <w:p>
            <w:pPr>
              <w:ind w:firstLine="1"/>
              <w:spacing w:line="360" w:lineRule="auto"/>
              <w:rPr>
                <w:rFonts w:hint="eastAsia" w:ascii="楷体" w:hAnsi="楷体" w:eastAsia="楷体" w:cs="宋体"/>
                <w:color w:val="000000"/>
                <w:szCs w:val="21"/>
              </w:rPr>
            </w:pPr>
            <w:r>
              <w:rPr>
                <w:rFonts w:hint="eastAsia" w:ascii="楷体" w:hAnsi="楷体" w:eastAsia="楷体" w:cs="宋体"/>
                <w:color w:val="000000"/>
                <w:szCs w:val="21"/>
              </w:rPr>
              <w:t xml:space="preserve">结合需要服务不同类型的老人实际情况，围绕生活照料、健康服务、精神关爱等方面制定服务方案，依据投标文件方案的完整性、可行性及阐述的全面性进行综合评审，提供的内容优于招标文件相关要求的得5分，符合得3分，不符合或未提供得0分。(满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ind w:firstLine="10"/>
              <w:jc w:val="center"/>
              <w:spacing w:line="360" w:lineRule="auto"/>
              <w:rPr>
                <w:rFonts w:hint="eastAsia" w:ascii="楷体" w:hAnsi="楷体" w:eastAsia="楷体" w:cs="宋体"/>
                <w:szCs w:val="21"/>
                <w:lang w:eastAsia="zh-CN"/>
              </w:rPr>
            </w:pPr>
            <w:r>
              <w:rPr>
                <w:rFonts w:hint="eastAsia" w:ascii="楷体" w:hAnsi="楷体" w:eastAsia="楷体" w:cs="宋体"/>
                <w:szCs w:val="21"/>
                <w:lang w:val="en-US" w:eastAsia="zh-CN"/>
              </w:rPr>
              <w:t xml:space="preserve">5</w:t>
            </w:r>
            <w:r/>
          </w:p>
        </w:tc>
      </w:tr>
      <w:tr>
        <w:trPr>
          <w:trHeight w:val="1360"/>
        </w:trPr>
        <w:tc>
          <w:tcPr>
            <w:tcBorders>
              <w:left w:val="single" w:color="000000" w:sz="4" w:space="0"/>
              <w:right w:val="single" w:color="000000" w:sz="4" w:space="0"/>
            </w:tcBorders>
            <w:tcW w:w="822" w:type="dxa"/>
            <w:vAlign w:val="center"/>
            <w:vMerge w:val="continue"/>
            <w:textDirection w:val="lrTb"/>
            <w:noWrap w:val="false"/>
          </w:tcPr>
          <w:p>
            <w:pPr>
              <w:jc w:val="left"/>
              <w:spacing w:line="360" w:lineRule="auto"/>
              <w:widowControl/>
              <w:rPr>
                <w:rFonts w:ascii="楷体" w:hAnsi="楷体" w:eastAsia="楷体" w:cs="宋体"/>
                <w:szCs w:val="21"/>
              </w:rPr>
            </w:pPr>
            <w:r>
              <w:rPr>
                <w:rFonts w:ascii="楷体" w:hAnsi="楷体" w:eastAsia="楷体" w:cs="宋体"/>
                <w:szCs w:val="21"/>
              </w:rPr>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0" w:type="dxa"/>
            </w:tcMar>
            <w:tcW w:w="911" w:type="dxa"/>
            <w:vAlign w:val="center"/>
            <w:textDirection w:val="lrTb"/>
            <w:noWrap w:val="false"/>
          </w:tcPr>
          <w:p>
            <w:pPr>
              <w:jc w:val="center"/>
              <w:spacing w:line="360" w:lineRule="auto"/>
              <w:rPr>
                <w:rFonts w:ascii="楷体" w:hAnsi="楷体" w:eastAsia="楷体" w:cs="宋体"/>
                <w:szCs w:val="21"/>
              </w:rPr>
            </w:pPr>
            <w:r>
              <w:rPr>
                <w:rFonts w:hint="eastAsia" w:ascii="楷体" w:hAnsi="楷体" w:eastAsia="楷体" w:cs="宋体"/>
                <w:szCs w:val="21"/>
              </w:rPr>
              <w:t xml:space="preserve">特色服务实施方案</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6710" w:type="dxa"/>
            <w:textDirection w:val="lrTb"/>
            <w:noWrap w:val="false"/>
          </w:tcPr>
          <w:p>
            <w:pPr>
              <w:spacing w:line="360" w:lineRule="auto"/>
              <w:rPr>
                <w:rFonts w:ascii="楷体" w:hAnsi="楷体" w:eastAsia="楷体" w:cs="宋体"/>
                <w:color w:val="000000"/>
                <w:szCs w:val="21"/>
              </w:rPr>
            </w:pPr>
            <w:r>
              <w:rPr>
                <w:rFonts w:hint="eastAsia" w:ascii="楷体" w:hAnsi="楷体" w:eastAsia="楷体" w:cs="宋体"/>
                <w:color w:val="000000"/>
                <w:szCs w:val="21"/>
              </w:rPr>
              <w:t xml:space="preserve">能根据老人需求，提供特色服务实施方案，依据投标文件方案的完整性、可行性及阐述的全面性进行综合评审，提供的内容优于招标文件相关要求的得5分，符合得3分，不符合或未提供得0分。(满分5分)。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667" w:type="dxa"/>
            <w:vAlign w:val="center"/>
            <w:textDirection w:val="lrTb"/>
            <w:noWrap w:val="false"/>
          </w:tcPr>
          <w:p>
            <w:pPr>
              <w:jc w:val="center"/>
              <w:spacing w:line="360" w:lineRule="auto"/>
              <w:rPr>
                <w:rFonts w:hint="eastAsia" w:ascii="楷体" w:hAnsi="楷体" w:eastAsia="楷体" w:cs="宋体"/>
                <w:szCs w:val="21"/>
                <w:lang w:eastAsia="zh-CN"/>
              </w:rPr>
            </w:pPr>
            <w:r>
              <w:rPr>
                <w:rFonts w:hint="eastAsia" w:ascii="楷体" w:hAnsi="楷体" w:eastAsia="楷体" w:cs="宋体"/>
                <w:szCs w:val="21"/>
                <w:lang w:val="en-US" w:eastAsia="zh-CN"/>
              </w:rPr>
              <w:t xml:space="preserve">5</w:t>
            </w:r>
            <w:r/>
          </w:p>
        </w:tc>
      </w:tr>
      <w:tr>
        <w:trPr>
          <w:trHeight w:val="542"/>
        </w:trPr>
        <w:tc>
          <w:tcPr>
            <w:tcBorders>
              <w:left w:val="single" w:color="000000" w:sz="4" w:space="0"/>
              <w:right w:val="single" w:color="000000" w:sz="4" w:space="0"/>
            </w:tcBorders>
            <w:tcW w:w="822" w:type="dxa"/>
            <w:vAlign w:val="center"/>
            <w:vMerge w:val="continue"/>
            <w:textDirection w:val="lrTb"/>
            <w:noWrap w:val="false"/>
          </w:tcPr>
          <w:p>
            <w:pPr>
              <w:jc w:val="left"/>
              <w:spacing w:line="360" w:lineRule="auto"/>
              <w:widowControl/>
              <w:rPr>
                <w:rFonts w:ascii="楷体" w:hAnsi="楷体" w:eastAsia="楷体" w:cs="宋体"/>
                <w:szCs w:val="21"/>
              </w:rPr>
            </w:pPr>
            <w:r>
              <w:rPr>
                <w:rFonts w:ascii="楷体" w:hAnsi="楷体" w:eastAsia="楷体" w:cs="宋体"/>
                <w:szCs w:val="21"/>
              </w:rPr>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911" w:type="dxa"/>
            <w:vAlign w:val="center"/>
            <w:textDirection w:val="lrTb"/>
            <w:noWrap w:val="false"/>
          </w:tcPr>
          <w:p>
            <w:pPr>
              <w:jc w:val="center"/>
              <w:spacing w:line="360" w:lineRule="auto"/>
              <w:rPr>
                <w:rFonts w:ascii="楷体" w:hAnsi="楷体" w:eastAsia="楷体" w:cs="宋体"/>
                <w:szCs w:val="21"/>
              </w:rPr>
            </w:pPr>
            <w:r>
              <w:rPr>
                <w:rFonts w:hint="eastAsia" w:ascii="楷体" w:hAnsi="楷体" w:eastAsia="楷体" w:cs="宋体"/>
                <w:szCs w:val="21"/>
              </w:rPr>
              <w:t xml:space="preserve">运营管理能力</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6710" w:type="dxa"/>
            <w:vAlign w:val="center"/>
            <w:textDirection w:val="lrTb"/>
            <w:noWrap w:val="false"/>
          </w:tcPr>
          <w:p>
            <w:pPr>
              <w:ind w:firstLine="1"/>
              <w:spacing w:line="360" w:lineRule="auto"/>
              <w:rPr>
                <w:rFonts w:ascii="楷体" w:hAnsi="楷体" w:eastAsia="楷体" w:cs="宋体"/>
                <w:color w:val="000000"/>
                <w:szCs w:val="21"/>
              </w:rPr>
            </w:pPr>
            <w:r>
              <w:rPr>
                <w:rFonts w:hint="eastAsia" w:ascii="楷体" w:hAnsi="楷体" w:eastAsia="楷体" w:cs="宋体"/>
                <w:color w:val="000000"/>
                <w:szCs w:val="21"/>
              </w:rPr>
              <w:t xml:space="preserve">从服务质量管理、服务反馈、服务监督、服务对象档案管理、工作人员守则、考评及奖惩制度等供应商整体运营管理制度体系进行阐述。提供的内容优于招标文件相关要求的得5分，符合得3分，不符合或未提供得0分。(满分5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jc w:val="center"/>
              <w:spacing w:line="360" w:lineRule="auto"/>
              <w:rPr>
                <w:rFonts w:hint="eastAsia" w:ascii="楷体" w:hAnsi="楷体" w:eastAsia="楷体" w:cs="宋体"/>
                <w:szCs w:val="21"/>
                <w:lang w:eastAsia="zh-CN"/>
              </w:rPr>
            </w:pPr>
            <w:r>
              <w:rPr>
                <w:rFonts w:hint="eastAsia" w:ascii="楷体" w:hAnsi="楷体" w:eastAsia="楷体" w:cs="宋体"/>
                <w:szCs w:val="21"/>
                <w:lang w:val="en-US" w:eastAsia="zh-CN"/>
              </w:rPr>
              <w:t xml:space="preserve">5</w:t>
            </w:r>
            <w:r/>
          </w:p>
        </w:tc>
      </w:tr>
      <w:tr>
        <w:trPr>
          <w:trHeight w:val="1245"/>
        </w:trPr>
        <w:tc>
          <w:tcPr>
            <w:tcBorders>
              <w:left w:val="single" w:color="000000" w:sz="4" w:space="0"/>
              <w:right w:val="single" w:color="000000" w:sz="4" w:space="0"/>
            </w:tcBorders>
            <w:tcW w:w="822" w:type="dxa"/>
            <w:vAlign w:val="center"/>
            <w:vMerge w:val="continue"/>
            <w:textDirection w:val="lrTb"/>
            <w:noWrap w:val="false"/>
          </w:tcPr>
          <w:p>
            <w:pPr>
              <w:jc w:val="left"/>
              <w:spacing w:line="360" w:lineRule="auto"/>
              <w:widowControl/>
              <w:rPr>
                <w:rFonts w:ascii="楷体" w:hAnsi="楷体" w:eastAsia="楷体" w:cs="宋体"/>
                <w:szCs w:val="21"/>
              </w:rPr>
            </w:pPr>
            <w:r>
              <w:rPr>
                <w:rFonts w:ascii="楷体" w:hAnsi="楷体" w:eastAsia="楷体" w:cs="宋体"/>
                <w:szCs w:val="21"/>
              </w:rPr>
            </w:r>
            <w:r/>
          </w:p>
        </w:tc>
        <w:tc>
          <w:tcPr>
            <w:tcBorders>
              <w:top w:val="single" w:color="auto" w:sz="4" w:space="0"/>
              <w:left w:val="non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val="false"/>
          </w:tcPr>
          <w:p>
            <w:pPr>
              <w:jc w:val="center"/>
              <w:spacing w:line="360" w:lineRule="auto"/>
              <w:rPr>
                <w:rFonts w:hint="eastAsia" w:ascii="楷体" w:hAnsi="楷体" w:eastAsia="楷体" w:cs="宋体"/>
                <w:szCs w:val="21"/>
              </w:rPr>
            </w:pPr>
            <w:r>
              <w:rPr>
                <w:rFonts w:hint="eastAsia" w:ascii="楷体" w:hAnsi="楷体" w:eastAsia="楷体" w:cs="宋体"/>
                <w:szCs w:val="21"/>
              </w:rPr>
              <w:t xml:space="preserve">培训体系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textDirection w:val="lrTb"/>
            <w:noWrap w:val="false"/>
          </w:tcPr>
          <w:p>
            <w:pPr>
              <w:spacing w:line="360" w:lineRule="auto"/>
              <w:rPr>
                <w:rFonts w:hint="eastAsia" w:ascii="楷体" w:hAnsi="楷体" w:eastAsia="楷体" w:cs="宋体"/>
                <w:color w:val="000000"/>
                <w:szCs w:val="21"/>
              </w:rPr>
            </w:pPr>
            <w:r>
              <w:rPr>
                <w:rFonts w:hint="eastAsia" w:ascii="楷体" w:hAnsi="楷体" w:eastAsia="楷体" w:cs="宋体"/>
                <w:color w:val="000000"/>
                <w:szCs w:val="21"/>
              </w:rPr>
              <w:t xml:space="preserve">投标单位有完善的员工培训体系，培训种类齐全，提供的内容优于招标文件相关要求的得5分，符合得3分，不符合或未提供得0分。(满分5分)。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jc w:val="center"/>
              <w:spacing w:line="360" w:lineRule="auto"/>
              <w:rPr>
                <w:rFonts w:hint="eastAsia" w:ascii="楷体" w:hAnsi="楷体" w:eastAsia="楷体" w:cs="宋体"/>
                <w:szCs w:val="21"/>
                <w:lang w:eastAsia="zh-CN"/>
              </w:rPr>
            </w:pPr>
            <w:r>
              <w:rPr>
                <w:rFonts w:hint="eastAsia" w:ascii="楷体" w:hAnsi="楷体" w:eastAsia="楷体" w:cs="宋体"/>
                <w:szCs w:val="21"/>
                <w:lang w:val="en-US" w:eastAsia="zh-CN"/>
              </w:rPr>
              <w:t xml:space="preserve">5</w:t>
            </w:r>
            <w:r/>
          </w:p>
        </w:tc>
      </w:tr>
      <w:tr>
        <w:trPr>
          <w:trHeight w:val="1140"/>
        </w:trPr>
        <w:tc>
          <w:tcPr>
            <w:tcBorders>
              <w:left w:val="single" w:color="000000" w:sz="4" w:space="0"/>
              <w:right w:val="single" w:color="000000" w:sz="4" w:space="0"/>
            </w:tcBorders>
            <w:tcW w:w="822" w:type="dxa"/>
            <w:vAlign w:val="center"/>
            <w:vMerge w:val="continue"/>
            <w:textDirection w:val="lrTb"/>
            <w:noWrap w:val="false"/>
          </w:tcPr>
          <w:p>
            <w:pPr>
              <w:jc w:val="left"/>
              <w:spacing w:line="360" w:lineRule="auto"/>
              <w:widowControl/>
              <w:rPr>
                <w:rFonts w:ascii="楷体" w:hAnsi="楷体" w:eastAsia="楷体" w:cs="宋体"/>
                <w:szCs w:val="21"/>
              </w:rPr>
            </w:pPr>
            <w:r>
              <w:rPr>
                <w:rFonts w:ascii="楷体" w:hAnsi="楷体" w:eastAsia="楷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val="false"/>
          </w:tcPr>
          <w:p>
            <w:pPr>
              <w:jc w:val="center"/>
              <w:spacing w:line="360" w:lineRule="auto"/>
              <w:rPr>
                <w:rFonts w:ascii="楷体" w:hAnsi="楷体" w:eastAsia="楷体" w:cs="宋体"/>
                <w:szCs w:val="21"/>
              </w:rPr>
            </w:pPr>
            <w:r>
              <w:rPr>
                <w:rFonts w:hint="eastAsia" w:ascii="楷体" w:hAnsi="楷体" w:eastAsia="楷体" w:cs="宋体"/>
                <w:szCs w:val="21"/>
              </w:rPr>
              <w:t xml:space="preserve">应急保障制度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vAlign w:val="center"/>
            <w:textDirection w:val="lrTb"/>
            <w:noWrap w:val="false"/>
          </w:tcPr>
          <w:p>
            <w:pPr>
              <w:spacing w:line="360" w:lineRule="auto"/>
              <w:rPr>
                <w:rFonts w:ascii="楷体" w:hAnsi="楷体" w:eastAsia="楷体" w:cs="宋体"/>
                <w:color w:val="000000"/>
                <w:szCs w:val="21"/>
              </w:rPr>
            </w:pPr>
            <w:r>
              <w:rPr>
                <w:rFonts w:hint="eastAsia" w:ascii="楷体" w:hAnsi="楷体" w:eastAsia="楷体" w:cs="宋体"/>
                <w:color w:val="000000"/>
                <w:szCs w:val="21"/>
              </w:rPr>
              <w:t xml:space="preserve">投标人有完善的应急预案及保障制度。制定突发事件（包括突发公共卫生事件、灾害事故等）应急预案并组织演练和培训</w:t>
            </w:r>
            <w:r>
              <w:rPr>
                <w:rFonts w:hint="eastAsia" w:ascii="楷体" w:hAnsi="楷体" w:eastAsia="楷体" w:cs="宋体"/>
                <w:color w:val="000000"/>
                <w:szCs w:val="21"/>
                <w:lang w:eastAsia="zh-CN"/>
              </w:rPr>
              <w:t xml:space="preserve">。</w:t>
            </w:r>
            <w:r>
              <w:rPr>
                <w:rFonts w:hint="eastAsia" w:ascii="楷体" w:hAnsi="楷体" w:eastAsia="楷体" w:cs="宋体"/>
                <w:color w:val="000000"/>
                <w:szCs w:val="21"/>
              </w:rPr>
              <w:t xml:space="preserve">提供的内容优于招标文件相关要求的得5分，符合得3分，不符合或未提供得0分。(满分5分)。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jc w:val="center"/>
              <w:spacing w:line="360" w:lineRule="auto"/>
              <w:rPr>
                <w:rFonts w:hint="eastAsia" w:ascii="楷体" w:hAnsi="楷体" w:eastAsia="楷体" w:cs="宋体"/>
                <w:szCs w:val="21"/>
                <w:lang w:eastAsia="zh-CN"/>
              </w:rPr>
            </w:pPr>
            <w:r>
              <w:rPr>
                <w:rFonts w:hint="eastAsia" w:ascii="楷体" w:hAnsi="楷体" w:eastAsia="楷体" w:cs="宋体"/>
                <w:szCs w:val="21"/>
                <w:lang w:val="en-US" w:eastAsia="zh-CN"/>
              </w:rPr>
              <w:t xml:space="preserve">5</w:t>
            </w:r>
            <w:r/>
          </w:p>
        </w:tc>
      </w:tr>
      <w:tr>
        <w:trPr>
          <w:trHeight w:val="1140"/>
        </w:trPr>
        <w:tc>
          <w:tcPr>
            <w:tcBorders>
              <w:left w:val="single" w:color="000000" w:sz="4" w:space="0"/>
              <w:right w:val="single" w:color="000000" w:sz="4" w:space="0"/>
            </w:tcBorders>
            <w:tcW w:w="822" w:type="dxa"/>
            <w:vAlign w:val="center"/>
            <w:vMerge w:val="continue"/>
            <w:textDirection w:val="lrTb"/>
            <w:noWrap w:val="false"/>
          </w:tcPr>
          <w:p>
            <w:pPr>
              <w:jc w:val="left"/>
              <w:spacing w:line="360" w:lineRule="auto"/>
              <w:widowControl/>
              <w:rPr>
                <w:rFonts w:ascii="楷体" w:hAnsi="楷体" w:eastAsia="楷体" w:cs="宋体"/>
                <w:szCs w:val="21"/>
              </w:rPr>
            </w:pPr>
            <w:r>
              <w:rPr>
                <w:rFonts w:ascii="楷体" w:hAnsi="楷体" w:eastAsia="楷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val="false"/>
          </w:tcPr>
          <w:p>
            <w:pPr>
              <w:jc w:val="center"/>
              <w:spacing w:line="360" w:lineRule="auto"/>
              <w:rPr>
                <w:rFonts w:hint="eastAsia" w:ascii="楷体" w:hAnsi="楷体" w:eastAsia="楷体" w:cs="宋体"/>
                <w:szCs w:val="21"/>
              </w:rPr>
            </w:pPr>
            <w:r>
              <w:rPr>
                <w:rFonts w:hint="eastAsia" w:ascii="楷体" w:hAnsi="楷体" w:eastAsia="楷体" w:cs="宋体"/>
                <w:szCs w:val="21"/>
              </w:rPr>
              <w:t xml:space="preserve">档案管理制度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vAlign w:val="center"/>
            <w:textDirection w:val="lrTb"/>
            <w:noWrap w:val="false"/>
          </w:tcPr>
          <w:p>
            <w:pPr>
              <w:spacing w:line="360" w:lineRule="auto"/>
              <w:rPr>
                <w:rFonts w:hint="eastAsia" w:ascii="楷体" w:hAnsi="楷体" w:eastAsia="楷体" w:cs="宋体"/>
                <w:color w:val="000000"/>
                <w:szCs w:val="21"/>
              </w:rPr>
            </w:pPr>
            <w:r>
              <w:rPr>
                <w:rFonts w:hint="eastAsia" w:ascii="楷体" w:hAnsi="楷体" w:eastAsia="楷体" w:cs="宋体"/>
                <w:color w:val="000000"/>
              </w:rPr>
              <w:t xml:space="preserve">项目档案资料管理，档案收集、整理、存放、保护和利用各环节规范、有序，</w:t>
            </w:r>
            <w:r>
              <w:rPr>
                <w:rFonts w:hint="eastAsia" w:ascii="楷体" w:hAnsi="楷体" w:eastAsia="楷体" w:cs="宋体"/>
                <w:color w:val="000000"/>
                <w:szCs w:val="21"/>
              </w:rPr>
              <w:t xml:space="preserve">提供的内容优于招标文件相关要求的得5分，符合得3分，不符合或未提供得0分。(满分5分)。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jc w:val="center"/>
              <w:spacing w:line="360" w:lineRule="auto"/>
              <w:rPr>
                <w:rFonts w:hint="eastAsia" w:ascii="楷体" w:hAnsi="楷体" w:eastAsia="楷体" w:cs="宋体"/>
                <w:szCs w:val="21"/>
              </w:rPr>
            </w:pPr>
            <w:r>
              <w:rPr>
                <w:rFonts w:hint="eastAsia" w:ascii="楷体" w:hAnsi="楷体" w:eastAsia="楷体" w:cs="宋体"/>
                <w:szCs w:val="21"/>
                <w:lang w:val="en-US" w:eastAsia="zh-CN"/>
              </w:rPr>
              <w:t xml:space="preserve">5</w:t>
            </w:r>
            <w:r/>
          </w:p>
        </w:tc>
      </w:tr>
      <w:tr>
        <w:trPr>
          <w:trHeight w:val="942"/>
        </w:trPr>
        <w:tc>
          <w:tcPr>
            <w:tcBorders>
              <w:left w:val="single" w:color="000000" w:sz="4" w:space="0"/>
              <w:right w:val="single" w:color="000000" w:sz="4" w:space="0"/>
            </w:tcBorders>
            <w:tcW w:w="822" w:type="dxa"/>
            <w:vAlign w:val="center"/>
            <w:vMerge w:val="continue"/>
            <w:textDirection w:val="lrTb"/>
            <w:noWrap w:val="false"/>
          </w:tcPr>
          <w:p>
            <w:pPr>
              <w:jc w:val="left"/>
              <w:spacing w:line="360" w:lineRule="auto"/>
              <w:widowControl/>
              <w:rPr>
                <w:rFonts w:ascii="楷体" w:hAnsi="楷体" w:eastAsia="楷体" w:cs="宋体"/>
                <w:szCs w:val="21"/>
              </w:rPr>
            </w:pPr>
            <w:r>
              <w:rPr>
                <w:rFonts w:ascii="楷体" w:hAnsi="楷体" w:eastAsia="楷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val="false"/>
          </w:tcPr>
          <w:p>
            <w:pPr>
              <w:jc w:val="center"/>
              <w:spacing w:line="360" w:lineRule="auto"/>
              <w:rPr>
                <w:rFonts w:ascii="楷体" w:hAnsi="楷体" w:eastAsia="楷体" w:cs="宋体"/>
                <w:szCs w:val="21"/>
              </w:rPr>
            </w:pPr>
            <w:r>
              <w:rPr>
                <w:rFonts w:hint="eastAsia" w:ascii="楷体" w:hAnsi="楷体" w:eastAsia="楷体" w:cs="宋体"/>
                <w:szCs w:val="21"/>
              </w:rPr>
              <w:t xml:space="preserve">配合协调措施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textDirection w:val="lrTb"/>
            <w:noWrap w:val="false"/>
          </w:tcPr>
          <w:p>
            <w:pPr>
              <w:spacing w:line="360" w:lineRule="auto"/>
              <w:rPr>
                <w:rFonts w:ascii="楷体" w:hAnsi="楷体" w:eastAsia="楷体" w:cs="宋体"/>
                <w:color w:val="000000"/>
                <w:szCs w:val="21"/>
              </w:rPr>
            </w:pPr>
            <w:r>
              <w:rPr>
                <w:rFonts w:hint="eastAsia" w:ascii="楷体" w:hAnsi="楷体" w:eastAsia="楷体" w:cs="宋体"/>
                <w:color w:val="000000"/>
                <w:szCs w:val="21"/>
              </w:rPr>
              <w:t xml:space="preserve">运营期间有与其他部门、乡镇在上门服务人员物色、推荐，服务开展等工作方面的配合协调方案，提供的内容优于招标文件相关要求的得5分，符合得3分，不符合或未提供得0分。(满分5分)。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ind w:hanging="10"/>
              <w:jc w:val="center"/>
              <w:spacing w:line="360" w:lineRule="auto"/>
              <w:rPr>
                <w:rFonts w:hint="eastAsia" w:ascii="楷体" w:hAnsi="楷体" w:eastAsia="楷体" w:cs="宋体"/>
                <w:szCs w:val="21"/>
                <w:lang w:eastAsia="zh-CN"/>
              </w:rPr>
            </w:pPr>
            <w:r>
              <w:rPr>
                <w:rFonts w:hint="eastAsia" w:ascii="楷体" w:hAnsi="楷体" w:eastAsia="楷体" w:cs="宋体"/>
                <w:szCs w:val="21"/>
                <w:lang w:val="en-US" w:eastAsia="zh-CN"/>
              </w:rPr>
              <w:t xml:space="preserve">5</w:t>
            </w:r>
            <w:r/>
          </w:p>
        </w:tc>
      </w:tr>
      <w:tr>
        <w:trPr>
          <w:trHeight w:val="942"/>
        </w:trPr>
        <w:tc>
          <w:tcPr>
            <w:tcBorders>
              <w:left w:val="single" w:color="000000" w:sz="4" w:space="0"/>
              <w:right w:val="single" w:color="000000" w:sz="4" w:space="0"/>
            </w:tcBorders>
            <w:tcW w:w="822" w:type="dxa"/>
            <w:vAlign w:val="center"/>
            <w:vMerge w:val="continue"/>
            <w:textDirection w:val="lrTb"/>
            <w:noWrap w:val="false"/>
          </w:tcPr>
          <w:p>
            <w:pPr>
              <w:jc w:val="left"/>
              <w:spacing w:line="360" w:lineRule="auto"/>
              <w:widowControl/>
              <w:rPr>
                <w:rFonts w:ascii="楷体" w:hAnsi="楷体" w:eastAsia="楷体" w:cs="宋体"/>
                <w:szCs w:val="21"/>
              </w:rPr>
            </w:pPr>
            <w:r>
              <w:rPr>
                <w:rFonts w:ascii="楷体" w:hAnsi="楷体" w:eastAsia="楷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val="false"/>
          </w:tcPr>
          <w:p>
            <w:pPr>
              <w:jc w:val="center"/>
              <w:spacing w:line="360" w:lineRule="auto"/>
              <w:rPr>
                <w:rFonts w:hint="eastAsia" w:ascii="楷体" w:hAnsi="楷体" w:eastAsia="楷体" w:cs="宋体"/>
                <w:szCs w:val="21"/>
              </w:rPr>
            </w:pPr>
            <w:r>
              <w:rPr>
                <w:rFonts w:hint="eastAsia" w:ascii="楷体" w:hAnsi="楷体" w:eastAsia="楷体" w:cs="宋体"/>
                <w:szCs w:val="21"/>
                <w:lang w:val="en-US" w:eastAsia="zh-CN"/>
              </w:rPr>
              <w:t xml:space="preserve">配备服务设施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textDirection w:val="lrTb"/>
            <w:noWrap w:val="false"/>
          </w:tcPr>
          <w:p>
            <w:pPr>
              <w:spacing w:line="360" w:lineRule="auto"/>
              <w:rPr>
                <w:rFonts w:hint="eastAsia" w:ascii="楷体" w:hAnsi="楷体" w:eastAsia="楷体" w:cs="宋体"/>
                <w:color w:val="000000"/>
                <w:szCs w:val="21"/>
              </w:rPr>
            </w:pPr>
            <w:r>
              <w:rPr>
                <w:rFonts w:hint="eastAsia" w:ascii="楷体" w:hAnsi="楷体" w:eastAsia="楷体" w:cs="宋体"/>
                <w:color w:val="000000"/>
                <w:szCs w:val="21"/>
                <w:lang w:val="en-US" w:eastAsia="zh-CN"/>
              </w:rPr>
              <w:t xml:space="preserve">服务机构需根据《</w:t>
            </w:r>
            <w:r>
              <w:rPr>
                <w:rFonts w:hint="eastAsia" w:ascii="华文楷体" w:hAnsi="华文楷体" w:eastAsia="华文楷体" w:cs="华文楷体"/>
                <w:color w:val="000000"/>
                <w:sz w:val="21"/>
                <w:szCs w:val="21"/>
                <w:lang w:val="en-US" w:eastAsia="zh-CN"/>
              </w:rPr>
              <w:t xml:space="preserve">居家养老上门服务基本规范</w:t>
            </w:r>
            <w:r>
              <w:rPr>
                <w:rFonts w:hint="eastAsia" w:ascii="楷体" w:hAnsi="楷体" w:eastAsia="楷体" w:cs="宋体"/>
                <w:color w:val="000000"/>
                <w:szCs w:val="21"/>
                <w:lang w:val="en-US" w:eastAsia="zh-CN"/>
              </w:rPr>
              <w:t xml:space="preserve">》中的各项服务配备服务设施，包含基础生活照料类、健康照护类、个性服务类，由服务机构根据实际需求合理配备现场服务设施。</w:t>
            </w:r>
            <w:r>
              <w:rPr>
                <w:rFonts w:hint="eastAsia" w:ascii="楷体" w:hAnsi="楷体" w:eastAsia="楷体" w:cs="宋体"/>
                <w:color w:val="000000"/>
                <w:szCs w:val="21"/>
              </w:rPr>
              <w:t xml:space="preserve">提供的内容优于招标文件相关要求的得5分，符合得3分，不符合或未提供得0分。(满分5分)。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jc w:val="center"/>
              <w:spacing w:line="360" w:lineRule="auto"/>
              <w:rPr>
                <w:rFonts w:hint="default" w:ascii="楷体" w:hAnsi="楷体" w:eastAsia="楷体" w:cs="宋体"/>
                <w:szCs w:val="21"/>
                <w:lang w:val="en-US" w:eastAsia="zh-CN"/>
              </w:rPr>
            </w:pPr>
            <w:r>
              <w:rPr>
                <w:rFonts w:hint="eastAsia" w:ascii="楷体" w:hAnsi="楷体" w:eastAsia="楷体" w:cs="宋体"/>
                <w:szCs w:val="21"/>
                <w:lang w:val="en-US" w:eastAsia="zh-CN"/>
              </w:rPr>
              <w:t xml:space="preserve">5</w:t>
            </w:r>
            <w:r/>
          </w:p>
        </w:tc>
      </w:tr>
      <w:tr>
        <w:trPr>
          <w:trHeight w:val="942"/>
        </w:trPr>
        <w:tc>
          <w:tcPr>
            <w:tcBorders>
              <w:left w:val="single" w:color="000000" w:sz="4" w:space="0"/>
              <w:bottom w:val="single" w:color="auto" w:sz="4" w:space="0"/>
              <w:right w:val="single" w:color="000000" w:sz="4" w:space="0"/>
            </w:tcBorders>
            <w:tcW w:w="822" w:type="dxa"/>
            <w:vAlign w:val="center"/>
            <w:vMerge w:val="continue"/>
            <w:textDirection w:val="lrTb"/>
            <w:noWrap w:val="false"/>
          </w:tcPr>
          <w:p>
            <w:pPr>
              <w:jc w:val="left"/>
              <w:spacing w:line="360" w:lineRule="auto"/>
              <w:widowControl/>
              <w:rPr>
                <w:rFonts w:ascii="楷体" w:hAnsi="楷体" w:eastAsia="楷体" w:cs="宋体"/>
                <w:szCs w:val="21"/>
              </w:rPr>
            </w:pPr>
            <w:r>
              <w:rPr>
                <w:rFonts w:ascii="楷体" w:hAnsi="楷体" w:eastAsia="楷体" w:cs="宋体"/>
                <w:szCs w:val="21"/>
              </w:rPr>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0" w:type="dxa"/>
            </w:tcMar>
            <w:tcW w:w="911" w:type="dxa"/>
            <w:vAlign w:val="center"/>
            <w:textDirection w:val="lrTb"/>
            <w:noWrap w:val="false"/>
          </w:tcPr>
          <w:p>
            <w:pPr>
              <w:jc w:val="center"/>
              <w:spacing w:line="360" w:lineRule="auto"/>
              <w:rPr>
                <w:rFonts w:hint="eastAsia" w:ascii="楷体" w:hAnsi="楷体" w:eastAsia="楷体" w:cs="宋体"/>
                <w:szCs w:val="21"/>
                <w:lang w:val="en-US" w:eastAsia="zh-CN"/>
              </w:rPr>
            </w:pPr>
            <w:r>
              <w:rPr>
                <w:rFonts w:hint="eastAsia" w:ascii="楷体" w:hAnsi="楷体" w:eastAsia="楷体" w:cs="宋体"/>
                <w:szCs w:val="21"/>
                <w:lang w:val="en-US" w:eastAsia="zh-CN"/>
              </w:rPr>
              <w:t xml:space="preserve">服务承诺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10" w:type="dxa"/>
            <w:textDirection w:val="lrTb"/>
            <w:noWrap w:val="false"/>
          </w:tcPr>
          <w:p>
            <w:pPr>
              <w:spacing w:line="360" w:lineRule="auto"/>
              <w:rPr>
                <w:rFonts w:hint="eastAsia" w:ascii="楷体" w:hAnsi="楷体" w:eastAsia="楷体" w:cs="宋体"/>
                <w:color w:val="000000"/>
                <w:szCs w:val="21"/>
              </w:rPr>
            </w:pPr>
            <w:r>
              <w:rPr>
                <w:rFonts w:hint="eastAsia" w:ascii="楷体" w:hAnsi="楷体" w:eastAsia="楷体" w:cs="宋体"/>
                <w:color w:val="000000"/>
                <w:szCs w:val="21"/>
                <w:lang w:val="en-US" w:eastAsia="zh-CN"/>
              </w:rPr>
              <w:t xml:space="preserve">服务机构应对采购人所有委托服务事项有具体的管理指标承诺及具体措施，与采购人之间建立有效的沟通、回访机制，及时有效的处理采购人所提出的合理要求与建议。</w:t>
            </w:r>
            <w:r>
              <w:rPr>
                <w:rFonts w:hint="eastAsia" w:ascii="楷体" w:hAnsi="楷体" w:eastAsia="楷体" w:cs="宋体"/>
                <w:color w:val="000000"/>
                <w:szCs w:val="21"/>
              </w:rPr>
              <w:t xml:space="preserve">提供的内容优于招标文件相关要求的得5分，符合得3分，不符合或未提供得0分。(满分5分)。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7" w:type="dxa"/>
            <w:vAlign w:val="center"/>
            <w:textDirection w:val="lrTb"/>
            <w:noWrap w:val="false"/>
          </w:tcPr>
          <w:p>
            <w:pPr>
              <w:jc w:val="center"/>
              <w:spacing w:line="360" w:lineRule="auto"/>
              <w:rPr>
                <w:rFonts w:hint="default" w:ascii="楷体" w:hAnsi="楷体" w:eastAsia="楷体" w:cs="宋体"/>
                <w:szCs w:val="21"/>
                <w:lang w:val="en-US" w:eastAsia="zh-CN"/>
              </w:rPr>
            </w:pPr>
            <w:r>
              <w:rPr>
                <w:rFonts w:hint="eastAsia" w:ascii="楷体" w:hAnsi="楷体" w:eastAsia="楷体" w:cs="宋体"/>
                <w:szCs w:val="21"/>
                <w:lang w:val="en-US" w:eastAsia="zh-CN"/>
              </w:rPr>
              <w:t xml:space="preserve">5</w:t>
            </w:r>
            <w:r/>
          </w:p>
        </w:tc>
      </w:tr>
    </w:tbl>
    <w:p>
      <w:pPr>
        <w:pStyle w:val="941"/>
        <w:ind w:firstLine="1548"/>
        <w:rPr>
          <w:rFonts w:hint="eastAsia" w:ascii="宋体" w:hAnsi="宋体"/>
          <w:b/>
          <w:color w:val="000000"/>
          <w:sz w:val="36"/>
          <w:szCs w:val="36"/>
        </w:rPr>
      </w:pPr>
      <w:r>
        <w:rPr>
          <w:rFonts w:hint="eastAsia"/>
          <w:color w:val="000000"/>
        </w:rPr>
        <w:t xml:space="preserve"> </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856"/>
        <w:rPr>
          <w:rFonts w:hint="eastAsia" w:ascii="黑体" w:eastAsia="黑体"/>
          <w:bCs/>
          <w:color w:val="000000"/>
          <w:sz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color w:val="000000"/>
          <w:sz w:val="44"/>
        </w:rPr>
      </w:r>
      <w:r/>
    </w:p>
    <w:p>
      <w:pPr>
        <w:pStyle w:val="856"/>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194" w:name="_Hlt26955039"/>
      <w:r/>
      <w:bookmarkEnd w:id="194"/>
      <w:r/>
      <w:bookmarkStart w:id="195" w:name="_Hlt26671244"/>
      <w:r/>
      <w:bookmarkEnd w:id="195"/>
      <w:r/>
      <w:bookmarkStart w:id="196" w:name="_Toc26554094"/>
      <w:r/>
      <w:bookmarkStart w:id="197" w:name="_Toc49090576"/>
      <w:r/>
      <w:bookmarkStart w:id="198"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703"/>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3</w:t>
      </w:r>
      <w:r>
        <w:rPr>
          <w:rFonts w:hint="eastAsia" w:ascii="宋体" w:hAnsi="宋体"/>
          <w:sz w:val="24"/>
          <w:szCs w:val="21"/>
        </w:rPr>
        <w:t xml:space="preserve">）</w:t>
      </w:r>
      <w:r/>
    </w:p>
    <w:p>
      <w:pPr>
        <w:pStyle w:val="701"/>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701"/>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701"/>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701"/>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01"/>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01"/>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701"/>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701"/>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01"/>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701"/>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70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01"/>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701"/>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683"/>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70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01"/>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01"/>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01"/>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01"/>
        <w:jc w:val="both"/>
        <w:keepLines w:val="0"/>
        <w:keepNext w:val="0"/>
        <w:pageBreakBefore w:val="0"/>
        <w:spacing w:before="0" w:beforeAutospacing="0" w:after="0" w:afterAutospacing="0" w:line="360" w:lineRule="auto"/>
        <w:widowControl w:val="off"/>
        <w:rPr>
          <w:rFonts w:ascii="宋体" w:hAnsi="宋体"/>
          <w:color w:val="000000"/>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6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703"/>
        <w:rPr>
          <w:rFonts w:hint="eastAsia" w:ascii="宋体" w:hAnsi="宋体"/>
          <w:sz w:val="24"/>
          <w:szCs w:val="24"/>
        </w:rPr>
      </w:pPr>
      <w:r>
        <w:rPr>
          <w:rFonts w:hint="eastAsia" w:ascii="宋体" w:hAnsi="宋体"/>
          <w:sz w:val="24"/>
          <w:szCs w:val="24"/>
        </w:rPr>
      </w:r>
      <w:r/>
    </w:p>
    <w:p>
      <w:pPr>
        <w:pStyle w:val="703"/>
        <w:rPr>
          <w:rFonts w:hint="eastAsia" w:ascii="宋体" w:hAnsi="宋体"/>
          <w:sz w:val="24"/>
          <w:szCs w:val="24"/>
        </w:rPr>
      </w:pPr>
      <w:r>
        <w:rPr>
          <w:rFonts w:hint="eastAsia" w:ascii="宋体" w:hAnsi="宋体"/>
          <w:sz w:val="24"/>
          <w:szCs w:val="24"/>
        </w:rPr>
      </w:r>
      <w:r/>
    </w:p>
    <w:p>
      <w:pPr>
        <w:pStyle w:val="703"/>
        <w:rPr>
          <w:rFonts w:hint="eastAsia" w:ascii="宋体" w:hAnsi="宋体"/>
          <w:sz w:val="24"/>
          <w:szCs w:val="24"/>
        </w:rPr>
      </w:pPr>
      <w:r>
        <w:rPr>
          <w:rFonts w:hint="eastAsia" w:ascii="宋体" w:hAnsi="宋体"/>
          <w:sz w:val="24"/>
          <w:szCs w:val="24"/>
        </w:rPr>
      </w:r>
      <w:r/>
    </w:p>
    <w:p>
      <w:pPr>
        <w:pStyle w:val="703"/>
        <w:rPr>
          <w:rFonts w:hint="eastAsia" w:ascii="宋体" w:hAnsi="宋体"/>
          <w:sz w:val="24"/>
          <w:szCs w:val="24"/>
        </w:rPr>
      </w:pPr>
      <w:r>
        <w:rPr>
          <w:rFonts w:hint="eastAsia" w:ascii="宋体" w:hAnsi="宋体"/>
          <w:sz w:val="24"/>
          <w:szCs w:val="24"/>
        </w:rPr>
      </w:r>
      <w:r/>
    </w:p>
    <w:p>
      <w:pPr>
        <w:pStyle w:val="703"/>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6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703"/>
        <w:rPr>
          <w:rFonts w:hint="eastAsia" w:ascii="宋体" w:hAnsi="宋体"/>
          <w:b/>
          <w:sz w:val="24"/>
          <w:szCs w:val="21"/>
        </w:rPr>
      </w:pPr>
      <w:r>
        <w:rPr>
          <w:rFonts w:hint="eastAsia" w:ascii="宋体" w:hAnsi="宋体"/>
          <w:b/>
          <w:sz w:val="24"/>
          <w:szCs w:val="21"/>
        </w:rPr>
      </w:r>
      <w:r/>
    </w:p>
    <w:p>
      <w:pPr>
        <w:pStyle w:val="703"/>
        <w:rPr>
          <w:rFonts w:hint="eastAsia" w:ascii="宋体" w:hAnsi="宋体"/>
          <w:b/>
          <w:sz w:val="24"/>
          <w:szCs w:val="21"/>
        </w:rPr>
      </w:pPr>
      <w:r>
        <w:rPr>
          <w:rFonts w:hint="eastAsia" w:ascii="宋体" w:hAnsi="宋体"/>
          <w:b/>
          <w:sz w:val="24"/>
          <w:szCs w:val="21"/>
        </w:rPr>
      </w:r>
      <w:r/>
    </w:p>
    <w:p>
      <w:pPr>
        <w:pStyle w:val="703"/>
        <w:rPr>
          <w:rFonts w:hint="eastAsia" w:ascii="宋体" w:hAnsi="宋体"/>
          <w:b/>
          <w:sz w:val="24"/>
          <w:szCs w:val="21"/>
        </w:rPr>
      </w:pPr>
      <w:r>
        <w:rPr>
          <w:rFonts w:hint="eastAsia" w:ascii="宋体" w:hAnsi="宋体"/>
          <w:b/>
          <w:sz w:val="24"/>
          <w:szCs w:val="21"/>
        </w:rPr>
      </w:r>
      <w:r/>
    </w:p>
    <w:p>
      <w:pPr>
        <w:pStyle w:val="703"/>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703"/>
        <w:rPr>
          <w:rFonts w:ascii="宋体" w:hAnsi="宋体"/>
          <w:b/>
          <w:color w:val="000000"/>
          <w:sz w:val="24"/>
          <w:szCs w:val="21"/>
        </w:rPr>
      </w:pPr>
      <w:r>
        <w:rPr>
          <w:rFonts w:ascii="宋体" w:hAnsi="宋体"/>
          <w:b/>
          <w:color w:val="000000"/>
          <w:sz w:val="24"/>
          <w:szCs w:val="21"/>
        </w:rPr>
      </w:r>
      <w:r/>
    </w:p>
    <w:p>
      <w:pPr>
        <w:pStyle w:val="703"/>
        <w:rPr>
          <w:rFonts w:ascii="宋体" w:hAnsi="宋体"/>
          <w:b/>
          <w:color w:val="000000"/>
          <w:sz w:val="24"/>
          <w:szCs w:val="21"/>
        </w:rPr>
      </w:pPr>
      <w:r>
        <w:rPr>
          <w:rFonts w:ascii="宋体" w:hAnsi="宋体"/>
          <w:b/>
          <w:color w:val="000000"/>
          <w:sz w:val="24"/>
          <w:szCs w:val="21"/>
        </w:rPr>
      </w:r>
      <w:r/>
    </w:p>
    <w:p>
      <w:pPr>
        <w:pStyle w:val="703"/>
        <w:rPr>
          <w:rFonts w:ascii="宋体" w:hAnsi="宋体"/>
          <w:b/>
          <w:color w:val="000000"/>
          <w:sz w:val="24"/>
          <w:szCs w:val="21"/>
        </w:rPr>
      </w:pPr>
      <w:r>
        <w:rPr>
          <w:rFonts w:ascii="宋体" w:hAnsi="宋体"/>
          <w:b/>
          <w:color w:val="000000"/>
          <w:sz w:val="24"/>
          <w:szCs w:val="21"/>
        </w:rPr>
      </w:r>
      <w:r/>
    </w:p>
    <w:p>
      <w:pPr>
        <w:pStyle w:val="703"/>
        <w:rPr>
          <w:rFonts w:ascii="宋体" w:hAnsi="宋体"/>
          <w:b/>
          <w:color w:val="000000"/>
          <w:sz w:val="24"/>
          <w:szCs w:val="21"/>
        </w:rPr>
      </w:pPr>
      <w:r>
        <w:rPr>
          <w:rFonts w:ascii="宋体" w:hAnsi="宋体"/>
          <w:b/>
          <w:color w:val="000000"/>
          <w:sz w:val="24"/>
          <w:szCs w:val="21"/>
        </w:rPr>
      </w:r>
      <w:r/>
    </w:p>
    <w:p>
      <w:pPr>
        <w:pStyle w:val="703"/>
        <w:rPr>
          <w:rFonts w:ascii="宋体" w:hAnsi="宋体"/>
          <w:b/>
          <w:color w:val="000000"/>
          <w:sz w:val="24"/>
          <w:szCs w:val="21"/>
        </w:rPr>
      </w:pPr>
      <w:r>
        <w:rPr>
          <w:rFonts w:ascii="宋体" w:hAnsi="宋体"/>
          <w:b/>
          <w:color w:val="000000"/>
          <w:sz w:val="24"/>
          <w:szCs w:val="21"/>
        </w:rPr>
      </w:r>
      <w:r/>
    </w:p>
    <w:p>
      <w:pPr>
        <w:pStyle w:val="703"/>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703"/>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703"/>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683"/>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03"/>
        <w:rPr>
          <w:rFonts w:ascii="宋体" w:hAnsi="宋体"/>
          <w:b/>
          <w:color w:val="000000"/>
          <w:sz w:val="24"/>
          <w:szCs w:val="21"/>
        </w:rPr>
      </w:pPr>
      <w:r>
        <w:rPr>
          <w:rFonts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rPr>
          <w:rFonts w:hint="eastAsia" w:ascii="宋体" w:hAnsi="宋体"/>
          <w:b/>
          <w:color w:val="000000"/>
          <w:sz w:val="24"/>
          <w:szCs w:val="21"/>
        </w:rPr>
      </w:pPr>
      <w:r>
        <w:rPr>
          <w:rFonts w:hint="eastAsia" w:ascii="宋体" w:hAnsi="宋体"/>
          <w:b/>
          <w:color w:val="000000"/>
          <w:sz w:val="24"/>
          <w:szCs w:val="21"/>
        </w:rPr>
      </w:r>
      <w:r/>
    </w:p>
    <w:p>
      <w:pPr>
        <w:pStyle w:val="703"/>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03"/>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701"/>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701"/>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扬州市公共资源交易中心高邮分中心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w:t>
      </w:r>
      <w:r>
        <w:rPr>
          <w:rFonts w:hint="eastAsia" w:ascii="宋体" w:hAnsi="宋体" w:cs="宋体"/>
          <w:color w:val="000000"/>
          <w:sz w:val="24"/>
          <w:szCs w:val="24"/>
          <w:lang w:val="en-US" w:eastAsia="zh-CN"/>
        </w:rPr>
        <w:t xml:space="preserve">小微</w:t>
      </w:r>
      <w:r>
        <w:rPr>
          <w:rFonts w:hint="eastAsia" w:ascii="宋体" w:hAnsi="宋体" w:eastAsia="宋体" w:cs="宋体"/>
          <w:color w:val="000000"/>
          <w:sz w:val="24"/>
          <w:szCs w:val="24"/>
        </w:rPr>
        <w:t xml:space="preserve">企业承接。相关企业（含联合体中的</w:t>
      </w:r>
      <w:r>
        <w:rPr>
          <w:rFonts w:hint="eastAsia" w:ascii="宋体" w:hAnsi="宋体" w:cs="宋体"/>
          <w:color w:val="000000"/>
          <w:sz w:val="24"/>
          <w:szCs w:val="24"/>
          <w:lang w:val="en-US" w:eastAsia="zh-CN"/>
        </w:rPr>
        <w:t xml:space="preserve">小微</w:t>
      </w:r>
      <w:r>
        <w:rPr>
          <w:rFonts w:hint="eastAsia" w:ascii="宋体" w:hAnsi="宋体" w:eastAsia="宋体" w:cs="宋体"/>
          <w:color w:val="000000"/>
          <w:sz w:val="24"/>
          <w:szCs w:val="24"/>
        </w:rPr>
        <w:t xml:space="preserve">企业、签订采购包意向协议的</w:t>
      </w:r>
      <w:r>
        <w:rPr>
          <w:rFonts w:hint="eastAsia" w:ascii="宋体" w:hAnsi="宋体" w:cs="宋体"/>
          <w:color w:val="000000"/>
          <w:sz w:val="24"/>
          <w:szCs w:val="24"/>
          <w:lang w:val="en-US" w:eastAsia="zh-CN"/>
        </w:rPr>
        <w:t xml:space="preserve">小微</w:t>
      </w:r>
      <w:r>
        <w:rPr>
          <w:rFonts w:hint="eastAsia" w:ascii="宋体" w:hAnsi="宋体" w:eastAsia="宋体" w:cs="宋体"/>
          <w:color w:val="000000"/>
          <w:sz w:val="24"/>
          <w:szCs w:val="24"/>
        </w:rPr>
        <w:t xml:space="preserve">企业）的具体情况如下：</w:t>
      </w:r>
      <w:r/>
    </w:p>
    <w:p>
      <w:pPr>
        <w:pStyle w:val="701"/>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（高邮市民政局关于高邮市政府购买居家养老服务项目）</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（其他未列明行业）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01"/>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（其他未列明行业）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01"/>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01"/>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01"/>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01"/>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01"/>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701"/>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701"/>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01"/>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01"/>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01"/>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01"/>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701"/>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683"/>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141号）的规定，本单位为符合条件的残疾人福利性单位，且本单位参加______单位的采购文件编号为JSZC-****-****的项目（采购包号：**）采购活动由本单位提供服务。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3</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6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bookmarkEnd w:id="190"/>
      <w:bookmarkEnd w:id="196"/>
      <w:bookmarkEnd w:id="197"/>
      <w:bookmarkEnd w:id="198"/>
      <w:r/>
    </w:p>
    <w:p>
      <w:pPr>
        <w:pStyle w:val="858"/>
        <w:ind w:left="0"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27"/>
        <w:rFonts w:ascii="宋体" w:hAnsi="宋体"/>
      </w:rPr>
      <w:framePr w:wrap="around" w:vAnchor="text" w:hAnchor="margin" w:xAlign="center" w:y="1"/>
    </w:pPr>
    <w:r>
      <w:rPr>
        <w:rFonts w:ascii="宋体" w:hAnsi="宋体"/>
      </w:rPr>
      <w:fldChar w:fldCharType="begin"/>
    </w:r>
    <w:r>
      <w:rPr>
        <w:rStyle w:val="927"/>
        <w:rFonts w:ascii="宋体" w:hAnsi="宋体"/>
      </w:rPr>
      <w:instrText xml:space="preserve">PAGE  </w:instrText>
    </w:r>
    <w:r>
      <w:rPr>
        <w:rFonts w:ascii="宋体" w:hAnsi="宋体"/>
      </w:rPr>
      <w:fldChar w:fldCharType="separate"/>
    </w:r>
    <w:r>
      <w:rPr>
        <w:rStyle w:val="927"/>
        <w:rFonts w:ascii="宋体" w:hAnsi="宋体"/>
      </w:rPr>
      <w:t xml:space="preserve">21</w:t>
    </w:r>
    <w:r>
      <w:rPr>
        <w:rFonts w:ascii="宋体" w:hAnsi="宋体"/>
      </w:rPr>
      <w:fldChar w:fldCharType="end"/>
    </w:r>
    <w:r/>
  </w:p>
  <w:p>
    <w:pPr>
      <w:pStyle w:val="90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p>
  <w:p>
    <w:pPr>
      <w:pStyle w:val="9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w:fldChar w:fldCharType="begin"/>
    </w:r>
    <w:r>
      <w:instrText xml:space="preserve">PAGE   \* MERGEFORMAT</w:instrText>
    </w:r>
    <w:r>
      <w:fldChar w:fldCharType="separate"/>
    </w:r>
    <w:r>
      <w:rPr>
        <w:lang w:val="zh-CN"/>
      </w:rPr>
      <w:t xml:space="preserve">1</w:t>
    </w:r>
    <w:r>
      <w:fldChar w:fldCharType="end"/>
    </w:r>
    <w:r/>
  </w:p>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2"/>
      <w:isLgl w:val="false"/>
      <w:suff w:val="nothing"/>
      <w:lvlText w:val=""/>
      <w:lvlJc w:val="left"/>
      <w:pPr>
        <w:ind w:left="0" w:firstLine="0"/>
      </w:pPr>
      <w:rPr>
        <w:rFonts w:hint="eastAsia"/>
      </w:rPr>
    </w:lvl>
    <w:lvl w:ilvl="6">
      <w:start w:val="1"/>
      <w:numFmt w:val="decimal"/>
      <w:pStyle w:val="863"/>
      <w:isLgl w:val="false"/>
      <w:suff w:val="nothing"/>
      <w:lvlText w:val=""/>
      <w:lvlJc w:val="left"/>
      <w:pPr>
        <w:ind w:left="0" w:firstLine="0"/>
      </w:pPr>
      <w:rPr>
        <w:rFonts w:hint="eastAsia"/>
      </w:rPr>
    </w:lvl>
    <w:lvl w:ilvl="7">
      <w:start w:val="1"/>
      <w:numFmt w:val="decimal"/>
      <w:pStyle w:val="864"/>
      <w:isLgl w:val="false"/>
      <w:suff w:val="nothing"/>
      <w:lvlText w:val=""/>
      <w:lvlJc w:val="left"/>
      <w:pPr>
        <w:ind w:left="0" w:firstLine="0"/>
      </w:pPr>
      <w:rPr>
        <w:rFonts w:hint="eastAsia"/>
      </w:rPr>
    </w:lvl>
    <w:lvl w:ilvl="8">
      <w:start w:val="1"/>
      <w:numFmt w:val="decimal"/>
      <w:pStyle w:val="865"/>
      <w:isLgl w:val="false"/>
      <w:suff w:val="nothing"/>
      <w:lvlText w:val=""/>
      <w:lvlJc w:val="left"/>
      <w:pPr>
        <w:ind w:left="0" w:firstLine="0"/>
      </w:pPr>
      <w:rPr>
        <w:rFonts w:hint="eastAsia"/>
      </w:rPr>
    </w:lvl>
  </w:abstractNum>
  <w:abstractNum w:abstractNumId="4">
    <w:multiLevelType w:val="hybridMultilevel"/>
    <w:lvl w:ilvl="0">
      <w:start w:val="1"/>
      <w:numFmt w:val="decimal"/>
      <w:pStyle w:val="9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6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3">
    <w:name w:val="Heading 1"/>
    <w:basedOn w:val="672"/>
    <w:next w:val="672"/>
    <w:link w:val="708"/>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09"/>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10"/>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11"/>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12"/>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3"/>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5"/>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6"/>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Body Text"/>
    <w:basedOn w:val="672"/>
    <w:uiPriority w:val="0"/>
    <w:qFormat/>
    <w:rPr>
      <w:rFonts w:ascii="楷体_GB2312" w:hAnsi="Arial" w:eastAsia="楷体_GB2312" w:cs="Times New Roman"/>
      <w:sz w:val="28"/>
      <w:szCs w:val="28"/>
    </w:rPr>
  </w:style>
  <w:style w:type="paragraph" w:styleId="687">
    <w:name w:val="toc 5"/>
    <w:basedOn w:val="672"/>
    <w:next w:val="672"/>
    <w:uiPriority w:val="39"/>
    <w:unhideWhenUsed/>
    <w:qFormat/>
    <w:pPr>
      <w:ind w:left="1134" w:right="0" w:firstLine="0"/>
      <w:spacing w:after="57"/>
    </w:pPr>
  </w:style>
  <w:style w:type="paragraph" w:styleId="688">
    <w:name w:val="toc 3"/>
    <w:basedOn w:val="672"/>
    <w:next w:val="672"/>
    <w:uiPriority w:val="39"/>
    <w:unhideWhenUsed/>
    <w:qFormat/>
    <w:pPr>
      <w:ind w:left="567" w:right="0" w:firstLine="0"/>
      <w:spacing w:after="57"/>
    </w:pPr>
  </w:style>
  <w:style w:type="paragraph" w:styleId="689">
    <w:name w:val="toc 8"/>
    <w:basedOn w:val="672"/>
    <w:next w:val="672"/>
    <w:uiPriority w:val="39"/>
    <w:unhideWhenUsed/>
    <w:qFormat/>
    <w:pPr>
      <w:ind w:left="1984" w:right="0" w:firstLine="0"/>
      <w:spacing w:after="57"/>
    </w:pPr>
  </w:style>
  <w:style w:type="paragraph" w:styleId="690">
    <w:name w:val="endnote text"/>
    <w:basedOn w:val="672"/>
    <w:link w:val="854"/>
    <w:uiPriority w:val="99"/>
    <w:semiHidden/>
    <w:unhideWhenUsed/>
    <w:qFormat/>
    <w:pPr>
      <w:spacing w:after="0" w:line="240" w:lineRule="auto"/>
    </w:pPr>
    <w:rPr>
      <w:sz w:val="20"/>
    </w:rPr>
  </w:style>
  <w:style w:type="paragraph" w:styleId="691">
    <w:name w:val="Footer"/>
    <w:basedOn w:val="672"/>
    <w:link w:val="727"/>
    <w:uiPriority w:val="99"/>
    <w:unhideWhenUsed/>
    <w:qFormat/>
    <w:pPr>
      <w:spacing w:after="0" w:line="240" w:lineRule="auto"/>
      <w:tabs>
        <w:tab w:val="center" w:pos="7143" w:leader="none"/>
        <w:tab w:val="right" w:pos="14287" w:leader="none"/>
      </w:tabs>
    </w:pPr>
  </w:style>
  <w:style w:type="paragraph" w:styleId="692">
    <w:name w:val="Header"/>
    <w:basedOn w:val="672"/>
    <w:link w:val="725"/>
    <w:uiPriority w:val="99"/>
    <w:unhideWhenUsed/>
    <w:qFormat/>
    <w:pPr>
      <w:spacing w:after="0" w:line="240" w:lineRule="auto"/>
      <w:tabs>
        <w:tab w:val="center" w:pos="7143" w:leader="none"/>
        <w:tab w:val="right" w:pos="14287" w:leader="none"/>
      </w:tabs>
    </w:pPr>
  </w:style>
  <w:style w:type="paragraph" w:styleId="693">
    <w:name w:val="toc 1"/>
    <w:basedOn w:val="672"/>
    <w:next w:val="672"/>
    <w:uiPriority w:val="39"/>
    <w:unhideWhenUsed/>
    <w:qFormat/>
    <w:pPr>
      <w:ind w:left="0" w:right="0" w:firstLine="0"/>
      <w:spacing w:after="57"/>
    </w:pPr>
  </w:style>
  <w:style w:type="paragraph" w:styleId="694">
    <w:name w:val="toc 4"/>
    <w:basedOn w:val="672"/>
    <w:next w:val="672"/>
    <w:uiPriority w:val="39"/>
    <w:unhideWhenUsed/>
    <w:qFormat/>
    <w:pPr>
      <w:ind w:left="850" w:right="0" w:firstLine="0"/>
      <w:spacing w:after="57"/>
    </w:pPr>
  </w:style>
  <w:style w:type="paragraph" w:styleId="695">
    <w:name w:val="Subtitle"/>
    <w:basedOn w:val="672"/>
    <w:next w:val="672"/>
    <w:link w:val="720"/>
    <w:uiPriority w:val="11"/>
    <w:qFormat/>
    <w:pPr>
      <w:spacing w:before="200" w:after="200"/>
    </w:pPr>
    <w:rPr>
      <w:sz w:val="24"/>
      <w:szCs w:val="24"/>
    </w:rPr>
  </w:style>
  <w:style w:type="paragraph" w:styleId="696">
    <w:name w:val="footnote text"/>
    <w:basedOn w:val="672"/>
    <w:link w:val="853"/>
    <w:uiPriority w:val="99"/>
    <w:semiHidden/>
    <w:unhideWhenUsed/>
    <w:qFormat/>
    <w:pPr>
      <w:spacing w:after="40" w:line="240" w:lineRule="auto"/>
    </w:pPr>
    <w:rPr>
      <w:sz w:val="18"/>
    </w:rPr>
  </w:style>
  <w:style w:type="paragraph" w:styleId="697">
    <w:name w:val="toc 6"/>
    <w:basedOn w:val="672"/>
    <w:next w:val="672"/>
    <w:uiPriority w:val="39"/>
    <w:unhideWhenUsed/>
    <w:qFormat/>
    <w:pPr>
      <w:ind w:left="1417" w:right="0" w:firstLine="0"/>
      <w:spacing w:after="57"/>
    </w:pPr>
  </w:style>
  <w:style w:type="paragraph" w:styleId="698">
    <w:name w:val="table of figures"/>
    <w:basedOn w:val="672"/>
    <w:next w:val="672"/>
    <w:uiPriority w:val="99"/>
    <w:unhideWhenUsed/>
    <w:qFormat/>
    <w:pPr>
      <w:spacing w:after="0" w:afterAutospacing="0"/>
    </w:pPr>
  </w:style>
  <w:style w:type="paragraph" w:styleId="699">
    <w:name w:val="toc 2"/>
    <w:basedOn w:val="672"/>
    <w:next w:val="672"/>
    <w:uiPriority w:val="39"/>
    <w:unhideWhenUsed/>
    <w:qFormat/>
    <w:pPr>
      <w:ind w:left="283" w:right="0" w:firstLine="0"/>
      <w:spacing w:after="57"/>
    </w:pPr>
  </w:style>
  <w:style w:type="paragraph" w:styleId="700">
    <w:name w:val="toc 9"/>
    <w:basedOn w:val="672"/>
    <w:next w:val="672"/>
    <w:uiPriority w:val="39"/>
    <w:unhideWhenUsed/>
    <w:qFormat/>
    <w:pPr>
      <w:ind w:left="2268" w:right="0" w:firstLine="0"/>
      <w:spacing w:after="57"/>
    </w:pPr>
  </w:style>
  <w:style w:type="paragraph" w:styleId="701">
    <w:name w:val="Normal (Web)"/>
    <w:basedOn w:val="672"/>
    <w:uiPriority w:val="99"/>
    <w:semiHidden/>
    <w:unhideWhenUsed/>
    <w:qFormat/>
    <w:pPr>
      <w:ind w:left="0" w:right="0"/>
      <w:jc w:val="left"/>
      <w:spacing w:before="0" w:beforeAutospacing="1" w:after="0" w:afterAutospacing="1"/>
    </w:pPr>
    <w:rPr>
      <w:sz w:val="24"/>
      <w:lang w:val="en-US" w:eastAsia="zh-CN" w:bidi="ar"/>
    </w:rPr>
  </w:style>
  <w:style w:type="paragraph" w:styleId="702">
    <w:name w:val="Title"/>
    <w:basedOn w:val="672"/>
    <w:next w:val="672"/>
    <w:link w:val="719"/>
    <w:uiPriority w:val="10"/>
    <w:qFormat/>
    <w:pPr>
      <w:contextualSpacing/>
      <w:spacing w:before="300" w:after="200"/>
    </w:pPr>
    <w:rPr>
      <w:sz w:val="48"/>
      <w:szCs w:val="48"/>
    </w:rPr>
  </w:style>
  <w:style w:type="paragraph" w:styleId="703">
    <w:name w:val="Body Text First Indent"/>
    <w:basedOn w:val="686"/>
    <w:uiPriority w:val="0"/>
    <w:qFormat/>
    <w:pPr>
      <w:ind w:firstLine="200"/>
      <w:spacing w:line="360" w:lineRule="auto"/>
    </w:pPr>
    <w:rPr>
      <w:rFonts w:ascii="仿宋_GB2312" w:hAnsi="Times New Roman" w:eastAsia="仿宋_GB2312" w:cs="Times New Roman"/>
      <w:sz w:val="30"/>
      <w:szCs w:val="30"/>
    </w:rPr>
  </w:style>
  <w:style w:type="table" w:styleId="7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endnote reference"/>
    <w:uiPriority w:val="99"/>
    <w:semiHidden/>
    <w:unhideWhenUsed/>
    <w:qFormat/>
    <w:rPr>
      <w:vertAlign w:val="superscript"/>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character" w:styleId="708" w:customStyle="1">
    <w:name w:val="Heading 1 Char"/>
    <w:link w:val="673"/>
    <w:uiPriority w:val="9"/>
    <w:qFormat/>
    <w:rPr>
      <w:rFonts w:ascii="Arial" w:hAnsi="Arial" w:eastAsia="Arial" w:cs="Arial"/>
      <w:sz w:val="40"/>
      <w:szCs w:val="40"/>
    </w:rPr>
  </w:style>
  <w:style w:type="character" w:styleId="709" w:customStyle="1">
    <w:name w:val="Heading 2 Char"/>
    <w:link w:val="674"/>
    <w:uiPriority w:val="9"/>
    <w:qFormat/>
    <w:rPr>
      <w:rFonts w:ascii="Arial" w:hAnsi="Arial" w:eastAsia="Arial" w:cs="Arial"/>
      <w:sz w:val="34"/>
    </w:rPr>
  </w:style>
  <w:style w:type="character" w:styleId="710" w:customStyle="1">
    <w:name w:val="Heading 3 Char"/>
    <w:link w:val="675"/>
    <w:uiPriority w:val="9"/>
    <w:qFormat/>
    <w:rPr>
      <w:rFonts w:ascii="Arial" w:hAnsi="Arial" w:eastAsia="Arial" w:cs="Arial"/>
      <w:sz w:val="30"/>
      <w:szCs w:val="30"/>
    </w:rPr>
  </w:style>
  <w:style w:type="character" w:styleId="711" w:customStyle="1">
    <w:name w:val="Heading 4 Char"/>
    <w:link w:val="676"/>
    <w:uiPriority w:val="9"/>
    <w:qFormat/>
    <w:rPr>
      <w:rFonts w:ascii="Arial" w:hAnsi="Arial" w:eastAsia="Arial" w:cs="Arial"/>
      <w:b/>
      <w:bCs/>
      <w:sz w:val="26"/>
      <w:szCs w:val="26"/>
    </w:rPr>
  </w:style>
  <w:style w:type="character" w:styleId="712" w:customStyle="1">
    <w:name w:val="Heading 5 Char"/>
    <w:link w:val="677"/>
    <w:uiPriority w:val="9"/>
    <w:qFormat/>
    <w:rPr>
      <w:rFonts w:ascii="Arial" w:hAnsi="Arial" w:eastAsia="Arial" w:cs="Arial"/>
      <w:b/>
      <w:bCs/>
      <w:sz w:val="24"/>
      <w:szCs w:val="24"/>
    </w:rPr>
  </w:style>
  <w:style w:type="character" w:styleId="713" w:customStyle="1">
    <w:name w:val="Heading 6 Char"/>
    <w:link w:val="678"/>
    <w:uiPriority w:val="9"/>
    <w:qFormat/>
    <w:rPr>
      <w:rFonts w:ascii="Arial" w:hAnsi="Arial" w:eastAsia="Arial" w:cs="Arial"/>
      <w:b/>
      <w:bCs/>
      <w:sz w:val="22"/>
      <w:szCs w:val="22"/>
    </w:rPr>
  </w:style>
  <w:style w:type="character" w:styleId="714" w:customStyle="1">
    <w:name w:val="Heading 7 Char"/>
    <w:link w:val="679"/>
    <w:uiPriority w:val="9"/>
    <w:qFormat/>
    <w:rPr>
      <w:rFonts w:ascii="Arial" w:hAnsi="Arial" w:eastAsia="Arial" w:cs="Arial"/>
      <w:b/>
      <w:bCs/>
      <w:i/>
      <w:iCs/>
      <w:sz w:val="22"/>
      <w:szCs w:val="22"/>
    </w:rPr>
  </w:style>
  <w:style w:type="character" w:styleId="715" w:customStyle="1">
    <w:name w:val="Heading 8 Char"/>
    <w:link w:val="680"/>
    <w:uiPriority w:val="9"/>
    <w:qFormat/>
    <w:rPr>
      <w:rFonts w:ascii="Arial" w:hAnsi="Arial" w:eastAsia="Arial" w:cs="Arial"/>
      <w:i/>
      <w:iCs/>
      <w:sz w:val="22"/>
      <w:szCs w:val="22"/>
    </w:rPr>
  </w:style>
  <w:style w:type="character" w:styleId="716" w:customStyle="1">
    <w:name w:val="Heading 9 Char"/>
    <w:link w:val="681"/>
    <w:uiPriority w:val="9"/>
    <w:qFormat/>
    <w:rPr>
      <w:rFonts w:ascii="Arial" w:hAnsi="Arial" w:eastAsia="Arial" w:cs="Arial"/>
      <w:i/>
      <w:iCs/>
      <w:sz w:val="21"/>
      <w:szCs w:val="21"/>
    </w:rPr>
  </w:style>
  <w:style w:type="paragraph" w:styleId="717">
    <w:name w:val="List Paragraph"/>
    <w:basedOn w:val="672"/>
    <w:uiPriority w:val="34"/>
    <w:qFormat/>
    <w:pPr>
      <w:contextualSpacing/>
      <w:ind w:left="720"/>
    </w:pPr>
  </w:style>
  <w:style w:type="paragraph" w:styleId="718">
    <w:name w:val="No Spacing"/>
    <w:uiPriority w:val="1"/>
    <w:qFormat/>
    <w:pPr>
      <w:spacing w:before="0" w:after="0" w:line="240" w:lineRule="auto"/>
    </w:pPr>
    <w:rPr>
      <w:rFonts w:hint="default" w:ascii="Calibri" w:hAnsi="Calibri" w:eastAsia="宋体" w:cs="Times New Roman"/>
    </w:rPr>
  </w:style>
  <w:style w:type="character" w:styleId="719" w:customStyle="1">
    <w:name w:val="Title Char"/>
    <w:link w:val="702"/>
    <w:uiPriority w:val="10"/>
    <w:qFormat/>
    <w:rPr>
      <w:sz w:val="48"/>
      <w:szCs w:val="48"/>
    </w:rPr>
  </w:style>
  <w:style w:type="character" w:styleId="720" w:customStyle="1">
    <w:name w:val="Subtitle Char"/>
    <w:link w:val="695"/>
    <w:uiPriority w:val="11"/>
    <w:qFormat/>
    <w:rPr>
      <w:sz w:val="24"/>
      <w:szCs w:val="24"/>
    </w:rPr>
  </w:style>
  <w:style w:type="paragraph" w:styleId="721">
    <w:name w:val="Quote"/>
    <w:basedOn w:val="672"/>
    <w:next w:val="672"/>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72"/>
    <w:next w:val="672"/>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Header Char"/>
    <w:link w:val="692"/>
    <w:uiPriority w:val="99"/>
    <w:qFormat/>
  </w:style>
  <w:style w:type="character" w:styleId="726" w:customStyle="1">
    <w:name w:val="Footer Char"/>
    <w:link w:val="691"/>
    <w:uiPriority w:val="99"/>
    <w:qFormat/>
  </w:style>
  <w:style w:type="character" w:styleId="727" w:customStyle="1">
    <w:name w:val="Caption Char"/>
    <w:link w:val="691"/>
    <w:uiPriority w:val="99"/>
    <w:qFormat/>
  </w:style>
  <w:style w:type="table" w:styleId="7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Footnote Text Char"/>
    <w:link w:val="696"/>
    <w:uiPriority w:val="99"/>
    <w:qFormat/>
    <w:rPr>
      <w:sz w:val="18"/>
    </w:rPr>
  </w:style>
  <w:style w:type="character" w:styleId="854" w:customStyle="1">
    <w:name w:val="Endnote Text Char"/>
    <w:link w:val="690"/>
    <w:uiPriority w:val="99"/>
    <w:qFormat/>
    <w:rPr>
      <w:sz w:val="20"/>
    </w:rPr>
  </w:style>
  <w:style w:type="paragraph" w:styleId="855" w:customStyle="1">
    <w:name w:val="TOC Heading"/>
    <w:uiPriority w:val="39"/>
    <w:unhideWhenUsed/>
    <w:qFormat/>
    <w:rPr>
      <w:rFonts w:hint="default" w:ascii="Calibri" w:hAnsi="Calibri" w:eastAsia="宋体" w:cs="Times New Roman"/>
    </w:rPr>
  </w:style>
  <w:style w:type="paragraph" w:styleId="856" w:customStyle="1">
    <w:name w:val="标题 11"/>
    <w:basedOn w:val="672"/>
    <w:next w:val="672"/>
    <w:link w:val="868"/>
    <w:uiPriority w:val="0"/>
    <w:qFormat/>
    <w:pPr>
      <w:jc w:val="center"/>
      <w:keepNext/>
      <w:outlineLvl w:val="0"/>
    </w:pPr>
    <w:rPr>
      <w:rFonts w:ascii="楷体_GB2312" w:eastAsia="楷体_GB2312"/>
      <w:sz w:val="28"/>
      <w:szCs w:val="28"/>
    </w:rPr>
  </w:style>
  <w:style w:type="paragraph" w:styleId="857" w:customStyle="1">
    <w:name w:val="标题 21"/>
    <w:basedOn w:val="672"/>
    <w:next w:val="858"/>
    <w:link w:val="86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8" w:customStyle="1">
    <w:name w:val="正文缩进1"/>
    <w:basedOn w:val="672"/>
    <w:link w:val="870"/>
    <w:uiPriority w:val="0"/>
    <w:qFormat/>
    <w:pPr>
      <w:ind w:firstLine="420"/>
    </w:pPr>
  </w:style>
  <w:style w:type="paragraph" w:styleId="859" w:customStyle="1">
    <w:name w:val="标题 31"/>
    <w:basedOn w:val="672"/>
    <w:next w:val="858"/>
    <w:link w:val="871"/>
    <w:uiPriority w:val="0"/>
    <w:qFormat/>
    <w:pPr>
      <w:keepLines/>
      <w:keepNext/>
      <w:spacing w:before="260" w:after="260" w:line="416" w:lineRule="auto"/>
      <w:outlineLvl w:val="2"/>
    </w:pPr>
    <w:rPr>
      <w:b/>
      <w:bCs/>
      <w:sz w:val="32"/>
      <w:szCs w:val="32"/>
    </w:rPr>
  </w:style>
  <w:style w:type="paragraph" w:styleId="860" w:customStyle="1">
    <w:name w:val="标题 41"/>
    <w:basedOn w:val="672"/>
    <w:next w:val="858"/>
    <w:link w:val="872"/>
    <w:uiPriority w:val="0"/>
    <w:qFormat/>
    <w:pPr>
      <w:keepLines/>
      <w:keepNext/>
      <w:spacing w:before="280" w:after="290" w:line="376" w:lineRule="auto"/>
      <w:outlineLvl w:val="3"/>
    </w:pPr>
    <w:rPr>
      <w:rFonts w:ascii="Arial" w:hAnsi="Arial" w:eastAsia="黑体" w:cs="Arial"/>
      <w:b/>
      <w:bCs/>
      <w:sz w:val="28"/>
      <w:szCs w:val="28"/>
    </w:rPr>
  </w:style>
  <w:style w:type="paragraph" w:styleId="861" w:customStyle="1">
    <w:name w:val="标题 51"/>
    <w:basedOn w:val="672"/>
    <w:next w:val="858"/>
    <w:link w:val="873"/>
    <w:uiPriority w:val="0"/>
    <w:qFormat/>
    <w:pPr>
      <w:keepNext/>
      <w:outlineLvl w:val="4"/>
    </w:pPr>
    <w:rPr>
      <w:rFonts w:ascii="宋体"/>
      <w:color w:val="000000"/>
      <w:sz w:val="28"/>
      <w:szCs w:val="28"/>
    </w:rPr>
  </w:style>
  <w:style w:type="paragraph" w:styleId="862" w:customStyle="1">
    <w:name w:val="标题 61"/>
    <w:basedOn w:val="672"/>
    <w:next w:val="672"/>
    <w:link w:val="87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3" w:customStyle="1">
    <w:name w:val="标题 71"/>
    <w:basedOn w:val="672"/>
    <w:next w:val="672"/>
    <w:link w:val="875"/>
    <w:uiPriority w:val="0"/>
    <w:qFormat/>
    <w:pPr>
      <w:numPr>
        <w:ilvl w:val="6"/>
        <w:numId w:val="1"/>
      </w:numPr>
      <w:keepLines/>
      <w:keepNext/>
      <w:spacing w:before="240" w:after="64" w:line="320" w:lineRule="auto"/>
      <w:outlineLvl w:val="6"/>
    </w:pPr>
    <w:rPr>
      <w:b/>
      <w:bCs/>
      <w:sz w:val="24"/>
      <w:szCs w:val="24"/>
    </w:rPr>
  </w:style>
  <w:style w:type="paragraph" w:styleId="864" w:customStyle="1">
    <w:name w:val="标题 81"/>
    <w:basedOn w:val="672"/>
    <w:next w:val="672"/>
    <w:link w:val="87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5" w:customStyle="1">
    <w:name w:val="标题 91"/>
    <w:basedOn w:val="672"/>
    <w:next w:val="672"/>
    <w:link w:val="877"/>
    <w:uiPriority w:val="0"/>
    <w:qFormat/>
    <w:pPr>
      <w:numPr>
        <w:ilvl w:val="8"/>
        <w:numId w:val="1"/>
      </w:numPr>
      <w:keepLines/>
      <w:keepNext/>
      <w:spacing w:before="240" w:after="64" w:line="320" w:lineRule="auto"/>
      <w:outlineLvl w:val="8"/>
    </w:pPr>
    <w:rPr>
      <w:rFonts w:ascii="Arial" w:hAnsi="Arial" w:eastAsia="黑体"/>
    </w:rPr>
  </w:style>
  <w:style w:type="character" w:styleId="866" w:customStyle="1">
    <w:name w:val="默认段落字体1"/>
    <w:link w:val="672"/>
    <w:uiPriority w:val="1"/>
    <w:unhideWhenUsed/>
    <w:qFormat/>
  </w:style>
  <w:style w:type="table" w:styleId="867" w:customStyle="1">
    <w:name w:val="普通表格1"/>
    <w:uiPriority w:val="99"/>
    <w:unhideWhenUsed/>
    <w:qFormat/>
    <w:tblPr/>
  </w:style>
  <w:style w:type="character" w:styleId="868" w:customStyle="1">
    <w:name w:val="标题 1 Char"/>
    <w:link w:val="856"/>
    <w:uiPriority w:val="0"/>
    <w:qFormat/>
    <w:rPr>
      <w:rFonts w:ascii="楷体_GB2312" w:hAnsi="Times New Roman" w:eastAsia="楷体_GB2312" w:cs="Times New Roman"/>
      <w:sz w:val="28"/>
      <w:szCs w:val="28"/>
    </w:rPr>
  </w:style>
  <w:style w:type="character" w:styleId="869" w:customStyle="1">
    <w:name w:val="标题 2 Char"/>
    <w:link w:val="857"/>
    <w:uiPriority w:val="0"/>
    <w:qFormat/>
    <w:rPr>
      <w:rFonts w:ascii="Arial" w:hAnsi="Arial" w:eastAsia="幼圆" w:cs="Arial"/>
      <w:b/>
      <w:bCs/>
      <w:sz w:val="44"/>
      <w:szCs w:val="44"/>
    </w:rPr>
  </w:style>
  <w:style w:type="character" w:styleId="870" w:customStyle="1">
    <w:name w:val="正文缩进 Char"/>
    <w:link w:val="858"/>
    <w:uiPriority w:val="0"/>
    <w:qFormat/>
    <w:rPr>
      <w:rFonts w:ascii="Times New Roman" w:hAnsi="Times New Roman" w:eastAsia="宋体" w:cs="Times New Roman"/>
      <w:szCs w:val="21"/>
    </w:rPr>
  </w:style>
  <w:style w:type="character" w:styleId="871" w:customStyle="1">
    <w:name w:val="标题 3 Char"/>
    <w:link w:val="859"/>
    <w:uiPriority w:val="0"/>
    <w:qFormat/>
    <w:rPr>
      <w:rFonts w:ascii="Times New Roman" w:hAnsi="Times New Roman" w:eastAsia="宋体" w:cs="Times New Roman"/>
      <w:b/>
      <w:bCs/>
      <w:sz w:val="32"/>
      <w:szCs w:val="32"/>
    </w:rPr>
  </w:style>
  <w:style w:type="character" w:styleId="872" w:customStyle="1">
    <w:name w:val="标题 4 Char"/>
    <w:link w:val="860"/>
    <w:uiPriority w:val="0"/>
    <w:qFormat/>
    <w:rPr>
      <w:rFonts w:ascii="Arial" w:hAnsi="Arial" w:eastAsia="黑体" w:cs="Arial"/>
      <w:b/>
      <w:bCs/>
      <w:sz w:val="28"/>
      <w:szCs w:val="28"/>
    </w:rPr>
  </w:style>
  <w:style w:type="character" w:styleId="873" w:customStyle="1">
    <w:name w:val="标题 5 Char"/>
    <w:link w:val="861"/>
    <w:uiPriority w:val="0"/>
    <w:qFormat/>
    <w:rPr>
      <w:rFonts w:ascii="宋体" w:hAnsi="Times New Roman" w:eastAsia="宋体" w:cs="Times New Roman"/>
      <w:color w:val="000000"/>
      <w:sz w:val="28"/>
      <w:szCs w:val="28"/>
    </w:rPr>
  </w:style>
  <w:style w:type="character" w:styleId="874" w:customStyle="1">
    <w:name w:val="标题 6 Char"/>
    <w:link w:val="862"/>
    <w:uiPriority w:val="0"/>
    <w:qFormat/>
    <w:rPr>
      <w:rFonts w:ascii="Arial" w:hAnsi="Arial" w:eastAsia="黑体" w:cs="Times New Roman"/>
      <w:b/>
      <w:bCs/>
      <w:sz w:val="24"/>
      <w:szCs w:val="24"/>
    </w:rPr>
  </w:style>
  <w:style w:type="character" w:styleId="875" w:customStyle="1">
    <w:name w:val="标题 7 Char"/>
    <w:link w:val="863"/>
    <w:uiPriority w:val="0"/>
    <w:qFormat/>
    <w:rPr>
      <w:rFonts w:ascii="Times New Roman" w:hAnsi="Times New Roman" w:eastAsia="宋体" w:cs="Times New Roman"/>
      <w:b/>
      <w:bCs/>
      <w:sz w:val="24"/>
      <w:szCs w:val="24"/>
    </w:rPr>
  </w:style>
  <w:style w:type="character" w:styleId="876" w:customStyle="1">
    <w:name w:val="标题 8 Char"/>
    <w:link w:val="864"/>
    <w:uiPriority w:val="0"/>
    <w:qFormat/>
    <w:rPr>
      <w:rFonts w:ascii="Arial" w:hAnsi="Arial" w:eastAsia="黑体" w:cs="Times New Roman"/>
      <w:sz w:val="24"/>
      <w:szCs w:val="24"/>
    </w:rPr>
  </w:style>
  <w:style w:type="character" w:styleId="877" w:customStyle="1">
    <w:name w:val="标题 9 Char"/>
    <w:link w:val="865"/>
    <w:uiPriority w:val="0"/>
    <w:qFormat/>
    <w:rPr>
      <w:rFonts w:ascii="Arial" w:hAnsi="Arial" w:eastAsia="黑体" w:cs="Times New Roman"/>
      <w:szCs w:val="21"/>
    </w:rPr>
  </w:style>
  <w:style w:type="paragraph" w:styleId="878" w:customStyle="1">
    <w:name w:val="列表 31"/>
    <w:basedOn w:val="672"/>
    <w:uiPriority w:val="0"/>
    <w:qFormat/>
    <w:pPr>
      <w:ind w:left="100" w:hanging="200"/>
    </w:pPr>
  </w:style>
  <w:style w:type="paragraph" w:styleId="879" w:customStyle="1">
    <w:name w:val="目录 71"/>
    <w:basedOn w:val="672"/>
    <w:next w:val="672"/>
    <w:uiPriority w:val="0"/>
    <w:semiHidden/>
    <w:qFormat/>
    <w:pPr>
      <w:ind w:left="1260"/>
      <w:jc w:val="left"/>
    </w:pPr>
  </w:style>
  <w:style w:type="paragraph" w:styleId="880" w:customStyle="1">
    <w:name w:val="文档结构图1"/>
    <w:basedOn w:val="672"/>
    <w:link w:val="881"/>
    <w:uiPriority w:val="0"/>
    <w:semiHidden/>
    <w:qFormat/>
    <w:pPr>
      <w:shd w:val="clear" w:color="auto" w:fill="000080"/>
    </w:pPr>
  </w:style>
  <w:style w:type="character" w:styleId="881" w:customStyle="1">
    <w:name w:val="文档结构图 Char"/>
    <w:link w:val="880"/>
    <w:uiPriority w:val="0"/>
    <w:semiHidden/>
    <w:qFormat/>
    <w:rPr>
      <w:rFonts w:ascii="Times New Roman" w:hAnsi="Times New Roman" w:eastAsia="宋体" w:cs="Times New Roman"/>
      <w:szCs w:val="21"/>
      <w:shd w:val="clear" w:color="auto" w:fill="000080"/>
    </w:rPr>
  </w:style>
  <w:style w:type="paragraph" w:styleId="882" w:customStyle="1">
    <w:name w:val="批注文字1"/>
    <w:basedOn w:val="672"/>
    <w:link w:val="883"/>
    <w:uiPriority w:val="0"/>
    <w:semiHidden/>
    <w:qFormat/>
    <w:pPr>
      <w:jc w:val="left"/>
    </w:pPr>
  </w:style>
  <w:style w:type="character" w:styleId="883" w:customStyle="1">
    <w:name w:val="批注文字 Char"/>
    <w:link w:val="882"/>
    <w:uiPriority w:val="0"/>
    <w:semiHidden/>
    <w:qFormat/>
    <w:rPr>
      <w:rFonts w:ascii="Times New Roman" w:hAnsi="Times New Roman" w:eastAsia="宋体" w:cs="Times New Roman"/>
      <w:szCs w:val="21"/>
    </w:rPr>
  </w:style>
  <w:style w:type="paragraph" w:styleId="884" w:customStyle="1">
    <w:name w:val="正文文本 31"/>
    <w:basedOn w:val="672"/>
    <w:link w:val="885"/>
    <w:uiPriority w:val="0"/>
    <w:qFormat/>
    <w:rPr>
      <w:rFonts w:ascii="仿宋_GB2312" w:hAnsi="Arial" w:eastAsia="仿宋_GB2312"/>
      <w:sz w:val="32"/>
      <w:szCs w:val="32"/>
    </w:rPr>
  </w:style>
  <w:style w:type="character" w:styleId="885" w:customStyle="1">
    <w:name w:val="正文文本 3 Char"/>
    <w:link w:val="884"/>
    <w:uiPriority w:val="0"/>
    <w:qFormat/>
    <w:rPr>
      <w:rFonts w:ascii="仿宋_GB2312" w:hAnsi="Arial" w:eastAsia="仿宋_GB2312" w:cs="Times New Roman"/>
      <w:sz w:val="32"/>
      <w:szCs w:val="32"/>
    </w:rPr>
  </w:style>
  <w:style w:type="paragraph" w:styleId="886" w:customStyle="1">
    <w:name w:val="正文文本1"/>
    <w:basedOn w:val="672"/>
    <w:link w:val="887"/>
    <w:uiPriority w:val="0"/>
    <w:qFormat/>
    <w:rPr>
      <w:rFonts w:ascii="楷体_GB2312" w:hAnsi="Arial" w:eastAsia="楷体_GB2312"/>
      <w:sz w:val="28"/>
      <w:szCs w:val="28"/>
    </w:rPr>
  </w:style>
  <w:style w:type="character" w:styleId="887" w:customStyle="1">
    <w:name w:val="正文文本 Char"/>
    <w:link w:val="886"/>
    <w:uiPriority w:val="0"/>
    <w:qFormat/>
    <w:rPr>
      <w:rFonts w:ascii="楷体_GB2312" w:hAnsi="Arial" w:eastAsia="楷体_GB2312" w:cs="Times New Roman"/>
      <w:sz w:val="28"/>
      <w:szCs w:val="28"/>
    </w:rPr>
  </w:style>
  <w:style w:type="paragraph" w:styleId="888" w:customStyle="1">
    <w:name w:val="正文文本缩进1"/>
    <w:basedOn w:val="672"/>
    <w:link w:val="889"/>
    <w:uiPriority w:val="0"/>
    <w:qFormat/>
    <w:pPr>
      <w:ind w:firstLine="645"/>
    </w:pPr>
    <w:rPr>
      <w:rFonts w:ascii="楷体_GB2312" w:eastAsia="楷体_GB2312"/>
      <w:sz w:val="32"/>
      <w:szCs w:val="32"/>
    </w:rPr>
  </w:style>
  <w:style w:type="character" w:styleId="889" w:customStyle="1">
    <w:name w:val="正文文本缩进 Char"/>
    <w:link w:val="888"/>
    <w:uiPriority w:val="0"/>
    <w:qFormat/>
    <w:rPr>
      <w:rFonts w:ascii="楷体_GB2312" w:hAnsi="Times New Roman" w:eastAsia="楷体_GB2312" w:cs="Times New Roman"/>
      <w:sz w:val="32"/>
      <w:szCs w:val="32"/>
    </w:rPr>
  </w:style>
  <w:style w:type="paragraph" w:styleId="890" w:customStyle="1">
    <w:name w:val="列表 21"/>
    <w:basedOn w:val="672"/>
    <w:uiPriority w:val="0"/>
    <w:qFormat/>
    <w:pPr>
      <w:ind w:left="100" w:hanging="200"/>
    </w:pPr>
  </w:style>
  <w:style w:type="paragraph" w:styleId="891" w:customStyle="1">
    <w:name w:val="目录 51"/>
    <w:basedOn w:val="672"/>
    <w:next w:val="672"/>
    <w:uiPriority w:val="0"/>
    <w:semiHidden/>
    <w:qFormat/>
    <w:pPr>
      <w:ind w:left="840"/>
      <w:jc w:val="left"/>
    </w:pPr>
  </w:style>
  <w:style w:type="paragraph" w:styleId="892" w:customStyle="1">
    <w:name w:val="目录 31"/>
    <w:basedOn w:val="672"/>
    <w:next w:val="672"/>
    <w:uiPriority w:val="0"/>
    <w:semiHidden/>
    <w:qFormat/>
    <w:pPr>
      <w:ind w:left="420"/>
      <w:jc w:val="left"/>
    </w:pPr>
    <w:rPr>
      <w:i/>
      <w:iCs/>
      <w:szCs w:val="24"/>
    </w:rPr>
  </w:style>
  <w:style w:type="paragraph" w:styleId="893" w:customStyle="1">
    <w:name w:val="纯文本1"/>
    <w:basedOn w:val="672"/>
    <w:link w:val="894"/>
    <w:uiPriority w:val="0"/>
    <w:qFormat/>
    <w:rPr>
      <w:rFonts w:ascii="宋体" w:hAnsi="Courier New" w:cs="Courier New"/>
    </w:rPr>
  </w:style>
  <w:style w:type="character" w:styleId="894" w:customStyle="1">
    <w:name w:val="纯文本 Char"/>
    <w:link w:val="893"/>
    <w:uiPriority w:val="0"/>
    <w:qFormat/>
    <w:rPr>
      <w:rFonts w:ascii="宋体" w:hAnsi="Courier New" w:eastAsia="宋体" w:cs="Courier New"/>
      <w:szCs w:val="21"/>
    </w:rPr>
  </w:style>
  <w:style w:type="paragraph" w:styleId="895" w:customStyle="1">
    <w:name w:val="目录 81"/>
    <w:basedOn w:val="672"/>
    <w:next w:val="672"/>
    <w:uiPriority w:val="0"/>
    <w:semiHidden/>
    <w:qFormat/>
    <w:pPr>
      <w:ind w:left="1470"/>
      <w:jc w:val="left"/>
    </w:pPr>
  </w:style>
  <w:style w:type="paragraph" w:styleId="896" w:customStyle="1">
    <w:name w:val="日期1"/>
    <w:basedOn w:val="672"/>
    <w:next w:val="672"/>
    <w:link w:val="897"/>
    <w:uiPriority w:val="0"/>
    <w:qFormat/>
    <w:rPr>
      <w:sz w:val="24"/>
      <w:szCs w:val="24"/>
    </w:rPr>
  </w:style>
  <w:style w:type="character" w:styleId="897" w:customStyle="1">
    <w:name w:val="日期 Char"/>
    <w:link w:val="896"/>
    <w:uiPriority w:val="0"/>
    <w:qFormat/>
    <w:rPr>
      <w:rFonts w:ascii="Times New Roman" w:hAnsi="Times New Roman" w:eastAsia="宋体" w:cs="Times New Roman"/>
      <w:sz w:val="24"/>
      <w:szCs w:val="24"/>
    </w:rPr>
  </w:style>
  <w:style w:type="paragraph" w:styleId="898" w:customStyle="1">
    <w:name w:val="正文文本缩进 21"/>
    <w:basedOn w:val="672"/>
    <w:link w:val="899"/>
    <w:uiPriority w:val="0"/>
    <w:qFormat/>
    <w:pPr>
      <w:ind w:left="630" w:firstLine="645"/>
    </w:pPr>
    <w:rPr>
      <w:rFonts w:ascii="Arial" w:hAnsi="Arial" w:eastAsia="仿宋_GB2312" w:cs="Arial"/>
      <w:sz w:val="32"/>
      <w:szCs w:val="32"/>
    </w:rPr>
  </w:style>
  <w:style w:type="character" w:styleId="899" w:customStyle="1">
    <w:name w:val="正文文本缩进 2 Char"/>
    <w:link w:val="898"/>
    <w:uiPriority w:val="0"/>
    <w:qFormat/>
    <w:rPr>
      <w:rFonts w:ascii="Arial" w:hAnsi="Arial" w:eastAsia="仿宋_GB2312" w:cs="Arial"/>
      <w:sz w:val="32"/>
      <w:szCs w:val="32"/>
    </w:rPr>
  </w:style>
  <w:style w:type="paragraph" w:styleId="900" w:customStyle="1">
    <w:name w:val="批注框文本1"/>
    <w:basedOn w:val="672"/>
    <w:link w:val="901"/>
    <w:uiPriority w:val="0"/>
    <w:semiHidden/>
    <w:qFormat/>
    <w:rPr>
      <w:sz w:val="18"/>
      <w:szCs w:val="18"/>
    </w:rPr>
  </w:style>
  <w:style w:type="character" w:styleId="901" w:customStyle="1">
    <w:name w:val="批注框文本 Char"/>
    <w:link w:val="900"/>
    <w:uiPriority w:val="0"/>
    <w:semiHidden/>
    <w:qFormat/>
    <w:rPr>
      <w:rFonts w:ascii="Times New Roman" w:hAnsi="Times New Roman" w:eastAsia="宋体" w:cs="Times New Roman"/>
      <w:sz w:val="18"/>
      <w:szCs w:val="18"/>
    </w:rPr>
  </w:style>
  <w:style w:type="paragraph" w:styleId="902" w:customStyle="1">
    <w:name w:val="页脚1"/>
    <w:basedOn w:val="672"/>
    <w:link w:val="903"/>
    <w:uiPriority w:val="99"/>
    <w:qFormat/>
    <w:pPr>
      <w:jc w:val="left"/>
      <w:tabs>
        <w:tab w:val="center" w:pos="4153" w:leader="none"/>
        <w:tab w:val="right" w:pos="8306" w:leader="none"/>
      </w:tabs>
    </w:pPr>
    <w:rPr>
      <w:sz w:val="18"/>
      <w:szCs w:val="18"/>
    </w:rPr>
  </w:style>
  <w:style w:type="character" w:styleId="903" w:customStyle="1">
    <w:name w:val="页脚 Char"/>
    <w:link w:val="902"/>
    <w:uiPriority w:val="99"/>
    <w:qFormat/>
    <w:rPr>
      <w:rFonts w:ascii="Times New Roman" w:hAnsi="Times New Roman" w:eastAsia="宋体" w:cs="Times New Roman"/>
      <w:sz w:val="18"/>
      <w:szCs w:val="18"/>
    </w:rPr>
  </w:style>
  <w:style w:type="paragraph" w:styleId="904" w:customStyle="1">
    <w:name w:val="页眉1"/>
    <w:basedOn w:val="672"/>
    <w:link w:val="905"/>
    <w:uiPriority w:val="0"/>
    <w:qFormat/>
    <w:pPr>
      <w:jc w:val="center"/>
      <w:tabs>
        <w:tab w:val="center" w:pos="4153" w:leader="none"/>
        <w:tab w:val="right" w:pos="8306" w:leader="none"/>
      </w:tabs>
      <w:pBdr>
        <w:bottom w:val="single" w:color="000000" w:sz="6" w:space="1"/>
      </w:pBdr>
    </w:pPr>
    <w:rPr>
      <w:sz w:val="18"/>
      <w:szCs w:val="18"/>
    </w:rPr>
  </w:style>
  <w:style w:type="character" w:styleId="905" w:customStyle="1">
    <w:name w:val="页眉 Char"/>
    <w:link w:val="904"/>
    <w:uiPriority w:val="0"/>
    <w:qFormat/>
    <w:rPr>
      <w:rFonts w:ascii="Times New Roman" w:hAnsi="Times New Roman" w:eastAsia="宋体" w:cs="Times New Roman"/>
      <w:sz w:val="18"/>
      <w:szCs w:val="18"/>
    </w:rPr>
  </w:style>
  <w:style w:type="paragraph" w:styleId="906" w:customStyle="1">
    <w:name w:val="目录 11"/>
    <w:basedOn w:val="672"/>
    <w:next w:val="672"/>
    <w:uiPriority w:val="0"/>
    <w:semiHidden/>
    <w:qFormat/>
    <w:pPr>
      <w:jc w:val="left"/>
      <w:spacing w:before="120" w:after="120" w:line="400" w:lineRule="exact"/>
      <w:tabs>
        <w:tab w:val="right" w:pos="8720" w:leader="dot"/>
      </w:tabs>
    </w:pPr>
    <w:rPr>
      <w:rFonts w:ascii="宋体" w:hAnsi="宋体"/>
      <w:caps/>
      <w:sz w:val="24"/>
      <w:szCs w:val="24"/>
    </w:rPr>
  </w:style>
  <w:style w:type="paragraph" w:styleId="907" w:customStyle="1">
    <w:name w:val="目录 41"/>
    <w:basedOn w:val="672"/>
    <w:next w:val="672"/>
    <w:uiPriority w:val="0"/>
    <w:semiHidden/>
    <w:qFormat/>
    <w:pPr>
      <w:ind w:left="630"/>
      <w:jc w:val="left"/>
    </w:pPr>
  </w:style>
  <w:style w:type="paragraph" w:styleId="908" w:customStyle="1">
    <w:name w:val="列表1"/>
    <w:basedOn w:val="672"/>
    <w:uiPriority w:val="0"/>
    <w:qFormat/>
    <w:pPr>
      <w:ind w:left="200" w:hanging="200"/>
    </w:pPr>
  </w:style>
  <w:style w:type="paragraph" w:styleId="909" w:customStyle="1">
    <w:name w:val="目录 61"/>
    <w:basedOn w:val="672"/>
    <w:next w:val="672"/>
    <w:uiPriority w:val="0"/>
    <w:semiHidden/>
    <w:qFormat/>
    <w:pPr>
      <w:ind w:left="1050"/>
      <w:jc w:val="left"/>
    </w:pPr>
  </w:style>
  <w:style w:type="paragraph" w:styleId="910" w:customStyle="1">
    <w:name w:val="正文文本缩进 31"/>
    <w:basedOn w:val="672"/>
    <w:link w:val="911"/>
    <w:uiPriority w:val="0"/>
    <w:qFormat/>
    <w:pPr>
      <w:ind w:left="645" w:firstLine="645"/>
    </w:pPr>
    <w:rPr>
      <w:rFonts w:ascii="Arial" w:hAnsi="Arial" w:eastAsia="仿宋_GB2312" w:cs="Arial"/>
      <w:color w:val="ffff00"/>
      <w:sz w:val="32"/>
      <w:szCs w:val="32"/>
    </w:rPr>
  </w:style>
  <w:style w:type="character" w:styleId="911" w:customStyle="1">
    <w:name w:val="正文文本缩进 3 Char"/>
    <w:link w:val="910"/>
    <w:uiPriority w:val="0"/>
    <w:qFormat/>
    <w:rPr>
      <w:rFonts w:ascii="Arial" w:hAnsi="Arial" w:eastAsia="仿宋_GB2312" w:cs="Arial"/>
      <w:color w:val="ffff00"/>
      <w:sz w:val="32"/>
      <w:szCs w:val="32"/>
    </w:rPr>
  </w:style>
  <w:style w:type="paragraph" w:styleId="912" w:customStyle="1">
    <w:name w:val="图表目录1"/>
    <w:basedOn w:val="672"/>
    <w:next w:val="672"/>
    <w:uiPriority w:val="0"/>
    <w:semiHidden/>
    <w:qFormat/>
    <w:pPr>
      <w:ind w:left="840" w:hanging="420"/>
    </w:pPr>
  </w:style>
  <w:style w:type="paragraph" w:styleId="913" w:customStyle="1">
    <w:name w:val="目录 21"/>
    <w:basedOn w:val="672"/>
    <w:next w:val="672"/>
    <w:uiPriority w:val="0"/>
    <w:semiHidden/>
    <w:qFormat/>
    <w:pPr>
      <w:ind w:left="210"/>
      <w:jc w:val="left"/>
    </w:pPr>
    <w:rPr>
      <w:smallCaps/>
      <w:szCs w:val="24"/>
    </w:rPr>
  </w:style>
  <w:style w:type="paragraph" w:styleId="914" w:customStyle="1">
    <w:name w:val="目录 91"/>
    <w:basedOn w:val="672"/>
    <w:next w:val="672"/>
    <w:uiPriority w:val="0"/>
    <w:semiHidden/>
    <w:qFormat/>
    <w:pPr>
      <w:ind w:left="1680"/>
      <w:jc w:val="left"/>
    </w:pPr>
  </w:style>
  <w:style w:type="paragraph" w:styleId="915" w:customStyle="1">
    <w:name w:val="正文文本 21"/>
    <w:basedOn w:val="672"/>
    <w:link w:val="916"/>
    <w:uiPriority w:val="0"/>
    <w:qFormat/>
    <w:pPr>
      <w:jc w:val="center"/>
      <w:widowControl/>
    </w:pPr>
    <w:rPr>
      <w:rFonts w:ascii="楷体_GB2312" w:eastAsia="楷体_GB2312"/>
      <w:sz w:val="28"/>
      <w:szCs w:val="28"/>
    </w:rPr>
  </w:style>
  <w:style w:type="character" w:styleId="916" w:customStyle="1">
    <w:name w:val="正文文本 2 Char"/>
    <w:link w:val="915"/>
    <w:uiPriority w:val="0"/>
    <w:qFormat/>
    <w:rPr>
      <w:rFonts w:ascii="楷体_GB2312" w:hAnsi="Times New Roman" w:eastAsia="楷体_GB2312" w:cs="Times New Roman"/>
      <w:sz w:val="28"/>
      <w:szCs w:val="28"/>
    </w:rPr>
  </w:style>
  <w:style w:type="paragraph" w:styleId="917" w:customStyle="1">
    <w:name w:val="普通(网站)1"/>
    <w:basedOn w:val="672"/>
    <w:uiPriority w:val="99"/>
    <w:qFormat/>
    <w:pPr>
      <w:jc w:val="left"/>
      <w:spacing w:before="100" w:beforeAutospacing="1" w:after="100" w:afterAutospacing="1"/>
      <w:widowControl/>
    </w:pPr>
    <w:rPr>
      <w:rFonts w:ascii="宋体" w:hAnsi="宋体" w:cs="宋体"/>
      <w:sz w:val="24"/>
      <w:szCs w:val="24"/>
    </w:rPr>
  </w:style>
  <w:style w:type="paragraph" w:styleId="918" w:customStyle="1">
    <w:name w:val="索引 11"/>
    <w:basedOn w:val="672"/>
    <w:next w:val="672"/>
    <w:uiPriority w:val="0"/>
    <w:semiHidden/>
    <w:qFormat/>
    <w:pPr>
      <w:spacing w:line="240" w:lineRule="atLeast"/>
    </w:pPr>
    <w:rPr>
      <w:b/>
      <w:bCs/>
    </w:rPr>
  </w:style>
  <w:style w:type="paragraph" w:styleId="919" w:customStyle="1">
    <w:name w:val="批注主题1"/>
    <w:basedOn w:val="882"/>
    <w:next w:val="882"/>
    <w:link w:val="920"/>
    <w:uiPriority w:val="0"/>
    <w:semiHidden/>
    <w:qFormat/>
    <w:rPr>
      <w:b/>
      <w:bCs/>
    </w:rPr>
  </w:style>
  <w:style w:type="character" w:styleId="920" w:customStyle="1">
    <w:name w:val="批注主题 Char"/>
    <w:link w:val="919"/>
    <w:uiPriority w:val="0"/>
    <w:semiHidden/>
    <w:qFormat/>
    <w:rPr>
      <w:rFonts w:ascii="Times New Roman" w:hAnsi="Times New Roman" w:eastAsia="宋体" w:cs="Times New Roman"/>
      <w:b/>
      <w:bCs/>
      <w:szCs w:val="21"/>
    </w:rPr>
  </w:style>
  <w:style w:type="paragraph" w:styleId="921" w:customStyle="1">
    <w:name w:val="正文首行缩进1"/>
    <w:basedOn w:val="672"/>
    <w:link w:val="922"/>
    <w:uiPriority w:val="0"/>
    <w:qFormat/>
    <w:pPr>
      <w:ind w:firstLine="200"/>
      <w:spacing w:line="360" w:lineRule="auto"/>
    </w:pPr>
    <w:rPr>
      <w:rFonts w:ascii="仿宋_GB2312" w:eastAsia="仿宋_GB2312"/>
      <w:sz w:val="30"/>
      <w:szCs w:val="30"/>
    </w:rPr>
  </w:style>
  <w:style w:type="character" w:styleId="922" w:customStyle="1">
    <w:name w:val="正文首行缩进 Char"/>
    <w:link w:val="921"/>
    <w:uiPriority w:val="0"/>
    <w:qFormat/>
    <w:rPr>
      <w:rFonts w:ascii="仿宋_GB2312" w:hAnsi="Times New Roman" w:eastAsia="仿宋_GB2312" w:cs="Times New Roman"/>
      <w:sz w:val="30"/>
      <w:szCs w:val="30"/>
    </w:rPr>
  </w:style>
  <w:style w:type="paragraph" w:styleId="923" w:customStyle="1">
    <w:name w:val="正文首行缩进 21"/>
    <w:basedOn w:val="888"/>
    <w:link w:val="924"/>
    <w:uiPriority w:val="0"/>
    <w:qFormat/>
    <w:pPr>
      <w:ind w:firstLine="420"/>
      <w:spacing w:line="360" w:lineRule="auto"/>
    </w:pPr>
    <w:rPr>
      <w:rFonts w:ascii="宋体" w:hAnsi="宋体" w:eastAsia="宋体"/>
      <w:sz w:val="21"/>
      <w:szCs w:val="20"/>
    </w:rPr>
  </w:style>
  <w:style w:type="character" w:styleId="924" w:customStyle="1">
    <w:name w:val="正文首行缩进 2 Char"/>
    <w:link w:val="923"/>
    <w:uiPriority w:val="0"/>
    <w:qFormat/>
    <w:rPr>
      <w:rFonts w:ascii="宋体" w:hAnsi="宋体" w:eastAsia="宋体" w:cs="Times New Roman"/>
      <w:sz w:val="32"/>
      <w:szCs w:val="20"/>
    </w:rPr>
  </w:style>
  <w:style w:type="table" w:styleId="925" w:customStyle="1">
    <w:name w:val="网格型1"/>
    <w:basedOn w:val="867"/>
    <w:uiPriority w:val="0"/>
    <w:qFormat/>
    <w:pPr>
      <w:jc w:val="both"/>
      <w:widowControl w:val="off"/>
    </w:pPr>
    <w:rPr>
      <w:rFonts w:ascii="Times New Roman" w:hAnsi="Times New Roman" w:eastAsia="宋体" w:cs="Times New Roman"/>
      <w:sz w:val="20"/>
      <w:szCs w:val="20"/>
    </w:rPr>
    <w:tblPr/>
  </w:style>
  <w:style w:type="character" w:styleId="926" w:customStyle="1">
    <w:name w:val="要点1"/>
    <w:link w:val="672"/>
    <w:uiPriority w:val="0"/>
    <w:qFormat/>
    <w:rPr>
      <w:b/>
      <w:bCs/>
    </w:rPr>
  </w:style>
  <w:style w:type="character" w:styleId="927" w:customStyle="1">
    <w:name w:val="页码1"/>
    <w:link w:val="672"/>
    <w:uiPriority w:val="0"/>
    <w:qFormat/>
  </w:style>
  <w:style w:type="character" w:styleId="928" w:customStyle="1">
    <w:name w:val="已访问的超链接1"/>
    <w:link w:val="672"/>
    <w:uiPriority w:val="0"/>
    <w:qFormat/>
    <w:rPr>
      <w:color w:val="800080"/>
      <w:u w:val="single"/>
    </w:rPr>
  </w:style>
  <w:style w:type="character" w:styleId="929" w:customStyle="1">
    <w:name w:val="超链接1"/>
    <w:link w:val="672"/>
    <w:uiPriority w:val="0"/>
    <w:qFormat/>
    <w:rPr>
      <w:color w:val="0000ff"/>
      <w:u w:val="single"/>
    </w:rPr>
  </w:style>
  <w:style w:type="character" w:styleId="930" w:customStyle="1">
    <w:name w:val="批注引用1"/>
    <w:link w:val="672"/>
    <w:uiPriority w:val="0"/>
    <w:semiHidden/>
    <w:qFormat/>
    <w:rPr>
      <w:sz w:val="21"/>
      <w:szCs w:val="21"/>
    </w:rPr>
  </w:style>
  <w:style w:type="character" w:styleId="931" w:customStyle="1">
    <w:name w:val="font5 Char"/>
    <w:link w:val="672"/>
    <w:uiPriority w:val="0"/>
    <w:qFormat/>
    <w:rPr>
      <w:rFonts w:ascii="宋体" w:hAnsi="宋体" w:eastAsia="宋体"/>
      <w:sz w:val="28"/>
      <w:szCs w:val="28"/>
      <w:lang w:val="en-US" w:eastAsia="zh-CN" w:bidi="ar-SA"/>
    </w:rPr>
  </w:style>
  <w:style w:type="character" w:styleId="932" w:customStyle="1">
    <w:name w:val="二级目录 Char"/>
    <w:link w:val="933"/>
    <w:uiPriority w:val="0"/>
    <w:qFormat/>
    <w:rPr>
      <w:b/>
      <w:sz w:val="30"/>
      <w:szCs w:val="28"/>
    </w:rPr>
  </w:style>
  <w:style w:type="paragraph" w:styleId="933" w:customStyle="1">
    <w:name w:val="二级目录"/>
    <w:next w:val="672"/>
    <w:link w:val="932"/>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34" w:customStyle="1">
    <w:name w:val="列出段落 Char"/>
    <w:link w:val="935"/>
    <w:uiPriority w:val="0"/>
    <w:qFormat/>
    <w:rPr>
      <w:rFonts w:ascii="Calibri" w:hAnsi="Calibri"/>
      <w:sz w:val="24"/>
      <w:szCs w:val="24"/>
      <w:lang w:eastAsia="en-US" w:bidi="en-US"/>
    </w:rPr>
  </w:style>
  <w:style w:type="paragraph" w:styleId="935" w:customStyle="1">
    <w:name w:val="列出段落1"/>
    <w:basedOn w:val="672"/>
    <w:link w:val="934"/>
    <w:uiPriority w:val="0"/>
    <w:qFormat/>
    <w:pPr>
      <w:contextualSpacing/>
      <w:ind w:left="720"/>
      <w:jc w:val="left"/>
      <w:widowControl/>
    </w:pPr>
    <w:rPr>
      <w:rFonts w:ascii="Calibri" w:hAnsi="Calibri" w:eastAsia="宋体" w:cs="Times New Roman"/>
      <w:sz w:val="24"/>
      <w:szCs w:val="24"/>
      <w:lang w:eastAsia="en-US" w:bidi="en-US"/>
    </w:rPr>
  </w:style>
  <w:style w:type="paragraph" w:styleId="936" w:customStyle="1">
    <w:name w:val="Body Text(ch)"/>
    <w:basedOn w:val="672"/>
    <w:next w:val="886"/>
    <w:uiPriority w:val="0"/>
    <w:qFormat/>
    <w:pPr>
      <w:spacing w:after="120"/>
    </w:pPr>
    <w:rPr>
      <w:rFonts w:ascii="宋体" w:hAnsi="Arial"/>
      <w:bCs/>
      <w:iCs/>
      <w:szCs w:val="24"/>
    </w:rPr>
  </w:style>
  <w:style w:type="paragraph" w:styleId="937" w:customStyle="1">
    <w:name w:val="xl27"/>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8" w:customStyle="1">
    <w:name w:val="xl26"/>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9" w:customStyle="1">
    <w:name w:val="Char"/>
    <w:basedOn w:val="672"/>
    <w:uiPriority w:val="0"/>
    <w:qFormat/>
    <w:pPr>
      <w:ind w:firstLine="200"/>
      <w:tabs>
        <w:tab w:val="left" w:pos="360" w:leader="none"/>
      </w:tabs>
    </w:pPr>
    <w:rPr>
      <w:sz w:val="28"/>
      <w:szCs w:val="30"/>
    </w:rPr>
  </w:style>
  <w:style w:type="paragraph" w:styleId="940" w:customStyle="1">
    <w:name w:val=" Char"/>
    <w:basedOn w:val="880"/>
    <w:uiPriority w:val="0"/>
    <w:qFormat/>
    <w:rPr>
      <w:rFonts w:ascii="Tahoma" w:hAnsi="Tahoma"/>
      <w:sz w:val="24"/>
      <w:szCs w:val="24"/>
    </w:rPr>
  </w:style>
  <w:style w:type="paragraph" w:styleId="941"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942" w:customStyle="1">
    <w:name w:val="table_lines"/>
    <w:basedOn w:val="672"/>
    <w:uiPriority w:val="0"/>
    <w:qFormat/>
    <w:pPr>
      <w:jc w:val="left"/>
      <w:widowControl/>
    </w:pPr>
    <w:rPr>
      <w:sz w:val="20"/>
      <w:szCs w:val="20"/>
      <w:lang w:val="de-DE" w:eastAsia="de-DE"/>
    </w:rPr>
  </w:style>
  <w:style w:type="paragraph" w:styleId="94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4" w:customStyle="1">
    <w:name w:val="font7"/>
    <w:basedOn w:val="672"/>
    <w:uiPriority w:val="0"/>
    <w:qFormat/>
    <w:pPr>
      <w:jc w:val="left"/>
      <w:spacing w:before="100" w:beforeAutospacing="1" w:after="100" w:afterAutospacing="1"/>
      <w:widowControl/>
    </w:pPr>
    <w:rPr>
      <w:rFonts w:hint="eastAsia" w:ascii="宋体" w:hAnsi="宋体"/>
      <w:sz w:val="18"/>
      <w:szCs w:val="18"/>
    </w:rPr>
  </w:style>
  <w:style w:type="paragraph" w:styleId="945" w:customStyle="1">
    <w:name w:val=" Char Char Char Char"/>
    <w:basedOn w:val="880"/>
    <w:uiPriority w:val="0"/>
    <w:qFormat/>
    <w:pPr>
      <w:spacing w:line="360" w:lineRule="auto"/>
    </w:pPr>
    <w:rPr>
      <w:rFonts w:ascii="Tahoma" w:hAnsi="Tahoma"/>
      <w:sz w:val="24"/>
      <w:szCs w:val="24"/>
    </w:rPr>
  </w:style>
  <w:style w:type="paragraph" w:styleId="946" w:customStyle="1">
    <w:name w:val="列出段落"/>
    <w:basedOn w:val="672"/>
    <w:uiPriority w:val="0"/>
    <w:qFormat/>
    <w:pPr>
      <w:contextualSpacing/>
      <w:ind w:left="720"/>
      <w:jc w:val="left"/>
      <w:widowControl/>
    </w:pPr>
    <w:rPr>
      <w:rFonts w:ascii="Calibri" w:hAnsi="Calibri"/>
      <w:sz w:val="24"/>
      <w:szCs w:val="24"/>
      <w:lang w:eastAsia="en-US" w:bidi="en-US"/>
    </w:rPr>
  </w:style>
  <w:style w:type="paragraph" w:styleId="947" w:customStyle="1">
    <w:name w:val="4"/>
    <w:basedOn w:val="672"/>
    <w:next w:val="910"/>
    <w:uiPriority w:val="0"/>
    <w:qFormat/>
    <w:pPr>
      <w:ind w:firstLine="420"/>
      <w:spacing w:line="360" w:lineRule="auto"/>
    </w:pPr>
    <w:rPr>
      <w:color w:val="ff0000"/>
      <w:sz w:val="24"/>
      <w:szCs w:val="24"/>
    </w:rPr>
  </w:style>
  <w:style w:type="paragraph" w:styleId="948" w:customStyle="1">
    <w:name w:val="普通 (Web)"/>
    <w:basedOn w:val="672"/>
    <w:uiPriority w:val="0"/>
    <w:qFormat/>
    <w:pPr>
      <w:jc w:val="left"/>
      <w:spacing w:before="100" w:beforeAutospacing="1" w:after="100" w:afterAutospacing="1"/>
      <w:widowControl/>
    </w:pPr>
    <w:rPr>
      <w:rFonts w:ascii="宋体" w:hAnsi="宋体"/>
      <w:sz w:val="24"/>
      <w:szCs w:val="24"/>
    </w:rPr>
  </w:style>
  <w:style w:type="paragraph" w:styleId="949" w:customStyle="1">
    <w:name w:val=" Char Char Char Char Char Char Char Char Char Char"/>
    <w:basedOn w:val="672"/>
    <w:uiPriority w:val="0"/>
    <w:qFormat/>
    <w:pPr>
      <w:spacing w:line="360" w:lineRule="auto"/>
    </w:pPr>
    <w:rPr>
      <w:sz w:val="24"/>
      <w:szCs w:val="20"/>
    </w:rPr>
  </w:style>
  <w:style w:type="paragraph" w:styleId="950" w:customStyle="1">
    <w:name w:val="样式1"/>
    <w:basedOn w:val="672"/>
    <w:uiPriority w:val="0"/>
    <w:qFormat/>
    <w:pPr>
      <w:numPr>
        <w:ilvl w:val="0"/>
        <w:numId w:val="3"/>
      </w:numPr>
    </w:pPr>
    <w:rPr>
      <w:rFonts w:ascii="宋体" w:hAnsi="宋体"/>
    </w:rPr>
  </w:style>
  <w:style w:type="paragraph" w:styleId="951"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952"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3"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4" w:customStyle="1">
    <w:name w:val="标题3"/>
    <w:basedOn w:val="672"/>
    <w:next w:val="672"/>
    <w:uiPriority w:val="0"/>
    <w:qFormat/>
    <w:pPr>
      <w:ind w:firstLine="624"/>
      <w:spacing w:line="590" w:lineRule="atLeast"/>
    </w:pPr>
    <w:rPr>
      <w:rFonts w:ascii="方正黑体_GBK" w:eastAsia="方正黑体_GBK"/>
      <w:sz w:val="32"/>
      <w:szCs w:val="32"/>
    </w:rPr>
  </w:style>
  <w:style w:type="paragraph" w:styleId="955" w:customStyle="1">
    <w:name w:val="xl24"/>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6" w:customStyle="1">
    <w:name w:val="xl29"/>
    <w:basedOn w:val="6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7"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58" w:customStyle="1">
    <w:name w:val="xl2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9" w:customStyle="1">
    <w:name w:val="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60" w:customStyle="1">
    <w:name w:val="xl30"/>
    <w:basedOn w:val="672"/>
    <w:uiPriority w:val="0"/>
    <w:qFormat/>
    <w:pPr>
      <w:jc w:val="center"/>
      <w:spacing w:before="100" w:beforeAutospacing="1" w:after="100" w:afterAutospacing="1"/>
      <w:widowControl/>
    </w:pPr>
    <w:rPr>
      <w:rFonts w:ascii="宋体" w:hAnsi="宋体"/>
      <w:b/>
      <w:bCs/>
      <w:sz w:val="36"/>
      <w:szCs w:val="36"/>
    </w:rPr>
  </w:style>
  <w:style w:type="paragraph" w:styleId="961" w:customStyle="1">
    <w:name w:val="Char Char Char Char"/>
    <w:basedOn w:val="880"/>
    <w:uiPriority w:val="0"/>
    <w:qFormat/>
    <w:pPr>
      <w:spacing w:line="360" w:lineRule="auto"/>
    </w:pPr>
    <w:rPr>
      <w:rFonts w:ascii="Tahoma" w:hAnsi="Tahoma"/>
      <w:sz w:val="24"/>
      <w:szCs w:val="24"/>
    </w:rPr>
  </w:style>
  <w:style w:type="paragraph" w:styleId="962" w:customStyle="1">
    <w:name w:val="table_1stline"/>
    <w:basedOn w:val="672"/>
    <w:uiPriority w:val="0"/>
    <w:qFormat/>
    <w:pPr>
      <w:jc w:val="left"/>
      <w:spacing w:before="120"/>
      <w:widowControl/>
    </w:pPr>
    <w:rPr>
      <w:bCs/>
      <w:sz w:val="20"/>
      <w:szCs w:val="20"/>
      <w:lang w:val="de-DE" w:eastAsia="de-DE"/>
    </w:rPr>
  </w:style>
  <w:style w:type="paragraph" w:styleId="963" w:customStyle="1">
    <w:name w:val="font5"/>
    <w:basedOn w:val="672"/>
    <w:uiPriority w:val="0"/>
    <w:qFormat/>
    <w:pPr>
      <w:jc w:val="left"/>
      <w:spacing w:before="100" w:beforeAutospacing="1" w:after="100" w:afterAutospacing="1"/>
      <w:widowControl/>
    </w:pPr>
    <w:rPr>
      <w:rFonts w:hint="eastAsia" w:ascii="宋体" w:hAnsi="宋体"/>
      <w:sz w:val="28"/>
      <w:szCs w:val="28"/>
    </w:rPr>
  </w:style>
  <w:style w:type="paragraph" w:styleId="964" w:customStyle="1">
    <w:name w:val="标题1"/>
    <w:basedOn w:val="672"/>
    <w:next w:val="6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967" w:customStyle="1">
    <w:name w:val="font41"/>
    <w:link w:val="672"/>
    <w:uiPriority w:val="0"/>
    <w:qFormat/>
    <w:rPr>
      <w:rFonts w:ascii="Times New Roman" w:hAnsi="Times New Roman" w:cs="Times New Roman"/>
      <w:color w:val="000000"/>
      <w:sz w:val="20"/>
      <w:szCs w:val="20"/>
      <w:u w:val="none"/>
    </w:rPr>
  </w:style>
  <w:style w:type="character" w:styleId="968" w:customStyle="1">
    <w:name w:val="font21"/>
    <w:link w:val="672"/>
    <w:uiPriority w:val="0"/>
    <w:qFormat/>
    <w:rPr>
      <w:rFonts w:hint="eastAsia" w:ascii="宋体" w:hAnsi="宋体" w:eastAsia="宋体" w:cs="宋体"/>
      <w:b/>
      <w:bCs/>
      <w:color w:val="000000"/>
      <w:sz w:val="20"/>
      <w:szCs w:val="20"/>
      <w:u w:val="none"/>
    </w:rPr>
  </w:style>
  <w:style w:type="character" w:styleId="969" w:customStyle="1">
    <w:name w:val="font31"/>
    <w:link w:val="672"/>
    <w:uiPriority w:val="0"/>
    <w:qFormat/>
    <w:rPr>
      <w:rFonts w:ascii="Times New Roman" w:hAnsi="Times New Roman" w:cs="Times New Roman"/>
      <w:color w:val="000000"/>
      <w:sz w:val="20"/>
      <w:szCs w:val="20"/>
      <w:u w:val="none"/>
    </w:rPr>
  </w:style>
  <w:style w:type="numbering" w:styleId="14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王琦</cp:lastModifiedBy>
  <cp:revision>13</cp:revision>
  <dcterms:created xsi:type="dcterms:W3CDTF">2023-03-16T02:16:00Z</dcterms:created>
  <dcterms:modified xsi:type="dcterms:W3CDTF">2025-12-05T07:00:54Z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eyJoZGlkIjoiZWYwYWM4YzEzMGI2NDA3OGYzMzgzZmYwNjI3ODI4OTIiLCJ1c2VySWQiOiIzMDc4MTEyNjcifQ==</vt:lpwstr>
  </property>
  <property fmtid="{D5CDD505-2E9C-101B-9397-08002B2CF9AE}" pid="3" name="KSOProductBuildVer">
    <vt:lpwstr>2052-12.1.0.23542</vt:lpwstr>
  </property>
  <property fmtid="{D5CDD505-2E9C-101B-9397-08002B2CF9AE}" pid="4" name="ICV">
    <vt:lpwstr>6095471C4B0C46BEB5861CB279A68FF3_13</vt:lpwstr>
  </property>
</Properties>
</file>