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12" w:lineRule="auto"/>
        <w:jc w:val="center"/>
        <w:rPr>
          <w:rFonts w:hint="eastAsia" w:ascii="宋体" w:hAnsi="宋体" w:eastAsia="宋体" w:cs="宋体"/>
          <w:b/>
          <w:color w:val="auto"/>
          <w:sz w:val="36"/>
          <w:szCs w:val="36"/>
          <w:highlight w:val="yellow"/>
          <w:lang w:val="en-US" w:eastAsia="zh-CN"/>
        </w:rPr>
      </w:pPr>
    </w:p>
    <w:p>
      <w:pPr>
        <w:autoSpaceDE w:val="0"/>
        <w:autoSpaceDN w:val="0"/>
        <w:adjustRightInd w:val="0"/>
        <w:spacing w:line="312" w:lineRule="auto"/>
        <w:jc w:val="center"/>
        <w:rPr>
          <w:rFonts w:hint="eastAsia" w:ascii="宋体" w:hAnsi="宋体" w:eastAsia="宋体" w:cs="宋体"/>
          <w:b/>
          <w:color w:val="auto"/>
          <w:sz w:val="36"/>
          <w:szCs w:val="36"/>
          <w:highlight w:val="yellow"/>
          <w:lang w:val="en-US" w:eastAsia="zh-CN"/>
        </w:rPr>
      </w:pPr>
    </w:p>
    <w:p>
      <w:pPr>
        <w:autoSpaceDE w:val="0"/>
        <w:autoSpaceDN w:val="0"/>
        <w:adjustRightInd w:val="0"/>
        <w:spacing w:line="312" w:lineRule="auto"/>
        <w:jc w:val="center"/>
        <w:rPr>
          <w:rFonts w:hint="eastAsia" w:ascii="宋体" w:hAnsi="宋体" w:eastAsia="宋体" w:cs="宋体"/>
          <w:b/>
          <w:color w:val="auto"/>
          <w:spacing w:val="-20"/>
          <w:sz w:val="36"/>
          <w:szCs w:val="36"/>
          <w:highlight w:val="none"/>
          <w:lang w:val="en-US" w:eastAsia="zh-CN"/>
        </w:rPr>
      </w:pPr>
      <w:r>
        <w:rPr>
          <w:rFonts w:hint="eastAsia" w:ascii="宋体" w:hAnsi="宋体" w:cs="宋体"/>
          <w:b/>
          <w:color w:val="auto"/>
          <w:spacing w:val="0"/>
          <w:sz w:val="36"/>
          <w:szCs w:val="36"/>
          <w:highlight w:val="none"/>
          <w:lang w:val="en-US" w:eastAsia="zh-CN"/>
        </w:rPr>
        <w:t>启东吕四港环抱式港池东港区高空视频监控采购项目</w:t>
      </w:r>
    </w:p>
    <w:p>
      <w:pPr>
        <w:autoSpaceDE w:val="0"/>
        <w:autoSpaceDN w:val="0"/>
        <w:adjustRightInd w:val="0"/>
        <w:spacing w:line="312" w:lineRule="auto"/>
        <w:jc w:val="center"/>
        <w:rPr>
          <w:rFonts w:hint="eastAsia" w:ascii="宋体" w:hAnsi="宋体" w:eastAsia="宋体" w:cs="宋体"/>
          <w:b/>
          <w:color w:val="auto"/>
          <w:sz w:val="44"/>
          <w:szCs w:val="44"/>
          <w:lang w:val="zh-CN"/>
        </w:rPr>
      </w:pPr>
      <w:r>
        <w:rPr>
          <w:rFonts w:hint="eastAsia" w:ascii="宋体" w:hAnsi="宋体" w:eastAsia="宋体" w:cs="宋体"/>
          <w:b/>
          <w:bCs/>
          <w:color w:val="auto"/>
          <w:sz w:val="100"/>
          <w:szCs w:val="100"/>
          <w:lang w:val="en-US" w:eastAsia="zh-CN"/>
        </w:rPr>
        <w:t>分散</w:t>
      </w:r>
      <w:r>
        <w:rPr>
          <w:rFonts w:hint="eastAsia" w:ascii="宋体" w:hAnsi="宋体" w:eastAsia="宋体" w:cs="宋体"/>
          <w:b/>
          <w:bCs/>
          <w:color w:val="auto"/>
          <w:sz w:val="100"/>
          <w:szCs w:val="100"/>
          <w:lang w:val="zh-CN"/>
        </w:rPr>
        <w:t>采购询价文件</w:t>
      </w:r>
    </w:p>
    <w:p>
      <w:pPr>
        <w:pStyle w:val="6"/>
        <w:spacing w:line="500" w:lineRule="exact"/>
        <w:ind w:firstLine="1080" w:firstLineChars="300"/>
        <w:jc w:val="both"/>
        <w:rPr>
          <w:rFonts w:hint="eastAsia" w:ascii="宋体" w:hAnsi="宋体" w:eastAsia="宋体" w:cs="宋体"/>
          <w:color w:val="auto"/>
          <w:sz w:val="36"/>
          <w:szCs w:val="36"/>
          <w:highlight w:val="none"/>
        </w:rPr>
      </w:pPr>
    </w:p>
    <w:p>
      <w:pPr>
        <w:pStyle w:val="6"/>
        <w:spacing w:line="500" w:lineRule="exact"/>
        <w:ind w:firstLine="360" w:firstLineChars="100"/>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采购文件编号：JSZC-320681-HXTH-X2024-0016</w:t>
      </w:r>
    </w:p>
    <w:p>
      <w:pPr>
        <w:pStyle w:val="2"/>
        <w:rPr>
          <w:rFonts w:hint="eastAsia" w:ascii="宋体" w:hAnsi="宋体" w:eastAsia="宋体" w:cs="宋体"/>
          <w:color w:val="auto"/>
          <w:lang w:val="zh-CN"/>
        </w:rPr>
      </w:pPr>
    </w:p>
    <w:p>
      <w:pPr>
        <w:pStyle w:val="2"/>
        <w:rPr>
          <w:rFonts w:hint="eastAsia" w:ascii="宋体" w:hAnsi="宋体" w:eastAsia="宋体" w:cs="宋体"/>
          <w:color w:val="auto"/>
          <w:lang w:val="zh-CN"/>
        </w:rPr>
      </w:pPr>
    </w:p>
    <w:p>
      <w:pPr>
        <w:pStyle w:val="2"/>
        <w:rPr>
          <w:rFonts w:hint="eastAsia" w:ascii="宋体" w:hAnsi="宋体" w:eastAsia="宋体" w:cs="宋体"/>
          <w:color w:val="auto"/>
          <w:lang w:val="zh-CN"/>
        </w:rPr>
      </w:pPr>
    </w:p>
    <w:p>
      <w:pPr>
        <w:pStyle w:val="2"/>
        <w:rPr>
          <w:rFonts w:hint="eastAsia" w:ascii="宋体" w:hAnsi="宋体" w:eastAsia="宋体" w:cs="宋体"/>
          <w:color w:val="auto"/>
          <w:lang w:val="zh-CN"/>
        </w:rPr>
      </w:pPr>
    </w:p>
    <w:p>
      <w:pPr>
        <w:pStyle w:val="2"/>
        <w:widowControl/>
        <w:spacing w:line="312" w:lineRule="auto"/>
        <w:rPr>
          <w:rFonts w:hint="eastAsia" w:ascii="宋体" w:hAnsi="宋体" w:eastAsia="宋体" w:cs="宋体"/>
          <w:color w:val="auto"/>
        </w:rPr>
      </w:pPr>
    </w:p>
    <w:p>
      <w:pPr>
        <w:autoSpaceDE w:val="0"/>
        <w:autoSpaceDN w:val="0"/>
        <w:adjustRightInd w:val="0"/>
        <w:spacing w:line="312" w:lineRule="auto"/>
        <w:ind w:firstLine="625" w:firstLineChars="298"/>
        <w:jc w:val="left"/>
        <w:rPr>
          <w:rFonts w:hint="eastAsia" w:ascii="宋体" w:hAnsi="宋体" w:eastAsia="宋体" w:cs="宋体"/>
          <w:color w:val="auto"/>
          <w:szCs w:val="21"/>
        </w:rPr>
      </w:pPr>
    </w:p>
    <w:p>
      <w:pPr>
        <w:autoSpaceDE w:val="0"/>
        <w:autoSpaceDN w:val="0"/>
        <w:adjustRightInd w:val="0"/>
        <w:spacing w:line="312" w:lineRule="auto"/>
        <w:ind w:firstLine="625" w:firstLineChars="298"/>
        <w:jc w:val="left"/>
        <w:rPr>
          <w:rFonts w:hint="eastAsia" w:ascii="宋体" w:hAnsi="宋体" w:eastAsia="宋体" w:cs="宋体"/>
          <w:color w:val="auto"/>
          <w:szCs w:val="21"/>
        </w:rPr>
      </w:pPr>
    </w:p>
    <w:p>
      <w:pPr>
        <w:autoSpaceDE w:val="0"/>
        <w:autoSpaceDN w:val="0"/>
        <w:adjustRightInd w:val="0"/>
        <w:spacing w:line="312" w:lineRule="auto"/>
        <w:ind w:firstLine="625" w:firstLineChars="298"/>
        <w:jc w:val="left"/>
        <w:rPr>
          <w:rFonts w:hint="eastAsia" w:ascii="宋体" w:hAnsi="宋体" w:eastAsia="宋体" w:cs="宋体"/>
          <w:color w:val="auto"/>
          <w:szCs w:val="21"/>
        </w:rPr>
      </w:pPr>
    </w:p>
    <w:p>
      <w:pPr>
        <w:pStyle w:val="2"/>
        <w:rPr>
          <w:rFonts w:hint="eastAsia" w:ascii="宋体" w:hAnsi="宋体" w:eastAsia="宋体" w:cs="宋体"/>
          <w:b/>
          <w:bCs/>
          <w:color w:val="auto"/>
          <w:sz w:val="36"/>
          <w:szCs w:val="36"/>
          <w:lang w:val="zh-CN"/>
        </w:rPr>
      </w:pPr>
    </w:p>
    <w:p>
      <w:pPr>
        <w:rPr>
          <w:rFonts w:hint="eastAsia" w:ascii="宋体" w:hAnsi="宋体" w:eastAsia="宋体" w:cs="宋体"/>
          <w:b/>
          <w:bCs/>
          <w:color w:val="auto"/>
          <w:sz w:val="36"/>
          <w:szCs w:val="36"/>
          <w:lang w:val="zh-CN"/>
        </w:rPr>
      </w:pPr>
    </w:p>
    <w:p>
      <w:pPr>
        <w:pStyle w:val="2"/>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rPr>
          <w:rFonts w:hint="eastAsia" w:ascii="宋体" w:hAnsi="宋体" w:eastAsia="宋体" w:cs="宋体"/>
          <w:color w:val="auto"/>
          <w:lang w:val="zh-CN"/>
        </w:rPr>
      </w:pPr>
    </w:p>
    <w:p>
      <w:pPr>
        <w:pStyle w:val="39"/>
        <w:ind w:firstLine="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江苏启东吕四港经济开发区管理委员会</w:t>
      </w:r>
    </w:p>
    <w:p>
      <w:pPr>
        <w:pStyle w:val="39"/>
        <w:ind w:firstLine="0"/>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u w:val="single"/>
        </w:rPr>
        <w:t xml:space="preserve"> 202</w:t>
      </w:r>
      <w:r>
        <w:rPr>
          <w:rFonts w:hint="eastAsia" w:ascii="宋体" w:hAnsi="宋体" w:eastAsia="宋体" w:cs="宋体"/>
          <w:b/>
          <w:bCs/>
          <w:color w:val="auto"/>
          <w:sz w:val="32"/>
          <w:highlight w:val="none"/>
          <w:u w:val="single"/>
          <w:lang w:val="en-US" w:eastAsia="zh-CN"/>
        </w:rPr>
        <w:t>4</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rPr>
        <w:t>年</w:t>
      </w:r>
      <w:r>
        <w:rPr>
          <w:rFonts w:hint="eastAsia" w:ascii="宋体" w:hAnsi="宋体" w:eastAsia="宋体" w:cs="宋体"/>
          <w:b/>
          <w:bCs/>
          <w:color w:val="auto"/>
          <w:sz w:val="32"/>
          <w:highlight w:val="none"/>
          <w:u w:val="single"/>
        </w:rPr>
        <w:t xml:space="preserve"> </w:t>
      </w:r>
      <w:r>
        <w:rPr>
          <w:rFonts w:hint="eastAsia" w:ascii="宋体" w:hAnsi="宋体" w:cs="宋体"/>
          <w:b/>
          <w:bCs/>
          <w:color w:val="auto"/>
          <w:sz w:val="32"/>
          <w:highlight w:val="none"/>
          <w:u w:val="single"/>
          <w:lang w:val="en-US" w:eastAsia="zh-CN"/>
        </w:rPr>
        <w:t>04</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rPr>
        <w:t>月</w:t>
      </w:r>
      <w:r>
        <w:rPr>
          <w:rFonts w:hint="eastAsia" w:ascii="宋体" w:hAnsi="宋体" w:eastAsia="宋体" w:cs="宋体"/>
          <w:b/>
          <w:bCs/>
          <w:color w:val="auto"/>
          <w:sz w:val="32"/>
          <w:highlight w:val="none"/>
          <w:u w:val="single"/>
        </w:rPr>
        <w:t xml:space="preserve"> </w:t>
      </w:r>
      <w:r>
        <w:rPr>
          <w:rFonts w:hint="eastAsia" w:ascii="宋体" w:hAnsi="宋体" w:cs="宋体"/>
          <w:b/>
          <w:bCs/>
          <w:color w:val="auto"/>
          <w:sz w:val="32"/>
          <w:highlight w:val="none"/>
          <w:u w:val="single"/>
          <w:lang w:val="en-US" w:eastAsia="zh-CN"/>
        </w:rPr>
        <w:t>24</w:t>
      </w:r>
      <w:r>
        <w:rPr>
          <w:rFonts w:hint="eastAsia" w:ascii="宋体" w:hAnsi="宋体" w:eastAsia="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rPr>
        <w:t>日</w:t>
      </w:r>
    </w:p>
    <w:p>
      <w:pPr>
        <w:adjustRightInd w:val="0"/>
        <w:snapToGrid w:val="0"/>
        <w:ind w:left="-157" w:leftChars="-75"/>
        <w:rPr>
          <w:rFonts w:hint="eastAsia" w:ascii="宋体" w:hAnsi="宋体" w:eastAsia="宋体" w:cs="宋体"/>
          <w:b/>
          <w:snapToGrid w:val="0"/>
          <w:color w:val="auto"/>
          <w:sz w:val="26"/>
          <w:szCs w:val="28"/>
          <w:highlight w:val="none"/>
          <w:u w:val="single"/>
        </w:rPr>
      </w:pPr>
      <w:r>
        <w:rPr>
          <w:rFonts w:hint="eastAsia" w:ascii="宋体" w:hAnsi="宋体" w:eastAsia="宋体" w:cs="宋体"/>
          <w:color w:val="auto"/>
          <w:sz w:val="26"/>
          <w:highlight w:val="none"/>
        </w:rPr>
        <w:pict>
          <v:line id="_x0000_s1026" o:spid="_x0000_s1026" o:spt="20" style="position:absolute;left:0pt;margin-left:-20.85pt;margin-top:13.85pt;height:0.05pt;width:438.75pt;z-index:251660288;mso-width-relative:page;mso-height-relative:page;" filled="f" stroked="t" coordsize="21600,21600">
            <v:path arrowok="t"/>
            <v:fill on="f" focussize="0,0"/>
            <v:stroke/>
            <v:imagedata o:title=""/>
            <o:lock v:ext="edit" aspectratio="f"/>
          </v:line>
        </w:pict>
      </w:r>
      <w:r>
        <w:rPr>
          <w:rFonts w:hint="eastAsia" w:ascii="宋体" w:hAnsi="宋体" w:eastAsia="宋体" w:cs="宋体"/>
          <w:b/>
          <w:snapToGrid w:val="0"/>
          <w:color w:val="auto"/>
          <w:sz w:val="26"/>
          <w:szCs w:val="28"/>
          <w:highlight w:val="none"/>
          <w:u w:val="single"/>
        </w:rPr>
        <w:t xml:space="preserve">                                                                    </w:t>
      </w:r>
    </w:p>
    <w:p>
      <w:pPr>
        <w:adjustRightInd w:val="0"/>
        <w:snapToGrid w:val="0"/>
        <w:ind w:left="-157" w:leftChars="-75"/>
        <w:rPr>
          <w:rFonts w:hint="eastAsia" w:ascii="宋体" w:hAnsi="宋体" w:eastAsia="宋体" w:cs="宋体"/>
          <w:bCs/>
          <w:snapToGrid w:val="0"/>
          <w:color w:val="auto"/>
          <w:sz w:val="32"/>
          <w:szCs w:val="32"/>
          <w:highlight w:val="none"/>
        </w:rPr>
      </w:pPr>
      <w:r>
        <w:rPr>
          <w:rFonts w:hint="eastAsia" w:ascii="宋体" w:hAnsi="宋体" w:eastAsia="宋体" w:cs="宋体"/>
          <w:b/>
          <w:snapToGrid w:val="0"/>
          <w:color w:val="auto"/>
          <w:sz w:val="28"/>
          <w:szCs w:val="28"/>
          <w:highlight w:val="none"/>
        </w:rPr>
        <w:t>地址:</w:t>
      </w:r>
      <w:r>
        <w:rPr>
          <w:rFonts w:hint="eastAsia" w:ascii="宋体" w:hAnsi="宋体" w:eastAsia="宋体" w:cs="宋体"/>
          <w:bCs/>
          <w:color w:val="auto"/>
          <w:sz w:val="28"/>
          <w:szCs w:val="28"/>
          <w:highlight w:val="none"/>
        </w:rPr>
        <w:t>启东市吕四港秦潭镇秦潭大道188号</w:t>
      </w:r>
      <w:r>
        <w:rPr>
          <w:rFonts w:hint="eastAsia" w:ascii="宋体" w:hAnsi="宋体" w:eastAsia="宋体" w:cs="宋体"/>
          <w:bCs/>
          <w:snapToGrid w:val="0"/>
          <w:color w:val="auto"/>
          <w:sz w:val="28"/>
          <w:szCs w:val="28"/>
          <w:highlight w:val="none"/>
        </w:rPr>
        <w:t xml:space="preserve">       </w:t>
      </w:r>
      <w:r>
        <w:rPr>
          <w:rFonts w:hint="eastAsia" w:ascii="宋体" w:hAnsi="宋体" w:eastAsia="宋体" w:cs="宋体"/>
          <w:b/>
          <w:snapToGrid w:val="0"/>
          <w:color w:val="auto"/>
          <w:sz w:val="28"/>
          <w:szCs w:val="28"/>
          <w:highlight w:val="none"/>
        </w:rPr>
        <w:t>邮政编码：</w:t>
      </w:r>
      <w:r>
        <w:rPr>
          <w:rFonts w:hint="eastAsia" w:ascii="宋体" w:hAnsi="宋体" w:eastAsia="宋体" w:cs="宋体"/>
          <w:bCs/>
          <w:snapToGrid w:val="0"/>
          <w:color w:val="auto"/>
          <w:sz w:val="28"/>
          <w:szCs w:val="28"/>
          <w:highlight w:val="none"/>
        </w:rPr>
        <w:t xml:space="preserve">226200 </w:t>
      </w:r>
      <w:r>
        <w:rPr>
          <w:rFonts w:hint="eastAsia" w:ascii="宋体" w:hAnsi="宋体" w:eastAsia="宋体" w:cs="宋体"/>
          <w:bCs/>
          <w:snapToGrid w:val="0"/>
          <w:color w:val="auto"/>
          <w:sz w:val="32"/>
          <w:szCs w:val="32"/>
          <w:highlight w:val="none"/>
        </w:rPr>
        <w:t xml:space="preserve">  </w:t>
      </w:r>
    </w:p>
    <w:p>
      <w:pPr>
        <w:adjustRightInd w:val="0"/>
        <w:snapToGrid w:val="0"/>
        <w:ind w:left="-157" w:leftChars="-75" w:right="-600" w:rightChars="-286"/>
        <w:rPr>
          <w:rFonts w:hint="eastAsia" w:ascii="宋体" w:hAnsi="宋体" w:eastAsia="宋体" w:cs="宋体"/>
          <w:b/>
          <w:snapToGrid w:val="0"/>
          <w:color w:val="auto"/>
          <w:sz w:val="32"/>
          <w:szCs w:val="32"/>
          <w:highlight w:val="none"/>
        </w:rPr>
      </w:pPr>
      <w:r>
        <w:rPr>
          <w:rFonts w:hint="eastAsia" w:ascii="宋体" w:hAnsi="宋体" w:eastAsia="宋体" w:cs="宋体"/>
          <w:b/>
          <w:snapToGrid w:val="0"/>
          <w:color w:val="auto"/>
          <w:sz w:val="28"/>
          <w:szCs w:val="28"/>
          <w:highlight w:val="none"/>
        </w:rPr>
        <w:t>江苏政府采购网</w:t>
      </w:r>
    </w:p>
    <w:p>
      <w:pPr>
        <w:tabs>
          <w:tab w:val="left" w:pos="1260"/>
        </w:tabs>
        <w:adjustRightInd w:val="0"/>
        <w:snapToGrid w:val="0"/>
        <w:spacing w:line="312" w:lineRule="auto"/>
        <w:ind w:left="-157" w:leftChars="-75" w:right="-600" w:rightChars="-286"/>
        <w:rPr>
          <w:rFonts w:hint="eastAsia" w:ascii="宋体" w:hAnsi="宋体" w:eastAsia="宋体" w:cs="宋体"/>
          <w:color w:val="auto"/>
          <w:sz w:val="32"/>
          <w:szCs w:val="32"/>
        </w:rPr>
      </w:pPr>
      <w:r>
        <w:rPr>
          <w:rFonts w:hint="eastAsia" w:ascii="宋体" w:hAnsi="宋体" w:eastAsia="宋体" w:cs="宋体"/>
          <w:color w:val="auto"/>
          <w:sz w:val="32"/>
          <w:szCs w:val="32"/>
        </w:rPr>
        <w:tab/>
      </w:r>
    </w:p>
    <w:p>
      <w:pPr>
        <w:autoSpaceDE w:val="0"/>
        <w:autoSpaceDN w:val="0"/>
        <w:adjustRightInd w:val="0"/>
        <w:snapToGrid w:val="0"/>
        <w:spacing w:line="360" w:lineRule="auto"/>
        <w:jc w:val="center"/>
        <w:outlineLvl w:val="0"/>
        <w:rPr>
          <w:rFonts w:hint="eastAsia" w:ascii="宋体" w:hAnsi="宋体" w:eastAsia="宋体" w:cs="宋体"/>
          <w:bCs/>
          <w:color w:val="auto"/>
          <w:spacing w:val="7"/>
          <w:kern w:val="0"/>
          <w:sz w:val="44"/>
          <w:szCs w:val="44"/>
        </w:rPr>
      </w:pPr>
      <w:r>
        <w:rPr>
          <w:rFonts w:hint="eastAsia" w:ascii="宋体" w:hAnsi="宋体" w:eastAsia="宋体" w:cs="宋体"/>
          <w:bCs/>
          <w:color w:val="auto"/>
          <w:spacing w:val="7"/>
          <w:kern w:val="0"/>
          <w:sz w:val="44"/>
          <w:szCs w:val="44"/>
        </w:rPr>
        <w:t>目录</w:t>
      </w:r>
    </w:p>
    <w:p>
      <w:pPr>
        <w:autoSpaceDE w:val="0"/>
        <w:autoSpaceDN w:val="0"/>
        <w:adjustRightInd w:val="0"/>
        <w:snapToGrid w:val="0"/>
        <w:spacing w:line="360" w:lineRule="auto"/>
        <w:rPr>
          <w:rFonts w:hint="eastAsia" w:ascii="宋体" w:hAnsi="宋体" w:eastAsia="宋体" w:cs="宋体"/>
          <w:bCs/>
          <w:color w:val="auto"/>
          <w:spacing w:val="7"/>
          <w:kern w:val="0"/>
          <w:sz w:val="28"/>
          <w:szCs w:val="28"/>
        </w:rPr>
      </w:pPr>
    </w:p>
    <w:p>
      <w:pPr>
        <w:pStyle w:val="2"/>
        <w:adjustRightInd w:val="0"/>
        <w:snapToGrid w:val="0"/>
        <w:spacing w:after="0" w:line="360" w:lineRule="auto"/>
        <w:rPr>
          <w:rFonts w:hint="eastAsia" w:ascii="宋体" w:hAnsi="宋体" w:eastAsia="宋体" w:cs="宋体"/>
          <w:color w:val="auto"/>
        </w:rPr>
      </w:pPr>
    </w:p>
    <w:p>
      <w:pPr>
        <w:adjustRightInd w:val="0"/>
        <w:snapToGrid w:val="0"/>
        <w:spacing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第一部分  询价采购公告</w:t>
      </w:r>
    </w:p>
    <w:p>
      <w:pPr>
        <w:adjustRightInd w:val="0"/>
        <w:snapToGrid w:val="0"/>
        <w:spacing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第二部分  响应须知</w:t>
      </w:r>
    </w:p>
    <w:p>
      <w:pPr>
        <w:adjustRightInd w:val="0"/>
        <w:snapToGrid w:val="0"/>
        <w:spacing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第三部分  项目需求</w:t>
      </w:r>
    </w:p>
    <w:p>
      <w:pPr>
        <w:adjustRightInd w:val="0"/>
        <w:snapToGrid w:val="0"/>
        <w:spacing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第四部分  响应文件格式</w:t>
      </w:r>
    </w:p>
    <w:p>
      <w:pPr>
        <w:autoSpaceDE w:val="0"/>
        <w:autoSpaceDN w:val="0"/>
        <w:adjustRightInd w:val="0"/>
        <w:snapToGrid w:val="0"/>
        <w:spacing w:line="500" w:lineRule="exact"/>
        <w:jc w:val="center"/>
        <w:outlineLvl w:val="0"/>
        <w:rPr>
          <w:rFonts w:hint="eastAsia" w:ascii="宋体" w:hAnsi="宋体" w:eastAsia="宋体" w:cs="宋体"/>
          <w:color w:val="auto"/>
          <w:sz w:val="36"/>
          <w:szCs w:val="36"/>
        </w:rPr>
      </w:pPr>
      <w:r>
        <w:rPr>
          <w:rFonts w:hint="eastAsia" w:ascii="宋体" w:hAnsi="宋体" w:eastAsia="宋体" w:cs="宋体"/>
          <w:color w:val="auto"/>
          <w:spacing w:val="7"/>
          <w:kern w:val="0"/>
          <w:sz w:val="28"/>
          <w:szCs w:val="28"/>
          <w:highlight w:val="yellow"/>
        </w:rPr>
        <w:br w:type="page"/>
      </w:r>
      <w:bookmarkStart w:id="0" w:name="OLE_LINK3"/>
      <w:bookmarkStart w:id="1" w:name="OLE_LINK1"/>
      <w:bookmarkStart w:id="2" w:name="OLE_LINK6"/>
      <w:bookmarkStart w:id="3" w:name="OLE_LINK5"/>
      <w:bookmarkStart w:id="4" w:name="OLE_LINK2"/>
      <w:r>
        <w:rPr>
          <w:rFonts w:hint="eastAsia" w:ascii="宋体" w:hAnsi="宋体" w:eastAsia="宋体" w:cs="宋体"/>
          <w:color w:val="auto"/>
          <w:sz w:val="36"/>
          <w:szCs w:val="36"/>
          <w:lang w:val="zh-CN"/>
        </w:rPr>
        <w:t>第一部分  询价采购公告</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w:t>
      </w:r>
      <w:r>
        <w:rPr>
          <w:rFonts w:hint="eastAsia" w:ascii="宋体" w:hAnsi="宋体" w:eastAsia="宋体" w:cs="宋体"/>
          <w:color w:val="auto"/>
          <w:sz w:val="28"/>
          <w:szCs w:val="28"/>
          <w:highlight w:val="none"/>
          <w:lang w:eastAsia="zh-CN"/>
        </w:rPr>
        <w:t>江苏启东吕四港经济开发区管理委员会</w:t>
      </w:r>
      <w:r>
        <w:rPr>
          <w:rFonts w:hint="eastAsia" w:ascii="宋体" w:hAnsi="宋体" w:eastAsia="宋体" w:cs="宋体"/>
          <w:color w:val="auto"/>
          <w:sz w:val="28"/>
          <w:szCs w:val="28"/>
          <w:highlight w:val="none"/>
        </w:rPr>
        <w:t>]的委托，就[</w:t>
      </w:r>
      <w:r>
        <w:rPr>
          <w:rFonts w:hint="eastAsia" w:ascii="宋体" w:hAnsi="宋体" w:cs="宋体"/>
          <w:color w:val="auto"/>
          <w:sz w:val="28"/>
          <w:szCs w:val="28"/>
          <w:highlight w:val="none"/>
          <w:lang w:val="en-US" w:eastAsia="zh-CN"/>
        </w:rPr>
        <w:t>启东吕四港环抱式港池东港区高空视频监控采购项目</w:t>
      </w:r>
      <w:r>
        <w:rPr>
          <w:rFonts w:hint="eastAsia" w:ascii="宋体" w:hAnsi="宋体" w:eastAsia="宋体" w:cs="宋体"/>
          <w:color w:val="auto"/>
          <w:sz w:val="28"/>
          <w:szCs w:val="28"/>
          <w:highlight w:val="none"/>
        </w:rPr>
        <w:t>]进行询价采购，欢迎符合条件的供应商响应。</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启东吕四港环抱式港池东港区高空视频监控采购项目</w:t>
      </w:r>
      <w:r>
        <w:rPr>
          <w:rFonts w:hint="eastAsia" w:ascii="宋体" w:hAnsi="宋体" w:eastAsia="宋体" w:cs="宋体"/>
          <w:color w:val="auto"/>
          <w:sz w:val="28"/>
          <w:szCs w:val="28"/>
          <w:highlight w:val="none"/>
        </w:rPr>
        <w:t>]的潜在响应供应商应在江苏政府采购网获取采购文件，并于</w:t>
      </w:r>
      <w:r>
        <w:rPr>
          <w:rFonts w:hint="eastAsia" w:ascii="宋体" w:hAnsi="宋体" w:cs="宋体"/>
          <w:color w:val="auto"/>
          <w:sz w:val="28"/>
          <w:szCs w:val="28"/>
          <w:highlight w:val="none"/>
          <w:lang w:val="en-US" w:eastAsia="zh-CN"/>
        </w:rPr>
        <w:t>2024</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rPr>
        <w:t>点</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rPr>
        <w:t>分（北京时间）前递交响应文件。</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bCs/>
          <w:color w:val="auto"/>
          <w:sz w:val="28"/>
          <w:szCs w:val="28"/>
          <w:highlight w:val="none"/>
        </w:rPr>
      </w:pPr>
      <w:bookmarkStart w:id="5" w:name="_Toc82505652"/>
      <w:r>
        <w:rPr>
          <w:rFonts w:hint="eastAsia" w:ascii="宋体" w:hAnsi="宋体" w:eastAsia="宋体" w:cs="宋体"/>
          <w:b/>
          <w:bCs/>
          <w:color w:val="auto"/>
          <w:sz w:val="28"/>
          <w:szCs w:val="28"/>
          <w:highlight w:val="none"/>
        </w:rPr>
        <w:t>一、项目基本情况</w:t>
      </w:r>
      <w:bookmarkEnd w:id="5"/>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项目编号：JSZC-320681-HXTH-X2024-0016</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pacing w:val="-20"/>
          <w:sz w:val="28"/>
          <w:szCs w:val="28"/>
          <w:highlight w:val="none"/>
        </w:rPr>
      </w:pPr>
      <w:r>
        <w:rPr>
          <w:rFonts w:hint="eastAsia" w:ascii="宋体" w:hAnsi="宋体" w:eastAsia="宋体" w:cs="宋体"/>
          <w:color w:val="auto"/>
          <w:sz w:val="28"/>
          <w:szCs w:val="28"/>
          <w:highlight w:val="none"/>
        </w:rPr>
        <w:t>项目名称：</w:t>
      </w:r>
      <w:r>
        <w:rPr>
          <w:rFonts w:hint="eastAsia" w:ascii="宋体" w:hAnsi="宋体" w:cs="宋体"/>
          <w:color w:val="auto"/>
          <w:spacing w:val="0"/>
          <w:sz w:val="28"/>
          <w:szCs w:val="28"/>
          <w:highlight w:val="none"/>
          <w:lang w:val="en-US" w:eastAsia="zh-CN"/>
        </w:rPr>
        <w:t>启东吕四港环抱式港池东港区高空视频监控采购项目</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项目类型：货物</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所属行业：</w:t>
      </w:r>
      <w:r>
        <w:rPr>
          <w:rFonts w:hint="eastAsia" w:ascii="宋体" w:hAnsi="宋体" w:eastAsia="宋体" w:cs="宋体"/>
          <w:color w:val="auto"/>
          <w:sz w:val="28"/>
          <w:szCs w:val="28"/>
          <w:highlight w:val="none"/>
          <w:lang w:val="en-US" w:eastAsia="zh-CN"/>
        </w:rPr>
        <w:t>工业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90</w:t>
      </w:r>
      <w:r>
        <w:rPr>
          <w:rFonts w:hint="eastAsia" w:ascii="宋体" w:hAnsi="宋体" w:eastAsia="宋体" w:cs="宋体"/>
          <w:color w:val="auto"/>
          <w:sz w:val="28"/>
          <w:szCs w:val="28"/>
          <w:highlight w:val="none"/>
        </w:rPr>
        <w:t>万元。</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最高限价：</w:t>
      </w:r>
      <w:r>
        <w:rPr>
          <w:rFonts w:hint="eastAsia" w:ascii="宋体" w:hAnsi="宋体" w:cs="宋体"/>
          <w:color w:val="auto"/>
          <w:sz w:val="28"/>
          <w:szCs w:val="28"/>
          <w:highlight w:val="none"/>
          <w:lang w:val="en-US" w:eastAsia="zh-CN"/>
        </w:rPr>
        <w:t>90</w:t>
      </w:r>
      <w:r>
        <w:rPr>
          <w:rFonts w:hint="eastAsia" w:ascii="宋体" w:hAnsi="宋体" w:eastAsia="宋体" w:cs="宋体"/>
          <w:color w:val="auto"/>
          <w:sz w:val="28"/>
          <w:szCs w:val="28"/>
          <w:highlight w:val="none"/>
        </w:rPr>
        <w:t>万元。</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采购需求：详见采购文件，请仔细研究。</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合同履行期限：</w:t>
      </w:r>
      <w:r>
        <w:rPr>
          <w:rFonts w:hint="eastAsia" w:ascii="宋体" w:hAnsi="宋体" w:eastAsia="宋体" w:cs="宋体"/>
          <w:color w:val="auto"/>
          <w:sz w:val="28"/>
          <w:szCs w:val="28"/>
          <w:highlight w:val="none"/>
        </w:rPr>
        <w:t>详见招标文件第三部分项目需求</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bookmarkStart w:id="6" w:name="_Toc82505653"/>
      <w:r>
        <w:rPr>
          <w:rFonts w:hint="eastAsia" w:ascii="宋体" w:hAnsi="宋体" w:eastAsia="宋体" w:cs="宋体"/>
          <w:color w:val="auto"/>
          <w:sz w:val="28"/>
          <w:szCs w:val="28"/>
          <w:highlight w:val="none"/>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本项目不接受分包。</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二、响应供应商的资格要求：</w:t>
      </w:r>
      <w:bookmarkEnd w:id="6"/>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rPr>
        <w:t>2.落实政府采购政策</w:t>
      </w:r>
      <w:r>
        <w:rPr>
          <w:rFonts w:hint="eastAsia" w:ascii="宋体" w:hAnsi="宋体" w:eastAsia="宋体" w:cs="宋体"/>
          <w:color w:val="auto"/>
          <w:sz w:val="28"/>
          <w:szCs w:val="28"/>
          <w:highlight w:val="none"/>
          <w:u w:val="none"/>
        </w:rPr>
        <w:t>需满足的资格要求：无；</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rPr>
        <w:t>3.本项目特定资格要求：无。</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bCs/>
          <w:color w:val="auto"/>
          <w:sz w:val="28"/>
          <w:szCs w:val="28"/>
        </w:rPr>
      </w:pPr>
      <w:bookmarkStart w:id="7" w:name="_Toc82505654"/>
      <w:r>
        <w:rPr>
          <w:rFonts w:hint="eastAsia" w:ascii="宋体" w:hAnsi="宋体" w:eastAsia="宋体" w:cs="宋体"/>
          <w:b/>
          <w:bCs/>
          <w:color w:val="auto"/>
          <w:sz w:val="28"/>
          <w:szCs w:val="28"/>
        </w:rPr>
        <w:t>三、获取采购文件</w:t>
      </w:r>
      <w:bookmarkEnd w:id="7"/>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cs="宋体"/>
          <w:color w:val="auto"/>
          <w:sz w:val="28"/>
          <w:szCs w:val="28"/>
          <w:highlight w:val="none"/>
          <w:lang w:val="en-US" w:eastAsia="zh-CN"/>
        </w:rPr>
        <w:t>自本公告发布之日起至2024年04月30日09</w:t>
      </w:r>
      <w:r>
        <w:rPr>
          <w:rFonts w:hint="eastAsia" w:ascii="宋体" w:hAnsi="宋体" w:eastAsia="宋体" w:cs="宋体"/>
          <w:color w:val="auto"/>
          <w:sz w:val="28"/>
          <w:szCs w:val="28"/>
          <w:highlight w:val="none"/>
        </w:rPr>
        <w:t>点</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rPr>
        <w:t>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t>地点：江苏政府采购网（网上注册登</w:t>
      </w:r>
      <w:r>
        <w:rPr>
          <w:rFonts w:hint="eastAsia" w:ascii="宋体" w:hAnsi="宋体" w:eastAsia="宋体" w:cs="宋体"/>
          <w:color w:val="auto"/>
          <w:sz w:val="28"/>
          <w:szCs w:val="28"/>
        </w:rPr>
        <w:t>记成功后系统内免费下载）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方式：</w:t>
      </w:r>
      <w:bookmarkStart w:id="8" w:name="_Toc82505655"/>
      <w:r>
        <w:rPr>
          <w:rFonts w:hint="eastAsia" w:ascii="宋体" w:hAnsi="宋体" w:eastAsia="宋体" w:cs="宋体"/>
          <w:color w:val="auto"/>
          <w:sz w:val="28"/>
          <w:szCs w:val="28"/>
        </w:rPr>
        <w:t>本项目采用网上注册登记方式。</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1潜在供应商访问电子招标响应交易平台的网络地址和方法：</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资料下载中《江苏省政府采购管理交易系统（苏采云）供应商操作手册》。</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2潜在供应商访问“苏采云”系统的网络地址和方法：“苏采云”系统的网址：http://jszfcg.jsczt.cn/。</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3“CA数字证书”的获取：</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供应商需办理CA锁，“苏采云”系统目前仅支持政务CA、方正签章，省内各地区办理的用于“苏采云”平台的政务CA、方正签章全省通用。“CA数字证书”的办理方法详见江苏政府采购网—资料下载中《江苏省政府采购数字证书（供应商）CA及电子签章办理指南》。</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4采购文件（后缀名为“.kedt”）、供应商操作手册及政府采购客户端工具可通过“苏采云”系统--已报名项目--报名详情页面内相应链接进行下载。</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5招标代理机构（采购代理机构）将数据电文形式的采购文件加载至“苏采云”系统，供潜在供应商下载或者查阅。</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6请潜在投标单位提前安装相应的控件（详见《江苏省政府采购管理交易系统（苏采云）供应商操作手册》）并使用谷歌浏览器登录“苏采云”系统参与不见面开评标。</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注：如潜在供应商未按上述要求操作，将自行承担所产生的风险。</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color w:val="auto"/>
          <w:sz w:val="28"/>
          <w:szCs w:val="28"/>
        </w:rPr>
      </w:pPr>
      <w:r>
        <w:rPr>
          <w:rFonts w:hint="eastAsia" w:ascii="宋体" w:hAnsi="宋体" w:eastAsia="宋体" w:cs="宋体"/>
          <w:b/>
          <w:bCs/>
          <w:color w:val="auto"/>
          <w:sz w:val="28"/>
          <w:szCs w:val="28"/>
        </w:rPr>
        <w:t>四、响应文件提交</w:t>
      </w:r>
      <w:bookmarkEnd w:id="8"/>
      <w:bookmarkStart w:id="9" w:name="_Toc82505657"/>
      <w:r>
        <w:rPr>
          <w:rFonts w:hint="eastAsia" w:ascii="宋体" w:hAnsi="宋体" w:eastAsia="宋体" w:cs="宋体"/>
          <w:b/>
          <w:color w:val="auto"/>
          <w:sz w:val="28"/>
          <w:szCs w:val="28"/>
        </w:rPr>
        <w:t>截止时间、谈判时间和地点</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i/>
          <w:color w:val="auto"/>
          <w:sz w:val="28"/>
          <w:szCs w:val="28"/>
          <w:highlight w:val="none"/>
          <w:u w:val="singl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2024</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rPr>
        <w:t>点</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rPr>
        <w:t>分（北京时间）</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逾时，交易系统将拒绝接受上传响应文件电子文档。</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注：各供应商请关注开标大厅交流区，在开标结束后，请勿离开开标大厅。</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2、线上开标地点：“苏采云”系统（网址：http://jszfcg.jsczt.cn/）“开标大厅”。</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因采购人原因或网上招投标平台发生故障，导致无法按时完成响应文件解密或开、评标工作无法进行的，可根据实际情况相应延迟解密时间或调整开、评标时间。</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五、公告期限</w:t>
      </w:r>
      <w:bookmarkEnd w:id="9"/>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自本公告发布之日起3个工作日。</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bCs/>
          <w:color w:val="auto"/>
          <w:sz w:val="28"/>
          <w:szCs w:val="28"/>
        </w:rPr>
      </w:pPr>
      <w:bookmarkStart w:id="10" w:name="_Toc82505658"/>
      <w:r>
        <w:rPr>
          <w:rFonts w:hint="eastAsia" w:ascii="宋体" w:hAnsi="宋体" w:eastAsia="宋体" w:cs="宋体"/>
          <w:b/>
          <w:bCs/>
          <w:color w:val="auto"/>
          <w:sz w:val="28"/>
          <w:szCs w:val="28"/>
        </w:rPr>
        <w:t>六、其他补充事宜</w:t>
      </w:r>
      <w:bookmarkEnd w:id="10"/>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1.响应保证金：免收。</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2.项目开标活动模式：不见面远程开标模式。</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3.项目演示、样品、答辩等：详见采购文件，请仔细研究。</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对项目需求部分（供应商资格要求、项目需求）的询问、质疑请向采购人提出，由采购人负责答复；对项目采购文件其他部分的询问、质疑请向采购文件制作人或项目开标经办人提出；对在“电子交易平台”操作阶段的询问请向交易系统软件公司维护人员提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bCs/>
          <w:color w:val="auto"/>
          <w:sz w:val="28"/>
          <w:szCs w:val="28"/>
        </w:rPr>
      </w:pPr>
      <w:bookmarkStart w:id="11" w:name="_Toc82505660"/>
      <w:r>
        <w:rPr>
          <w:rFonts w:hint="eastAsia" w:ascii="宋体" w:hAnsi="宋体" w:eastAsia="宋体" w:cs="宋体"/>
          <w:b/>
          <w:bCs/>
          <w:color w:val="auto"/>
          <w:sz w:val="28"/>
          <w:szCs w:val="28"/>
        </w:rPr>
        <w:t>八、凡对本次采购提出询问，请按以下方式联系</w:t>
      </w:r>
      <w:bookmarkEnd w:id="11"/>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1.采购人信息</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eastAsia="zh-CN"/>
        </w:rPr>
        <w:t>江苏启东吕四港经济开发区管理委员会</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地址：启东市吕四港秦潭镇秦潭大道188号</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刘琪</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0513-83409021</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称：江苏天宏华信工程投资管理咨询有限公司</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址：启东市南苑西路1168号国动产业园2号楼402室</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eastAsia="zh-CN"/>
        </w:rPr>
        <w:t>徐海燕</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联系方式：0513-83248588</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3.项目联系方式</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采购文件制作人：0513-83248588</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项目开标人：0513-83248588</w:t>
      </w:r>
    </w:p>
    <w:p>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交易系统软件维护人员：0519-86722801、0519-86722806</w:t>
      </w:r>
    </w:p>
    <w:bookmarkEnd w:id="0"/>
    <w:bookmarkEnd w:id="1"/>
    <w:bookmarkEnd w:id="2"/>
    <w:bookmarkEnd w:id="3"/>
    <w:bookmarkEnd w:id="4"/>
    <w:p>
      <w:pPr>
        <w:adjustRightInd w:val="0"/>
        <w:snapToGrid w:val="0"/>
        <w:spacing w:line="500" w:lineRule="exact"/>
        <w:jc w:val="center"/>
        <w:outlineLvl w:val="0"/>
        <w:rPr>
          <w:rFonts w:hint="eastAsia" w:ascii="宋体" w:hAnsi="宋体" w:eastAsia="宋体" w:cs="宋体"/>
          <w:bCs/>
          <w:color w:val="auto"/>
          <w:sz w:val="36"/>
          <w:szCs w:val="36"/>
        </w:rPr>
      </w:pPr>
      <w:bookmarkStart w:id="12" w:name="_Toc22736"/>
      <w:bookmarkStart w:id="13" w:name="_Toc82505661"/>
      <w:r>
        <w:rPr>
          <w:rFonts w:hint="eastAsia" w:ascii="宋体" w:hAnsi="宋体" w:eastAsia="宋体" w:cs="宋体"/>
          <w:bCs/>
          <w:color w:val="auto"/>
          <w:sz w:val="36"/>
          <w:szCs w:val="36"/>
        </w:rPr>
        <w:br w:type="page"/>
      </w:r>
      <w:bookmarkEnd w:id="12"/>
      <w:bookmarkEnd w:id="13"/>
      <w:r>
        <w:rPr>
          <w:rFonts w:hint="eastAsia" w:ascii="宋体" w:hAnsi="宋体" w:eastAsia="宋体" w:cs="宋体"/>
          <w:bCs/>
          <w:color w:val="auto"/>
          <w:sz w:val="36"/>
          <w:szCs w:val="36"/>
        </w:rPr>
        <w:t>第二部分  响应须知</w:t>
      </w:r>
    </w:p>
    <w:p>
      <w:pPr>
        <w:widowControl/>
        <w:adjustRightInd w:val="0"/>
        <w:snapToGrid w:val="0"/>
        <w:spacing w:line="50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一、总则</w:t>
      </w:r>
    </w:p>
    <w:p>
      <w:pPr>
        <w:adjustRightInd w:val="0"/>
        <w:snapToGrid w:val="0"/>
        <w:spacing w:line="500" w:lineRule="exact"/>
        <w:ind w:firstLine="560" w:firstLineChars="200"/>
        <w:rPr>
          <w:rFonts w:hint="eastAsia" w:ascii="宋体" w:hAnsi="宋体" w:eastAsia="宋体" w:cs="宋体"/>
          <w:color w:val="auto"/>
          <w:sz w:val="28"/>
          <w:szCs w:val="28"/>
        </w:rPr>
      </w:pPr>
      <w:bookmarkStart w:id="14" w:name="_Toc458694821"/>
      <w:bookmarkStart w:id="15" w:name="_Toc16938520"/>
      <w:bookmarkStart w:id="16" w:name="_Toc513029204"/>
      <w:bookmarkStart w:id="17" w:name="_Toc20823276"/>
      <w:r>
        <w:rPr>
          <w:rFonts w:hint="eastAsia" w:ascii="宋体" w:hAnsi="宋体" w:eastAsia="宋体" w:cs="宋体"/>
          <w:color w:val="auto"/>
          <w:sz w:val="28"/>
          <w:szCs w:val="28"/>
        </w:rPr>
        <w:t>1</w:t>
      </w:r>
      <w:bookmarkEnd w:id="14"/>
      <w:r>
        <w:rPr>
          <w:rFonts w:hint="eastAsia" w:ascii="宋体" w:hAnsi="宋体" w:eastAsia="宋体" w:cs="宋体"/>
          <w:color w:val="auto"/>
          <w:sz w:val="28"/>
          <w:szCs w:val="28"/>
        </w:rPr>
        <w:t>.采购方式</w:t>
      </w:r>
      <w:bookmarkEnd w:id="15"/>
      <w:bookmarkEnd w:id="16"/>
      <w:bookmarkEnd w:id="17"/>
    </w:p>
    <w:p>
      <w:pPr>
        <w:adjustRightInd w:val="0"/>
        <w:snapToGrid w:val="0"/>
        <w:spacing w:line="50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本次采购采取询价方式，本询价文件仅适用于询价公告中所述项目。</w:t>
      </w:r>
    </w:p>
    <w:p>
      <w:pPr>
        <w:adjustRightInd w:val="0"/>
        <w:snapToGrid w:val="0"/>
        <w:spacing w:line="500" w:lineRule="exact"/>
        <w:ind w:firstLine="560" w:firstLineChars="200"/>
        <w:rPr>
          <w:rFonts w:hint="eastAsia" w:ascii="宋体" w:hAnsi="宋体" w:eastAsia="宋体" w:cs="宋体"/>
          <w:color w:val="auto"/>
          <w:sz w:val="28"/>
          <w:szCs w:val="28"/>
        </w:rPr>
      </w:pPr>
      <w:bookmarkStart w:id="18" w:name="_Toc20823277"/>
      <w:bookmarkStart w:id="19" w:name="_Toc16938521"/>
      <w:bookmarkStart w:id="20" w:name="_Toc513029205"/>
      <w:r>
        <w:rPr>
          <w:rFonts w:hint="eastAsia" w:ascii="宋体" w:hAnsi="宋体" w:eastAsia="宋体" w:cs="宋体"/>
          <w:color w:val="auto"/>
          <w:sz w:val="28"/>
          <w:szCs w:val="28"/>
        </w:rPr>
        <w:t>2.合格的</w:t>
      </w:r>
      <w:bookmarkEnd w:id="18"/>
      <w:bookmarkEnd w:id="19"/>
      <w:bookmarkEnd w:id="20"/>
      <w:r>
        <w:rPr>
          <w:rFonts w:hint="eastAsia" w:ascii="宋体" w:hAnsi="宋体" w:eastAsia="宋体" w:cs="宋体"/>
          <w:color w:val="auto"/>
          <w:sz w:val="28"/>
          <w:szCs w:val="28"/>
        </w:rPr>
        <w:t>响应供应商</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2.1满足询价公告中供应商的资格要求的规定。</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 满足本文件实质性条款的规定。</w:t>
      </w:r>
    </w:p>
    <w:p>
      <w:pPr>
        <w:adjustRightInd w:val="0"/>
        <w:snapToGrid w:val="0"/>
        <w:spacing w:line="500" w:lineRule="exact"/>
        <w:ind w:firstLine="560" w:firstLineChars="200"/>
        <w:rPr>
          <w:rFonts w:hint="eastAsia" w:ascii="宋体" w:hAnsi="宋体" w:eastAsia="宋体" w:cs="宋体"/>
          <w:color w:val="auto"/>
          <w:sz w:val="28"/>
          <w:szCs w:val="28"/>
        </w:rPr>
      </w:pPr>
      <w:bookmarkStart w:id="21" w:name="_Toc20823278"/>
      <w:bookmarkStart w:id="22" w:name="_Toc16938522"/>
      <w:bookmarkStart w:id="23" w:name="_Toc513029206"/>
      <w:r>
        <w:rPr>
          <w:rFonts w:hint="eastAsia" w:ascii="宋体" w:hAnsi="宋体" w:eastAsia="宋体" w:cs="宋体"/>
          <w:color w:val="auto"/>
          <w:sz w:val="28"/>
          <w:szCs w:val="28"/>
        </w:rPr>
        <w:t>3.适用法律</w:t>
      </w:r>
      <w:bookmarkEnd w:id="21"/>
      <w:bookmarkEnd w:id="22"/>
      <w:bookmarkEnd w:id="23"/>
    </w:p>
    <w:p>
      <w:pPr>
        <w:adjustRightInd w:val="0"/>
        <w:snapToGrid w:val="0"/>
        <w:spacing w:line="50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本次询价采购及由此产生的合同受中华人民共和国有关的法律法规制约和保护。</w:t>
      </w:r>
    </w:p>
    <w:p>
      <w:pPr>
        <w:adjustRightInd w:val="0"/>
        <w:snapToGrid w:val="0"/>
        <w:spacing w:line="500" w:lineRule="exact"/>
        <w:ind w:firstLine="560" w:firstLineChars="200"/>
        <w:rPr>
          <w:rFonts w:hint="eastAsia" w:ascii="宋体" w:hAnsi="宋体" w:eastAsia="宋体" w:cs="宋体"/>
          <w:color w:val="auto"/>
          <w:sz w:val="28"/>
          <w:szCs w:val="28"/>
        </w:rPr>
      </w:pPr>
      <w:bookmarkStart w:id="24" w:name="_Toc16938523"/>
      <w:bookmarkStart w:id="25" w:name="_Toc20823279"/>
      <w:bookmarkStart w:id="26" w:name="_Toc513029207"/>
      <w:bookmarkStart w:id="27" w:name="_Toc462564067"/>
      <w:r>
        <w:rPr>
          <w:rFonts w:hint="eastAsia" w:ascii="宋体" w:hAnsi="宋体" w:eastAsia="宋体" w:cs="宋体"/>
          <w:color w:val="auto"/>
          <w:sz w:val="28"/>
          <w:szCs w:val="28"/>
        </w:rPr>
        <w:t>4.响应费用</w:t>
      </w:r>
      <w:bookmarkEnd w:id="24"/>
      <w:bookmarkEnd w:id="25"/>
      <w:bookmarkEnd w:id="26"/>
      <w:bookmarkEnd w:id="27"/>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4.1 响应供应商应自行承担所有与参加响应有关的费用，无论响应过程中的做法和结果如何，</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在任何情况下均无义务和责任承担这些费用。</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4.2本次询价采购，采购人不收取标书工本费。</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5.采购文件的约束力</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响应供应商一旦参加本项目采购活动，即被认为接受了本询价采购文件的规定和约束。</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6.采购文件的解释</w:t>
      </w:r>
    </w:p>
    <w:p>
      <w:pPr>
        <w:adjustRightInd w:val="0"/>
        <w:snapToGrid w:val="0"/>
        <w:spacing w:line="50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本采购文件仅适用于本次询价采购，项目需求部分（供应商资格要求、项目需求）由采购人解释</w:t>
      </w:r>
      <w:r>
        <w:rPr>
          <w:rFonts w:hint="eastAsia" w:ascii="宋体" w:hAnsi="宋体" w:eastAsia="宋体" w:cs="宋体"/>
          <w:color w:val="auto"/>
          <w:sz w:val="28"/>
          <w:szCs w:val="28"/>
          <w:highlight w:val="none"/>
        </w:rPr>
        <w:t>，其他部分由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r>
        <w:rPr>
          <w:rFonts w:hint="eastAsia" w:ascii="宋体" w:hAnsi="宋体" w:eastAsia="宋体" w:cs="宋体"/>
          <w:color w:val="auto"/>
          <w:sz w:val="28"/>
          <w:szCs w:val="28"/>
        </w:rPr>
        <w:t>。</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7.报价要求</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7.1询价为一次性报价，响应供应商应一次性报出不得更改的价格。供应商的报价应包括本项目所有涉及的全部费用，如设备、标准附件、运输、安装调试、人员培训、质保、售后服务、税金及其他一切有关为完成本项目发生的所有费用，采购文件中另有规定的除外。</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7.2采购人不接受任何可选择的报价，成交供应商不得在供货期间提出任何增加费用的要求。请各供应商在报价时充分考虑各种因素。</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7.3</w:t>
      </w:r>
      <w:r>
        <w:rPr>
          <w:rFonts w:hint="eastAsia" w:ascii="宋体" w:hAnsi="宋体" w:eastAsia="宋体" w:cs="宋体"/>
          <w:bCs/>
          <w:color w:val="auto"/>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pPr>
        <w:widowControl/>
        <w:adjustRightInd w:val="0"/>
        <w:snapToGrid w:val="0"/>
        <w:spacing w:line="50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二、采购文件</w:t>
      </w:r>
    </w:p>
    <w:p>
      <w:pPr>
        <w:widowControl/>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1.采购文件的构成</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1.1 采购文件由以下部分组成：</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（1）询价采购公告</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（2）响应须知</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（3）项目需求</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（4）响应文件格式</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（5）附件（如有）</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请响应供应商仔细检查采购文件是否齐全，如有缺漏请立即与</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联系解决。</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sz w:val="28"/>
          <w:szCs w:val="28"/>
        </w:rPr>
        <w:t>1.2</w:t>
      </w:r>
      <w:r>
        <w:rPr>
          <w:rFonts w:hint="eastAsia" w:ascii="宋体" w:hAnsi="宋体" w:eastAsia="宋体" w:cs="宋体"/>
          <w:color w:val="auto"/>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2.询价采购文件的澄清</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任何要求对采购文件进行澄清的响应供应商，应在响应截止期3日前按询价采购公告中的通讯地址，以书面形式通知采购人。采购人有权对发出的采购文件进行必要的澄清或修改。</w:t>
      </w:r>
    </w:p>
    <w:p>
      <w:pPr>
        <w:adjustRightInd w:val="0"/>
        <w:snapToGrid w:val="0"/>
        <w:spacing w:line="500" w:lineRule="exact"/>
        <w:ind w:firstLine="560" w:firstLineChars="200"/>
        <w:rPr>
          <w:rFonts w:hint="eastAsia" w:ascii="宋体" w:hAnsi="宋体" w:eastAsia="宋体" w:cs="宋体"/>
          <w:color w:val="auto"/>
          <w:sz w:val="28"/>
          <w:szCs w:val="28"/>
        </w:rPr>
      </w:pPr>
      <w:bookmarkStart w:id="28" w:name="_Toc513029212"/>
      <w:bookmarkStart w:id="29" w:name="_Toc20823284"/>
      <w:bookmarkStart w:id="30" w:name="_Toc16938528"/>
      <w:bookmarkStart w:id="31" w:name="_Toc462564071"/>
      <w:r>
        <w:rPr>
          <w:rFonts w:hint="eastAsia" w:ascii="宋体" w:hAnsi="宋体" w:eastAsia="宋体" w:cs="宋体"/>
          <w:color w:val="auto"/>
          <w:sz w:val="28"/>
          <w:szCs w:val="28"/>
        </w:rPr>
        <w:t>3.询价采购文件的修改</w:t>
      </w:r>
      <w:bookmarkEnd w:id="28"/>
      <w:bookmarkEnd w:id="29"/>
      <w:bookmarkEnd w:id="30"/>
      <w:bookmarkEnd w:id="31"/>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sz w:val="28"/>
          <w:szCs w:val="28"/>
        </w:rPr>
        <w:t>3.1</w:t>
      </w:r>
      <w:r>
        <w:rPr>
          <w:rFonts w:hint="eastAsia" w:ascii="宋体" w:hAnsi="宋体" w:eastAsia="宋体" w:cs="宋体"/>
          <w:color w:val="auto"/>
          <w:sz w:val="28"/>
          <w:szCs w:val="28"/>
        </w:rPr>
        <w:t>在响应截止时间前，</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可以对采购文件进行修改。</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sz w:val="28"/>
          <w:szCs w:val="28"/>
        </w:rPr>
        <w:t xml:space="preserve">3.2 </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有权按照法定的要求推迟响应截止日期和开标日期。</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sz w:val="28"/>
          <w:szCs w:val="28"/>
        </w:rPr>
        <w:t xml:space="preserve">3.3 </w:t>
      </w:r>
      <w:r>
        <w:rPr>
          <w:rFonts w:hint="eastAsia" w:ascii="宋体" w:hAnsi="宋体" w:eastAsia="宋体" w:cs="宋体"/>
          <w:color w:val="auto"/>
          <w:sz w:val="28"/>
          <w:szCs w:val="28"/>
        </w:rPr>
        <w:t>采购文件的修改将在江苏政府采购网公布，补充文件将作为采购文件的组成部分，并对响应供应商具有约束力，请供应商及时关注网站公告信息。</w:t>
      </w:r>
    </w:p>
    <w:p>
      <w:pPr>
        <w:widowControl/>
        <w:adjustRightInd w:val="0"/>
        <w:snapToGrid w:val="0"/>
        <w:spacing w:line="50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三、响应文件的编制</w:t>
      </w:r>
    </w:p>
    <w:p>
      <w:pPr>
        <w:adjustRightInd w:val="0"/>
        <w:snapToGrid w:val="0"/>
        <w:spacing w:line="500" w:lineRule="exact"/>
        <w:ind w:firstLine="560" w:firstLineChars="200"/>
        <w:rPr>
          <w:rFonts w:hint="eastAsia" w:ascii="宋体" w:hAnsi="宋体" w:eastAsia="宋体" w:cs="宋体"/>
          <w:bCs/>
          <w:color w:val="auto"/>
          <w:sz w:val="28"/>
          <w:szCs w:val="28"/>
        </w:rPr>
      </w:pPr>
      <w:bookmarkStart w:id="32" w:name="_Toc20823286"/>
      <w:bookmarkStart w:id="33" w:name="_Toc462564073"/>
      <w:bookmarkStart w:id="34" w:name="_Toc16938530"/>
      <w:bookmarkStart w:id="35" w:name="_Toc513029214"/>
      <w:r>
        <w:rPr>
          <w:rFonts w:hint="eastAsia" w:ascii="宋体" w:hAnsi="宋体" w:eastAsia="宋体" w:cs="宋体"/>
          <w:bCs/>
          <w:color w:val="auto"/>
          <w:sz w:val="28"/>
          <w:szCs w:val="28"/>
        </w:rPr>
        <w:t>1.响应文件的语言及度量衡单位</w:t>
      </w:r>
      <w:bookmarkEnd w:id="32"/>
      <w:bookmarkEnd w:id="33"/>
      <w:bookmarkEnd w:id="34"/>
      <w:bookmarkEnd w:id="35"/>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1.1 响应供应商提交的响应文件以及响应供应商与</w:t>
      </w:r>
      <w:r>
        <w:rPr>
          <w:rFonts w:hint="eastAsia" w:ascii="宋体" w:hAnsi="宋体" w:cs="宋体"/>
          <w:bCs/>
          <w:color w:val="auto"/>
          <w:sz w:val="28"/>
          <w:szCs w:val="28"/>
          <w:lang w:eastAsia="zh-CN"/>
        </w:rPr>
        <w:t>采购人</w:t>
      </w:r>
      <w:r>
        <w:rPr>
          <w:rFonts w:hint="eastAsia" w:ascii="宋体" w:hAnsi="宋体" w:eastAsia="宋体" w:cs="宋体"/>
          <w:bCs/>
          <w:color w:val="auto"/>
          <w:sz w:val="28"/>
          <w:szCs w:val="28"/>
        </w:rPr>
        <w:t>就有关响应的所有来往通知、函件和文件均应使用简体中文。</w:t>
      </w:r>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1.2 除技术性能另有规定外，响应文件所使用的度量衡单位，均须采用国家法定计量单位。</w:t>
      </w:r>
    </w:p>
    <w:p>
      <w:pPr>
        <w:adjustRightInd w:val="0"/>
        <w:snapToGrid w:val="0"/>
        <w:spacing w:line="500" w:lineRule="exact"/>
        <w:ind w:firstLine="560" w:firstLineChars="200"/>
        <w:rPr>
          <w:rFonts w:hint="eastAsia" w:ascii="宋体" w:hAnsi="宋体" w:eastAsia="宋体" w:cs="宋体"/>
          <w:bCs/>
          <w:color w:val="auto"/>
          <w:sz w:val="28"/>
          <w:szCs w:val="28"/>
        </w:rPr>
      </w:pPr>
      <w:bookmarkStart w:id="36" w:name="_Toc513029215"/>
      <w:bookmarkStart w:id="37" w:name="_Toc16938531"/>
      <w:bookmarkStart w:id="38" w:name="_Toc462564074"/>
      <w:bookmarkStart w:id="39" w:name="_Toc20823287"/>
      <w:r>
        <w:rPr>
          <w:rFonts w:hint="eastAsia" w:ascii="宋体" w:hAnsi="宋体" w:eastAsia="宋体" w:cs="宋体"/>
          <w:bCs/>
          <w:color w:val="auto"/>
          <w:sz w:val="28"/>
          <w:szCs w:val="28"/>
        </w:rPr>
        <w:t>2.响应文件构成</w:t>
      </w:r>
      <w:bookmarkEnd w:id="36"/>
      <w:bookmarkEnd w:id="37"/>
      <w:bookmarkEnd w:id="38"/>
      <w:bookmarkEnd w:id="39"/>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2.1响应供应商应按“第四部分响应文件格式”要求编写响应文件。</w:t>
      </w:r>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color w:val="auto"/>
          <w:kern w:val="0"/>
          <w:sz w:val="28"/>
          <w:szCs w:val="28"/>
        </w:rPr>
        <w:t>2.2 如标书制作工具中格式和内容与“江苏政府采购网”发布的询价文件不一致，请以“江苏政府采购网”发布的询价文件为准。</w:t>
      </w:r>
    </w:p>
    <w:p>
      <w:pPr>
        <w:adjustRightInd w:val="0"/>
        <w:snapToGrid w:val="0"/>
        <w:spacing w:line="500" w:lineRule="exact"/>
        <w:ind w:firstLine="560" w:firstLineChars="200"/>
        <w:rPr>
          <w:rFonts w:hint="eastAsia" w:ascii="宋体" w:hAnsi="宋体" w:eastAsia="宋体" w:cs="宋体"/>
          <w:bCs/>
          <w:color w:val="auto"/>
          <w:sz w:val="28"/>
          <w:szCs w:val="28"/>
        </w:rPr>
      </w:pPr>
      <w:bookmarkStart w:id="40" w:name="_Hlt26954838"/>
      <w:bookmarkEnd w:id="40"/>
      <w:bookmarkStart w:id="41" w:name="_Hlt26670360"/>
      <w:bookmarkEnd w:id="41"/>
      <w:bookmarkStart w:id="42" w:name="_Hlt26668975"/>
      <w:bookmarkEnd w:id="42"/>
      <w:bookmarkStart w:id="43" w:name="_Toc14577360"/>
      <w:bookmarkStart w:id="44" w:name="_Toc49090511"/>
      <w:r>
        <w:rPr>
          <w:rFonts w:hint="eastAsia" w:ascii="宋体" w:hAnsi="宋体" w:eastAsia="宋体" w:cs="宋体"/>
          <w:bCs/>
          <w:color w:val="auto"/>
          <w:sz w:val="28"/>
          <w:szCs w:val="28"/>
        </w:rPr>
        <w:t>3.响应有效期</w:t>
      </w:r>
      <w:bookmarkEnd w:id="43"/>
      <w:bookmarkEnd w:id="44"/>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响应文件和响应供应商法定代表人或其授权委托人签署的文件、资料的有效期为自开标之日起60个日历日。</w:t>
      </w:r>
      <w:r>
        <w:rPr>
          <w:rFonts w:hint="eastAsia" w:ascii="宋体" w:hAnsi="宋体" w:eastAsia="宋体" w:cs="宋体"/>
          <w:bCs/>
          <w:color w:val="auto"/>
          <w:sz w:val="28"/>
          <w:szCs w:val="28"/>
        </w:rPr>
        <w:t>响应有效期比规定短的将被视为非响应性响应而予以拒绝。</w:t>
      </w:r>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4.响应有效期的延长</w:t>
      </w:r>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在特殊情况下，</w:t>
      </w:r>
      <w:r>
        <w:rPr>
          <w:rFonts w:hint="eastAsia" w:ascii="宋体" w:hAnsi="宋体" w:cs="宋体"/>
          <w:bCs/>
          <w:color w:val="auto"/>
          <w:sz w:val="28"/>
          <w:szCs w:val="28"/>
          <w:lang w:eastAsia="zh-CN"/>
        </w:rPr>
        <w:t>采购人</w:t>
      </w:r>
      <w:r>
        <w:rPr>
          <w:rFonts w:hint="eastAsia" w:ascii="宋体" w:hAnsi="宋体" w:eastAsia="宋体" w:cs="宋体"/>
          <w:bCs/>
          <w:color w:val="auto"/>
          <w:sz w:val="28"/>
          <w:szCs w:val="28"/>
        </w:rPr>
        <w:t>于原响应有效期满之前，可向响应供应商提出延长响应有效期的要求。这种要求与答复均应采用书面形式。响应供应商可以拒绝</w:t>
      </w:r>
      <w:r>
        <w:rPr>
          <w:rFonts w:hint="eastAsia" w:ascii="宋体" w:hAnsi="宋体" w:cs="宋体"/>
          <w:bCs/>
          <w:color w:val="auto"/>
          <w:sz w:val="28"/>
          <w:szCs w:val="28"/>
          <w:lang w:eastAsia="zh-CN"/>
        </w:rPr>
        <w:t>采购人</w:t>
      </w:r>
      <w:r>
        <w:rPr>
          <w:rFonts w:hint="eastAsia" w:ascii="宋体" w:hAnsi="宋体" w:eastAsia="宋体" w:cs="宋体"/>
          <w:bCs/>
          <w:color w:val="auto"/>
          <w:sz w:val="28"/>
          <w:szCs w:val="28"/>
        </w:rPr>
        <w:t>的这一要求而放弃响应，同意延长响应有效期的响应供应商既不能要求也不允许修改其响应文件。受响应有效期约束的所有权利与义务均延长至新的有效期。</w:t>
      </w:r>
    </w:p>
    <w:p>
      <w:pPr>
        <w:widowControl/>
        <w:adjustRightInd w:val="0"/>
        <w:snapToGrid w:val="0"/>
        <w:spacing w:line="50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四、响应文件的递交</w:t>
      </w:r>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1.响应文件的递交</w:t>
      </w:r>
    </w:p>
    <w:p>
      <w:pPr>
        <w:adjustRightInd w:val="0"/>
        <w:snapToGrid w:val="0"/>
        <w:spacing w:line="500" w:lineRule="exact"/>
        <w:ind w:firstLine="560" w:firstLineChars="200"/>
        <w:jc w:val="left"/>
        <w:rPr>
          <w:rFonts w:hint="eastAsia" w:ascii="宋体" w:hAnsi="宋体" w:eastAsia="宋体" w:cs="宋体"/>
          <w:b/>
          <w:bCs/>
          <w:i/>
          <w:iCs/>
          <w:color w:val="auto"/>
          <w:sz w:val="28"/>
          <w:szCs w:val="28"/>
        </w:rPr>
      </w:pPr>
      <w:r>
        <w:rPr>
          <w:rFonts w:hint="eastAsia" w:ascii="宋体" w:hAnsi="宋体" w:eastAsia="宋体" w:cs="宋体"/>
          <w:bCs/>
          <w:color w:val="auto"/>
          <w:sz w:val="28"/>
          <w:szCs w:val="28"/>
        </w:rPr>
        <w:t>1.1供应商应当按照江苏政府采购网—资料下载中《江苏省政府采购管理交易系统（苏采云）供应商操作手册》规定，在</w:t>
      </w:r>
      <w:r>
        <w:rPr>
          <w:rFonts w:hint="eastAsia" w:ascii="宋体" w:hAnsi="宋体" w:eastAsia="宋体" w:cs="宋体"/>
          <w:color w:val="auto"/>
          <w:sz w:val="28"/>
          <w:szCs w:val="28"/>
        </w:rPr>
        <w:t>响应文件提交</w:t>
      </w:r>
      <w:r>
        <w:rPr>
          <w:rFonts w:hint="eastAsia" w:ascii="宋体" w:hAnsi="宋体" w:eastAsia="宋体" w:cs="宋体"/>
          <w:bCs/>
          <w:color w:val="auto"/>
          <w:sz w:val="28"/>
          <w:szCs w:val="28"/>
        </w:rPr>
        <w:t>截止时间前制作并上传电子响应文件。</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1.2上传响应文件的内容不清楚或不清晰的（含扫描件），造成无法评审或部分影响评审的，导致评审差错的，责任由供应商自负。</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2.响应文件截止日期</w:t>
      </w:r>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2.1 供应商上传电子响应文件的时间不得迟于采购公告中规定的响应文件提交截止时间。供应商应充分考虑到网络环境、网络带宽等风险因素，如因供应商自身原因造成的电子响应文件上传不成功由供应商自行承担全部责任。</w:t>
      </w:r>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2.2 </w:t>
      </w:r>
      <w:r>
        <w:rPr>
          <w:rFonts w:hint="eastAsia" w:ascii="宋体" w:hAnsi="宋体" w:cs="宋体"/>
          <w:bCs/>
          <w:color w:val="auto"/>
          <w:sz w:val="28"/>
          <w:szCs w:val="28"/>
          <w:lang w:eastAsia="zh-CN"/>
        </w:rPr>
        <w:t>采购人</w:t>
      </w:r>
      <w:r>
        <w:rPr>
          <w:rFonts w:hint="eastAsia" w:ascii="宋体" w:hAnsi="宋体" w:eastAsia="宋体" w:cs="宋体"/>
          <w:bCs/>
          <w:color w:val="auto"/>
          <w:sz w:val="28"/>
          <w:szCs w:val="28"/>
        </w:rPr>
        <w:t>可以按照规定，通过修改采购文件酌情延长响应截止日期，在此情况下，供应商的所有权利和义务以及供应商受制的截止日期均应以延长后新的截止日期为准。</w:t>
      </w:r>
    </w:p>
    <w:p>
      <w:pPr>
        <w:adjustRightInd w:val="0"/>
        <w:snapToGrid w:val="0"/>
        <w:spacing w:line="500" w:lineRule="exact"/>
        <w:ind w:firstLine="560" w:firstLineChars="200"/>
        <w:rPr>
          <w:rFonts w:hint="eastAsia" w:ascii="宋体" w:hAnsi="宋体" w:eastAsia="宋体" w:cs="宋体"/>
          <w:bCs/>
          <w:color w:val="auto"/>
          <w:sz w:val="28"/>
          <w:szCs w:val="28"/>
        </w:rPr>
      </w:pPr>
      <w:bookmarkStart w:id="45" w:name="_Toc20823299"/>
      <w:bookmarkStart w:id="46" w:name="_Toc513029227"/>
      <w:bookmarkStart w:id="47" w:name="_Toc16938543"/>
      <w:r>
        <w:rPr>
          <w:rFonts w:hint="eastAsia" w:ascii="宋体" w:hAnsi="宋体" w:eastAsia="宋体" w:cs="宋体"/>
          <w:bCs/>
          <w:color w:val="auto"/>
          <w:sz w:val="28"/>
          <w:szCs w:val="28"/>
        </w:rPr>
        <w:t>3.响应文件</w:t>
      </w:r>
      <w:bookmarkEnd w:id="45"/>
      <w:bookmarkEnd w:id="46"/>
      <w:bookmarkEnd w:id="47"/>
      <w:r>
        <w:rPr>
          <w:rFonts w:hint="eastAsia" w:ascii="宋体" w:hAnsi="宋体" w:eastAsia="宋体" w:cs="宋体"/>
          <w:bCs/>
          <w:color w:val="auto"/>
          <w:sz w:val="28"/>
          <w:szCs w:val="28"/>
        </w:rPr>
        <w:t>的拒收</w:t>
      </w:r>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cs="宋体"/>
          <w:bCs/>
          <w:color w:val="auto"/>
          <w:sz w:val="28"/>
          <w:szCs w:val="28"/>
          <w:lang w:eastAsia="zh-CN"/>
        </w:rPr>
        <w:t>采购人</w:t>
      </w:r>
      <w:r>
        <w:rPr>
          <w:rFonts w:hint="eastAsia" w:ascii="宋体" w:hAnsi="宋体" w:eastAsia="宋体" w:cs="宋体"/>
          <w:bCs/>
          <w:color w:val="auto"/>
          <w:sz w:val="28"/>
          <w:szCs w:val="28"/>
        </w:rPr>
        <w:t>拒绝接收在其规定的响应截止时间后上传的任何响应文件。未在规定的响应截止时间内上传响应文件电子文档的，询价小组将视其放弃参与本项目采购活动。</w:t>
      </w:r>
      <w:bookmarkStart w:id="48" w:name="_Toc513029228"/>
      <w:bookmarkStart w:id="49" w:name="_Toc16938544"/>
      <w:bookmarkStart w:id="50" w:name="_Toc20823300"/>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4.响应文件的修改</w:t>
      </w:r>
      <w:bookmarkEnd w:id="48"/>
      <w:bookmarkEnd w:id="49"/>
      <w:bookmarkEnd w:id="50"/>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4.1 在响应文件提交截止时间之后，响应供应商不得对其响应文件作任何修改。</w:t>
      </w:r>
    </w:p>
    <w:p>
      <w:pPr>
        <w:adjustRightInd w:val="0"/>
        <w:snapToGrid w:val="0"/>
        <w:spacing w:line="5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4.2 在响应文件提交截止时间至采购文件中规定的响应有效期满之间的这段时间内，响应供应商不得撤回其响应。</w:t>
      </w:r>
    </w:p>
    <w:p>
      <w:pPr>
        <w:adjustRightInd w:val="0"/>
        <w:snapToGrid w:val="0"/>
        <w:spacing w:line="500" w:lineRule="exact"/>
        <w:jc w:val="left"/>
        <w:rPr>
          <w:rFonts w:hint="eastAsia" w:ascii="宋体" w:hAnsi="宋体" w:eastAsia="宋体" w:cs="宋体"/>
          <w:b/>
          <w:color w:val="auto"/>
          <w:sz w:val="28"/>
          <w:szCs w:val="28"/>
        </w:rPr>
      </w:pPr>
      <w:r>
        <w:rPr>
          <w:rFonts w:hint="eastAsia" w:ascii="宋体" w:hAnsi="宋体" w:eastAsia="宋体" w:cs="宋体"/>
          <w:b/>
          <w:color w:val="auto"/>
          <w:sz w:val="28"/>
          <w:szCs w:val="28"/>
        </w:rPr>
        <w:t>五、询价采购程序</w:t>
      </w:r>
    </w:p>
    <w:p>
      <w:pPr>
        <w:adjustRightInd w:val="0"/>
        <w:snapToGrid w:val="0"/>
        <w:spacing w:line="500" w:lineRule="exact"/>
        <w:ind w:firstLine="420"/>
        <w:rPr>
          <w:rFonts w:hint="eastAsia" w:ascii="宋体" w:hAnsi="宋体" w:eastAsia="宋体" w:cs="宋体"/>
          <w:color w:val="auto"/>
          <w:sz w:val="28"/>
          <w:szCs w:val="28"/>
        </w:rPr>
      </w:pPr>
      <w:r>
        <w:rPr>
          <w:rFonts w:hint="eastAsia" w:ascii="宋体" w:hAnsi="宋体" w:eastAsia="宋体" w:cs="宋体"/>
          <w:color w:val="auto"/>
          <w:sz w:val="28"/>
          <w:szCs w:val="28"/>
        </w:rPr>
        <w:t>1.询价小组</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1.1 开标后，</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将立即组织询价小组进行评标。</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1.2 询价小组由政府采购评审专家和采购人代表组成，且人员构成符合政府采购有关规定。</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1.3询价小组应当按照客观、公正、审慎的原则评审响应供应商的响应文件。</w:t>
      </w:r>
    </w:p>
    <w:p>
      <w:pPr>
        <w:adjustRightInd w:val="0"/>
        <w:snapToGrid w:val="0"/>
        <w:spacing w:line="500" w:lineRule="exact"/>
        <w:ind w:firstLine="420"/>
        <w:rPr>
          <w:rFonts w:hint="eastAsia" w:ascii="宋体" w:hAnsi="宋体" w:eastAsia="宋体" w:cs="宋体"/>
          <w:color w:val="auto"/>
          <w:sz w:val="28"/>
          <w:szCs w:val="28"/>
        </w:rPr>
      </w:pPr>
      <w:r>
        <w:rPr>
          <w:rFonts w:hint="eastAsia" w:ascii="宋体" w:hAnsi="宋体" w:eastAsia="宋体" w:cs="宋体"/>
          <w:color w:val="auto"/>
          <w:sz w:val="28"/>
          <w:szCs w:val="28"/>
        </w:rPr>
        <w:t>2.响应的澄清</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2.1评审期间，为有助于对响应文件的审查、评价和比较，询价小组有权要求供应商对其响应文件进行澄清，但并非对每个供应商都作澄清要求。</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2.2接到询价小组澄清要求的供应商应派人按询价小组规定的时间和格式作出澄清，澄清的内容作为响应文件的补充部分，但响应的价格和实质性的内容不得做任何更改。</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2.3 接到询价小组澄清要求的供应商如未按规定做出澄清，其风险由供应商自行承担。</w:t>
      </w:r>
    </w:p>
    <w:p>
      <w:pPr>
        <w:adjustRightInd w:val="0"/>
        <w:snapToGrid w:val="0"/>
        <w:spacing w:line="500" w:lineRule="exact"/>
        <w:ind w:firstLine="420"/>
        <w:rPr>
          <w:rFonts w:hint="eastAsia" w:ascii="宋体" w:hAnsi="宋体" w:eastAsia="宋体" w:cs="宋体"/>
          <w:color w:val="auto"/>
          <w:sz w:val="28"/>
          <w:szCs w:val="28"/>
        </w:rPr>
      </w:pPr>
      <w:r>
        <w:rPr>
          <w:rFonts w:hint="eastAsia" w:ascii="宋体" w:hAnsi="宋体" w:eastAsia="宋体" w:cs="宋体"/>
          <w:color w:val="auto"/>
          <w:sz w:val="28"/>
          <w:szCs w:val="28"/>
        </w:rPr>
        <w:t>3.对响应文件的初审</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3.1响应文件初审分为资格性检查和符合性检查。</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（1）资格性检查：依据法律法规和采购文件的规定，对响应文件中的资格证明文件等进行审查，以确定供应商是否具备参加询价的资格。</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将以网页打印的形式留存并归档。</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资格性审查未通过的响应供应商作无效响应处理。</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（3）未通过资格性审查或符合性审查的响应供应商，</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将告知其未通过资格性审查或符合性审查的原因</w:t>
      </w:r>
      <w:r>
        <w:rPr>
          <w:rFonts w:hint="eastAsia" w:ascii="宋体" w:hAnsi="宋体" w:eastAsia="宋体" w:cs="宋体"/>
          <w:bCs/>
          <w:color w:val="auto"/>
          <w:sz w:val="28"/>
          <w:szCs w:val="28"/>
        </w:rPr>
        <w:t>，评审结束后，</w:t>
      </w:r>
      <w:r>
        <w:rPr>
          <w:rFonts w:hint="eastAsia" w:ascii="宋体" w:hAnsi="宋体" w:cs="宋体"/>
          <w:bCs/>
          <w:color w:val="auto"/>
          <w:sz w:val="28"/>
          <w:szCs w:val="28"/>
          <w:lang w:eastAsia="zh-CN"/>
        </w:rPr>
        <w:t>采购人</w:t>
      </w:r>
      <w:r>
        <w:rPr>
          <w:rFonts w:hint="eastAsia" w:ascii="宋体" w:hAnsi="宋体" w:eastAsia="宋体" w:cs="宋体"/>
          <w:bCs/>
          <w:color w:val="auto"/>
          <w:sz w:val="28"/>
          <w:szCs w:val="28"/>
        </w:rPr>
        <w:t>将不再告知未通过资格审查或符合性审查的原因。</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3.2</w:t>
      </w:r>
      <w:r>
        <w:rPr>
          <w:rFonts w:hint="eastAsia" w:ascii="宋体" w:hAnsi="宋体" w:eastAsia="宋体" w:cs="宋体"/>
          <w:bCs/>
          <w:color w:val="auto"/>
          <w:sz w:val="28"/>
          <w:szCs w:val="28"/>
        </w:rPr>
        <w:t>询价小组将对确定为实质性响应的响应进行进一步审核，看其是否有计算</w:t>
      </w:r>
      <w:r>
        <w:rPr>
          <w:rFonts w:hint="eastAsia" w:ascii="宋体" w:hAnsi="宋体" w:eastAsia="宋体" w:cs="宋体"/>
          <w:color w:val="auto"/>
          <w:sz w:val="28"/>
          <w:szCs w:val="28"/>
        </w:rPr>
        <w:t>上或累加上的算术错误，修正错误的原则如下：</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（1）响应文件中询价报价表内容与响应文件中相应内容不一致的，以询价报价表为准。</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（2）大写金额和小写金额不一致的，以大写金额为准。</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（3）总价金额与按单价汇总金额不一致的，以单价金额计算结果为准。</w:t>
      </w:r>
    </w:p>
    <w:p>
      <w:pPr>
        <w:adjustRightInd w:val="0"/>
        <w:snapToGrid w:val="0"/>
        <w:spacing w:line="500" w:lineRule="exact"/>
        <w:ind w:firstLine="420"/>
        <w:jc w:val="left"/>
        <w:rPr>
          <w:rFonts w:hint="eastAsia" w:ascii="宋体" w:hAnsi="宋体" w:eastAsia="宋体" w:cs="宋体"/>
          <w:color w:val="auto"/>
          <w:sz w:val="28"/>
          <w:szCs w:val="28"/>
        </w:rPr>
      </w:pPr>
      <w:r>
        <w:rPr>
          <w:rFonts w:hint="eastAsia" w:ascii="宋体" w:hAnsi="宋体" w:eastAsia="宋体" w:cs="宋体"/>
          <w:color w:val="auto"/>
          <w:sz w:val="28"/>
          <w:szCs w:val="28"/>
        </w:rPr>
        <w:t>同时出现两种以上错误的，按照前款规定的顺序修正。</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3.3询价小组将按上述修正错误的方法调整响应文件中的响应报价，并告知响应供应商，调整后的价格应对响应供应商具有约束力。如果响应供应商不接受修正后的价格，则其响应将被拒绝。</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3.5询价小组允许修正响应文件中不构成重大偏离的、微小的、非正规的、不一致的或不规则的地方，但这些修改不能影响任何响应供应商相应的名次排列。</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非单一产品采购项目，采购文件中将载明其中的核心产品。多家响应供应商提供的核心产品为同一品牌同一型号的，按前款规定处理。</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3.7响应供应商在询价采购活动全过程中应保持通讯畅通，并安排专人与</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及询价小组联系。</w:t>
      </w:r>
    </w:p>
    <w:p>
      <w:pPr>
        <w:adjustRightInd w:val="0"/>
        <w:snapToGrid w:val="0"/>
        <w:spacing w:line="500" w:lineRule="exact"/>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4.无效响应及废标情形</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4.1符合下列情形之一者，响应供应商响应无效：</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（1）响应供应商未按本采购文件要求上传响应文件电子文档的，或上传的文件打不开的；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（2）同一响应供应商提交两个（含两个）以上不同的响应报价的；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（3）响应供应商不具备采购文件中规定资格要求的；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（4）响应供应商的报价超过了采购预算或最高限价的；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（5）未通过资格性、符合性审查的；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（6）不符合询价采购文件中规定的其他实质性要求和条件的；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w:t>
      </w:r>
      <w:r>
        <w:rPr>
          <w:rFonts w:hint="eastAsia" w:ascii="宋体" w:hAnsi="宋体" w:eastAsia="宋体" w:cs="宋体"/>
          <w:bCs/>
          <w:color w:val="auto"/>
          <w:sz w:val="28"/>
          <w:szCs w:val="28"/>
        </w:rPr>
        <w:t>响应文件含有采购人不能接受的附加条件的；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w:t>
      </w:r>
      <w:r>
        <w:rPr>
          <w:rFonts w:hint="eastAsia" w:ascii="宋体" w:hAnsi="宋体" w:eastAsia="宋体" w:cs="宋体"/>
          <w:bCs/>
          <w:color w:val="auto"/>
          <w:sz w:val="28"/>
          <w:szCs w:val="28"/>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color w:val="auto"/>
          <w:sz w:val="28"/>
          <w:szCs w:val="28"/>
        </w:rPr>
        <w:t>；</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（10）</w:t>
      </w:r>
      <w:r>
        <w:rPr>
          <w:rFonts w:hint="eastAsia" w:ascii="宋体" w:hAnsi="宋体" w:eastAsia="宋体" w:cs="宋体"/>
          <w:bCs/>
          <w:color w:val="auto"/>
          <w:sz w:val="28"/>
          <w:szCs w:val="28"/>
        </w:rPr>
        <w:t>响应文件未按照采购文件要求加盖电子签章</w:t>
      </w:r>
      <w:r>
        <w:rPr>
          <w:rFonts w:hint="eastAsia" w:ascii="宋体" w:hAnsi="宋体" w:eastAsia="宋体" w:cs="宋体"/>
          <w:color w:val="auto"/>
          <w:sz w:val="28"/>
          <w:szCs w:val="28"/>
        </w:rPr>
        <w:t>；</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（11）不同供应商的响应文件经系统查询Mac地址、标书制作工具客户端标识码一致的。（符合本条款不同的供应商不得参加本项目的后续采购事项，并移送政府采购监管部门进行处理。）</w:t>
      </w:r>
    </w:p>
    <w:p>
      <w:pPr>
        <w:pStyle w:val="2"/>
        <w:rPr>
          <w:rFonts w:hint="eastAsia"/>
        </w:rPr>
      </w:pP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w:t>
      </w:r>
      <w:r>
        <w:rPr>
          <w:rFonts w:hint="eastAsia" w:ascii="宋体" w:hAnsi="宋体" w:eastAsia="宋体" w:cs="宋体"/>
          <w:bCs/>
          <w:color w:val="auto"/>
          <w:sz w:val="28"/>
          <w:szCs w:val="28"/>
        </w:rPr>
        <w:t>其他法律、法规及本采购文件规定的属无效响应的情形</w:t>
      </w:r>
      <w:r>
        <w:rPr>
          <w:rFonts w:hint="eastAsia" w:ascii="宋体" w:hAnsi="宋体" w:eastAsia="宋体" w:cs="宋体"/>
          <w:color w:val="auto"/>
          <w:sz w:val="28"/>
          <w:szCs w:val="28"/>
        </w:rPr>
        <w:t>。</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4.2符合下列情形之一者，本采购项目废标：</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bCs/>
          <w:color w:val="auto"/>
          <w:sz w:val="28"/>
          <w:szCs w:val="28"/>
        </w:rPr>
        <w:t>符合专业条件的供应商或者对采购文件作实质响应的供应商不足三家的</w:t>
      </w:r>
      <w:r>
        <w:rPr>
          <w:rFonts w:hint="eastAsia" w:ascii="宋体" w:hAnsi="宋体" w:eastAsia="宋体" w:cs="宋体"/>
          <w:color w:val="auto"/>
          <w:sz w:val="28"/>
          <w:szCs w:val="28"/>
        </w:rPr>
        <w:t>；</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（2）所有合格响应供应商的报价均超过本项目预算金额或最高限价的；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（3）出现影响采购公正的违法、违规行为的；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（4）因重大变故，采购任务取消的；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废标后，对于特殊紧急的采购项目，经监管部门批准后采购人可直接改变采购方式，现场继续组织采购活动。</w:t>
      </w:r>
    </w:p>
    <w:p>
      <w:pPr>
        <w:adjustRightInd w:val="0"/>
        <w:snapToGrid w:val="0"/>
        <w:spacing w:line="500" w:lineRule="exact"/>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七、成交原则</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1.确定成交单位</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1.1询价小组将从质量和服务均能满足采购文件实质性响应要求的供应商中，按照报价由低到高顺序推荐3名成交候选供应商，并编写评审报告。采购人从评审报告提出的成交候选供应商中，根据质量和服务均能满足采购文件实质性响应要求且报价最低的原则确定成交供应商或授权询价小组直接确定成交供应商。</w:t>
      </w:r>
    </w:p>
    <w:p>
      <w:pPr>
        <w:adjustRightInd w:val="0"/>
        <w:snapToGrid w:val="0"/>
        <w:spacing w:line="500" w:lineRule="exact"/>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1.2 对小微型企业、监狱企业和残疾人福利单位的价格扣除</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（1）小微型企业价格扣除</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本项目对小型和微型企业产品给予10%的扣除价格，用扣除后的价格参与评审。</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②供应商需按照采购文件的要求提供相应的《中小企业声明函》。</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③企业标准请参照《关于印发中小企业划型标准规定的通知》（工信部联企业[2011]300号）文件规定自行填写。</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（2）残疾人福利单位价格扣除</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本项目对残疾人福利性单位视同小型、微型企业，给予10%的价格扣除，用扣除后的价格参与评审。</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②残疾人福利单位需按照采购文件的要求提供《残疾人福利性单位声明函》。</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③残疾人福利单位标准请参照《关于促进残疾人就业政府采购政策的通知》（财库〔2017〕141号）。</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（3）监狱和戒毒企业价格扣除</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本项目对监狱和戒毒企业（简称监狱企业）视同小型、微型企业，给予10%的价格扣除，用扣除后的价格参与评审。</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②监狱企业参加政府采购活动时，需提供由省级以上监狱管理局、戒毒管理局(含新疆生产建设兵团)出具的属于监狱企业的证明文件。供应商如不提供上述证明文件，价格将不做相应扣除。</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③监狱企业标准请参照《关于政府采购支持监狱企业发展有关问题的通知》（财库[2014]68号）。</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（4）残疾人福利单位、监狱企业属于小型、微型企业的，不重复享受政策。</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（6）联合体各方均为小型、微型企业（残疾人福利单位、监狱企业）的，联合体享受10%价格扣除，用扣除后的价格参与评审。</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（7）专门面向中小企业采购的项目或者采购包，不再执行价格评审优惠的扶持政策。</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1.3如出现供应商最低报价相同的情况，则优先采购“环境标志产品”或“节能产品”。</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（1）如出现最低报价相同，且响应产品均属于“环境标志产品”和“节能产品”，则将优先采购交货期短者。</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（2）如出现最低报价相同，且响应产品不能同时满足“环境标志产品”和“节能产品”（只能满足其中一项），则将优先采购交货期短者。</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1.4如出现供应商最低报价相同的情况，且响应产品均不是“环境标志产品”或“节能产品”，则将优先采购交货期短者。</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对于同时列入环境标志产品政府采购品目清单和节能产品政府采购品目清单的产品，则其优先于只列入其中一个品目清单的产品。</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环境标志产品是指列入财政部、生态环境部最新公布的《环境标志产品政府采购品目清单》内的产品。</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节能产品是指列入财政部、国家发展和改革委员会最新公布的《节能产品政府采购品目清单》内的产品。</w:t>
      </w:r>
    </w:p>
    <w:p>
      <w:pPr>
        <w:adjustRightInd w:val="0"/>
        <w:snapToGrid w:val="0"/>
        <w:spacing w:line="500" w:lineRule="exact"/>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注意：响应主要产品如为节能及环境标志产品的，响应供应商必须提供有关证明材料。</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1.5成交结果公告</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eastAsia="zh-CN"/>
        </w:rPr>
        <w:t>采购人</w:t>
      </w:r>
      <w:r>
        <w:rPr>
          <w:rFonts w:hint="eastAsia" w:ascii="宋体" w:hAnsi="宋体" w:eastAsia="宋体" w:cs="宋体"/>
          <w:color w:val="auto"/>
          <w:sz w:val="28"/>
          <w:szCs w:val="28"/>
        </w:rPr>
        <w:t>将在江苏政府采购网发布成交公告，公告期限为1个工作日。</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1.6 若有充分证据证明，成交供应商出现下列情况之一的，一经查实，将被取消成交资格：</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（1）提供虚假材料谋取成交的；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（2）向采购人行贿或者提供其他不正当利益的；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（3）恶意竞争，响应总报价明显低于其自身合理成本且又无法提供证明的；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（4）属于本文件规定的无效条件，但在评审过程中又未被询价小组发现的；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（5）与采购人或者其他供应商恶意串通的；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（6）采取不正当手段诋毁、排挤其他供应商的；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（7）如有涉及对采购文件实质性内容的隐瞒、欺诈或违法违规行为的。</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1.7有下列情形之一的，视为响应供应商串通响应，响应无效：</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（1）不同响应供应商的响应文件由同一单位或者个人编制；</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（2）不同响应供应商委托同一单位或者个人办理响应事宜；</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（3）不同响应供应商的响应文件载明的项目管理成员或者联系人员为同一人；</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（4）不同响应供应商的响应文件异常一致或者响应报价呈规律性差异；</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（5）不同响应供应商的响应文件相互混装。</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2.质疑处理</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2.1 提出质疑的供应商应当是参与所质疑项目采购活动的供应商。潜在供应商依法获取其可质疑的采购文件的，可以对采购文件提出质疑。</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pPr>
        <w:adjustRightInd w:val="0"/>
        <w:snapToGrid w:val="0"/>
        <w:spacing w:line="5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（1）</w:t>
      </w:r>
      <w:r>
        <w:rPr>
          <w:rFonts w:hint="eastAsia" w:ascii="宋体" w:hAnsi="宋体" w:eastAsia="宋体" w:cs="宋体"/>
          <w:color w:val="auto"/>
          <w:kern w:val="0"/>
          <w:sz w:val="28"/>
          <w:szCs w:val="28"/>
        </w:rPr>
        <w:t>对可以质疑的采购文件提出质疑的，为收到采购文件之日或者采购文件公告期限届满之日；</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w:t>
      </w:r>
      <w:r>
        <w:rPr>
          <w:rFonts w:hint="eastAsia" w:ascii="宋体" w:hAnsi="宋体" w:eastAsia="宋体" w:cs="宋体"/>
          <w:color w:val="auto"/>
          <w:sz w:val="28"/>
          <w:szCs w:val="28"/>
        </w:rPr>
        <w:t>（2）</w:t>
      </w:r>
      <w:r>
        <w:rPr>
          <w:rFonts w:hint="eastAsia" w:ascii="宋体" w:hAnsi="宋体" w:eastAsia="宋体" w:cs="宋体"/>
          <w:color w:val="auto"/>
          <w:kern w:val="0"/>
          <w:sz w:val="28"/>
          <w:szCs w:val="28"/>
        </w:rPr>
        <w:t>对采购过程提出质疑的，为各采购程序环节结束之日；</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w:t>
      </w:r>
      <w:r>
        <w:rPr>
          <w:rFonts w:hint="eastAsia" w:ascii="宋体" w:hAnsi="宋体" w:eastAsia="宋体" w:cs="宋体"/>
          <w:color w:val="auto"/>
          <w:sz w:val="28"/>
          <w:szCs w:val="28"/>
        </w:rPr>
        <w:t>（3）</w:t>
      </w:r>
      <w:r>
        <w:rPr>
          <w:rFonts w:hint="eastAsia" w:ascii="宋体" w:hAnsi="宋体" w:eastAsia="宋体" w:cs="宋体"/>
          <w:color w:val="auto"/>
          <w:kern w:val="0"/>
          <w:sz w:val="28"/>
          <w:szCs w:val="28"/>
        </w:rPr>
        <w:t>对中标或者成交结果提出质疑的，为中标或者成交结果公告期限届满之日。</w:t>
      </w:r>
    </w:p>
    <w:p>
      <w:pPr>
        <w:adjustRightInd w:val="0"/>
        <w:snapToGrid w:val="0"/>
        <w:spacing w:line="5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供应商应当在法定质疑期内一次性提出针对同一采购程序环节的质疑。</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2.3质疑函必须按照本采购文件中《质疑函范本》（附件13）要求的格式和内容进行填写。供应商如组成联合体参加响应，则《质疑函范本》中要求签字、盖章、加盖公章之处，联合体各方均须按要求签字、盖章、加盖公章。</w:t>
      </w:r>
    </w:p>
    <w:p>
      <w:pPr>
        <w:adjustRightInd w:val="0"/>
        <w:snapToGrid w:val="0"/>
        <w:spacing w:line="500" w:lineRule="exact"/>
        <w:ind w:firstLine="560" w:firstLineChars="200"/>
        <w:jc w:val="left"/>
        <w:rPr>
          <w:rFonts w:hint="eastAsia" w:ascii="宋体" w:hAnsi="宋体" w:eastAsia="宋体" w:cs="宋体"/>
          <w:b/>
          <w:color w:val="auto"/>
          <w:sz w:val="28"/>
          <w:szCs w:val="28"/>
        </w:rPr>
      </w:pPr>
      <w:r>
        <w:rPr>
          <w:rFonts w:hint="eastAsia" w:ascii="宋体" w:hAnsi="宋体" w:eastAsia="宋体" w:cs="宋体"/>
          <w:color w:val="auto"/>
          <w:sz w:val="28"/>
          <w:szCs w:val="28"/>
        </w:rPr>
        <w:t>2.4对采购方式、采购文件中项目需求、供应商资格条件等应当由采购人答复的质疑，请向采购人提出，由采购人负责答复。</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采购人质疑接收人及联系方式，见采购文件第一部分。</w:t>
      </w:r>
    </w:p>
    <w:p>
      <w:pPr>
        <w:adjustRightInd w:val="0"/>
        <w:snapToGrid w:val="0"/>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2.5 以下情形的质疑不予受理</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pacing w:val="-6"/>
          <w:sz w:val="28"/>
          <w:szCs w:val="28"/>
        </w:rPr>
        <w:t>内容不符合《政府采购质疑和投诉办法》第十二条规定的质疑。</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（2）超出政府采购法定期限的质疑。</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（3）未参加响应活动的供应商或在响应活动中自身权益未受到损害的供应商所提出的质疑。</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（4）供应商组成联合体参加响应，联合体中任何一方或多方未按要求签字、盖章、加盖公章的质疑。</w:t>
      </w:r>
    </w:p>
    <w:p>
      <w:pPr>
        <w:adjustRightInd w:val="0"/>
        <w:snapToGrid w:val="0"/>
        <w:spacing w:line="500" w:lineRule="exact"/>
        <w:ind w:firstLine="546" w:firstLineChars="195"/>
        <w:rPr>
          <w:rFonts w:hint="eastAsia" w:ascii="宋体" w:hAnsi="宋体" w:eastAsia="宋体" w:cs="宋体"/>
          <w:color w:val="auto"/>
          <w:sz w:val="28"/>
          <w:szCs w:val="28"/>
        </w:rPr>
      </w:pPr>
      <w:r>
        <w:rPr>
          <w:rFonts w:hint="eastAsia" w:ascii="宋体" w:hAnsi="宋体" w:eastAsia="宋体" w:cs="宋体"/>
          <w:color w:val="auto"/>
          <w:sz w:val="28"/>
          <w:szCs w:val="28"/>
        </w:rPr>
        <w:t>2.6 供应商提出书面质疑必须有理、有据，不得捏造事实、提供虚假材料进行恶意质疑。否则，一经查实，</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有权依据政府采购的有关规定，报请政府采购监管部门对该供应商进行相应的行政处罚和记录该供应商的失信信息。</w:t>
      </w:r>
    </w:p>
    <w:p>
      <w:pPr>
        <w:numPr>
          <w:ilvl w:val="0"/>
          <w:numId w:val="1"/>
        </w:numPr>
        <w:adjustRightInd w:val="0"/>
        <w:snapToGrid w:val="0"/>
        <w:spacing w:line="500" w:lineRule="exact"/>
        <w:ind w:firstLine="489"/>
        <w:rPr>
          <w:rFonts w:hint="eastAsia" w:ascii="宋体" w:hAnsi="宋体" w:eastAsia="宋体" w:cs="宋体"/>
          <w:color w:val="auto"/>
          <w:sz w:val="28"/>
          <w:szCs w:val="28"/>
        </w:rPr>
      </w:pPr>
      <w:r>
        <w:rPr>
          <w:rFonts w:hint="eastAsia" w:ascii="宋体" w:hAnsi="宋体" w:eastAsia="宋体" w:cs="宋体"/>
          <w:color w:val="auto"/>
          <w:sz w:val="28"/>
          <w:szCs w:val="28"/>
        </w:rPr>
        <w:t>成交通知书</w:t>
      </w:r>
    </w:p>
    <w:p>
      <w:pPr>
        <w:adjustRightInd w:val="0"/>
        <w:snapToGrid w:val="0"/>
        <w:spacing w:line="500" w:lineRule="exact"/>
        <w:ind w:firstLine="546" w:firstLineChars="195"/>
        <w:rPr>
          <w:rFonts w:hint="eastAsia" w:ascii="宋体" w:hAnsi="宋体" w:eastAsia="宋体" w:cs="宋体"/>
          <w:color w:val="auto"/>
          <w:sz w:val="28"/>
          <w:szCs w:val="28"/>
        </w:rPr>
      </w:pPr>
      <w:r>
        <w:rPr>
          <w:rFonts w:hint="eastAsia" w:ascii="宋体" w:hAnsi="宋体" w:eastAsia="宋体" w:cs="宋体"/>
          <w:color w:val="auto"/>
          <w:sz w:val="28"/>
          <w:szCs w:val="28"/>
        </w:rPr>
        <w:t>公告成交结果的同时，</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向成交供应商发放成交通知书。成交通知书发出后，采购人不得违法改变成交结果，成交供应商无正当理由不得放弃成交。</w:t>
      </w:r>
    </w:p>
    <w:p>
      <w:pPr>
        <w:adjustRightInd w:val="0"/>
        <w:snapToGrid w:val="0"/>
        <w:spacing w:line="500" w:lineRule="exact"/>
        <w:ind w:firstLine="546" w:firstLineChars="195"/>
        <w:rPr>
          <w:rFonts w:hint="eastAsia" w:ascii="宋体" w:hAnsi="宋体" w:eastAsia="宋体" w:cs="宋体"/>
          <w:b/>
          <w:bCs/>
          <w:color w:val="auto"/>
          <w:sz w:val="28"/>
          <w:szCs w:val="28"/>
        </w:rPr>
      </w:pPr>
      <w:r>
        <w:rPr>
          <w:rFonts w:hint="eastAsia" w:ascii="宋体" w:hAnsi="宋体" w:eastAsia="宋体" w:cs="宋体"/>
          <w:b/>
          <w:bCs/>
          <w:color w:val="auto"/>
          <w:sz w:val="28"/>
          <w:szCs w:val="28"/>
        </w:rPr>
        <w:t>成交供应商须提供</w:t>
      </w:r>
      <w:r>
        <w:rPr>
          <w:rFonts w:hint="eastAsia" w:ascii="宋体" w:hAnsi="宋体" w:eastAsia="宋体" w:cs="宋体"/>
          <w:b/>
          <w:bCs/>
          <w:color w:val="auto"/>
          <w:sz w:val="28"/>
          <w:szCs w:val="28"/>
          <w:lang w:eastAsia="zh-CN"/>
        </w:rPr>
        <w:t>三份</w:t>
      </w:r>
      <w:r>
        <w:rPr>
          <w:rFonts w:hint="eastAsia" w:ascii="宋体" w:hAnsi="宋体" w:eastAsia="宋体" w:cs="宋体"/>
          <w:b/>
          <w:bCs/>
          <w:color w:val="auto"/>
          <w:sz w:val="28"/>
          <w:szCs w:val="28"/>
        </w:rPr>
        <w:t>纸质版响应文件正本至采购人处，否则不予签订合同。</w:t>
      </w:r>
    </w:p>
    <w:p>
      <w:pPr>
        <w:adjustRightInd w:val="0"/>
        <w:snapToGrid w:val="0"/>
        <w:spacing w:line="500" w:lineRule="exact"/>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八、授予合同</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1.签订合同</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1.1成交供应商应当在成交通知书发出之日起三十日内，按照采购文件确定的事项与采购人签订政府采购合同。</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1.2采购文件、成交供应商的响应文件及采购过程中有关澄清、承诺文件均应作为合同附件。</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2.货物和服务的追加、减少和添购</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3.合同信用融资扶持政策</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3.1根据《关于转发江苏省财政厅、中国人民银行南京分行&lt;关于深入推进政府采购线上合同信用融资工作的通知&gt;的通知》（通财购〔2021〕41号），对政府采购中标（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成交）供应商如需获得合同信用融资支持，可凭政府采购合同办理“政采贷”融资贷款，详情请见江苏政府采购网“政采贷”专栏。</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九、其他说明</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1.法定代表人为同一个人的两个及两个以上法人，母公司、全资子公司及其控股公司，只能有一家单位参加本项目的响应。</w:t>
      </w:r>
    </w:p>
    <w:p>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和询价小组不向未成交的响应供应商解释未成交原因，也不公布评审过程中的相关细节。</w:t>
      </w:r>
    </w:p>
    <w:p>
      <w:pPr>
        <w:adjustRightInd w:val="0"/>
        <w:snapToGrid w:val="0"/>
        <w:spacing w:line="500" w:lineRule="exact"/>
        <w:rPr>
          <w:rFonts w:hint="eastAsia" w:ascii="宋体" w:hAnsi="宋体" w:eastAsia="宋体" w:cs="宋体"/>
          <w:bCs/>
          <w:color w:val="auto"/>
          <w:sz w:val="36"/>
          <w:szCs w:val="36"/>
        </w:rPr>
      </w:pPr>
      <w:bookmarkStart w:id="51" w:name="_Toc32735"/>
      <w:r>
        <w:rPr>
          <w:rFonts w:hint="eastAsia" w:ascii="宋体" w:hAnsi="宋体" w:eastAsia="宋体" w:cs="宋体"/>
          <w:bCs/>
          <w:color w:val="auto"/>
          <w:sz w:val="36"/>
          <w:szCs w:val="36"/>
        </w:rPr>
        <w:br w:type="page"/>
      </w:r>
    </w:p>
    <w:p>
      <w:pPr>
        <w:pStyle w:val="3"/>
        <w:widowControl/>
        <w:adjustRightInd w:val="0"/>
        <w:snapToGrid w:val="0"/>
        <w:spacing w:before="0" w:after="0" w:line="500" w:lineRule="exact"/>
        <w:jc w:val="center"/>
        <w:rPr>
          <w:rFonts w:hint="eastAsia" w:ascii="宋体" w:hAnsi="宋体" w:eastAsia="宋体" w:cs="宋体"/>
          <w:b w:val="0"/>
          <w:color w:val="auto"/>
          <w:sz w:val="36"/>
          <w:szCs w:val="36"/>
        </w:rPr>
      </w:pPr>
      <w:r>
        <w:rPr>
          <w:rFonts w:hint="eastAsia" w:ascii="宋体" w:hAnsi="宋体" w:eastAsia="宋体" w:cs="宋体"/>
          <w:b w:val="0"/>
          <w:color w:val="auto"/>
          <w:sz w:val="36"/>
          <w:szCs w:val="36"/>
        </w:rPr>
        <w:t>第三部分  项目需求</w:t>
      </w:r>
    </w:p>
    <w:p>
      <w:pPr>
        <w:adjustRightInd w:val="0"/>
        <w:snapToGrid w:val="0"/>
        <w:spacing w:line="500" w:lineRule="exact"/>
        <w:ind w:firstLine="560" w:firstLineChars="200"/>
        <w:rPr>
          <w:rFonts w:hint="eastAsia" w:ascii="宋体" w:hAnsi="宋体" w:eastAsia="宋体" w:cs="宋体"/>
          <w:b/>
          <w:bCs/>
          <w:color w:val="auto"/>
          <w:sz w:val="28"/>
          <w:szCs w:val="28"/>
        </w:rPr>
      </w:pPr>
      <w:bookmarkStart w:id="52" w:name="_Toc82505662"/>
      <w:r>
        <w:rPr>
          <w:rFonts w:hint="eastAsia" w:ascii="宋体" w:hAnsi="宋体" w:eastAsia="宋体" w:cs="宋体"/>
          <w:b/>
          <w:bCs/>
          <w:color w:val="auto"/>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adjustRightInd w:val="0"/>
        <w:snapToGrid w:val="0"/>
        <w:spacing w:line="500" w:lineRule="exact"/>
        <w:ind w:firstLine="560"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pPr>
        <w:adjustRightInd w:val="0"/>
        <w:snapToGrid w:val="0"/>
        <w:spacing w:line="500" w:lineRule="exact"/>
        <w:ind w:firstLine="560" w:firstLineChars="200"/>
        <w:rPr>
          <w:rFonts w:hint="eastAsia" w:ascii="宋体" w:hAnsi="宋体" w:eastAsia="宋体" w:cs="宋体"/>
          <w:b/>
          <w:color w:val="auto"/>
          <w:sz w:val="28"/>
          <w:szCs w:val="28"/>
        </w:rPr>
      </w:pPr>
      <w:r>
        <w:rPr>
          <w:rFonts w:hint="eastAsia" w:ascii="宋体" w:hAnsi="宋体" w:eastAsia="宋体" w:cs="宋体"/>
          <w:b/>
          <w:bCs/>
          <w:color w:val="auto"/>
          <w:sz w:val="28"/>
          <w:szCs w:val="28"/>
        </w:rPr>
        <w:t>其内容包含：</w:t>
      </w:r>
    </w:p>
    <w:p>
      <w:pPr>
        <w:numPr>
          <w:ilvl w:val="0"/>
          <w:numId w:val="2"/>
        </w:numPr>
        <w:adjustRightInd w:val="0"/>
        <w:snapToGrid w:val="0"/>
        <w:spacing w:line="500" w:lineRule="exact"/>
        <w:ind w:firstLine="560" w:firstLineChars="200"/>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采购内容及需求：</w:t>
      </w:r>
    </w:p>
    <w:tbl>
      <w:tblPr>
        <w:tblStyle w:val="15"/>
        <w:tblW w:w="9500"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99"/>
        <w:gridCol w:w="5643"/>
        <w:gridCol w:w="684"/>
        <w:gridCol w:w="732"/>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0" w:type="dxa"/>
            <w:gridSpan w:val="6"/>
            <w:shd w:val="clear" w:color="auto" w:fill="D7D7D7" w:themeFill="background1" w:themeFillShade="D8"/>
            <w:noWrap/>
            <w:vAlign w:val="center"/>
          </w:tcPr>
          <w:p>
            <w:pPr>
              <w:jc w:val="center"/>
              <w:rPr>
                <w:rFonts w:ascii="宋体" w:hAnsi="宋体" w:cs="宋体"/>
                <w:b/>
                <w:bCs/>
                <w:color w:val="auto"/>
                <w:kern w:val="0"/>
              </w:rPr>
            </w:pPr>
            <w:r>
              <w:rPr>
                <w:rFonts w:hint="eastAsia" w:ascii="宋体" w:hAnsi="宋体" w:cs="宋体"/>
                <w:b/>
                <w:bCs/>
                <w:color w:val="auto"/>
                <w:kern w:val="0"/>
              </w:rPr>
              <w:t>一、高空监控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45" w:type="dxa"/>
            <w:noWrap/>
            <w:vAlign w:val="center"/>
          </w:tcPr>
          <w:p>
            <w:pPr>
              <w:jc w:val="center"/>
              <w:rPr>
                <w:rFonts w:ascii="宋体" w:hAnsi="宋体" w:cs="宋体"/>
                <w:b/>
                <w:bCs/>
                <w:color w:val="auto"/>
                <w:kern w:val="0"/>
              </w:rPr>
            </w:pPr>
            <w:r>
              <w:rPr>
                <w:rFonts w:hint="eastAsia" w:ascii="宋体" w:hAnsi="宋体" w:cs="宋体"/>
                <w:b/>
                <w:bCs/>
                <w:color w:val="auto"/>
                <w:kern w:val="0"/>
              </w:rPr>
              <w:t>序号</w:t>
            </w:r>
          </w:p>
        </w:tc>
        <w:tc>
          <w:tcPr>
            <w:tcW w:w="999" w:type="dxa"/>
            <w:noWrap/>
            <w:vAlign w:val="center"/>
          </w:tcPr>
          <w:p>
            <w:pPr>
              <w:jc w:val="center"/>
              <w:rPr>
                <w:rFonts w:ascii="宋体" w:hAnsi="宋体" w:cs="宋体"/>
                <w:b/>
                <w:bCs/>
                <w:color w:val="auto"/>
                <w:kern w:val="0"/>
              </w:rPr>
            </w:pPr>
            <w:r>
              <w:rPr>
                <w:rFonts w:hint="eastAsia" w:ascii="宋体" w:hAnsi="宋体" w:cs="宋体"/>
                <w:b/>
                <w:bCs/>
                <w:color w:val="auto"/>
                <w:kern w:val="0"/>
              </w:rPr>
              <w:t>货物名称</w:t>
            </w:r>
          </w:p>
        </w:tc>
        <w:tc>
          <w:tcPr>
            <w:tcW w:w="5643" w:type="dxa"/>
            <w:noWrap/>
            <w:vAlign w:val="center"/>
          </w:tcPr>
          <w:p>
            <w:pPr>
              <w:jc w:val="center"/>
              <w:rPr>
                <w:rFonts w:ascii="宋体" w:hAnsi="宋体" w:cs="宋体"/>
                <w:b/>
                <w:bCs/>
                <w:color w:val="auto"/>
                <w:kern w:val="0"/>
              </w:rPr>
            </w:pPr>
            <w:r>
              <w:rPr>
                <w:rFonts w:hint="eastAsia" w:ascii="宋体" w:hAnsi="宋体" w:cs="宋体"/>
                <w:b/>
                <w:bCs/>
                <w:color w:val="auto"/>
                <w:kern w:val="0"/>
              </w:rPr>
              <w:t>参数</w:t>
            </w:r>
          </w:p>
        </w:tc>
        <w:tc>
          <w:tcPr>
            <w:tcW w:w="684" w:type="dxa"/>
            <w:noWrap/>
            <w:vAlign w:val="center"/>
          </w:tcPr>
          <w:p>
            <w:pPr>
              <w:jc w:val="center"/>
              <w:rPr>
                <w:rFonts w:ascii="宋体" w:hAnsi="宋体" w:cs="宋体"/>
                <w:b/>
                <w:bCs/>
                <w:color w:val="auto"/>
                <w:kern w:val="0"/>
              </w:rPr>
            </w:pPr>
            <w:r>
              <w:rPr>
                <w:rFonts w:hint="eastAsia" w:ascii="宋体" w:hAnsi="宋体" w:cs="宋体"/>
                <w:b/>
                <w:bCs/>
                <w:color w:val="auto"/>
                <w:kern w:val="0"/>
              </w:rPr>
              <w:t>单位</w:t>
            </w:r>
          </w:p>
        </w:tc>
        <w:tc>
          <w:tcPr>
            <w:tcW w:w="732" w:type="dxa"/>
            <w:noWrap/>
            <w:vAlign w:val="center"/>
          </w:tcPr>
          <w:p>
            <w:pPr>
              <w:jc w:val="center"/>
              <w:rPr>
                <w:rFonts w:ascii="宋体" w:hAnsi="宋体" w:cs="宋体"/>
                <w:b/>
                <w:bCs/>
                <w:color w:val="auto"/>
                <w:kern w:val="0"/>
              </w:rPr>
            </w:pPr>
            <w:r>
              <w:rPr>
                <w:rFonts w:hint="eastAsia" w:ascii="宋体" w:hAnsi="宋体" w:cs="宋体"/>
                <w:b/>
                <w:bCs/>
                <w:color w:val="auto"/>
                <w:kern w:val="0"/>
              </w:rPr>
              <w:t>数量</w:t>
            </w:r>
          </w:p>
        </w:tc>
        <w:tc>
          <w:tcPr>
            <w:tcW w:w="797" w:type="dxa"/>
            <w:noWrap/>
            <w:vAlign w:val="center"/>
          </w:tcPr>
          <w:p>
            <w:pPr>
              <w:jc w:val="center"/>
              <w:rPr>
                <w:rFonts w:hint="eastAsia" w:ascii="宋体" w:hAnsi="宋体" w:cs="宋体"/>
                <w:b/>
                <w:bCs/>
                <w:color w:val="auto"/>
                <w:kern w:val="0"/>
              </w:rPr>
            </w:pPr>
            <w:r>
              <w:rPr>
                <w:rFonts w:hint="eastAsia" w:ascii="宋体" w:hAnsi="宋体" w:cs="宋体"/>
                <w:b/>
                <w:bCs/>
                <w:i w:val="0"/>
                <w:iCs w:val="0"/>
                <w:color w:val="auto"/>
                <w:kern w:val="0"/>
                <w:sz w:val="21"/>
                <w:szCs w:val="21"/>
                <w:highlight w:val="none"/>
                <w:u w:val="none"/>
                <w:lang w:val="en-US" w:eastAsia="zh-CN" w:bidi="ar"/>
              </w:rPr>
              <w:t>是否为主要标的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1</w:t>
            </w:r>
          </w:p>
        </w:tc>
        <w:tc>
          <w:tcPr>
            <w:tcW w:w="999" w:type="dxa"/>
            <w:noWrap w:val="0"/>
            <w:vAlign w:val="center"/>
          </w:tcPr>
          <w:p>
            <w:pPr>
              <w:jc w:val="center"/>
              <w:rPr>
                <w:rFonts w:ascii="宋体" w:hAnsi="宋体" w:cs="宋体"/>
                <w:color w:val="auto"/>
              </w:rPr>
            </w:pPr>
            <w:r>
              <w:rPr>
                <w:rFonts w:hint="eastAsia" w:ascii="宋体" w:hAnsi="宋体" w:cs="宋体"/>
                <w:color w:val="auto"/>
              </w:rPr>
              <w:t>枪机</w:t>
            </w:r>
          </w:p>
        </w:tc>
        <w:tc>
          <w:tcPr>
            <w:tcW w:w="5643" w:type="dxa"/>
            <w:noWrap w:val="0"/>
            <w:vAlign w:val="center"/>
          </w:tcPr>
          <w:p>
            <w:pPr>
              <w:jc w:val="left"/>
              <w:rPr>
                <w:rFonts w:ascii="宋体" w:hAnsi="宋体" w:cs="宋体"/>
                <w:b/>
                <w:bCs/>
                <w:color w:val="auto"/>
                <w:kern w:val="0"/>
              </w:rPr>
            </w:pPr>
            <w:r>
              <w:rPr>
                <w:rFonts w:hint="eastAsia" w:ascii="宋体" w:hAnsi="宋体" w:cs="宋体"/>
                <w:b/>
                <w:bCs/>
                <w:color w:val="auto"/>
                <w:kern w:val="0"/>
              </w:rPr>
              <w:t>建议品牌：海康、英飞拓、华为</w:t>
            </w:r>
          </w:p>
          <w:p>
            <w:pPr>
              <w:jc w:val="left"/>
              <w:rPr>
                <w:rFonts w:ascii="宋体" w:hAnsi="宋体" w:cs="宋体"/>
                <w:color w:val="auto"/>
                <w:kern w:val="0"/>
              </w:rPr>
            </w:pPr>
            <w:r>
              <w:rPr>
                <w:rFonts w:hint="eastAsia" w:ascii="宋体" w:hAnsi="宋体" w:cs="宋体"/>
                <w:color w:val="auto"/>
                <w:kern w:val="0"/>
              </w:rPr>
              <w:t>1/1.8" CMOS</w:t>
            </w:r>
          </w:p>
          <w:p>
            <w:pPr>
              <w:jc w:val="left"/>
              <w:rPr>
                <w:rFonts w:ascii="宋体" w:hAnsi="宋体" w:cs="宋体"/>
                <w:color w:val="auto"/>
                <w:kern w:val="0"/>
              </w:rPr>
            </w:pPr>
            <w:r>
              <w:rPr>
                <w:rFonts w:hint="eastAsia" w:ascii="宋体" w:hAnsi="宋体" w:cs="宋体"/>
                <w:color w:val="auto"/>
                <w:kern w:val="0"/>
              </w:rPr>
              <w:t>1920×1080，帧率60/50/30/25fps可设置</w:t>
            </w:r>
          </w:p>
          <w:p>
            <w:pPr>
              <w:jc w:val="left"/>
              <w:rPr>
                <w:rFonts w:ascii="宋体" w:hAnsi="宋体" w:cs="宋体"/>
                <w:color w:val="auto"/>
                <w:kern w:val="0"/>
              </w:rPr>
            </w:pPr>
            <w:r>
              <w:rPr>
                <w:rFonts w:hint="eastAsia" w:ascii="宋体" w:hAnsi="宋体" w:cs="宋体"/>
                <w:color w:val="auto"/>
                <w:kern w:val="0"/>
              </w:rPr>
              <w:t>彩色：0.001Lux，黑白：0.0001Lux</w:t>
            </w:r>
          </w:p>
          <w:p>
            <w:pPr>
              <w:jc w:val="left"/>
              <w:rPr>
                <w:rFonts w:ascii="宋体" w:hAnsi="宋体" w:cs="宋体"/>
                <w:color w:val="auto"/>
                <w:kern w:val="0"/>
              </w:rPr>
            </w:pPr>
            <w:r>
              <w:rPr>
                <w:rFonts w:hint="eastAsia" w:ascii="宋体" w:hAnsi="宋体" w:cs="宋体"/>
                <w:color w:val="auto"/>
                <w:kern w:val="0"/>
              </w:rPr>
              <w:t>内置电动变焦镜头，支持25倍光学变倍， 最大焦距不小于118 mm</w:t>
            </w:r>
          </w:p>
          <w:p>
            <w:pPr>
              <w:jc w:val="left"/>
              <w:rPr>
                <w:rFonts w:ascii="宋体" w:hAnsi="宋体" w:cs="宋体"/>
                <w:color w:val="auto"/>
                <w:kern w:val="0"/>
              </w:rPr>
            </w:pPr>
            <w:r>
              <w:rPr>
                <w:rFonts w:hint="eastAsia" w:ascii="宋体" w:hAnsi="宋体" w:cs="宋体"/>
                <w:color w:val="auto"/>
                <w:kern w:val="0"/>
              </w:rPr>
              <w:t>红外补光距离≥50米</w:t>
            </w:r>
          </w:p>
          <w:p>
            <w:pPr>
              <w:jc w:val="left"/>
              <w:rPr>
                <w:rFonts w:ascii="宋体" w:hAnsi="宋体" w:cs="宋体"/>
                <w:color w:val="auto"/>
                <w:kern w:val="0"/>
              </w:rPr>
            </w:pPr>
            <w:r>
              <w:rPr>
                <w:rFonts w:hint="eastAsia" w:ascii="宋体" w:hAnsi="宋体" w:cs="宋体"/>
                <w:color w:val="auto"/>
                <w:kern w:val="0"/>
              </w:rPr>
              <w:t>H.265/H.264/MJPEG</w:t>
            </w:r>
          </w:p>
          <w:p>
            <w:pPr>
              <w:jc w:val="left"/>
              <w:rPr>
                <w:rFonts w:ascii="宋体" w:hAnsi="宋体" w:cs="宋体"/>
                <w:color w:val="auto"/>
                <w:kern w:val="0"/>
              </w:rPr>
            </w:pPr>
            <w:r>
              <w:rPr>
                <w:rFonts w:hint="eastAsia" w:ascii="宋体" w:hAnsi="宋体" w:cs="宋体"/>
                <w:color w:val="auto"/>
                <w:kern w:val="0"/>
              </w:rPr>
              <w:t>在同一静止场景相同图像质量情况下，H.265编码，开启智能编码和不开启智能编码相比，码率节约50%</w:t>
            </w:r>
          </w:p>
          <w:p>
            <w:pPr>
              <w:jc w:val="left"/>
              <w:rPr>
                <w:rFonts w:ascii="宋体" w:hAnsi="宋体" w:cs="宋体"/>
                <w:color w:val="auto"/>
                <w:kern w:val="0"/>
              </w:rPr>
            </w:pPr>
            <w:r>
              <w:rPr>
                <w:rFonts w:hint="eastAsia" w:ascii="宋体" w:hAnsi="宋体" w:cs="宋体"/>
                <w:color w:val="auto"/>
                <w:kern w:val="0"/>
              </w:rPr>
              <w:t>支持在均匀丢包的情况下，具有抗丢包20%的能力</w:t>
            </w:r>
          </w:p>
          <w:p>
            <w:pPr>
              <w:jc w:val="left"/>
              <w:rPr>
                <w:rFonts w:ascii="宋体" w:hAnsi="宋体" w:cs="宋体"/>
                <w:b/>
                <w:bCs/>
                <w:color w:val="auto"/>
                <w:kern w:val="0"/>
              </w:rPr>
            </w:pPr>
            <w:r>
              <w:rPr>
                <w:rFonts w:hint="eastAsia" w:ascii="宋体" w:hAnsi="宋体" w:cs="宋体"/>
                <w:b/>
                <w:bCs/>
                <w:color w:val="auto"/>
                <w:kern w:val="0"/>
              </w:rPr>
              <w:t>★支持硬件微引导程序、uboot、OS、应用软件逐级校验功能，非法篡改的uboot、OS、应用软件固件包，不能通过命令行、浏览器、客户端方式进行升级。（投标时提供公安部检验报告证明复印件并加盖投标人公章）</w:t>
            </w:r>
          </w:p>
          <w:p>
            <w:pPr>
              <w:jc w:val="left"/>
              <w:rPr>
                <w:rFonts w:ascii="宋体" w:hAnsi="宋体" w:cs="宋体"/>
                <w:b/>
                <w:bCs/>
                <w:color w:val="auto"/>
                <w:kern w:val="0"/>
              </w:rPr>
            </w:pPr>
            <w:r>
              <w:rPr>
                <w:rFonts w:hint="eastAsia" w:ascii="宋体" w:hAnsi="宋体" w:cs="宋体"/>
                <w:b/>
                <w:bCs/>
                <w:color w:val="auto"/>
                <w:kern w:val="0"/>
              </w:rPr>
              <w:t>★在IE浏览器下，具有设备重启和布防动态报警数据感知与记录功能，布防动态报警数据包括异常掉线、历史布防、实时布防3种类型；可记录报警的开始时间、结束时间、布防类型、报警链路地址、端口、链路续传。（投标时提供公安部检验报告证明复印件并加盖投标人公章）</w:t>
            </w:r>
          </w:p>
          <w:p>
            <w:pPr>
              <w:jc w:val="left"/>
              <w:rPr>
                <w:rFonts w:ascii="宋体" w:hAnsi="宋体" w:cs="宋体"/>
                <w:color w:val="auto"/>
                <w:kern w:val="0"/>
              </w:rPr>
            </w:pPr>
            <w:r>
              <w:rPr>
                <w:rFonts w:hint="eastAsia" w:ascii="宋体" w:hAnsi="宋体" w:cs="宋体"/>
                <w:color w:val="auto"/>
                <w:kern w:val="0"/>
              </w:rPr>
              <w:t>支持通过IE浏览器设置登录超时时间，当登录后无操作时长达到设置阈值后，设备自动退出并重新进入登录界面。</w:t>
            </w:r>
          </w:p>
          <w:p>
            <w:pPr>
              <w:jc w:val="left"/>
              <w:rPr>
                <w:rFonts w:ascii="宋体" w:hAnsi="宋体" w:cs="宋体"/>
                <w:color w:val="auto"/>
                <w:kern w:val="0"/>
              </w:rPr>
            </w:pPr>
            <w:r>
              <w:rPr>
                <w:rFonts w:hint="eastAsia" w:ascii="宋体" w:hAnsi="宋体" w:cs="宋体"/>
                <w:color w:val="auto"/>
                <w:kern w:val="0"/>
              </w:rPr>
              <w:t>1个RJ45以太网口、1路音频输入、1路音频输出、2路报警输入、1个报警输出、1个RS485、1个MicroSD卡插槽</w:t>
            </w:r>
          </w:p>
          <w:p>
            <w:pPr>
              <w:jc w:val="left"/>
              <w:rPr>
                <w:rFonts w:ascii="宋体" w:hAnsi="宋体" w:cs="宋体"/>
                <w:color w:val="auto"/>
                <w:kern w:val="0"/>
              </w:rPr>
            </w:pPr>
            <w:r>
              <w:rPr>
                <w:rFonts w:hint="eastAsia" w:ascii="宋体" w:hAnsi="宋体" w:cs="宋体"/>
                <w:color w:val="auto"/>
                <w:kern w:val="0"/>
              </w:rPr>
              <w:t>IP67、IK10</w:t>
            </w:r>
          </w:p>
          <w:p>
            <w:pPr>
              <w:jc w:val="left"/>
              <w:rPr>
                <w:rFonts w:ascii="宋体" w:hAnsi="宋体" w:cs="宋体"/>
                <w:color w:val="auto"/>
                <w:kern w:val="0"/>
              </w:rPr>
            </w:pPr>
            <w:r>
              <w:rPr>
                <w:rFonts w:hint="eastAsia" w:ascii="宋体" w:hAnsi="宋体" w:cs="宋体"/>
                <w:color w:val="auto"/>
                <w:kern w:val="0"/>
              </w:rPr>
              <w:t>DC12V、PoE</w:t>
            </w:r>
          </w:p>
          <w:p>
            <w:pPr>
              <w:jc w:val="left"/>
              <w:rPr>
                <w:rFonts w:ascii="宋体" w:hAnsi="宋体" w:cs="宋体"/>
                <w:color w:val="auto"/>
                <w:kern w:val="0"/>
              </w:rPr>
            </w:pPr>
            <w:r>
              <w:rPr>
                <w:rFonts w:hint="eastAsia" w:ascii="宋体" w:hAnsi="宋体" w:cs="宋体"/>
                <w:color w:val="auto"/>
                <w:kern w:val="0"/>
              </w:rPr>
              <w:t>-30℃~60℃</w:t>
            </w:r>
          </w:p>
        </w:tc>
        <w:tc>
          <w:tcPr>
            <w:tcW w:w="684" w:type="dxa"/>
            <w:noWrap/>
            <w:vAlign w:val="center"/>
          </w:tcPr>
          <w:p>
            <w:pPr>
              <w:jc w:val="center"/>
              <w:rPr>
                <w:rFonts w:ascii="宋体" w:hAnsi="宋体" w:cs="宋体"/>
                <w:color w:val="auto"/>
                <w:kern w:val="0"/>
              </w:rPr>
            </w:pPr>
            <w:r>
              <w:rPr>
                <w:rFonts w:hint="eastAsia" w:ascii="宋体" w:hAnsi="宋体" w:cs="宋体"/>
                <w:color w:val="auto"/>
                <w:kern w:val="0"/>
              </w:rPr>
              <w:t>台</w:t>
            </w:r>
          </w:p>
        </w:tc>
        <w:tc>
          <w:tcPr>
            <w:tcW w:w="732" w:type="dxa"/>
            <w:noWrap/>
            <w:vAlign w:val="center"/>
          </w:tcPr>
          <w:p>
            <w:pPr>
              <w:jc w:val="center"/>
              <w:textAlignment w:val="center"/>
              <w:rPr>
                <w:rFonts w:hint="default" w:ascii="宋体" w:hAnsi="宋体" w:eastAsia="宋体" w:cs="宋体"/>
                <w:color w:val="auto"/>
                <w:lang w:val="en-US" w:eastAsia="zh-CN"/>
              </w:rPr>
            </w:pPr>
            <w:r>
              <w:rPr>
                <w:rFonts w:hint="eastAsia" w:ascii="宋体" w:hAnsi="宋体" w:cs="宋体"/>
                <w:color w:val="auto"/>
                <w:kern w:val="0"/>
                <w:lang w:val="en-US" w:eastAsia="zh-CN" w:bidi="ar"/>
              </w:rPr>
              <w:t>36</w:t>
            </w:r>
          </w:p>
        </w:tc>
        <w:tc>
          <w:tcPr>
            <w:tcW w:w="797" w:type="dxa"/>
            <w:noWrap/>
            <w:vAlign w:val="center"/>
          </w:tcPr>
          <w:p>
            <w:pPr>
              <w:jc w:val="center"/>
              <w:textAlignment w:val="center"/>
              <w:rPr>
                <w:rFonts w:hint="default" w:ascii="宋体" w:hAnsi="宋体" w:cs="宋体"/>
                <w:color w:val="auto"/>
                <w:kern w:val="0"/>
                <w:lang w:val="en-US" w:eastAsia="zh-CN"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dxa"/>
            <w:noWrap/>
            <w:vAlign w:val="center"/>
          </w:tcPr>
          <w:p>
            <w:pPr>
              <w:jc w:val="center"/>
              <w:rPr>
                <w:rFonts w:hint="eastAsia" w:ascii="宋体" w:hAnsi="宋体" w:eastAsia="宋体" w:cs="宋体"/>
                <w:color w:val="auto"/>
                <w:kern w:val="0"/>
                <w:lang w:eastAsia="zh-CN"/>
              </w:rPr>
            </w:pPr>
            <w:r>
              <w:rPr>
                <w:rFonts w:hint="eastAsia" w:ascii="宋体" w:hAnsi="宋体" w:cs="宋体"/>
                <w:color w:val="auto"/>
                <w:kern w:val="0"/>
                <w:lang w:val="en-US" w:eastAsia="zh-CN"/>
              </w:rPr>
              <w:t>2</w:t>
            </w:r>
          </w:p>
        </w:tc>
        <w:tc>
          <w:tcPr>
            <w:tcW w:w="999" w:type="dxa"/>
            <w:noWrap w:val="0"/>
            <w:vAlign w:val="center"/>
          </w:tcPr>
          <w:p>
            <w:pPr>
              <w:jc w:val="center"/>
              <w:rPr>
                <w:rFonts w:ascii="宋体" w:hAnsi="宋体" w:cs="宋体"/>
                <w:color w:val="auto"/>
              </w:rPr>
            </w:pPr>
            <w:r>
              <w:rPr>
                <w:rFonts w:hint="eastAsia" w:ascii="宋体" w:hAnsi="宋体" w:cs="宋体"/>
                <w:color w:val="auto"/>
              </w:rPr>
              <w:t>球机</w:t>
            </w:r>
          </w:p>
        </w:tc>
        <w:tc>
          <w:tcPr>
            <w:tcW w:w="5643" w:type="dxa"/>
            <w:noWrap w:val="0"/>
            <w:vAlign w:val="center"/>
          </w:tcPr>
          <w:p>
            <w:pPr>
              <w:jc w:val="left"/>
              <w:rPr>
                <w:rFonts w:ascii="宋体" w:hAnsi="宋体" w:cs="宋体"/>
                <w:b/>
                <w:bCs/>
                <w:color w:val="auto"/>
                <w:kern w:val="0"/>
              </w:rPr>
            </w:pPr>
            <w:r>
              <w:rPr>
                <w:rFonts w:hint="eastAsia" w:ascii="宋体" w:hAnsi="宋体" w:cs="宋体"/>
                <w:b/>
                <w:bCs/>
                <w:color w:val="auto"/>
                <w:kern w:val="0"/>
              </w:rPr>
              <w:t>建议品牌：海康、英飞拓、华为</w:t>
            </w:r>
          </w:p>
          <w:p>
            <w:pPr>
              <w:jc w:val="left"/>
              <w:rPr>
                <w:rFonts w:ascii="宋体" w:hAnsi="宋体" w:cs="宋体"/>
                <w:color w:val="auto"/>
                <w:kern w:val="0"/>
              </w:rPr>
            </w:pPr>
            <w:r>
              <w:rPr>
                <w:rFonts w:hint="eastAsia" w:ascii="宋体" w:hAnsi="宋体" w:cs="宋体"/>
                <w:color w:val="auto"/>
                <w:kern w:val="0"/>
              </w:rPr>
              <w:t>热成像：分辨率：640×512；焦距：25mm；视场角：24.6°x19.8°</w:t>
            </w:r>
          </w:p>
          <w:p>
            <w:pPr>
              <w:jc w:val="left"/>
              <w:rPr>
                <w:rFonts w:ascii="宋体" w:hAnsi="宋体" w:cs="宋体"/>
                <w:color w:val="auto"/>
                <w:kern w:val="0"/>
              </w:rPr>
            </w:pPr>
            <w:r>
              <w:rPr>
                <w:rFonts w:hint="eastAsia" w:ascii="宋体" w:hAnsi="宋体" w:cs="宋体"/>
                <w:color w:val="auto"/>
                <w:kern w:val="0"/>
              </w:rPr>
              <w:t>可见光：分辨率：2688×1520，400万；焦距：6-240mm；视场角：66.02°x40.34° ~ 1.86°x1.05°</w:t>
            </w:r>
          </w:p>
          <w:p>
            <w:pPr>
              <w:jc w:val="left"/>
              <w:rPr>
                <w:rFonts w:ascii="宋体" w:hAnsi="宋体" w:cs="宋体"/>
                <w:color w:val="auto"/>
                <w:kern w:val="0"/>
              </w:rPr>
            </w:pPr>
            <w:r>
              <w:rPr>
                <w:rFonts w:hint="eastAsia" w:ascii="宋体" w:hAnsi="宋体" w:cs="宋体"/>
                <w:color w:val="auto"/>
                <w:kern w:val="0"/>
              </w:rPr>
              <w:t>单台样机水平平均无故障运行次数（MCBF）不少于300万次；</w:t>
            </w:r>
          </w:p>
          <w:p>
            <w:pPr>
              <w:jc w:val="left"/>
              <w:rPr>
                <w:rFonts w:ascii="宋体" w:hAnsi="宋体" w:cs="宋体"/>
                <w:color w:val="auto"/>
                <w:kern w:val="0"/>
              </w:rPr>
            </w:pPr>
            <w:r>
              <w:rPr>
                <w:rFonts w:hint="eastAsia" w:ascii="宋体" w:hAnsi="宋体" w:cs="宋体"/>
                <w:color w:val="auto"/>
                <w:kern w:val="0"/>
              </w:rPr>
              <w:t>可见光视频图像:当样机从广角端变焦至长焦端，样机镜头光轴偏移角度应小于长焦水平视场角的1.5%</w:t>
            </w:r>
          </w:p>
          <w:p>
            <w:pPr>
              <w:jc w:val="left"/>
              <w:rPr>
                <w:rFonts w:ascii="宋体" w:hAnsi="宋体" w:cs="宋体"/>
                <w:b/>
                <w:bCs/>
                <w:color w:val="auto"/>
                <w:kern w:val="0"/>
              </w:rPr>
            </w:pPr>
            <w:r>
              <w:rPr>
                <w:rFonts w:hint="eastAsia" w:ascii="宋体" w:hAnsi="宋体" w:cs="宋体"/>
                <w:b/>
                <w:bCs/>
                <w:color w:val="auto"/>
                <w:kern w:val="0"/>
              </w:rPr>
              <w:t>★产品符合中国环境标志认证实施规则CEC-7078EL的要求；（投标时提供中国环境标志产品认证证书复印件并加盖投标人公章）</w:t>
            </w:r>
          </w:p>
          <w:p>
            <w:pPr>
              <w:jc w:val="left"/>
              <w:rPr>
                <w:rFonts w:ascii="宋体" w:hAnsi="宋体" w:cs="宋体"/>
                <w:color w:val="auto"/>
                <w:kern w:val="0"/>
              </w:rPr>
            </w:pPr>
            <w:r>
              <w:rPr>
                <w:rFonts w:hint="eastAsia" w:ascii="宋体" w:hAnsi="宋体" w:cs="宋体"/>
                <w:color w:val="auto"/>
                <w:kern w:val="0"/>
              </w:rPr>
              <w:t>当CPU占有率超过预设值或内存可用容量低于预设值时，可通过客户端软件或者IE浏览器报警；</w:t>
            </w:r>
            <w:r>
              <w:rPr>
                <w:rFonts w:ascii="宋体" w:hAnsi="宋体" w:cs="宋体"/>
                <w:color w:val="auto"/>
                <w:kern w:val="0"/>
              </w:rPr>
              <w:t xml:space="preserve"> </w:t>
            </w:r>
          </w:p>
          <w:p>
            <w:pPr>
              <w:jc w:val="left"/>
              <w:rPr>
                <w:rFonts w:ascii="宋体" w:hAnsi="宋体" w:cs="宋体"/>
                <w:b/>
                <w:bCs/>
                <w:color w:val="auto"/>
                <w:kern w:val="0"/>
              </w:rPr>
            </w:pPr>
            <w:r>
              <w:rPr>
                <w:rFonts w:hint="eastAsia" w:ascii="宋体" w:hAnsi="宋体" w:cs="宋体"/>
                <w:b/>
                <w:bCs/>
                <w:color w:val="auto"/>
                <w:kern w:val="0"/>
              </w:rPr>
              <w:t>★按GB/T17626.2-2018中规定的方法进行静电放电抗扰度试验，试验等级4级，样机处于工作状态，空气放电24kV，接触放电12kV，试验中允许功能暂时丧失或降低，但在试验停止后应能自行恢复，不需要操作者干预（投标时提供公安部检验报告证明复印件并加盖投标人公章）</w:t>
            </w:r>
          </w:p>
          <w:p>
            <w:pPr>
              <w:jc w:val="left"/>
              <w:rPr>
                <w:rFonts w:ascii="宋体" w:hAnsi="宋体" w:cs="宋体"/>
                <w:color w:val="auto"/>
                <w:kern w:val="0"/>
              </w:rPr>
            </w:pPr>
            <w:r>
              <w:rPr>
                <w:rFonts w:hint="eastAsia" w:ascii="宋体" w:hAnsi="宋体" w:cs="宋体"/>
                <w:color w:val="auto"/>
                <w:kern w:val="0"/>
              </w:rPr>
              <w:t>最小可分辨温差（MRTD）在150mk及以下，样机内置陀螺仪、温度传感器、水平仪、1颗算力为 4TPS的GPU芯片、1颗8G EMMC芯片，支持温度异常报警功能，在探测温度区域中有超过预设温度时，可发出报警信号，支持热成像视频区域入侵侦测、越界侦测、进入区域侦测、离开区域侦测、物品移除、物品遗留；</w:t>
            </w:r>
          </w:p>
          <w:p>
            <w:pPr>
              <w:jc w:val="left"/>
              <w:rPr>
                <w:rFonts w:ascii="宋体" w:hAnsi="宋体" w:cs="宋体"/>
                <w:b/>
                <w:bCs/>
                <w:color w:val="auto"/>
                <w:kern w:val="0"/>
              </w:rPr>
            </w:pPr>
            <w:r>
              <w:rPr>
                <w:rFonts w:hint="eastAsia" w:ascii="宋体" w:hAnsi="宋体" w:cs="宋体"/>
                <w:b/>
                <w:bCs/>
                <w:color w:val="auto"/>
                <w:kern w:val="0"/>
              </w:rPr>
              <w:t>★低照度，彩色≤0.00021lx，黑白≤0.00011lx；（投标时提供公安部检验报告证明复印件并加盖投标人公章）</w:t>
            </w:r>
          </w:p>
          <w:p>
            <w:pPr>
              <w:jc w:val="left"/>
              <w:rPr>
                <w:rFonts w:ascii="宋体" w:hAnsi="宋体" w:cs="宋体"/>
                <w:b/>
                <w:bCs/>
                <w:color w:val="auto"/>
                <w:kern w:val="0"/>
              </w:rPr>
            </w:pPr>
            <w:r>
              <w:rPr>
                <w:rFonts w:hint="eastAsia" w:ascii="宋体" w:hAnsi="宋体" w:cs="宋体"/>
                <w:b/>
                <w:bCs/>
                <w:color w:val="auto"/>
                <w:kern w:val="0"/>
              </w:rPr>
              <w:t>★支持太阳防灼烧功能；使用适配器情况下，电源电压在AC90V~AC320V范围内变化时，样机应能正常工作；不使用适配器情况下，电源电压在DC33V~80V范围内变化时，样机应能正常工作；具备热成像监控设备系统软件自主知识产权，提供软件著作权证书；低温-52℃，高温+82℃ ；（投标时提供公安部检验报告证明复印件并加盖投标人公章）</w:t>
            </w:r>
          </w:p>
          <w:p>
            <w:pPr>
              <w:jc w:val="left"/>
              <w:rPr>
                <w:rFonts w:ascii="宋体" w:hAnsi="宋体" w:cs="宋体"/>
                <w:color w:val="auto"/>
                <w:kern w:val="0"/>
              </w:rPr>
            </w:pPr>
            <w:r>
              <w:rPr>
                <w:rFonts w:hint="eastAsia" w:ascii="宋体" w:hAnsi="宋体" w:cs="宋体"/>
                <w:b/>
                <w:bCs/>
                <w:color w:val="auto"/>
                <w:kern w:val="0"/>
              </w:rPr>
              <w:t>★云台水平旋转速度：0.001°/s--210°/s可调；云台垂直旋转速度：0.001°/s--200°/s可调；云台定位精度：≤0.001°；样机支持GPS定位、北斗定位，具有远程定位功能，并支持位置信息上传；可见光视频图像调整焦距，至可探测距离样机1000m处的移动目标（1.7m×0.5m）并进行巡航操作时，样机巡航一周所用时间≤1.5min；备同时开启可见光视屏画面和热成像画面，两路视频画面中相同的视场面积与可见光视频视场面积的比值为≥11/12，并进行远程光轴调节；高温报警联动功能检验：设备在自动巡航状态中触发高温报警后可自动在热成像视频画面中对触发报警的热源进行框选提示、自动测温、显示测温结果、停止巡航、将报警热源置于视频画面中央位置并联动可见光进行自动变倍，报警时间达到设定阈值后，可见光镜头应变倍回到广角位置；当同一视场内出现多个触发高温报警的热源后，可进行框选提示，并按预设的优先级逐一控制可见光画面进行自动变倍，报警时间达到设定阈值后，可见光镜头应变倍回到广角位置；（投标时提供公安部检验报告证明复印件并加盖投标人公章）当样机壳体内部的相对湿度超过设定阈值时，可给出报警提示；</w:t>
            </w:r>
          </w:p>
        </w:tc>
        <w:tc>
          <w:tcPr>
            <w:tcW w:w="684" w:type="dxa"/>
            <w:noWrap w:val="0"/>
            <w:vAlign w:val="center"/>
          </w:tcPr>
          <w:p>
            <w:pPr>
              <w:jc w:val="center"/>
              <w:rPr>
                <w:rFonts w:ascii="宋体" w:hAnsi="宋体" w:cs="宋体"/>
                <w:color w:val="auto"/>
                <w:kern w:val="0"/>
              </w:rPr>
            </w:pPr>
            <w:r>
              <w:rPr>
                <w:rFonts w:hint="eastAsia" w:ascii="宋体" w:hAnsi="宋体" w:cs="宋体"/>
                <w:color w:val="auto"/>
                <w:kern w:val="0"/>
              </w:rPr>
              <w:t>台</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8</w:t>
            </w:r>
          </w:p>
        </w:tc>
        <w:tc>
          <w:tcPr>
            <w:tcW w:w="797" w:type="dxa"/>
            <w:noWrap w:val="0"/>
            <w:vAlign w:val="center"/>
          </w:tcPr>
          <w:p>
            <w:pPr>
              <w:jc w:val="center"/>
              <w:textAlignment w:val="center"/>
              <w:rPr>
                <w:rFonts w:hint="eastAsia" w:ascii="宋体" w:hAnsi="宋体" w:eastAsia="宋体" w:cs="宋体"/>
                <w:color w:val="auto"/>
                <w:kern w:val="0"/>
                <w:lang w:val="en-US" w:eastAsia="zh-CN" w:bidi="ar"/>
              </w:rPr>
            </w:pPr>
            <w:r>
              <w:rPr>
                <w:rFonts w:hint="eastAsia" w:ascii="宋体" w:hAnsi="宋体" w:cs="宋体"/>
                <w:color w:val="auto"/>
                <w:kern w:val="0"/>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45" w:type="dxa"/>
            <w:shd w:val="clear" w:color="auto" w:fill="auto"/>
            <w:noWrap/>
            <w:vAlign w:val="center"/>
          </w:tcPr>
          <w:p>
            <w:pPr>
              <w:jc w:val="center"/>
              <w:rPr>
                <w:rFonts w:hint="eastAsia" w:ascii="宋体" w:hAnsi="宋体" w:eastAsia="宋体" w:cs="宋体"/>
                <w:color w:val="auto"/>
                <w:kern w:val="0"/>
                <w:lang w:eastAsia="zh-CN"/>
              </w:rPr>
            </w:pPr>
            <w:r>
              <w:rPr>
                <w:rFonts w:hint="eastAsia" w:ascii="宋体" w:hAnsi="宋体" w:cs="宋体"/>
                <w:color w:val="auto"/>
                <w:kern w:val="0"/>
                <w:lang w:val="en-US" w:eastAsia="zh-CN"/>
              </w:rPr>
              <w:t>3</w:t>
            </w:r>
          </w:p>
        </w:tc>
        <w:tc>
          <w:tcPr>
            <w:tcW w:w="999" w:type="dxa"/>
            <w:shd w:val="clear" w:color="000000" w:fill="FFFFFF"/>
            <w:noWrap w:val="0"/>
            <w:vAlign w:val="center"/>
          </w:tcPr>
          <w:p>
            <w:pPr>
              <w:jc w:val="center"/>
              <w:rPr>
                <w:rFonts w:ascii="宋体" w:hAnsi="宋体" w:cs="宋体"/>
                <w:color w:val="auto"/>
              </w:rPr>
            </w:pPr>
            <w:r>
              <w:rPr>
                <w:rFonts w:hint="eastAsia" w:ascii="宋体" w:hAnsi="宋体" w:cs="宋体"/>
                <w:color w:val="auto"/>
              </w:rPr>
              <w:t>微边缘服务器</w:t>
            </w:r>
          </w:p>
        </w:tc>
        <w:tc>
          <w:tcPr>
            <w:tcW w:w="5643" w:type="dxa"/>
            <w:shd w:val="clear" w:color="000000" w:fill="FFFFFF"/>
            <w:noWrap w:val="0"/>
            <w:vAlign w:val="center"/>
          </w:tcPr>
          <w:p>
            <w:pPr>
              <w:jc w:val="left"/>
              <w:rPr>
                <w:rFonts w:ascii="宋体" w:hAnsi="宋体" w:cs="宋体"/>
                <w:b/>
                <w:bCs/>
                <w:color w:val="auto"/>
                <w:kern w:val="0"/>
              </w:rPr>
            </w:pPr>
            <w:r>
              <w:rPr>
                <w:rFonts w:hint="eastAsia" w:ascii="宋体" w:hAnsi="宋体" w:cs="宋体"/>
                <w:b/>
                <w:bCs/>
                <w:color w:val="auto"/>
                <w:kern w:val="0"/>
              </w:rPr>
              <w:t>建议品牌：海康、英飞拓、华为</w:t>
            </w:r>
          </w:p>
          <w:p>
            <w:pPr>
              <w:jc w:val="left"/>
              <w:rPr>
                <w:rFonts w:ascii="宋体" w:hAnsi="宋体" w:cs="宋体"/>
                <w:b/>
                <w:bCs/>
                <w:color w:val="auto"/>
                <w:kern w:val="0"/>
              </w:rPr>
            </w:pPr>
            <w:r>
              <w:rPr>
                <w:rFonts w:hint="eastAsia" w:ascii="宋体" w:hAnsi="宋体" w:cs="宋体"/>
                <w:b/>
                <w:bCs/>
                <w:color w:val="auto"/>
                <w:kern w:val="0"/>
              </w:rPr>
              <w:t xml:space="preserve">★支持报警事件、异常事件计数提醒功能，以图标形式在监控界面上提醒用户，异常事件包括硬盘满、硬盘错误、网络断开、IP 冲突、非法访问、视频信号丢失、录像/抓图异常、IP 通道冲突、热备异常、子码流分辨率/码率超限、配件板异常、硬盘高温异常、硬盘低温异常、硬盘坏块异常、硬盘撞击异常、硬盘严重故障异常、无码流异常等(提供时提供公安部检测报告复印件并加盖投标人公章) </w:t>
            </w:r>
          </w:p>
          <w:p>
            <w:pPr>
              <w:jc w:val="left"/>
              <w:rPr>
                <w:rFonts w:ascii="宋体" w:hAnsi="宋体" w:cs="宋体"/>
                <w:color w:val="auto"/>
                <w:kern w:val="0"/>
              </w:rPr>
            </w:pPr>
            <w:r>
              <w:rPr>
                <w:rFonts w:hint="eastAsia" w:ascii="宋体" w:hAnsi="宋体" w:cs="宋体"/>
                <w:color w:val="auto"/>
                <w:kern w:val="0"/>
              </w:rPr>
              <w:t>支持最大接入带宽384Mbps，最大存储带宽384Mbps，最大转发带宽384Mbps；</w:t>
            </w:r>
          </w:p>
          <w:p>
            <w:pPr>
              <w:jc w:val="left"/>
              <w:rPr>
                <w:rFonts w:ascii="宋体" w:hAnsi="宋体" w:cs="宋体"/>
                <w:color w:val="auto"/>
                <w:kern w:val="0"/>
              </w:rPr>
            </w:pPr>
            <w:r>
              <w:rPr>
                <w:rFonts w:hint="eastAsia" w:ascii="宋体" w:hAnsi="宋体" w:cs="宋体"/>
                <w:color w:val="auto"/>
                <w:kern w:val="0"/>
              </w:rPr>
              <w:t>可同时解码输出32路2MP、H.265编码、25fps、1920×1080格式的视频图像，盘位数不少于8，硬盘容量支持4T/6T/8T/10T</w:t>
            </w:r>
          </w:p>
        </w:tc>
        <w:tc>
          <w:tcPr>
            <w:tcW w:w="684" w:type="dxa"/>
            <w:shd w:val="clear" w:color="000000" w:fill="FFFFFF"/>
            <w:noWrap w:val="0"/>
            <w:vAlign w:val="center"/>
          </w:tcPr>
          <w:p>
            <w:pPr>
              <w:jc w:val="center"/>
              <w:rPr>
                <w:rFonts w:ascii="宋体" w:hAnsi="宋体" w:cs="宋体"/>
                <w:color w:val="auto"/>
                <w:kern w:val="0"/>
              </w:rPr>
            </w:pPr>
            <w:r>
              <w:rPr>
                <w:rFonts w:hint="eastAsia" w:ascii="宋体" w:hAnsi="宋体" w:cs="宋体"/>
                <w:color w:val="auto"/>
                <w:kern w:val="0"/>
              </w:rPr>
              <w:t>台</w:t>
            </w:r>
          </w:p>
        </w:tc>
        <w:tc>
          <w:tcPr>
            <w:tcW w:w="732" w:type="dxa"/>
            <w:shd w:val="clear" w:color="000000" w:fill="FFFFFF"/>
            <w:noWrap w:val="0"/>
            <w:vAlign w:val="center"/>
          </w:tcPr>
          <w:p>
            <w:pPr>
              <w:jc w:val="center"/>
              <w:textAlignment w:val="center"/>
              <w:rPr>
                <w:rFonts w:ascii="宋体" w:hAnsi="宋体" w:cs="宋体"/>
                <w:color w:val="auto"/>
              </w:rPr>
            </w:pPr>
            <w:r>
              <w:rPr>
                <w:rFonts w:hint="eastAsia" w:ascii="宋体" w:hAnsi="宋体" w:cs="宋体"/>
                <w:color w:val="auto"/>
                <w:kern w:val="0"/>
                <w:lang w:bidi="ar"/>
              </w:rPr>
              <w:t>1</w:t>
            </w:r>
          </w:p>
        </w:tc>
        <w:tc>
          <w:tcPr>
            <w:tcW w:w="797" w:type="dxa"/>
            <w:shd w:val="clear" w:color="000000" w:fill="FFFFFF"/>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45" w:type="dxa"/>
            <w:shd w:val="clear" w:color="auto" w:fill="auto"/>
            <w:noWrap/>
            <w:vAlign w:val="center"/>
          </w:tcPr>
          <w:p>
            <w:pPr>
              <w:jc w:val="center"/>
              <w:rPr>
                <w:rFonts w:hint="eastAsia" w:ascii="宋体" w:hAnsi="宋体" w:eastAsia="宋体" w:cs="宋体"/>
                <w:color w:val="auto"/>
                <w:kern w:val="0"/>
                <w:lang w:eastAsia="zh-CN"/>
              </w:rPr>
            </w:pPr>
            <w:r>
              <w:rPr>
                <w:rFonts w:hint="eastAsia" w:ascii="宋体" w:hAnsi="宋体" w:cs="宋体"/>
                <w:color w:val="auto"/>
                <w:kern w:val="0"/>
                <w:lang w:val="en-US" w:eastAsia="zh-CN"/>
              </w:rPr>
              <w:t>4</w:t>
            </w:r>
          </w:p>
        </w:tc>
        <w:tc>
          <w:tcPr>
            <w:tcW w:w="999" w:type="dxa"/>
            <w:shd w:val="clear" w:color="000000" w:fill="FFFFFF"/>
            <w:noWrap w:val="0"/>
            <w:vAlign w:val="center"/>
          </w:tcPr>
          <w:p>
            <w:pPr>
              <w:jc w:val="center"/>
              <w:rPr>
                <w:rFonts w:ascii="宋体" w:hAnsi="宋体" w:cs="宋体"/>
                <w:color w:val="auto"/>
                <w:kern w:val="0"/>
              </w:rPr>
            </w:pPr>
            <w:r>
              <w:rPr>
                <w:rFonts w:hint="eastAsia" w:ascii="宋体" w:hAnsi="宋体" w:cs="宋体"/>
                <w:color w:val="auto"/>
                <w:kern w:val="0"/>
              </w:rPr>
              <w:t>硬盘</w:t>
            </w:r>
          </w:p>
        </w:tc>
        <w:tc>
          <w:tcPr>
            <w:tcW w:w="5643" w:type="dxa"/>
            <w:shd w:val="clear" w:color="000000" w:fill="FFFFFF"/>
            <w:noWrap w:val="0"/>
            <w:vAlign w:val="center"/>
          </w:tcPr>
          <w:p>
            <w:pPr>
              <w:jc w:val="left"/>
              <w:rPr>
                <w:rFonts w:ascii="宋体" w:hAnsi="宋体" w:cs="宋体"/>
                <w:color w:val="auto"/>
                <w:kern w:val="0"/>
              </w:rPr>
            </w:pPr>
            <w:r>
              <w:rPr>
                <w:rFonts w:hint="eastAsia" w:ascii="宋体" w:hAnsi="宋体" w:cs="宋体"/>
                <w:color w:val="auto"/>
                <w:kern w:val="0"/>
              </w:rPr>
              <w:t>3.5英寸 6T</w:t>
            </w:r>
          </w:p>
        </w:tc>
        <w:tc>
          <w:tcPr>
            <w:tcW w:w="684" w:type="dxa"/>
            <w:shd w:val="clear" w:color="000000" w:fill="FFFFFF"/>
            <w:noWrap w:val="0"/>
            <w:vAlign w:val="center"/>
          </w:tcPr>
          <w:p>
            <w:pPr>
              <w:jc w:val="center"/>
              <w:rPr>
                <w:rFonts w:ascii="宋体" w:hAnsi="宋体" w:cs="宋体"/>
                <w:color w:val="auto"/>
                <w:kern w:val="0"/>
              </w:rPr>
            </w:pPr>
            <w:r>
              <w:rPr>
                <w:rFonts w:hint="eastAsia" w:ascii="宋体" w:hAnsi="宋体" w:cs="宋体"/>
                <w:color w:val="auto"/>
                <w:kern w:val="0"/>
              </w:rPr>
              <w:t>块</w:t>
            </w:r>
          </w:p>
        </w:tc>
        <w:tc>
          <w:tcPr>
            <w:tcW w:w="732" w:type="dxa"/>
            <w:shd w:val="clear" w:color="000000" w:fill="FFFFFF"/>
            <w:noWrap/>
            <w:vAlign w:val="center"/>
          </w:tcPr>
          <w:p>
            <w:pPr>
              <w:jc w:val="center"/>
              <w:textAlignment w:val="center"/>
              <w:rPr>
                <w:rFonts w:ascii="宋体" w:hAnsi="宋体" w:cs="宋体"/>
                <w:color w:val="auto"/>
                <w:kern w:val="0"/>
              </w:rPr>
            </w:pPr>
            <w:r>
              <w:rPr>
                <w:rFonts w:hint="eastAsia" w:ascii="宋体" w:hAnsi="宋体" w:cs="宋体"/>
                <w:color w:val="auto"/>
                <w:kern w:val="0"/>
                <w:lang w:bidi="ar"/>
              </w:rPr>
              <w:t>6</w:t>
            </w:r>
          </w:p>
        </w:tc>
        <w:tc>
          <w:tcPr>
            <w:tcW w:w="797" w:type="dxa"/>
            <w:shd w:val="clear" w:color="000000" w:fill="FFFFFF"/>
            <w:noWrap/>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45" w:type="dxa"/>
            <w:shd w:val="clear" w:color="auto" w:fill="auto"/>
            <w:noWrap/>
            <w:vAlign w:val="center"/>
          </w:tcPr>
          <w:p>
            <w:pPr>
              <w:jc w:val="center"/>
              <w:rPr>
                <w:rFonts w:hint="eastAsia" w:ascii="宋体" w:hAnsi="宋体" w:eastAsia="宋体" w:cs="宋体"/>
                <w:color w:val="auto"/>
                <w:kern w:val="0"/>
                <w:lang w:eastAsia="zh-CN"/>
              </w:rPr>
            </w:pPr>
            <w:r>
              <w:rPr>
                <w:rFonts w:hint="eastAsia" w:ascii="宋体" w:hAnsi="宋体" w:cs="宋体"/>
                <w:color w:val="auto"/>
                <w:kern w:val="0"/>
                <w:lang w:val="en-US" w:eastAsia="zh-CN"/>
              </w:rPr>
              <w:t>5</w:t>
            </w:r>
          </w:p>
        </w:tc>
        <w:tc>
          <w:tcPr>
            <w:tcW w:w="999" w:type="dxa"/>
            <w:shd w:val="clear" w:color="000000" w:fill="FFFFFF"/>
            <w:noWrap w:val="0"/>
            <w:vAlign w:val="center"/>
          </w:tcPr>
          <w:p>
            <w:pPr>
              <w:jc w:val="center"/>
              <w:rPr>
                <w:rFonts w:ascii="宋体" w:hAnsi="宋体" w:cs="宋体"/>
                <w:color w:val="auto"/>
                <w:kern w:val="0"/>
              </w:rPr>
            </w:pPr>
            <w:r>
              <w:rPr>
                <w:rFonts w:hint="eastAsia" w:ascii="宋体" w:hAnsi="宋体" w:cs="宋体"/>
                <w:color w:val="auto"/>
                <w:kern w:val="0"/>
              </w:rPr>
              <w:t>支架、电源及固件</w:t>
            </w:r>
          </w:p>
        </w:tc>
        <w:tc>
          <w:tcPr>
            <w:tcW w:w="5643" w:type="dxa"/>
            <w:shd w:val="clear" w:color="000000" w:fill="FFFFFF"/>
            <w:noWrap w:val="0"/>
            <w:vAlign w:val="center"/>
          </w:tcPr>
          <w:p>
            <w:pPr>
              <w:jc w:val="left"/>
              <w:rPr>
                <w:rFonts w:ascii="宋体" w:hAnsi="宋体" w:cs="宋体"/>
                <w:color w:val="auto"/>
                <w:kern w:val="0"/>
              </w:rPr>
            </w:pPr>
            <w:r>
              <w:rPr>
                <w:rFonts w:hint="eastAsia" w:ascii="宋体" w:hAnsi="宋体" w:cs="宋体"/>
                <w:color w:val="auto"/>
                <w:kern w:val="0"/>
              </w:rPr>
              <w:t>定制（AC24V）</w:t>
            </w:r>
          </w:p>
        </w:tc>
        <w:tc>
          <w:tcPr>
            <w:tcW w:w="684" w:type="dxa"/>
            <w:shd w:val="clear" w:color="000000" w:fill="FFFFFF"/>
            <w:noWrap w:val="0"/>
            <w:vAlign w:val="center"/>
          </w:tcPr>
          <w:p>
            <w:pPr>
              <w:jc w:val="center"/>
              <w:rPr>
                <w:rFonts w:ascii="宋体" w:hAnsi="宋体" w:cs="宋体"/>
                <w:color w:val="auto"/>
                <w:kern w:val="0"/>
              </w:rPr>
            </w:pPr>
            <w:r>
              <w:rPr>
                <w:rFonts w:hint="eastAsia" w:ascii="宋体" w:hAnsi="宋体" w:cs="宋体"/>
                <w:color w:val="auto"/>
                <w:kern w:val="0"/>
              </w:rPr>
              <w:t>套</w:t>
            </w:r>
          </w:p>
        </w:tc>
        <w:tc>
          <w:tcPr>
            <w:tcW w:w="732" w:type="dxa"/>
            <w:shd w:val="clear" w:color="000000" w:fill="FFFFFF"/>
            <w:noWrap/>
            <w:vAlign w:val="center"/>
          </w:tcPr>
          <w:p>
            <w:pPr>
              <w:jc w:val="center"/>
              <w:textAlignment w:val="center"/>
              <w:rPr>
                <w:rFonts w:ascii="宋体" w:hAnsi="宋体" w:cs="宋体"/>
                <w:color w:val="auto"/>
                <w:kern w:val="0"/>
              </w:rPr>
            </w:pPr>
            <w:r>
              <w:rPr>
                <w:rFonts w:hint="eastAsia" w:ascii="宋体" w:hAnsi="宋体" w:cs="宋体"/>
                <w:color w:val="auto"/>
                <w:kern w:val="0"/>
                <w:lang w:bidi="ar"/>
              </w:rPr>
              <w:t>44</w:t>
            </w:r>
          </w:p>
        </w:tc>
        <w:tc>
          <w:tcPr>
            <w:tcW w:w="797" w:type="dxa"/>
            <w:shd w:val="clear" w:color="000000" w:fill="FFFFFF"/>
            <w:noWrap/>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5" w:type="dxa"/>
            <w:noWrap/>
            <w:vAlign w:val="center"/>
          </w:tcPr>
          <w:p>
            <w:pPr>
              <w:jc w:val="center"/>
              <w:rPr>
                <w:rFonts w:hint="eastAsia" w:ascii="宋体" w:hAnsi="宋体" w:eastAsia="宋体" w:cs="宋体"/>
                <w:color w:val="auto"/>
                <w:kern w:val="0"/>
                <w:lang w:eastAsia="zh-CN"/>
              </w:rPr>
            </w:pPr>
            <w:r>
              <w:rPr>
                <w:rFonts w:hint="eastAsia" w:ascii="宋体" w:hAnsi="宋体" w:cs="宋体"/>
                <w:color w:val="auto"/>
                <w:kern w:val="0"/>
                <w:lang w:val="en-US" w:eastAsia="zh-CN"/>
              </w:rPr>
              <w:t>6</w:t>
            </w:r>
          </w:p>
        </w:tc>
        <w:tc>
          <w:tcPr>
            <w:tcW w:w="999" w:type="dxa"/>
            <w:noWrap w:val="0"/>
            <w:vAlign w:val="center"/>
          </w:tcPr>
          <w:p>
            <w:pPr>
              <w:jc w:val="center"/>
              <w:rPr>
                <w:rFonts w:ascii="宋体" w:hAnsi="宋体" w:cs="宋体"/>
                <w:color w:val="auto"/>
                <w:kern w:val="0"/>
              </w:rPr>
            </w:pPr>
            <w:r>
              <w:rPr>
                <w:rFonts w:hint="eastAsia" w:ascii="宋体" w:hAnsi="宋体" w:cs="宋体"/>
                <w:color w:val="auto"/>
                <w:kern w:val="0"/>
              </w:rPr>
              <w:t>千兆交换机</w:t>
            </w:r>
          </w:p>
        </w:tc>
        <w:tc>
          <w:tcPr>
            <w:tcW w:w="5643" w:type="dxa"/>
            <w:noWrap w:val="0"/>
            <w:vAlign w:val="center"/>
          </w:tcPr>
          <w:p>
            <w:pPr>
              <w:rPr>
                <w:rFonts w:ascii="宋体" w:hAnsi="宋体" w:cs="宋体"/>
                <w:b/>
                <w:bCs/>
                <w:color w:val="auto"/>
              </w:rPr>
            </w:pPr>
            <w:r>
              <w:rPr>
                <w:rFonts w:hint="eastAsia" w:ascii="宋体" w:hAnsi="宋体" w:cs="宋体"/>
                <w:b/>
                <w:bCs/>
                <w:color w:val="auto"/>
              </w:rPr>
              <w:t>建议品牌：海康、中兴、华为</w:t>
            </w:r>
          </w:p>
          <w:p>
            <w:pPr>
              <w:rPr>
                <w:rFonts w:hint="eastAsia" w:ascii="宋体" w:hAnsi="宋体" w:cs="宋体"/>
                <w:bCs/>
                <w:color w:val="auto"/>
              </w:rPr>
            </w:pPr>
            <w:r>
              <w:rPr>
                <w:rFonts w:hint="eastAsia" w:ascii="宋体" w:hAnsi="宋体" w:cs="宋体"/>
                <w:bCs/>
                <w:color w:val="auto"/>
              </w:rPr>
              <w:t>1.★</w:t>
            </w:r>
            <w:r>
              <w:rPr>
                <w:rFonts w:hint="eastAsia" w:ascii="宋体" w:hAnsi="宋体" w:cs="宋体"/>
                <w:b/>
                <w:bCs/>
                <w:color w:val="auto"/>
              </w:rPr>
              <w:t>交换容量≥336Gbps，包转发率≥50Mpps，投标时提供官网链接及截图复印件并加盖投标人公章</w:t>
            </w:r>
            <w:r>
              <w:rPr>
                <w:rFonts w:hint="eastAsia" w:ascii="宋体" w:hAnsi="宋体" w:cs="宋体"/>
                <w:bCs/>
                <w:color w:val="auto"/>
              </w:rPr>
              <w:t>。</w:t>
            </w:r>
          </w:p>
          <w:p>
            <w:pPr>
              <w:rPr>
                <w:rFonts w:hint="eastAsia" w:ascii="宋体" w:hAnsi="宋体" w:cs="宋体"/>
                <w:bCs/>
                <w:color w:val="auto"/>
              </w:rPr>
            </w:pPr>
            <w:r>
              <w:rPr>
                <w:rFonts w:hint="eastAsia" w:ascii="宋体" w:hAnsi="宋体" w:cs="宋体"/>
                <w:bCs/>
                <w:color w:val="auto"/>
              </w:rPr>
              <w:t>2.24个千兆电口，4个千兆SFP，无风扇，自然散热。</w:t>
            </w:r>
          </w:p>
          <w:p>
            <w:pPr>
              <w:rPr>
                <w:rFonts w:hint="eastAsia" w:ascii="宋体" w:hAnsi="宋体" w:cs="宋体"/>
                <w:bCs/>
                <w:color w:val="auto"/>
              </w:rPr>
            </w:pPr>
            <w:r>
              <w:rPr>
                <w:rFonts w:hint="eastAsia" w:ascii="宋体" w:hAnsi="宋体" w:cs="宋体"/>
                <w:bCs/>
                <w:color w:val="auto"/>
              </w:rPr>
              <w:t>3.支持MAC地址≥16K，支持ARP表项≥4K 。</w:t>
            </w:r>
          </w:p>
          <w:p>
            <w:pPr>
              <w:rPr>
                <w:rFonts w:hint="eastAsia" w:ascii="宋体" w:hAnsi="宋体" w:cs="宋体"/>
                <w:bCs/>
                <w:color w:val="auto"/>
              </w:rPr>
            </w:pPr>
            <w:r>
              <w:rPr>
                <w:rFonts w:hint="eastAsia" w:ascii="宋体" w:hAnsi="宋体" w:cs="宋体"/>
                <w:bCs/>
                <w:color w:val="auto"/>
              </w:rPr>
              <w:t>3.</w:t>
            </w:r>
            <w:r>
              <w:rPr>
                <w:rFonts w:hint="eastAsia" w:ascii="宋体" w:hAnsi="宋体" w:cs="宋体"/>
                <w:bCs/>
                <w:color w:val="auto"/>
              </w:rPr>
              <w:tab/>
            </w:r>
            <w:r>
              <w:rPr>
                <w:rFonts w:hint="eastAsia" w:ascii="宋体" w:hAnsi="宋体" w:cs="宋体"/>
                <w:bCs/>
                <w:color w:val="auto"/>
              </w:rPr>
              <w:t>支持4K个VLAN，支持Voice VLAN，基于端口的VLAN，基于MAC的VLAN，基于协议的VLAN，支持Smart link，支持 1:1 和 N:1 VLAN Mapping 功能。</w:t>
            </w:r>
          </w:p>
          <w:p>
            <w:pPr>
              <w:rPr>
                <w:rFonts w:hint="eastAsia" w:ascii="宋体" w:hAnsi="宋体" w:cs="宋体"/>
                <w:bCs/>
                <w:color w:val="auto"/>
              </w:rPr>
            </w:pPr>
            <w:r>
              <w:rPr>
                <w:rFonts w:hint="eastAsia" w:ascii="宋体" w:hAnsi="宋体" w:cs="宋体"/>
                <w:bCs/>
                <w:color w:val="auto"/>
              </w:rPr>
              <w:t>5.支持RIP、RIPng、OSPF、OSPFv3路由协议。</w:t>
            </w:r>
          </w:p>
          <w:p>
            <w:pPr>
              <w:rPr>
                <w:rFonts w:hint="eastAsia" w:ascii="宋体" w:hAnsi="宋体" w:cs="宋体"/>
                <w:bCs/>
                <w:color w:val="auto"/>
              </w:rPr>
            </w:pPr>
            <w:r>
              <w:rPr>
                <w:rFonts w:hint="eastAsia" w:ascii="宋体" w:hAnsi="宋体" w:cs="宋体"/>
                <w:bCs/>
                <w:color w:val="auto"/>
              </w:rPr>
              <w:t>6.支持IPv4 FIB表项≥4K。</w:t>
            </w:r>
          </w:p>
          <w:p>
            <w:pPr>
              <w:rPr>
                <w:rFonts w:hint="eastAsia" w:ascii="宋体" w:hAnsi="宋体" w:cs="宋体"/>
                <w:bCs/>
                <w:color w:val="auto"/>
              </w:rPr>
            </w:pPr>
            <w:r>
              <w:rPr>
                <w:rFonts w:hint="eastAsia" w:ascii="宋体" w:hAnsi="宋体" w:cs="宋体"/>
                <w:bCs/>
                <w:color w:val="auto"/>
              </w:rPr>
              <w:t>7.支持智能iStack堆叠，将多台支持堆叠特性的交换机组合在一起，从逻辑上虚拟为一台交换机。</w:t>
            </w:r>
          </w:p>
          <w:p>
            <w:pPr>
              <w:rPr>
                <w:rFonts w:hint="eastAsia" w:ascii="宋体" w:hAnsi="宋体" w:cs="宋体"/>
                <w:bCs/>
                <w:color w:val="auto"/>
              </w:rPr>
            </w:pPr>
            <w:r>
              <w:rPr>
                <w:rFonts w:hint="eastAsia" w:ascii="宋体" w:hAnsi="宋体" w:cs="宋体"/>
                <w:bCs/>
                <w:color w:val="auto"/>
              </w:rPr>
              <w:t>8.支持防止DOS、ARP攻击功能、ICMP防攻击，支持端口隔离、端口安全、Sticky MAC，支持 IP、MAC、端口、VLAN的组合绑定。</w:t>
            </w:r>
          </w:p>
          <w:p>
            <w:pPr>
              <w:rPr>
                <w:rFonts w:hint="eastAsia" w:ascii="宋体" w:hAnsi="宋体" w:cs="宋体"/>
                <w:bCs/>
                <w:color w:val="auto"/>
              </w:rPr>
            </w:pPr>
            <w:r>
              <w:rPr>
                <w:rFonts w:hint="eastAsia" w:ascii="宋体" w:hAnsi="宋体" w:cs="宋体"/>
                <w:bCs/>
                <w:color w:val="auto"/>
              </w:rPr>
              <w:t>9.支持DHCPv6 Snooping，DAI，SAVI等安全特性。</w:t>
            </w:r>
          </w:p>
          <w:p>
            <w:pPr>
              <w:rPr>
                <w:rFonts w:hint="eastAsia" w:ascii="宋体" w:hAnsi="宋体" w:cs="宋体"/>
                <w:bCs/>
                <w:color w:val="auto"/>
              </w:rPr>
            </w:pPr>
            <w:r>
              <w:rPr>
                <w:rFonts w:hint="eastAsia" w:ascii="宋体" w:hAnsi="宋体" w:cs="宋体"/>
                <w:bCs/>
                <w:color w:val="auto"/>
              </w:rPr>
              <w:t>10.★</w:t>
            </w:r>
            <w:r>
              <w:rPr>
                <w:rFonts w:hint="eastAsia" w:ascii="宋体" w:hAnsi="宋体" w:cs="宋体"/>
                <w:b/>
                <w:bCs/>
                <w:color w:val="auto"/>
              </w:rPr>
              <w:t>MTBF（平均无故障时间）超过40年，投标时提供官网链接截图复印件并加盖投标人公章</w:t>
            </w:r>
            <w:r>
              <w:rPr>
                <w:rFonts w:hint="eastAsia" w:ascii="宋体" w:hAnsi="宋体" w:cs="宋体"/>
                <w:bCs/>
                <w:color w:val="auto"/>
              </w:rPr>
              <w:t>。</w:t>
            </w:r>
          </w:p>
          <w:p>
            <w:pPr>
              <w:rPr>
                <w:rFonts w:hint="eastAsia" w:ascii="宋体" w:hAnsi="宋体" w:cs="宋体"/>
                <w:bCs/>
                <w:color w:val="auto"/>
              </w:rPr>
            </w:pPr>
            <w:r>
              <w:rPr>
                <w:rFonts w:hint="eastAsia" w:ascii="宋体" w:hAnsi="宋体" w:cs="宋体"/>
                <w:bCs/>
                <w:color w:val="auto"/>
              </w:rPr>
              <w:t>11.★</w:t>
            </w:r>
            <w:r>
              <w:rPr>
                <w:rFonts w:hint="eastAsia" w:ascii="宋体" w:hAnsi="宋体" w:cs="宋体"/>
                <w:b/>
                <w:bCs/>
                <w:color w:val="auto"/>
              </w:rPr>
              <w:t>可用度满足99.999%的电信级可靠性要求，投标时提供官网链接截图复印件并加盖投标人公章</w:t>
            </w:r>
            <w:r>
              <w:rPr>
                <w:rFonts w:hint="eastAsia" w:ascii="宋体" w:hAnsi="宋体" w:cs="宋体"/>
                <w:bCs/>
                <w:color w:val="auto"/>
              </w:rPr>
              <w:t>。</w:t>
            </w:r>
          </w:p>
          <w:p>
            <w:pPr>
              <w:rPr>
                <w:rFonts w:hint="eastAsia" w:ascii="宋体" w:hAnsi="宋体" w:cs="宋体"/>
                <w:bCs/>
                <w:color w:val="auto"/>
              </w:rPr>
            </w:pPr>
            <w:r>
              <w:rPr>
                <w:rFonts w:hint="eastAsia" w:ascii="宋体" w:hAnsi="宋体" w:cs="宋体"/>
                <w:bCs/>
                <w:color w:val="auto"/>
              </w:rPr>
              <w:t>12.支持以太网环网保护协议ERPS，故障倒换时间小于50ms，13.支持纵向虚拟化，作为纵向子节点零配置即插即用</w:t>
            </w:r>
          </w:p>
          <w:p>
            <w:pPr>
              <w:rPr>
                <w:rFonts w:hint="eastAsia" w:ascii="宋体" w:hAnsi="宋体" w:cs="宋体"/>
                <w:bCs/>
                <w:color w:val="auto"/>
              </w:rPr>
            </w:pPr>
            <w:r>
              <w:rPr>
                <w:rFonts w:hint="eastAsia" w:ascii="宋体" w:hAnsi="宋体" w:cs="宋体"/>
                <w:bCs/>
                <w:color w:val="auto"/>
              </w:rPr>
              <w:t>14.★</w:t>
            </w:r>
            <w:r>
              <w:rPr>
                <w:rFonts w:hint="eastAsia" w:ascii="宋体" w:hAnsi="宋体" w:cs="宋体"/>
                <w:b/>
                <w:bCs/>
                <w:color w:val="auto"/>
              </w:rPr>
              <w:t>支持Telemetry技术，配合网络分析组件通过智能故障识别算法对网络数据进行分析，精准展现网络实时状态，并能及时有效地定界故障以及定位故障发生原因，发现影响用户体验的网络问题，精准保障用户体验，投标时提供官网链接及产品彩页截图复印件并加盖投标人公章</w:t>
            </w:r>
            <w:r>
              <w:rPr>
                <w:rFonts w:hint="eastAsia" w:ascii="宋体" w:hAnsi="宋体" w:cs="宋体"/>
                <w:bCs/>
                <w:color w:val="auto"/>
              </w:rPr>
              <w:t>。</w:t>
            </w:r>
          </w:p>
          <w:p>
            <w:pPr>
              <w:rPr>
                <w:rFonts w:hint="eastAsia" w:ascii="宋体" w:hAnsi="宋体" w:cs="宋体"/>
                <w:bCs/>
                <w:color w:val="auto"/>
              </w:rPr>
            </w:pPr>
            <w:r>
              <w:rPr>
                <w:rFonts w:hint="eastAsia" w:ascii="宋体" w:hAnsi="宋体" w:cs="宋体"/>
                <w:bCs/>
                <w:color w:val="auto"/>
              </w:rPr>
              <w:t>15.支持本地管理和云盒两种方式，可以通过云管理平台对交换机进行云端配置、监控、巡检等，减少部署和运维的投入，降低网络的OPEX。</w:t>
            </w:r>
          </w:p>
          <w:p>
            <w:pPr>
              <w:jc w:val="left"/>
              <w:rPr>
                <w:rFonts w:ascii="宋体" w:hAnsi="宋体" w:cs="宋体"/>
                <w:color w:val="auto"/>
                <w:kern w:val="0"/>
              </w:rPr>
            </w:pPr>
            <w:r>
              <w:rPr>
                <w:rFonts w:hint="eastAsia" w:ascii="宋体" w:hAnsi="宋体" w:cs="宋体"/>
                <w:bCs/>
                <w:color w:val="auto"/>
              </w:rPr>
              <w:t>19.支持 802.3az 能效以太网 EEE，节能环保</w:t>
            </w:r>
          </w:p>
        </w:tc>
        <w:tc>
          <w:tcPr>
            <w:tcW w:w="684" w:type="dxa"/>
            <w:noWrap w:val="0"/>
            <w:vAlign w:val="center"/>
          </w:tcPr>
          <w:p>
            <w:pPr>
              <w:jc w:val="center"/>
              <w:rPr>
                <w:rFonts w:ascii="宋体" w:hAnsi="宋体" w:cs="宋体"/>
                <w:color w:val="auto"/>
                <w:kern w:val="0"/>
              </w:rPr>
            </w:pPr>
            <w:r>
              <w:rPr>
                <w:rFonts w:hint="eastAsia" w:ascii="宋体" w:hAnsi="宋体" w:cs="宋体"/>
                <w:color w:val="auto"/>
                <w:kern w:val="0"/>
              </w:rPr>
              <w:t>台</w:t>
            </w:r>
          </w:p>
        </w:tc>
        <w:tc>
          <w:tcPr>
            <w:tcW w:w="732" w:type="dxa"/>
            <w:noWrap w:val="0"/>
            <w:vAlign w:val="center"/>
          </w:tcPr>
          <w:p>
            <w:pPr>
              <w:jc w:val="center"/>
              <w:textAlignment w:val="center"/>
              <w:rPr>
                <w:rFonts w:ascii="宋体" w:hAnsi="宋体" w:cs="宋体"/>
                <w:color w:val="auto"/>
                <w:kern w:val="0"/>
              </w:rPr>
            </w:pPr>
            <w:r>
              <w:rPr>
                <w:rFonts w:hint="eastAsia" w:ascii="宋体" w:hAnsi="宋体" w:cs="宋体"/>
                <w:color w:val="auto"/>
                <w:kern w:val="0"/>
                <w:lang w:bidi="ar"/>
              </w:rPr>
              <w:t>2</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5" w:type="dxa"/>
            <w:noWrap/>
            <w:vAlign w:val="center"/>
          </w:tcPr>
          <w:p>
            <w:pPr>
              <w:jc w:val="center"/>
              <w:rPr>
                <w:rFonts w:hint="eastAsia" w:ascii="宋体" w:hAnsi="宋体" w:eastAsia="宋体" w:cs="宋体"/>
                <w:color w:val="auto"/>
                <w:kern w:val="0"/>
                <w:lang w:eastAsia="zh-CN"/>
              </w:rPr>
            </w:pPr>
            <w:r>
              <w:rPr>
                <w:rFonts w:hint="eastAsia" w:ascii="宋体" w:hAnsi="宋体" w:cs="宋体"/>
                <w:color w:val="auto"/>
                <w:kern w:val="0"/>
                <w:lang w:val="en-US" w:eastAsia="zh-CN"/>
              </w:rPr>
              <w:t>7</w:t>
            </w:r>
          </w:p>
        </w:tc>
        <w:tc>
          <w:tcPr>
            <w:tcW w:w="999" w:type="dxa"/>
            <w:noWrap w:val="0"/>
            <w:vAlign w:val="center"/>
          </w:tcPr>
          <w:p>
            <w:pPr>
              <w:jc w:val="center"/>
              <w:rPr>
                <w:rFonts w:ascii="宋体" w:hAnsi="宋体" w:cs="宋体"/>
                <w:color w:val="auto"/>
                <w:kern w:val="0"/>
              </w:rPr>
            </w:pPr>
            <w:r>
              <w:rPr>
                <w:rFonts w:hint="eastAsia" w:ascii="宋体" w:hAnsi="宋体" w:cs="宋体"/>
                <w:color w:val="auto"/>
                <w:kern w:val="0"/>
              </w:rPr>
              <w:t>光模块</w:t>
            </w:r>
          </w:p>
        </w:tc>
        <w:tc>
          <w:tcPr>
            <w:tcW w:w="5643" w:type="dxa"/>
            <w:noWrap w:val="0"/>
            <w:vAlign w:val="center"/>
          </w:tcPr>
          <w:p>
            <w:pPr>
              <w:jc w:val="left"/>
              <w:rPr>
                <w:rFonts w:ascii="宋体" w:hAnsi="宋体" w:cs="宋体"/>
                <w:color w:val="auto"/>
                <w:kern w:val="0"/>
              </w:rPr>
            </w:pPr>
            <w:r>
              <w:rPr>
                <w:rFonts w:hint="eastAsia" w:ascii="宋体" w:hAnsi="宋体" w:cs="宋体"/>
                <w:color w:val="auto"/>
                <w:kern w:val="0"/>
              </w:rPr>
              <w:t>单模双纤 LC接口</w:t>
            </w:r>
          </w:p>
          <w:p>
            <w:pPr>
              <w:jc w:val="left"/>
              <w:rPr>
                <w:rFonts w:ascii="宋体" w:hAnsi="宋体" w:cs="宋体"/>
                <w:color w:val="auto"/>
                <w:kern w:val="0"/>
              </w:rPr>
            </w:pPr>
            <w:r>
              <w:rPr>
                <w:rFonts w:hint="eastAsia" w:ascii="宋体" w:hAnsi="宋体" w:cs="宋体"/>
                <w:color w:val="auto"/>
                <w:kern w:val="0"/>
              </w:rPr>
              <w:t>1310nm发送，1310nm接收</w:t>
            </w:r>
          </w:p>
          <w:p>
            <w:pPr>
              <w:jc w:val="left"/>
              <w:rPr>
                <w:rFonts w:ascii="宋体" w:hAnsi="宋体" w:cs="宋体"/>
                <w:color w:val="auto"/>
                <w:kern w:val="0"/>
              </w:rPr>
            </w:pPr>
            <w:r>
              <w:rPr>
                <w:rFonts w:hint="eastAsia" w:ascii="宋体" w:hAnsi="宋体" w:cs="宋体"/>
                <w:color w:val="auto"/>
                <w:kern w:val="0"/>
              </w:rPr>
              <w:t>传输距离20Km</w:t>
            </w:r>
          </w:p>
        </w:tc>
        <w:tc>
          <w:tcPr>
            <w:tcW w:w="684" w:type="dxa"/>
            <w:noWrap w:val="0"/>
            <w:vAlign w:val="center"/>
          </w:tcPr>
          <w:p>
            <w:pPr>
              <w:jc w:val="center"/>
              <w:rPr>
                <w:rFonts w:ascii="宋体" w:hAnsi="宋体" w:cs="宋体"/>
                <w:color w:val="auto"/>
                <w:kern w:val="0"/>
              </w:rPr>
            </w:pPr>
            <w:r>
              <w:rPr>
                <w:rFonts w:hint="eastAsia" w:ascii="宋体" w:hAnsi="宋体" w:cs="宋体"/>
                <w:color w:val="auto"/>
                <w:kern w:val="0"/>
              </w:rPr>
              <w:t>个</w:t>
            </w:r>
          </w:p>
        </w:tc>
        <w:tc>
          <w:tcPr>
            <w:tcW w:w="732" w:type="dxa"/>
            <w:noWrap w:val="0"/>
            <w:vAlign w:val="center"/>
          </w:tcPr>
          <w:p>
            <w:pPr>
              <w:jc w:val="center"/>
              <w:textAlignment w:val="center"/>
              <w:rPr>
                <w:rFonts w:ascii="宋体" w:hAnsi="宋体" w:cs="宋体"/>
                <w:color w:val="auto"/>
                <w:kern w:val="0"/>
              </w:rPr>
            </w:pPr>
            <w:r>
              <w:rPr>
                <w:rFonts w:hint="eastAsia" w:ascii="宋体" w:hAnsi="宋体" w:cs="宋体"/>
                <w:color w:val="auto"/>
                <w:kern w:val="0"/>
                <w:lang w:bidi="ar"/>
              </w:rPr>
              <w:t>6</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5" w:type="dxa"/>
            <w:noWrap/>
            <w:vAlign w:val="center"/>
          </w:tcPr>
          <w:p>
            <w:pPr>
              <w:jc w:val="center"/>
              <w:rPr>
                <w:rFonts w:hint="eastAsia" w:ascii="宋体" w:hAnsi="宋体" w:eastAsia="宋体" w:cs="宋体"/>
                <w:color w:val="auto"/>
                <w:kern w:val="0"/>
                <w:lang w:eastAsia="zh-CN"/>
              </w:rPr>
            </w:pPr>
            <w:r>
              <w:rPr>
                <w:rFonts w:hint="eastAsia" w:ascii="宋体" w:hAnsi="宋体" w:cs="宋体"/>
                <w:color w:val="auto"/>
                <w:kern w:val="0"/>
                <w:lang w:val="en-US" w:eastAsia="zh-CN"/>
              </w:rPr>
              <w:t>8</w:t>
            </w:r>
          </w:p>
        </w:tc>
        <w:tc>
          <w:tcPr>
            <w:tcW w:w="999" w:type="dxa"/>
            <w:noWrap w:val="0"/>
            <w:vAlign w:val="center"/>
          </w:tcPr>
          <w:p>
            <w:pPr>
              <w:jc w:val="center"/>
              <w:rPr>
                <w:rFonts w:ascii="宋体" w:hAnsi="宋体" w:cs="宋体"/>
                <w:color w:val="auto"/>
                <w:kern w:val="0"/>
              </w:rPr>
            </w:pPr>
            <w:r>
              <w:rPr>
                <w:rFonts w:hint="eastAsia" w:ascii="宋体" w:hAnsi="宋体" w:cs="宋体"/>
                <w:color w:val="auto"/>
                <w:kern w:val="0"/>
              </w:rPr>
              <w:t>防火墙</w:t>
            </w:r>
          </w:p>
        </w:tc>
        <w:tc>
          <w:tcPr>
            <w:tcW w:w="5643" w:type="dxa"/>
            <w:noWrap w:val="0"/>
            <w:vAlign w:val="center"/>
          </w:tcPr>
          <w:p>
            <w:pPr>
              <w:jc w:val="left"/>
              <w:rPr>
                <w:rFonts w:ascii="宋体" w:hAnsi="宋体" w:cs="宋体"/>
                <w:b/>
                <w:bCs/>
                <w:color w:val="auto"/>
                <w:kern w:val="0"/>
              </w:rPr>
            </w:pPr>
            <w:r>
              <w:rPr>
                <w:rFonts w:hint="eastAsia" w:ascii="宋体" w:hAnsi="宋体" w:cs="宋体"/>
                <w:b/>
                <w:bCs/>
                <w:color w:val="auto"/>
                <w:kern w:val="0"/>
              </w:rPr>
              <w:t>建议品牌：启明星辰、深信服、东软</w:t>
            </w:r>
          </w:p>
          <w:p>
            <w:pPr>
              <w:jc w:val="left"/>
              <w:rPr>
                <w:rFonts w:hint="eastAsia" w:ascii="宋体" w:hAnsi="宋体" w:cs="宋体"/>
                <w:bCs/>
                <w:color w:val="auto"/>
                <w:kern w:val="0"/>
              </w:rPr>
            </w:pPr>
            <w:r>
              <w:rPr>
                <w:rFonts w:hint="eastAsia" w:ascii="宋体" w:hAnsi="宋体" w:cs="宋体"/>
                <w:bCs/>
                <w:color w:val="auto"/>
                <w:kern w:val="0"/>
              </w:rPr>
              <w:t>接口配置:标准桌面型无风扇设备，外置电源；标配4个10/100/1000M Base-TX接口，接口不可扩展；默认支持IPSec VPN；可扩展：IPS模块，AV模块，上网行为管理模块等模块</w:t>
            </w:r>
          </w:p>
          <w:p>
            <w:pPr>
              <w:jc w:val="left"/>
              <w:rPr>
                <w:rFonts w:hint="eastAsia" w:ascii="宋体" w:hAnsi="宋体" w:cs="宋体"/>
                <w:bCs/>
                <w:color w:val="auto"/>
                <w:kern w:val="0"/>
              </w:rPr>
            </w:pPr>
            <w:r>
              <w:rPr>
                <w:rFonts w:hint="eastAsia" w:ascii="宋体" w:hAnsi="宋体" w:cs="宋体"/>
                <w:bCs/>
                <w:color w:val="auto"/>
                <w:kern w:val="0"/>
              </w:rPr>
              <w:t>性能指标:吞吐≧2G，并发≧200万</w:t>
            </w:r>
          </w:p>
          <w:p>
            <w:pPr>
              <w:jc w:val="left"/>
              <w:rPr>
                <w:rFonts w:hint="eastAsia" w:ascii="宋体" w:hAnsi="宋体" w:cs="宋体"/>
                <w:bCs/>
                <w:color w:val="auto"/>
                <w:kern w:val="0"/>
              </w:rPr>
            </w:pPr>
            <w:r>
              <w:rPr>
                <w:rFonts w:hint="eastAsia" w:ascii="宋体" w:hAnsi="宋体" w:cs="宋体"/>
                <w:b/>
                <w:bCs/>
                <w:color w:val="auto"/>
                <w:kern w:val="0"/>
              </w:rPr>
              <w:t>操作系统:★多系统设置可在Web界面上完成全部操作（投标时提供截图证明复印件并加盖投标人公章）</w:t>
            </w:r>
            <w:r>
              <w:rPr>
                <w:rFonts w:hint="eastAsia" w:ascii="宋体" w:hAnsi="宋体" w:cs="宋体"/>
                <w:bCs/>
                <w:color w:val="auto"/>
                <w:kern w:val="0"/>
              </w:rPr>
              <w:t>。</w:t>
            </w:r>
          </w:p>
          <w:p>
            <w:pPr>
              <w:jc w:val="left"/>
              <w:rPr>
                <w:rFonts w:hint="eastAsia" w:ascii="宋体" w:hAnsi="宋体" w:cs="宋体"/>
                <w:bCs/>
                <w:color w:val="auto"/>
                <w:kern w:val="0"/>
              </w:rPr>
            </w:pPr>
            <w:r>
              <w:rPr>
                <w:rFonts w:hint="eastAsia" w:ascii="宋体" w:hAnsi="宋体" w:cs="宋体"/>
                <w:bCs/>
                <w:color w:val="auto"/>
                <w:kern w:val="0"/>
              </w:rPr>
              <w:tab/>
            </w:r>
            <w:r>
              <w:rPr>
                <w:rFonts w:hint="eastAsia" w:ascii="宋体" w:hAnsi="宋体" w:cs="宋体"/>
                <w:b/>
                <w:bCs/>
                <w:color w:val="auto"/>
                <w:kern w:val="0"/>
              </w:rPr>
              <w:t>★支持按功能模块的配置导入导出功能（投标时提供截图证明复印件并加盖投标人公章）</w:t>
            </w:r>
            <w:r>
              <w:rPr>
                <w:rFonts w:hint="eastAsia" w:ascii="宋体" w:hAnsi="宋体" w:cs="宋体"/>
                <w:bCs/>
                <w:color w:val="auto"/>
                <w:kern w:val="0"/>
              </w:rPr>
              <w:t>。</w:t>
            </w:r>
          </w:p>
          <w:p>
            <w:pPr>
              <w:jc w:val="left"/>
              <w:rPr>
                <w:rFonts w:hint="eastAsia" w:ascii="宋体" w:hAnsi="宋体" w:cs="宋体"/>
                <w:bCs/>
                <w:color w:val="auto"/>
                <w:kern w:val="0"/>
              </w:rPr>
            </w:pPr>
            <w:r>
              <w:rPr>
                <w:rFonts w:hint="eastAsia" w:ascii="宋体" w:hAnsi="宋体" w:cs="宋体"/>
                <w:bCs/>
                <w:color w:val="auto"/>
                <w:kern w:val="0"/>
              </w:rPr>
              <w:t>模版式配置管理:</w:t>
            </w:r>
            <w:r>
              <w:rPr>
                <w:rFonts w:hint="eastAsia" w:ascii="宋体" w:hAnsi="宋体" w:cs="宋体"/>
                <w:b/>
                <w:bCs/>
                <w:color w:val="auto"/>
                <w:kern w:val="0"/>
              </w:rPr>
              <w:t>★支持系统主要防护功能的统一化模版设置，模版分为高、中、低三个级别，分别对应不同防护强度，可通过Web界面单击选择切换及通过外置按键一键切换（投标时提供截图证明复印件并加盖投标人公章）</w:t>
            </w:r>
          </w:p>
          <w:p>
            <w:pPr>
              <w:jc w:val="left"/>
              <w:rPr>
                <w:rFonts w:hint="eastAsia" w:ascii="宋体" w:hAnsi="宋体" w:cs="宋体"/>
                <w:bCs/>
                <w:color w:val="auto"/>
                <w:kern w:val="0"/>
              </w:rPr>
            </w:pPr>
            <w:r>
              <w:rPr>
                <w:rFonts w:hint="eastAsia" w:ascii="宋体" w:hAnsi="宋体" w:cs="宋体"/>
                <w:bCs/>
                <w:color w:val="auto"/>
                <w:kern w:val="0"/>
              </w:rPr>
              <w:t>网络适应性:支持静态路由，动态路由（OSPF、RIP、BGP、ISIS等），VLAN间路由，单臂路由，组播路由等。</w:t>
            </w:r>
          </w:p>
          <w:p>
            <w:pPr>
              <w:jc w:val="left"/>
              <w:rPr>
                <w:rFonts w:hint="eastAsia" w:ascii="宋体" w:hAnsi="宋体" w:cs="宋体"/>
                <w:bCs/>
                <w:color w:val="auto"/>
                <w:kern w:val="0"/>
              </w:rPr>
            </w:pPr>
            <w:r>
              <w:rPr>
                <w:rFonts w:hint="eastAsia" w:ascii="宋体" w:hAnsi="宋体" w:cs="宋体"/>
                <w:bCs/>
                <w:color w:val="auto"/>
                <w:kern w:val="0"/>
              </w:rPr>
              <w:tab/>
            </w:r>
            <w:r>
              <w:rPr>
                <w:rFonts w:hint="eastAsia" w:ascii="宋体" w:hAnsi="宋体" w:cs="宋体"/>
                <w:bCs/>
                <w:color w:val="auto"/>
                <w:kern w:val="0"/>
              </w:rPr>
              <w:t>支持基于应用的策略路由，可实现为不同的应用类型智能选择相应的链路</w:t>
            </w:r>
          </w:p>
          <w:p>
            <w:pPr>
              <w:jc w:val="left"/>
              <w:rPr>
                <w:rFonts w:hint="eastAsia" w:ascii="宋体" w:hAnsi="宋体" w:cs="宋体"/>
                <w:bCs/>
                <w:color w:val="auto"/>
                <w:kern w:val="0"/>
              </w:rPr>
            </w:pPr>
            <w:r>
              <w:rPr>
                <w:rFonts w:hint="eastAsia" w:ascii="宋体" w:hAnsi="宋体" w:cs="宋体"/>
                <w:bCs/>
                <w:color w:val="auto"/>
                <w:kern w:val="0"/>
              </w:rPr>
              <w:tab/>
            </w:r>
            <w:r>
              <w:rPr>
                <w:rFonts w:hint="eastAsia" w:ascii="宋体" w:hAnsi="宋体" w:cs="宋体"/>
                <w:bCs/>
                <w:color w:val="auto"/>
                <w:kern w:val="0"/>
              </w:rPr>
              <w:t>支持基于 WEB地址URL的策略路由，可实现将不同类型的网站流量智能分配到不同的链路</w:t>
            </w:r>
          </w:p>
          <w:p>
            <w:pPr>
              <w:jc w:val="left"/>
              <w:rPr>
                <w:rFonts w:hint="eastAsia" w:ascii="宋体" w:hAnsi="宋体" w:cs="宋体"/>
                <w:bCs/>
                <w:color w:val="auto"/>
                <w:kern w:val="0"/>
              </w:rPr>
            </w:pPr>
            <w:r>
              <w:rPr>
                <w:rFonts w:hint="eastAsia" w:ascii="宋体" w:hAnsi="宋体" w:cs="宋体"/>
                <w:bCs/>
                <w:color w:val="auto"/>
                <w:kern w:val="0"/>
              </w:rPr>
              <w:tab/>
            </w:r>
            <w:r>
              <w:rPr>
                <w:rFonts w:hint="eastAsia" w:ascii="宋体" w:hAnsi="宋体" w:cs="宋体"/>
                <w:bCs/>
                <w:color w:val="auto"/>
                <w:kern w:val="0"/>
              </w:rPr>
              <w:t>支持基于文件类型的策略路由，可实现将预定义或者自定义的文件按照不同的分类进行智能选路</w:t>
            </w:r>
          </w:p>
          <w:p>
            <w:pPr>
              <w:jc w:val="left"/>
              <w:rPr>
                <w:rFonts w:hint="eastAsia" w:ascii="宋体" w:hAnsi="宋体" w:cs="宋体"/>
                <w:bCs/>
                <w:color w:val="auto"/>
                <w:kern w:val="0"/>
              </w:rPr>
            </w:pPr>
            <w:r>
              <w:rPr>
                <w:rFonts w:hint="eastAsia" w:ascii="宋体" w:hAnsi="宋体" w:cs="宋体"/>
                <w:bCs/>
                <w:color w:val="auto"/>
                <w:kern w:val="0"/>
              </w:rPr>
              <w:tab/>
            </w:r>
            <w:r>
              <w:rPr>
                <w:rFonts w:hint="eastAsia" w:ascii="宋体" w:hAnsi="宋体" w:cs="宋体"/>
                <w:bCs/>
                <w:color w:val="auto"/>
                <w:kern w:val="0"/>
              </w:rPr>
              <w:t>可支持多出口路由情况下的默认路由备份、负载均衡。</w:t>
            </w:r>
          </w:p>
          <w:p>
            <w:pPr>
              <w:jc w:val="left"/>
              <w:rPr>
                <w:rFonts w:hint="eastAsia" w:ascii="宋体" w:hAnsi="宋体" w:cs="宋体"/>
                <w:b/>
                <w:bCs/>
                <w:color w:val="auto"/>
                <w:kern w:val="0"/>
              </w:rPr>
            </w:pPr>
            <w:r>
              <w:rPr>
                <w:rFonts w:hint="eastAsia" w:ascii="宋体" w:hAnsi="宋体" w:cs="宋体"/>
                <w:bCs/>
                <w:color w:val="auto"/>
                <w:kern w:val="0"/>
              </w:rPr>
              <w:tab/>
            </w:r>
            <w:r>
              <w:rPr>
                <w:rFonts w:hint="eastAsia" w:ascii="宋体" w:hAnsi="宋体" w:cs="宋体"/>
                <w:b/>
                <w:bCs/>
                <w:color w:val="auto"/>
                <w:kern w:val="0"/>
              </w:rPr>
              <w:t>★支持ISP路由，支持联通、电信、教育网、移动等ISP服务商地址列表，列表可导出及导入，可通过Web界面选择不同的ISP服务商实现快速切换（投标时提供截图证明复印件并加盖投标人公章）。</w:t>
            </w:r>
          </w:p>
          <w:p>
            <w:pPr>
              <w:jc w:val="left"/>
              <w:rPr>
                <w:rFonts w:hint="eastAsia" w:ascii="宋体" w:hAnsi="宋体" w:cs="宋体"/>
                <w:bCs/>
                <w:color w:val="auto"/>
                <w:kern w:val="0"/>
              </w:rPr>
            </w:pPr>
            <w:r>
              <w:rPr>
                <w:rFonts w:hint="eastAsia" w:ascii="宋体" w:hAnsi="宋体" w:cs="宋体"/>
                <w:bCs/>
                <w:color w:val="auto"/>
                <w:kern w:val="0"/>
              </w:rPr>
              <w:t>网络访问控制:★支持一体化安全策略配置，可以通过一条策略实现用户认证、IPS、AV、URL过滤、协议控制、流量控制、并发、新建限制、垃圾邮件过滤、审计等功能,简化用户管理（投标时提供截图证明复印件并加盖投标人公章）。</w:t>
            </w:r>
          </w:p>
          <w:p>
            <w:pPr>
              <w:jc w:val="left"/>
              <w:rPr>
                <w:rFonts w:hint="eastAsia" w:ascii="宋体" w:hAnsi="宋体" w:cs="宋体"/>
                <w:bCs/>
                <w:color w:val="auto"/>
                <w:kern w:val="0"/>
              </w:rPr>
            </w:pPr>
            <w:r>
              <w:rPr>
                <w:rFonts w:hint="eastAsia" w:ascii="宋体" w:hAnsi="宋体" w:cs="宋体"/>
                <w:bCs/>
                <w:color w:val="auto"/>
                <w:kern w:val="0"/>
              </w:rPr>
              <w:tab/>
            </w:r>
            <w:r>
              <w:rPr>
                <w:rFonts w:hint="eastAsia" w:ascii="宋体" w:hAnsi="宋体" w:cs="宋体"/>
                <w:bCs/>
                <w:color w:val="auto"/>
                <w:kern w:val="0"/>
              </w:rPr>
              <w:t>支持同一个地址对象中可以包含IP、IP段、IP range、排除地址等多种类型</w:t>
            </w:r>
          </w:p>
          <w:p>
            <w:pPr>
              <w:jc w:val="left"/>
              <w:rPr>
                <w:rFonts w:hint="eastAsia" w:ascii="宋体" w:hAnsi="宋体" w:cs="宋体"/>
                <w:bCs/>
                <w:color w:val="auto"/>
                <w:kern w:val="0"/>
              </w:rPr>
            </w:pPr>
            <w:r>
              <w:rPr>
                <w:rFonts w:hint="eastAsia" w:ascii="宋体" w:hAnsi="宋体" w:cs="宋体"/>
                <w:bCs/>
                <w:color w:val="auto"/>
                <w:kern w:val="0"/>
              </w:rPr>
              <w:tab/>
            </w:r>
            <w:r>
              <w:rPr>
                <w:rFonts w:hint="eastAsia" w:ascii="宋体" w:hAnsi="宋体" w:cs="宋体"/>
                <w:bCs/>
                <w:color w:val="auto"/>
                <w:kern w:val="0"/>
              </w:rPr>
              <w:t>支持策略命中数显示，并支持通过安全策略命中数范围查询</w:t>
            </w:r>
          </w:p>
          <w:p>
            <w:pPr>
              <w:jc w:val="left"/>
              <w:rPr>
                <w:rFonts w:hint="eastAsia" w:ascii="宋体" w:hAnsi="宋体" w:cs="宋体"/>
                <w:bCs/>
                <w:color w:val="auto"/>
                <w:kern w:val="0"/>
              </w:rPr>
            </w:pPr>
            <w:r>
              <w:rPr>
                <w:rFonts w:hint="eastAsia" w:ascii="宋体" w:hAnsi="宋体" w:cs="宋体"/>
                <w:bCs/>
                <w:color w:val="auto"/>
                <w:kern w:val="0"/>
              </w:rPr>
              <w:t>IPSEC VPN:支持3DES、DES、AES128、AES256等加密算法，支持DH1、DH2、DH5、DH14等DH组，RSA1024、RSA2048等非对称加密算法，以及MD5、SHA1、SHA2等通用摘要算法。</w:t>
            </w:r>
          </w:p>
          <w:p>
            <w:pPr>
              <w:jc w:val="left"/>
              <w:rPr>
                <w:rFonts w:hint="eastAsia" w:ascii="宋体" w:hAnsi="宋体" w:cs="宋体"/>
                <w:b/>
                <w:bCs/>
                <w:color w:val="auto"/>
                <w:kern w:val="0"/>
              </w:rPr>
            </w:pPr>
            <w:r>
              <w:rPr>
                <w:rFonts w:hint="eastAsia" w:ascii="宋体" w:hAnsi="宋体" w:cs="宋体"/>
                <w:bCs/>
                <w:color w:val="auto"/>
                <w:kern w:val="0"/>
              </w:rPr>
              <w:tab/>
            </w:r>
            <w:r>
              <w:rPr>
                <w:rFonts w:hint="eastAsia" w:ascii="宋体" w:hAnsi="宋体" w:cs="宋体"/>
                <w:bCs/>
                <w:color w:val="auto"/>
                <w:kern w:val="0"/>
              </w:rPr>
              <w:t>★</w:t>
            </w:r>
            <w:r>
              <w:rPr>
                <w:rFonts w:hint="eastAsia" w:ascii="宋体" w:hAnsi="宋体" w:cs="宋体"/>
                <w:b/>
                <w:bCs/>
                <w:color w:val="auto"/>
                <w:kern w:val="0"/>
              </w:rPr>
              <w:t>支持DMVPN，在增加一个新的分支节点网关后，不需要在中心网关更改任何配置，且支持路由推送，实现spoke to spoke互通，不必建立额外隧道（投标时提供截图证明复印件并加盖投标人公章）。</w:t>
            </w:r>
          </w:p>
          <w:p>
            <w:pPr>
              <w:jc w:val="left"/>
              <w:rPr>
                <w:rFonts w:hint="eastAsia" w:ascii="宋体" w:hAnsi="宋体" w:cs="宋体"/>
                <w:bCs/>
                <w:color w:val="auto"/>
                <w:kern w:val="0"/>
              </w:rPr>
            </w:pPr>
            <w:r>
              <w:rPr>
                <w:rFonts w:hint="eastAsia" w:ascii="宋体" w:hAnsi="宋体" w:cs="宋体"/>
                <w:bCs/>
                <w:color w:val="auto"/>
                <w:kern w:val="0"/>
              </w:rPr>
              <w:t>抗拒绝服务攻击</w:t>
            </w:r>
            <w:r>
              <w:rPr>
                <w:rFonts w:hint="eastAsia" w:ascii="宋体" w:hAnsi="宋体" w:cs="宋体"/>
                <w:bCs/>
                <w:color w:val="auto"/>
                <w:kern w:val="0"/>
              </w:rPr>
              <w:tab/>
            </w:r>
            <w:r>
              <w:rPr>
                <w:rFonts w:hint="eastAsia" w:ascii="宋体" w:hAnsi="宋体" w:cs="宋体"/>
                <w:bCs/>
                <w:color w:val="auto"/>
                <w:kern w:val="0"/>
              </w:rPr>
              <w:t>支持主流ICMPFLOOD\SYNFLOOD\ACKFLOOD\SYNACKFLOOD\UDPFLOOD攻击防护，采用专业高效攻击防护算法，非采用简单的阈值进行攻击防护</w:t>
            </w:r>
          </w:p>
          <w:p>
            <w:pPr>
              <w:jc w:val="left"/>
              <w:rPr>
                <w:rFonts w:hint="eastAsia" w:ascii="宋体" w:hAnsi="宋体" w:cs="宋体"/>
                <w:bCs/>
                <w:color w:val="auto"/>
                <w:kern w:val="0"/>
              </w:rPr>
            </w:pPr>
            <w:r>
              <w:rPr>
                <w:rFonts w:hint="eastAsia" w:ascii="宋体" w:hAnsi="宋体" w:cs="宋体"/>
                <w:bCs/>
                <w:color w:val="auto"/>
                <w:kern w:val="0"/>
              </w:rPr>
              <w:tab/>
            </w:r>
            <w:r>
              <w:rPr>
                <w:rFonts w:hint="eastAsia" w:ascii="宋体" w:hAnsi="宋体" w:cs="宋体"/>
                <w:bCs/>
                <w:color w:val="auto"/>
                <w:kern w:val="0"/>
              </w:rPr>
              <w:t>以上主流的功能，支持基于源IP限速、基于特征过滤系数、聚类限速系数、重传检测、自学习白名单等多种防御机制。</w:t>
            </w:r>
          </w:p>
          <w:p>
            <w:pPr>
              <w:jc w:val="left"/>
              <w:rPr>
                <w:rFonts w:hint="eastAsia" w:ascii="宋体" w:hAnsi="宋体" w:cs="宋体"/>
                <w:bCs/>
                <w:color w:val="auto"/>
                <w:kern w:val="0"/>
              </w:rPr>
            </w:pPr>
            <w:r>
              <w:rPr>
                <w:rFonts w:hint="eastAsia" w:ascii="宋体" w:hAnsi="宋体" w:cs="宋体"/>
                <w:bCs/>
                <w:color w:val="auto"/>
                <w:kern w:val="0"/>
              </w:rPr>
              <w:tab/>
            </w:r>
            <w:r>
              <w:rPr>
                <w:rFonts w:hint="eastAsia" w:ascii="宋体" w:hAnsi="宋体" w:cs="宋体"/>
                <w:bCs/>
                <w:color w:val="auto"/>
                <w:kern w:val="0"/>
              </w:rPr>
              <w:t>★</w:t>
            </w:r>
            <w:r>
              <w:rPr>
                <w:rFonts w:hint="eastAsia" w:ascii="宋体" w:hAnsi="宋体" w:cs="宋体"/>
                <w:b/>
                <w:bCs/>
                <w:color w:val="auto"/>
                <w:kern w:val="0"/>
              </w:rPr>
              <w:t>支持专业的DNSflood攻击防护，具有高级的基于聚类限速、聚类分析、重传检测等多种高级防护算法（投标时提供截图证明复印件并加盖投标人公章）</w:t>
            </w:r>
            <w:r>
              <w:rPr>
                <w:rFonts w:hint="eastAsia" w:ascii="宋体" w:hAnsi="宋体" w:cs="宋体"/>
                <w:bCs/>
                <w:color w:val="auto"/>
                <w:kern w:val="0"/>
              </w:rPr>
              <w:t>。</w:t>
            </w:r>
          </w:p>
          <w:p>
            <w:pPr>
              <w:jc w:val="left"/>
              <w:rPr>
                <w:rFonts w:hint="eastAsia" w:ascii="宋体" w:hAnsi="宋体" w:cs="宋体"/>
                <w:b/>
                <w:bCs/>
                <w:color w:val="auto"/>
                <w:kern w:val="0"/>
              </w:rPr>
            </w:pPr>
            <w:r>
              <w:rPr>
                <w:rFonts w:hint="eastAsia" w:ascii="宋体" w:hAnsi="宋体" w:cs="宋体"/>
                <w:bCs/>
                <w:color w:val="auto"/>
                <w:kern w:val="0"/>
              </w:rPr>
              <w:tab/>
            </w:r>
            <w:r>
              <w:rPr>
                <w:rFonts w:hint="eastAsia" w:ascii="宋体" w:hAnsi="宋体" w:cs="宋体"/>
                <w:bCs/>
                <w:color w:val="auto"/>
                <w:kern w:val="0"/>
              </w:rPr>
              <w:t>★</w:t>
            </w:r>
            <w:r>
              <w:rPr>
                <w:rFonts w:hint="eastAsia" w:ascii="宋体" w:hAnsi="宋体" w:cs="宋体"/>
                <w:b/>
                <w:bCs/>
                <w:color w:val="auto"/>
                <w:kern w:val="0"/>
              </w:rPr>
              <w:t>支持专业的HTTP Flood攻击防护；可以实现get和post的攻击防护，且get防护算法支持4类；支持独立url处理动作；以上防护功能均可以基于聚类分析、可信度、回探等多种防御机制（投标时提供截图证明复印件并加盖投标人公章）。</w:t>
            </w:r>
          </w:p>
          <w:p>
            <w:pPr>
              <w:jc w:val="left"/>
              <w:rPr>
                <w:rFonts w:hint="eastAsia" w:ascii="宋体" w:hAnsi="宋体" w:cs="宋体"/>
                <w:b/>
                <w:bCs/>
                <w:color w:val="auto"/>
                <w:kern w:val="0"/>
              </w:rPr>
            </w:pPr>
            <w:r>
              <w:rPr>
                <w:rFonts w:hint="eastAsia" w:ascii="宋体" w:hAnsi="宋体" w:cs="宋体"/>
                <w:b/>
                <w:bCs/>
                <w:color w:val="auto"/>
                <w:kern w:val="0"/>
              </w:rPr>
              <w:tab/>
            </w:r>
            <w:r>
              <w:rPr>
                <w:rFonts w:hint="eastAsia" w:ascii="宋体" w:hAnsi="宋体" w:cs="宋体"/>
                <w:b/>
                <w:bCs/>
                <w:color w:val="auto"/>
                <w:kern w:val="0"/>
              </w:rPr>
              <w:t>★支持web界面下对攻击流量进行抓包分析，支持自定义抓包参数，至少包括数据报文长度、报文数量、抓包时间及采样频率等基本参数；支持根据协议、源目的IP、端口等参数进行数据报文过滤（投标时提供截图证明复印件并加盖投标人公章）。</w:t>
            </w:r>
          </w:p>
          <w:p>
            <w:pPr>
              <w:jc w:val="left"/>
              <w:rPr>
                <w:rFonts w:hint="eastAsia" w:ascii="宋体" w:hAnsi="宋体" w:cs="宋体"/>
                <w:bCs/>
                <w:color w:val="auto"/>
                <w:kern w:val="0"/>
              </w:rPr>
            </w:pPr>
            <w:r>
              <w:rPr>
                <w:rFonts w:hint="eastAsia" w:ascii="宋体" w:hAnsi="宋体" w:cs="宋体"/>
                <w:bCs/>
                <w:color w:val="auto"/>
                <w:kern w:val="0"/>
              </w:rPr>
              <w:tab/>
            </w:r>
            <w:r>
              <w:rPr>
                <w:rFonts w:hint="eastAsia" w:ascii="宋体" w:hAnsi="宋体" w:cs="宋体"/>
                <w:bCs/>
                <w:color w:val="auto"/>
                <w:kern w:val="0"/>
              </w:rPr>
              <w:t>支持对本地抓包文件的管理，包括下载、删除等操作，同时支持FTP方式将抓包文件上传至指定的FTP服务器中。</w:t>
            </w:r>
          </w:p>
          <w:p>
            <w:pPr>
              <w:jc w:val="left"/>
              <w:rPr>
                <w:rFonts w:hint="eastAsia" w:ascii="宋体" w:hAnsi="宋体" w:cs="宋体"/>
                <w:bCs/>
                <w:color w:val="auto"/>
                <w:kern w:val="0"/>
              </w:rPr>
            </w:pPr>
            <w:r>
              <w:rPr>
                <w:rFonts w:hint="eastAsia" w:ascii="宋体" w:hAnsi="宋体" w:cs="宋体"/>
                <w:bCs/>
                <w:color w:val="auto"/>
                <w:kern w:val="0"/>
              </w:rPr>
              <w:t>流量控制与优化</w:t>
            </w:r>
            <w:r>
              <w:rPr>
                <w:rFonts w:hint="eastAsia" w:ascii="宋体" w:hAnsi="宋体" w:cs="宋体"/>
                <w:bCs/>
                <w:color w:val="auto"/>
                <w:kern w:val="0"/>
              </w:rPr>
              <w:tab/>
            </w:r>
            <w:r>
              <w:rPr>
                <w:rFonts w:hint="eastAsia" w:ascii="宋体" w:hAnsi="宋体" w:cs="宋体"/>
                <w:bCs/>
                <w:color w:val="auto"/>
                <w:kern w:val="0"/>
              </w:rPr>
              <w:t>支持针对文件类型进行流量管理，至少支持6类如：电影类、音乐类、图片类、文本类、压缩类、应用程序类等。可以针对不同类型的文件配置不同的流量管理规则。</w:t>
            </w:r>
          </w:p>
          <w:p>
            <w:pPr>
              <w:ind w:firstLine="420" w:firstLineChars="200"/>
              <w:jc w:val="left"/>
              <w:rPr>
                <w:rFonts w:ascii="宋体" w:hAnsi="宋体" w:cs="宋体"/>
                <w:color w:val="auto"/>
                <w:kern w:val="0"/>
              </w:rPr>
            </w:pPr>
            <w:r>
              <w:rPr>
                <w:rFonts w:hint="eastAsia" w:ascii="宋体" w:hAnsi="宋体" w:cs="宋体"/>
                <w:bCs/>
                <w:color w:val="auto"/>
                <w:kern w:val="0"/>
              </w:rPr>
              <w:t>支持自定义分类，并可以手动添加文件类型到分类组中。包括针对文件类型单独设置最大带宽、保证带宽、协议流量优先级等</w:t>
            </w:r>
          </w:p>
        </w:tc>
        <w:tc>
          <w:tcPr>
            <w:tcW w:w="684" w:type="dxa"/>
            <w:noWrap w:val="0"/>
            <w:vAlign w:val="center"/>
          </w:tcPr>
          <w:p>
            <w:pPr>
              <w:jc w:val="center"/>
              <w:rPr>
                <w:rFonts w:ascii="宋体" w:hAnsi="宋体" w:cs="宋体"/>
                <w:color w:val="auto"/>
                <w:kern w:val="0"/>
              </w:rPr>
            </w:pPr>
            <w:r>
              <w:rPr>
                <w:rFonts w:hint="eastAsia" w:ascii="宋体" w:hAnsi="宋体" w:cs="宋体"/>
                <w:color w:val="auto"/>
                <w:kern w:val="0"/>
              </w:rPr>
              <w:t>台</w:t>
            </w:r>
          </w:p>
        </w:tc>
        <w:tc>
          <w:tcPr>
            <w:tcW w:w="732" w:type="dxa"/>
            <w:noWrap w:val="0"/>
            <w:vAlign w:val="center"/>
          </w:tcPr>
          <w:p>
            <w:pPr>
              <w:jc w:val="center"/>
              <w:textAlignment w:val="center"/>
              <w:rPr>
                <w:rFonts w:ascii="宋体" w:hAnsi="宋体" w:cs="宋体"/>
                <w:color w:val="auto"/>
                <w:kern w:val="0"/>
              </w:rPr>
            </w:pPr>
            <w:r>
              <w:rPr>
                <w:rFonts w:hint="eastAsia" w:ascii="宋体" w:hAnsi="宋体" w:cs="宋体"/>
                <w:color w:val="auto"/>
                <w:kern w:val="0"/>
                <w:lang w:bidi="ar"/>
              </w:rPr>
              <w:t>1</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45" w:type="dxa"/>
            <w:noWrap/>
            <w:vAlign w:val="center"/>
          </w:tcPr>
          <w:p>
            <w:pPr>
              <w:jc w:val="center"/>
              <w:rPr>
                <w:rFonts w:hint="eastAsia" w:ascii="宋体" w:hAnsi="宋体" w:eastAsia="宋体" w:cs="宋体"/>
                <w:color w:val="auto"/>
                <w:kern w:val="0"/>
                <w:lang w:eastAsia="zh-CN"/>
              </w:rPr>
            </w:pPr>
            <w:r>
              <w:rPr>
                <w:rFonts w:hint="eastAsia" w:ascii="宋体" w:hAnsi="宋体" w:cs="宋体"/>
                <w:color w:val="auto"/>
                <w:kern w:val="0"/>
                <w:lang w:val="en-US" w:eastAsia="zh-CN"/>
              </w:rPr>
              <w:t>9</w:t>
            </w:r>
          </w:p>
        </w:tc>
        <w:tc>
          <w:tcPr>
            <w:tcW w:w="999" w:type="dxa"/>
            <w:noWrap w:val="0"/>
            <w:vAlign w:val="center"/>
          </w:tcPr>
          <w:p>
            <w:pPr>
              <w:jc w:val="center"/>
              <w:rPr>
                <w:rFonts w:ascii="宋体" w:hAnsi="宋体" w:cs="宋体"/>
                <w:color w:val="auto"/>
                <w:kern w:val="0"/>
              </w:rPr>
            </w:pPr>
            <w:r>
              <w:rPr>
                <w:rFonts w:hint="eastAsia" w:ascii="宋体" w:hAnsi="宋体" w:cs="宋体"/>
                <w:color w:val="auto"/>
                <w:kern w:val="0"/>
              </w:rPr>
              <w:t>室外机箱</w:t>
            </w:r>
          </w:p>
        </w:tc>
        <w:tc>
          <w:tcPr>
            <w:tcW w:w="5643" w:type="dxa"/>
            <w:noWrap w:val="0"/>
            <w:vAlign w:val="center"/>
          </w:tcPr>
          <w:p>
            <w:pPr>
              <w:jc w:val="left"/>
              <w:rPr>
                <w:rFonts w:ascii="宋体" w:hAnsi="宋体" w:cs="宋体"/>
                <w:color w:val="auto"/>
                <w:kern w:val="0"/>
              </w:rPr>
            </w:pPr>
            <w:r>
              <w:rPr>
                <w:rFonts w:hint="eastAsia" w:ascii="宋体" w:hAnsi="宋体" w:cs="宋体"/>
                <w:color w:val="auto"/>
                <w:kern w:val="0"/>
              </w:rPr>
              <w:t>内配10A自动重合闸、扦座、熔纤盘、接地排、接线端子</w:t>
            </w:r>
          </w:p>
        </w:tc>
        <w:tc>
          <w:tcPr>
            <w:tcW w:w="684" w:type="dxa"/>
            <w:noWrap w:val="0"/>
            <w:vAlign w:val="center"/>
          </w:tcPr>
          <w:p>
            <w:pPr>
              <w:jc w:val="center"/>
              <w:rPr>
                <w:rFonts w:ascii="宋体" w:hAnsi="宋体" w:cs="宋体"/>
                <w:color w:val="auto"/>
                <w:kern w:val="0"/>
              </w:rPr>
            </w:pPr>
            <w:r>
              <w:rPr>
                <w:rFonts w:hint="eastAsia" w:ascii="宋体" w:hAnsi="宋体" w:cs="宋体"/>
                <w:color w:val="auto"/>
                <w:kern w:val="0"/>
              </w:rPr>
              <w:t>套</w:t>
            </w:r>
          </w:p>
        </w:tc>
        <w:tc>
          <w:tcPr>
            <w:tcW w:w="732" w:type="dxa"/>
            <w:noWrap w:val="0"/>
            <w:vAlign w:val="center"/>
          </w:tcPr>
          <w:p>
            <w:pPr>
              <w:jc w:val="center"/>
              <w:textAlignment w:val="center"/>
              <w:rPr>
                <w:rFonts w:ascii="宋体" w:hAnsi="宋体" w:cs="宋体"/>
                <w:color w:val="auto"/>
                <w:kern w:val="0"/>
              </w:rPr>
            </w:pPr>
            <w:r>
              <w:rPr>
                <w:rFonts w:hint="eastAsia" w:ascii="宋体" w:hAnsi="宋体" w:cs="宋体"/>
                <w:color w:val="auto"/>
                <w:kern w:val="0"/>
                <w:lang w:bidi="ar"/>
              </w:rPr>
              <w:t>4</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45" w:type="dxa"/>
            <w:noWrap/>
            <w:vAlign w:val="center"/>
          </w:tcPr>
          <w:p>
            <w:pPr>
              <w:jc w:val="center"/>
              <w:rPr>
                <w:rFonts w:hint="eastAsia" w:ascii="宋体" w:hAnsi="宋体" w:eastAsia="宋体" w:cs="宋体"/>
                <w:color w:val="auto"/>
                <w:kern w:val="0"/>
                <w:lang w:eastAsia="zh-CN"/>
              </w:rPr>
            </w:pPr>
            <w:r>
              <w:rPr>
                <w:rFonts w:hint="eastAsia" w:ascii="宋体" w:hAnsi="宋体" w:cs="宋体"/>
                <w:color w:val="auto"/>
                <w:kern w:val="0"/>
              </w:rPr>
              <w:t>1</w:t>
            </w:r>
            <w:r>
              <w:rPr>
                <w:rFonts w:hint="eastAsia" w:ascii="宋体" w:hAnsi="宋体" w:cs="宋体"/>
                <w:color w:val="auto"/>
                <w:kern w:val="0"/>
                <w:lang w:val="en-US" w:eastAsia="zh-CN"/>
              </w:rPr>
              <w:t>0</w:t>
            </w:r>
          </w:p>
        </w:tc>
        <w:tc>
          <w:tcPr>
            <w:tcW w:w="999" w:type="dxa"/>
            <w:noWrap w:val="0"/>
            <w:vAlign w:val="center"/>
          </w:tcPr>
          <w:p>
            <w:pPr>
              <w:jc w:val="center"/>
              <w:rPr>
                <w:rFonts w:ascii="宋体" w:hAnsi="宋体" w:cs="宋体"/>
                <w:color w:val="auto"/>
                <w:kern w:val="0"/>
              </w:rPr>
            </w:pPr>
            <w:r>
              <w:rPr>
                <w:rFonts w:hint="eastAsia" w:ascii="宋体" w:hAnsi="宋体" w:cs="宋体"/>
                <w:color w:val="auto"/>
                <w:kern w:val="0"/>
              </w:rPr>
              <w:t>配套部分</w:t>
            </w:r>
          </w:p>
        </w:tc>
        <w:tc>
          <w:tcPr>
            <w:tcW w:w="5643" w:type="dxa"/>
            <w:noWrap w:val="0"/>
            <w:vAlign w:val="center"/>
          </w:tcPr>
          <w:p>
            <w:pPr>
              <w:jc w:val="left"/>
              <w:rPr>
                <w:rFonts w:ascii="宋体" w:hAnsi="宋体" w:cs="宋体"/>
                <w:color w:val="auto"/>
                <w:kern w:val="0"/>
              </w:rPr>
            </w:pPr>
            <w:r>
              <w:rPr>
                <w:rFonts w:hint="eastAsia" w:ascii="宋体" w:hAnsi="宋体" w:cs="宋体"/>
                <w:color w:val="auto"/>
                <w:kern w:val="0"/>
              </w:rPr>
              <w:t>光纤收发器、网线、光纤辅材等</w:t>
            </w:r>
          </w:p>
        </w:tc>
        <w:tc>
          <w:tcPr>
            <w:tcW w:w="684" w:type="dxa"/>
            <w:noWrap w:val="0"/>
            <w:vAlign w:val="center"/>
          </w:tcPr>
          <w:p>
            <w:pPr>
              <w:jc w:val="center"/>
              <w:rPr>
                <w:rFonts w:ascii="宋体" w:hAnsi="宋体" w:cs="宋体"/>
                <w:color w:val="auto"/>
                <w:kern w:val="0"/>
              </w:rPr>
            </w:pPr>
            <w:r>
              <w:rPr>
                <w:rFonts w:hint="eastAsia" w:ascii="宋体" w:hAnsi="宋体" w:cs="宋体"/>
                <w:color w:val="auto"/>
                <w:kern w:val="0"/>
              </w:rPr>
              <w:t>套</w:t>
            </w:r>
          </w:p>
        </w:tc>
        <w:tc>
          <w:tcPr>
            <w:tcW w:w="732" w:type="dxa"/>
            <w:noWrap w:val="0"/>
            <w:vAlign w:val="center"/>
          </w:tcPr>
          <w:p>
            <w:pPr>
              <w:jc w:val="center"/>
              <w:textAlignment w:val="center"/>
              <w:rPr>
                <w:rFonts w:ascii="宋体" w:hAnsi="宋体" w:cs="宋体"/>
                <w:color w:val="auto"/>
                <w:kern w:val="0"/>
              </w:rPr>
            </w:pPr>
            <w:r>
              <w:rPr>
                <w:rFonts w:hint="eastAsia" w:ascii="宋体" w:hAnsi="宋体" w:cs="宋体"/>
                <w:color w:val="auto"/>
                <w:kern w:val="0"/>
                <w:lang w:bidi="ar"/>
              </w:rPr>
              <w:t>4</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hint="eastAsia" w:ascii="宋体" w:hAnsi="宋体" w:eastAsia="宋体" w:cs="宋体"/>
                <w:color w:val="auto"/>
                <w:kern w:val="0"/>
                <w:lang w:eastAsia="zh-CN"/>
              </w:rPr>
            </w:pPr>
            <w:r>
              <w:rPr>
                <w:rFonts w:hint="eastAsia" w:ascii="宋体" w:hAnsi="宋体" w:cs="宋体"/>
                <w:color w:val="auto"/>
                <w:kern w:val="0"/>
              </w:rPr>
              <w:t>1</w:t>
            </w:r>
            <w:r>
              <w:rPr>
                <w:rFonts w:hint="eastAsia" w:ascii="宋体" w:hAnsi="宋体" w:cs="宋体"/>
                <w:color w:val="auto"/>
                <w:kern w:val="0"/>
                <w:lang w:val="en-US" w:eastAsia="zh-CN"/>
              </w:rPr>
              <w:t>1</w:t>
            </w:r>
          </w:p>
        </w:tc>
        <w:tc>
          <w:tcPr>
            <w:tcW w:w="999" w:type="dxa"/>
            <w:noWrap w:val="0"/>
            <w:vAlign w:val="center"/>
          </w:tcPr>
          <w:p>
            <w:pPr>
              <w:jc w:val="center"/>
              <w:rPr>
                <w:rFonts w:ascii="宋体" w:hAnsi="宋体" w:cs="宋体"/>
                <w:color w:val="auto"/>
                <w:kern w:val="0"/>
              </w:rPr>
            </w:pPr>
            <w:r>
              <w:rPr>
                <w:rFonts w:hint="eastAsia" w:ascii="宋体" w:hAnsi="宋体" w:cs="宋体"/>
                <w:color w:val="auto"/>
                <w:kern w:val="0"/>
              </w:rPr>
              <w:t>安装调试</w:t>
            </w:r>
          </w:p>
        </w:tc>
        <w:tc>
          <w:tcPr>
            <w:tcW w:w="5643" w:type="dxa"/>
            <w:noWrap w:val="0"/>
            <w:vAlign w:val="center"/>
          </w:tcPr>
          <w:p>
            <w:pPr>
              <w:jc w:val="left"/>
              <w:rPr>
                <w:rFonts w:ascii="宋体" w:hAnsi="宋体" w:cs="宋体"/>
                <w:color w:val="auto"/>
                <w:kern w:val="0"/>
              </w:rPr>
            </w:pPr>
            <w:r>
              <w:rPr>
                <w:rFonts w:hint="eastAsia" w:ascii="宋体" w:hAnsi="宋体" w:cs="宋体"/>
                <w:color w:val="auto"/>
                <w:kern w:val="0"/>
              </w:rPr>
              <w:t>登高安装监控等设备、调试、维护</w:t>
            </w:r>
          </w:p>
        </w:tc>
        <w:tc>
          <w:tcPr>
            <w:tcW w:w="684" w:type="dxa"/>
            <w:noWrap w:val="0"/>
            <w:vAlign w:val="center"/>
          </w:tcPr>
          <w:p>
            <w:pPr>
              <w:jc w:val="center"/>
              <w:rPr>
                <w:rFonts w:ascii="宋体" w:hAnsi="宋体" w:cs="宋体"/>
                <w:color w:val="auto"/>
                <w:kern w:val="0"/>
              </w:rPr>
            </w:pPr>
            <w:r>
              <w:rPr>
                <w:rFonts w:hint="eastAsia" w:ascii="宋体" w:hAnsi="宋体" w:cs="宋体"/>
                <w:color w:val="auto"/>
                <w:kern w:val="0"/>
              </w:rPr>
              <w:t>项</w:t>
            </w:r>
          </w:p>
        </w:tc>
        <w:tc>
          <w:tcPr>
            <w:tcW w:w="732" w:type="dxa"/>
            <w:noWrap w:val="0"/>
            <w:vAlign w:val="center"/>
          </w:tcPr>
          <w:p>
            <w:pPr>
              <w:jc w:val="center"/>
              <w:textAlignment w:val="center"/>
              <w:rPr>
                <w:rFonts w:ascii="宋体" w:hAnsi="宋体" w:cs="宋体"/>
                <w:color w:val="auto"/>
                <w:kern w:val="0"/>
              </w:rPr>
            </w:pPr>
            <w:r>
              <w:rPr>
                <w:rFonts w:hint="eastAsia" w:ascii="宋体" w:hAnsi="宋体" w:cs="宋体"/>
                <w:color w:val="auto"/>
                <w:kern w:val="0"/>
                <w:lang w:bidi="ar"/>
              </w:rPr>
              <w:t>4</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hint="eastAsia" w:ascii="宋体" w:hAnsi="宋体" w:eastAsia="宋体" w:cs="宋体"/>
                <w:color w:val="auto"/>
                <w:kern w:val="0"/>
                <w:lang w:val="en-US" w:eastAsia="zh-CN"/>
              </w:rPr>
            </w:pPr>
            <w:r>
              <w:rPr>
                <w:rFonts w:hint="eastAsia" w:ascii="宋体" w:hAnsi="宋体" w:cs="宋体"/>
                <w:color w:val="auto"/>
                <w:kern w:val="0"/>
              </w:rPr>
              <w:t>1</w:t>
            </w:r>
            <w:r>
              <w:rPr>
                <w:rFonts w:hint="eastAsia" w:ascii="宋体" w:hAnsi="宋体" w:cs="宋体"/>
                <w:color w:val="auto"/>
                <w:kern w:val="0"/>
                <w:lang w:val="en-US" w:eastAsia="zh-CN"/>
              </w:rPr>
              <w:t>2</w:t>
            </w:r>
          </w:p>
        </w:tc>
        <w:tc>
          <w:tcPr>
            <w:tcW w:w="999" w:type="dxa"/>
            <w:noWrap w:val="0"/>
            <w:vAlign w:val="center"/>
          </w:tcPr>
          <w:p>
            <w:pPr>
              <w:jc w:val="center"/>
              <w:rPr>
                <w:rFonts w:ascii="宋体" w:hAnsi="宋体" w:cs="宋体"/>
                <w:color w:val="auto"/>
                <w:kern w:val="0"/>
              </w:rPr>
            </w:pPr>
            <w:r>
              <w:rPr>
                <w:rFonts w:hint="eastAsia" w:ascii="宋体" w:hAnsi="宋体" w:cs="宋体"/>
                <w:color w:val="auto"/>
                <w:kern w:val="0"/>
              </w:rPr>
              <w:t>专线服务</w:t>
            </w:r>
          </w:p>
        </w:tc>
        <w:tc>
          <w:tcPr>
            <w:tcW w:w="5643" w:type="dxa"/>
            <w:noWrap w:val="0"/>
            <w:vAlign w:val="center"/>
          </w:tcPr>
          <w:p>
            <w:pPr>
              <w:jc w:val="left"/>
              <w:rPr>
                <w:rFonts w:ascii="宋体" w:hAnsi="宋体" w:cs="宋体"/>
                <w:color w:val="auto"/>
                <w:kern w:val="0"/>
              </w:rPr>
            </w:pPr>
            <w:r>
              <w:rPr>
                <w:rFonts w:hint="eastAsia" w:ascii="宋体" w:hAnsi="宋体" w:cs="宋体"/>
                <w:color w:val="auto"/>
                <w:kern w:val="0"/>
              </w:rPr>
              <w:t>1年线路租赁服务，监控设备联网至吕四开发区现代化指挥中心</w:t>
            </w:r>
          </w:p>
        </w:tc>
        <w:tc>
          <w:tcPr>
            <w:tcW w:w="684" w:type="dxa"/>
            <w:noWrap w:val="0"/>
            <w:vAlign w:val="center"/>
          </w:tcPr>
          <w:p>
            <w:pPr>
              <w:jc w:val="center"/>
              <w:rPr>
                <w:rFonts w:ascii="宋体" w:hAnsi="宋体" w:cs="宋体"/>
                <w:color w:val="auto"/>
                <w:kern w:val="0"/>
              </w:rPr>
            </w:pPr>
            <w:r>
              <w:rPr>
                <w:rFonts w:hint="eastAsia" w:ascii="宋体" w:hAnsi="宋体" w:cs="宋体"/>
                <w:color w:val="auto"/>
                <w:kern w:val="0"/>
              </w:rPr>
              <w:t>条</w:t>
            </w:r>
          </w:p>
        </w:tc>
        <w:tc>
          <w:tcPr>
            <w:tcW w:w="732" w:type="dxa"/>
            <w:noWrap w:val="0"/>
            <w:vAlign w:val="center"/>
          </w:tcPr>
          <w:p>
            <w:pPr>
              <w:jc w:val="center"/>
              <w:textAlignment w:val="center"/>
              <w:rPr>
                <w:rFonts w:ascii="宋体" w:hAnsi="宋体" w:cs="宋体"/>
                <w:color w:val="auto"/>
                <w:kern w:val="0"/>
              </w:rPr>
            </w:pPr>
            <w:r>
              <w:rPr>
                <w:rFonts w:hint="eastAsia" w:ascii="宋体" w:hAnsi="宋体" w:cs="宋体"/>
                <w:color w:val="auto"/>
                <w:kern w:val="0"/>
                <w:lang w:bidi="ar"/>
              </w:rPr>
              <w:t>4</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500" w:type="dxa"/>
            <w:gridSpan w:val="6"/>
            <w:shd w:val="clear" w:color="auto" w:fill="D7D7D7" w:themeFill="background1" w:themeFillShade="D8"/>
            <w:noWrap/>
            <w:vAlign w:val="center"/>
          </w:tcPr>
          <w:p>
            <w:pPr>
              <w:jc w:val="center"/>
              <w:textAlignment w:val="center"/>
              <w:rPr>
                <w:rFonts w:hint="eastAsia" w:ascii="宋体" w:hAnsi="宋体" w:cs="宋体"/>
                <w:b/>
                <w:bCs/>
                <w:color w:val="auto"/>
                <w:kern w:val="0"/>
              </w:rPr>
            </w:pPr>
            <w:r>
              <w:rPr>
                <w:rFonts w:hint="eastAsia" w:ascii="宋体" w:hAnsi="宋体" w:cs="宋体"/>
                <w:b/>
                <w:bCs/>
                <w:color w:val="auto"/>
                <w:kern w:val="0"/>
              </w:rPr>
              <w:t>二、道路监控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b/>
                <w:bCs/>
                <w:color w:val="auto"/>
                <w:kern w:val="0"/>
              </w:rPr>
            </w:pPr>
            <w:r>
              <w:rPr>
                <w:rFonts w:hint="eastAsia" w:ascii="宋体" w:hAnsi="宋体" w:cs="宋体"/>
                <w:b/>
                <w:bCs/>
                <w:color w:val="auto"/>
                <w:kern w:val="0"/>
              </w:rPr>
              <w:t>序号</w:t>
            </w:r>
          </w:p>
        </w:tc>
        <w:tc>
          <w:tcPr>
            <w:tcW w:w="999" w:type="dxa"/>
            <w:noWrap w:val="0"/>
            <w:vAlign w:val="center"/>
          </w:tcPr>
          <w:p>
            <w:pPr>
              <w:jc w:val="center"/>
              <w:rPr>
                <w:rFonts w:ascii="宋体" w:hAnsi="宋体" w:cs="宋体"/>
                <w:b/>
                <w:bCs/>
                <w:color w:val="auto"/>
                <w:kern w:val="0"/>
              </w:rPr>
            </w:pPr>
            <w:r>
              <w:rPr>
                <w:rFonts w:hint="eastAsia" w:ascii="宋体" w:hAnsi="宋体" w:cs="宋体"/>
                <w:b/>
                <w:bCs/>
                <w:color w:val="auto"/>
                <w:kern w:val="0"/>
              </w:rPr>
              <w:t>货物名称</w:t>
            </w:r>
          </w:p>
        </w:tc>
        <w:tc>
          <w:tcPr>
            <w:tcW w:w="5643" w:type="dxa"/>
            <w:noWrap w:val="0"/>
            <w:vAlign w:val="center"/>
          </w:tcPr>
          <w:p>
            <w:pPr>
              <w:jc w:val="center"/>
              <w:rPr>
                <w:rFonts w:ascii="宋体" w:hAnsi="宋体" w:cs="宋体"/>
                <w:b/>
                <w:bCs/>
                <w:color w:val="auto"/>
                <w:kern w:val="0"/>
              </w:rPr>
            </w:pPr>
            <w:r>
              <w:rPr>
                <w:rFonts w:hint="eastAsia" w:ascii="宋体" w:hAnsi="宋体" w:cs="宋体"/>
                <w:b/>
                <w:bCs/>
                <w:color w:val="auto"/>
                <w:kern w:val="0"/>
              </w:rPr>
              <w:t>参数</w:t>
            </w:r>
          </w:p>
        </w:tc>
        <w:tc>
          <w:tcPr>
            <w:tcW w:w="684" w:type="dxa"/>
            <w:noWrap w:val="0"/>
            <w:vAlign w:val="center"/>
          </w:tcPr>
          <w:p>
            <w:pPr>
              <w:jc w:val="center"/>
              <w:rPr>
                <w:rFonts w:ascii="宋体" w:hAnsi="宋体" w:cs="宋体"/>
                <w:b/>
                <w:bCs/>
                <w:color w:val="auto"/>
                <w:kern w:val="0"/>
              </w:rPr>
            </w:pPr>
            <w:r>
              <w:rPr>
                <w:rFonts w:hint="eastAsia" w:ascii="宋体" w:hAnsi="宋体" w:cs="宋体"/>
                <w:b/>
                <w:bCs/>
                <w:color w:val="auto"/>
                <w:kern w:val="0"/>
              </w:rPr>
              <w:t>单位</w:t>
            </w:r>
          </w:p>
        </w:tc>
        <w:tc>
          <w:tcPr>
            <w:tcW w:w="732" w:type="dxa"/>
            <w:noWrap w:val="0"/>
            <w:vAlign w:val="center"/>
          </w:tcPr>
          <w:p>
            <w:pPr>
              <w:jc w:val="center"/>
              <w:rPr>
                <w:rFonts w:ascii="宋体" w:hAnsi="宋体" w:cs="宋体"/>
                <w:b/>
                <w:bCs/>
                <w:color w:val="auto"/>
                <w:kern w:val="0"/>
              </w:rPr>
            </w:pPr>
            <w:r>
              <w:rPr>
                <w:rFonts w:hint="eastAsia" w:ascii="宋体" w:hAnsi="宋体" w:cs="宋体"/>
                <w:b/>
                <w:bCs/>
                <w:color w:val="auto"/>
                <w:kern w:val="0"/>
              </w:rPr>
              <w:t>数量</w:t>
            </w:r>
          </w:p>
        </w:tc>
        <w:tc>
          <w:tcPr>
            <w:tcW w:w="797" w:type="dxa"/>
            <w:noWrap w:val="0"/>
            <w:vAlign w:val="center"/>
          </w:tcPr>
          <w:p>
            <w:pPr>
              <w:jc w:val="center"/>
              <w:rPr>
                <w:rFonts w:hint="eastAsia" w:ascii="宋体" w:hAnsi="宋体" w:eastAsia="宋体" w:cs="宋体"/>
                <w:b/>
                <w:bCs/>
                <w:color w:val="auto"/>
                <w:kern w:val="0"/>
                <w:lang w:eastAsia="zh-CN"/>
              </w:rPr>
            </w:pPr>
            <w:r>
              <w:rPr>
                <w:rFonts w:hint="eastAsia" w:ascii="宋体" w:hAnsi="宋体" w:cs="宋体"/>
                <w:b/>
                <w:bCs/>
                <w:i w:val="0"/>
                <w:iCs w:val="0"/>
                <w:color w:val="auto"/>
                <w:kern w:val="0"/>
                <w:sz w:val="21"/>
                <w:szCs w:val="21"/>
                <w:highlight w:val="none"/>
                <w:u w:val="none"/>
                <w:lang w:val="en-US" w:eastAsia="zh-CN" w:bidi="ar"/>
              </w:rPr>
              <w:t>是否为主要标的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1</w:t>
            </w:r>
          </w:p>
        </w:tc>
        <w:tc>
          <w:tcPr>
            <w:tcW w:w="999" w:type="dxa"/>
            <w:noWrap w:val="0"/>
            <w:vAlign w:val="center"/>
          </w:tcPr>
          <w:p>
            <w:pPr>
              <w:jc w:val="center"/>
              <w:rPr>
                <w:rFonts w:ascii="宋体" w:hAnsi="宋体" w:cs="宋体"/>
                <w:color w:val="auto"/>
                <w:kern w:val="0"/>
              </w:rPr>
            </w:pPr>
            <w:r>
              <w:rPr>
                <w:rFonts w:hint="eastAsia" w:ascii="宋体" w:hAnsi="宋体" w:cs="宋体"/>
                <w:color w:val="auto"/>
                <w:kern w:val="0"/>
              </w:rPr>
              <w:t>400万高清智能摄像机</w:t>
            </w:r>
          </w:p>
        </w:tc>
        <w:tc>
          <w:tcPr>
            <w:tcW w:w="5643" w:type="dxa"/>
            <w:noWrap w:val="0"/>
            <w:vAlign w:val="center"/>
          </w:tcPr>
          <w:p>
            <w:pPr>
              <w:rPr>
                <w:rFonts w:ascii="宋体" w:hAnsi="宋体" w:cs="宋体"/>
                <w:b/>
                <w:bCs/>
                <w:color w:val="auto"/>
              </w:rPr>
            </w:pPr>
            <w:r>
              <w:rPr>
                <w:rFonts w:hint="eastAsia" w:ascii="宋体" w:hAnsi="宋体" w:cs="宋体"/>
                <w:b/>
                <w:bCs/>
                <w:color w:val="auto"/>
                <w:kern w:val="0"/>
              </w:rPr>
              <w:t>建议品牌：海康、英飞拓、华为</w:t>
            </w:r>
          </w:p>
          <w:p>
            <w:pPr>
              <w:rPr>
                <w:rFonts w:ascii="宋体" w:hAnsi="宋体" w:cs="宋体"/>
                <w:color w:val="auto"/>
              </w:rPr>
            </w:pPr>
            <w:r>
              <w:rPr>
                <w:rFonts w:hint="eastAsia" w:ascii="宋体" w:hAnsi="宋体" w:cs="宋体"/>
                <w:color w:val="auto"/>
              </w:rPr>
              <w:t>靶面尺寸不小于1/1.8英寸；</w:t>
            </w:r>
          </w:p>
          <w:p>
            <w:pPr>
              <w:rPr>
                <w:rFonts w:ascii="宋体" w:hAnsi="宋体" w:cs="宋体"/>
                <w:color w:val="auto"/>
              </w:rPr>
            </w:pPr>
            <w:r>
              <w:rPr>
                <w:rFonts w:hint="eastAsia" w:ascii="宋体" w:hAnsi="宋体" w:cs="宋体"/>
                <w:color w:val="auto"/>
              </w:rPr>
              <w:t>分辨率不小于2560×1440，H.265/H.264编码，帧率30/25fps可设置；</w:t>
            </w:r>
          </w:p>
          <w:p>
            <w:pPr>
              <w:rPr>
                <w:rFonts w:ascii="宋体" w:hAnsi="宋体" w:cs="宋体"/>
                <w:color w:val="auto"/>
              </w:rPr>
            </w:pPr>
            <w:r>
              <w:rPr>
                <w:rFonts w:hint="eastAsia" w:ascii="宋体" w:hAnsi="宋体" w:cs="宋体"/>
                <w:color w:val="auto"/>
              </w:rPr>
              <w:t>内置1个CPU、GPU、NPU—体化海思芯片；</w:t>
            </w:r>
          </w:p>
          <w:p>
            <w:pPr>
              <w:rPr>
                <w:rFonts w:ascii="宋体" w:hAnsi="宋体" w:cs="宋体"/>
                <w:color w:val="auto"/>
              </w:rPr>
            </w:pPr>
            <w:r>
              <w:rPr>
                <w:rFonts w:hint="eastAsia" w:ascii="宋体" w:hAnsi="宋体" w:cs="宋体"/>
                <w:color w:val="auto"/>
              </w:rPr>
              <w:t>最低照度彩色≤0.0002Lux，黑白≤0.0001Lux；</w:t>
            </w:r>
          </w:p>
          <w:p>
            <w:pPr>
              <w:rPr>
                <w:rFonts w:ascii="宋体" w:hAnsi="宋体" w:cs="宋体"/>
                <w:color w:val="auto"/>
              </w:rPr>
            </w:pPr>
            <w:r>
              <w:rPr>
                <w:rFonts w:hint="eastAsia" w:ascii="宋体" w:hAnsi="宋体" w:cs="宋体"/>
                <w:color w:val="auto"/>
              </w:rPr>
              <w:t>焦距2.8-12mm；</w:t>
            </w:r>
          </w:p>
          <w:p>
            <w:pPr>
              <w:rPr>
                <w:rFonts w:ascii="宋体" w:hAnsi="宋体" w:cs="宋体"/>
                <w:b/>
                <w:bCs/>
                <w:color w:val="auto"/>
              </w:rPr>
            </w:pPr>
            <w:r>
              <w:rPr>
                <w:rFonts w:hint="eastAsia" w:ascii="宋体" w:hAnsi="宋体" w:cs="宋体"/>
                <w:b/>
                <w:bCs/>
                <w:color w:val="auto"/>
              </w:rPr>
              <w:t>★具有license管理功能，可根据license启用不同的智能算法；（投标时提供公安部相关检测机构出具的检测报告</w:t>
            </w:r>
            <w:r>
              <w:rPr>
                <w:rFonts w:hint="eastAsia" w:ascii="宋体" w:hAnsi="宋体" w:cs="宋体"/>
                <w:b/>
                <w:bCs/>
                <w:color w:val="auto"/>
                <w:kern w:val="0"/>
              </w:rPr>
              <w:t>复印件并加盖投标人公章</w:t>
            </w:r>
            <w:r>
              <w:rPr>
                <w:rFonts w:hint="eastAsia" w:ascii="宋体" w:hAnsi="宋体" w:cs="宋体"/>
                <w:b/>
                <w:bCs/>
                <w:color w:val="auto"/>
              </w:rPr>
              <w:t>）</w:t>
            </w:r>
          </w:p>
          <w:p>
            <w:pPr>
              <w:rPr>
                <w:rFonts w:ascii="宋体" w:hAnsi="宋体" w:cs="宋体"/>
                <w:b/>
                <w:bCs/>
                <w:color w:val="auto"/>
              </w:rPr>
            </w:pPr>
            <w:r>
              <w:rPr>
                <w:rFonts w:hint="eastAsia" w:ascii="宋体" w:hAnsi="宋体" w:cs="宋体"/>
                <w:b/>
                <w:bCs/>
                <w:color w:val="auto"/>
              </w:rPr>
              <w:t>★支持生态算法（业界标准rpm包格式+签名组成的tar包）的安装、启用、停用、卸载管理，并支持算法包安装时的完整性校验；（投标时提供公安部相关检测机构出具的检测报告</w:t>
            </w:r>
            <w:r>
              <w:rPr>
                <w:rFonts w:hint="eastAsia" w:ascii="宋体" w:hAnsi="宋体" w:cs="宋体"/>
                <w:b/>
                <w:bCs/>
                <w:color w:val="auto"/>
                <w:kern w:val="0"/>
              </w:rPr>
              <w:t>复印件并加盖投标人公章</w:t>
            </w:r>
            <w:r>
              <w:rPr>
                <w:rFonts w:hint="eastAsia" w:ascii="宋体" w:hAnsi="宋体" w:cs="宋体"/>
                <w:b/>
                <w:bCs/>
                <w:color w:val="auto"/>
              </w:rPr>
              <w:t>）</w:t>
            </w:r>
          </w:p>
          <w:p>
            <w:pPr>
              <w:rPr>
                <w:rFonts w:ascii="宋体" w:hAnsi="宋体" w:cs="宋体"/>
                <w:b/>
                <w:bCs/>
                <w:color w:val="auto"/>
              </w:rPr>
            </w:pPr>
            <w:r>
              <w:rPr>
                <w:rFonts w:hint="eastAsia" w:ascii="宋体" w:hAnsi="宋体" w:cs="宋体"/>
                <w:b/>
                <w:bCs/>
                <w:color w:val="auto"/>
              </w:rPr>
              <w:t>★APP可按需分配允许访问的最大存储空间、内存空间、CPU运行占比，CPU多核量等硬件资源；（投标时提供公安部相关检测机构出具的检测报告</w:t>
            </w:r>
            <w:r>
              <w:rPr>
                <w:rFonts w:hint="eastAsia" w:ascii="宋体" w:hAnsi="宋体" w:cs="宋体"/>
                <w:b/>
                <w:bCs/>
                <w:color w:val="auto"/>
                <w:kern w:val="0"/>
              </w:rPr>
              <w:t>复印件并加盖投标人公章</w:t>
            </w:r>
            <w:r>
              <w:rPr>
                <w:rFonts w:hint="eastAsia" w:ascii="宋体" w:hAnsi="宋体" w:cs="宋体"/>
                <w:b/>
                <w:bCs/>
                <w:color w:val="auto"/>
              </w:rPr>
              <w:t>）</w:t>
            </w:r>
          </w:p>
          <w:p>
            <w:pPr>
              <w:rPr>
                <w:rFonts w:ascii="宋体" w:hAnsi="宋体" w:cs="宋体"/>
                <w:color w:val="auto"/>
              </w:rPr>
            </w:pPr>
            <w:r>
              <w:rPr>
                <w:rFonts w:hint="eastAsia" w:ascii="宋体" w:hAnsi="宋体" w:cs="宋体"/>
                <w:color w:val="auto"/>
              </w:rPr>
              <w:t>在同一个视频画面中，可检测、跟踪、抓拍≥30个运动人脸目标；支持对人脸最佳抓拍图片（通过像素点最多、遮挡比例最小等条件判断）筛选去重，重复率≤1%；</w:t>
            </w:r>
          </w:p>
          <w:p>
            <w:pPr>
              <w:rPr>
                <w:rFonts w:ascii="宋体" w:hAnsi="宋体" w:cs="宋体"/>
                <w:color w:val="auto"/>
              </w:rPr>
            </w:pPr>
            <w:r>
              <w:rPr>
                <w:rFonts w:hint="eastAsia" w:ascii="宋体" w:hAnsi="宋体" w:cs="宋体"/>
                <w:color w:val="auto"/>
              </w:rPr>
              <w:t>具有1个RJ45为10M/100M自适应网络接口、1路音频输出、1路音频输入、2路报警输入、1路报警输出、1路RS485, 1个Micro SD卡槽、1个复位键；</w:t>
            </w:r>
          </w:p>
          <w:p>
            <w:pPr>
              <w:rPr>
                <w:rFonts w:ascii="宋体" w:hAnsi="宋体" w:cs="宋体"/>
                <w:color w:val="auto"/>
              </w:rPr>
            </w:pPr>
            <w:r>
              <w:rPr>
                <w:rFonts w:hint="eastAsia" w:ascii="宋体" w:hAnsi="宋体" w:cs="宋体"/>
                <w:color w:val="auto"/>
              </w:rPr>
              <w:t>电源DC12V，支持POE；</w:t>
            </w:r>
          </w:p>
        </w:tc>
        <w:tc>
          <w:tcPr>
            <w:tcW w:w="684" w:type="dxa"/>
            <w:noWrap w:val="0"/>
            <w:vAlign w:val="center"/>
          </w:tcPr>
          <w:p>
            <w:pPr>
              <w:jc w:val="center"/>
              <w:rPr>
                <w:rFonts w:ascii="宋体" w:hAnsi="宋体" w:cs="宋体"/>
                <w:color w:val="auto"/>
              </w:rPr>
            </w:pPr>
            <w:r>
              <w:rPr>
                <w:rFonts w:hint="eastAsia" w:ascii="宋体" w:hAnsi="宋体" w:cs="宋体"/>
                <w:color w:val="auto"/>
              </w:rPr>
              <w:t>台</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22</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2</w:t>
            </w:r>
          </w:p>
        </w:tc>
        <w:tc>
          <w:tcPr>
            <w:tcW w:w="999" w:type="dxa"/>
            <w:noWrap w:val="0"/>
            <w:vAlign w:val="center"/>
          </w:tcPr>
          <w:p>
            <w:pPr>
              <w:jc w:val="center"/>
              <w:rPr>
                <w:rFonts w:ascii="宋体" w:hAnsi="宋体" w:cs="宋体"/>
                <w:color w:val="auto"/>
                <w:kern w:val="0"/>
              </w:rPr>
            </w:pPr>
            <w:r>
              <w:rPr>
                <w:rFonts w:hint="eastAsia" w:ascii="宋体" w:hAnsi="宋体" w:cs="宋体"/>
                <w:color w:val="auto"/>
                <w:kern w:val="0"/>
              </w:rPr>
              <w:t>硬盘录像机</w:t>
            </w:r>
          </w:p>
        </w:tc>
        <w:tc>
          <w:tcPr>
            <w:tcW w:w="5643" w:type="dxa"/>
            <w:noWrap w:val="0"/>
            <w:vAlign w:val="center"/>
          </w:tcPr>
          <w:p>
            <w:pPr>
              <w:rPr>
                <w:rFonts w:ascii="宋体" w:hAnsi="宋体" w:cs="宋体"/>
                <w:b/>
                <w:bCs/>
                <w:color w:val="auto"/>
              </w:rPr>
            </w:pPr>
            <w:r>
              <w:rPr>
                <w:rFonts w:hint="eastAsia" w:ascii="宋体" w:hAnsi="宋体" w:cs="宋体"/>
                <w:b/>
                <w:bCs/>
                <w:color w:val="auto"/>
                <w:kern w:val="0"/>
              </w:rPr>
              <w:t>建议品牌：海康、英飞拓、华为</w:t>
            </w:r>
          </w:p>
          <w:p>
            <w:pPr>
              <w:rPr>
                <w:rFonts w:ascii="宋体" w:hAnsi="宋体" w:cs="宋体"/>
                <w:color w:val="auto"/>
              </w:rPr>
            </w:pPr>
            <w:r>
              <w:rPr>
                <w:rFonts w:hint="eastAsia" w:ascii="宋体" w:hAnsi="宋体" w:cs="宋体"/>
                <w:color w:val="auto"/>
              </w:rPr>
              <w:t>支持人车混合视频模式，可在人车混合场景下进行车辆识别和人体识别；</w:t>
            </w:r>
          </w:p>
          <w:p>
            <w:pPr>
              <w:rPr>
                <w:rFonts w:ascii="宋体" w:hAnsi="宋体" w:cs="宋体"/>
                <w:color w:val="auto"/>
              </w:rPr>
            </w:pPr>
            <w:r>
              <w:rPr>
                <w:rFonts w:hint="eastAsia" w:ascii="宋体" w:hAnsi="宋体" w:cs="宋体"/>
                <w:color w:val="auto"/>
              </w:rPr>
              <w:t>支持人脸视频、人脸图片、机非人视频、行为分析视频算法；多算法支持按通道配置，支持算法按需切换；最大支持3种算法并行使用；</w:t>
            </w:r>
          </w:p>
          <w:p>
            <w:pPr>
              <w:rPr>
                <w:rFonts w:ascii="宋体" w:hAnsi="宋体" w:cs="宋体"/>
                <w:b/>
                <w:bCs/>
                <w:color w:val="auto"/>
              </w:rPr>
            </w:pPr>
            <w:r>
              <w:rPr>
                <w:rFonts w:hint="eastAsia" w:ascii="宋体" w:hAnsi="宋体" w:cs="宋体"/>
                <w:b/>
                <w:bCs/>
                <w:color w:val="auto"/>
              </w:rPr>
              <w:t>★支持在系统盘损坏时通过插入新的系统盘实现系统盘数据的恢复；（投标时提供公安部相关检测机构出具的检测报告</w:t>
            </w:r>
            <w:r>
              <w:rPr>
                <w:rFonts w:hint="eastAsia" w:ascii="宋体" w:hAnsi="宋体" w:cs="宋体"/>
                <w:b/>
                <w:bCs/>
                <w:color w:val="auto"/>
                <w:kern w:val="0"/>
              </w:rPr>
              <w:t>复印件并加盖投标人公章</w:t>
            </w:r>
            <w:r>
              <w:rPr>
                <w:rFonts w:hint="eastAsia" w:ascii="宋体" w:hAnsi="宋体" w:cs="宋体"/>
                <w:b/>
                <w:bCs/>
                <w:color w:val="auto"/>
              </w:rPr>
              <w:t>）</w:t>
            </w:r>
          </w:p>
          <w:p>
            <w:pPr>
              <w:rPr>
                <w:rFonts w:ascii="宋体" w:hAnsi="宋体" w:cs="宋体"/>
                <w:b/>
                <w:bCs/>
                <w:color w:val="auto"/>
              </w:rPr>
            </w:pPr>
            <w:r>
              <w:rPr>
                <w:rFonts w:hint="eastAsia" w:ascii="宋体" w:hAnsi="宋体" w:cs="宋体"/>
                <w:b/>
                <w:bCs/>
                <w:color w:val="auto"/>
              </w:rPr>
              <w:t>★支持RAID5组失效，即大于N块硬盘同时损坏（N大于等于3，小于RAID组硬盘总数），允许数据读取且能实现读出视频基本可查看，多块数据盘损坏后新盘插入，RAID组自动恢复读写状态；（投标时提供公安部相关检测机构出具的检测报告</w:t>
            </w:r>
            <w:r>
              <w:rPr>
                <w:rFonts w:hint="eastAsia" w:ascii="宋体" w:hAnsi="宋体" w:cs="宋体"/>
                <w:b/>
                <w:bCs/>
                <w:color w:val="auto"/>
                <w:kern w:val="0"/>
              </w:rPr>
              <w:t>复印件并加盖投标人公章</w:t>
            </w:r>
            <w:r>
              <w:rPr>
                <w:rFonts w:hint="eastAsia" w:ascii="宋体" w:hAnsi="宋体" w:cs="宋体"/>
                <w:b/>
                <w:bCs/>
                <w:color w:val="auto"/>
              </w:rPr>
              <w:t>）</w:t>
            </w:r>
          </w:p>
          <w:p>
            <w:pPr>
              <w:rPr>
                <w:rFonts w:ascii="宋体" w:hAnsi="宋体" w:cs="宋体"/>
                <w:b/>
                <w:bCs/>
                <w:color w:val="auto"/>
              </w:rPr>
            </w:pPr>
            <w:r>
              <w:rPr>
                <w:rFonts w:hint="eastAsia" w:ascii="宋体" w:hAnsi="宋体" w:cs="宋体"/>
                <w:b/>
                <w:bCs/>
                <w:color w:val="auto"/>
              </w:rPr>
              <w:t>★支持N+1可靠性业务备份，当业务节点故障时，备节点可以接管故障节点的业务，使得录像、实时视频等业务不受影响；（投标时提供公安部相关检测机构出具的检测报告</w:t>
            </w:r>
            <w:r>
              <w:rPr>
                <w:rFonts w:hint="eastAsia" w:ascii="宋体" w:hAnsi="宋体" w:cs="宋体"/>
                <w:b/>
                <w:bCs/>
                <w:color w:val="auto"/>
                <w:kern w:val="0"/>
              </w:rPr>
              <w:t>复印件并加盖投标人公章</w:t>
            </w:r>
            <w:r>
              <w:rPr>
                <w:rFonts w:hint="eastAsia" w:ascii="宋体" w:hAnsi="宋体" w:cs="宋体"/>
                <w:b/>
                <w:bCs/>
                <w:color w:val="auto"/>
              </w:rPr>
              <w:t>）</w:t>
            </w:r>
          </w:p>
          <w:p>
            <w:pPr>
              <w:rPr>
                <w:rFonts w:ascii="宋体" w:hAnsi="宋体" w:cs="宋体"/>
                <w:color w:val="auto"/>
              </w:rPr>
            </w:pPr>
            <w:r>
              <w:rPr>
                <w:rFonts w:hint="eastAsia" w:ascii="宋体" w:hAnsi="宋体" w:cs="宋体"/>
                <w:color w:val="auto"/>
              </w:rPr>
              <w:t>内置多核ARM处理器，≥32位；</w:t>
            </w:r>
          </w:p>
          <w:p>
            <w:pPr>
              <w:rPr>
                <w:rFonts w:ascii="宋体" w:hAnsi="宋体" w:cs="宋体"/>
                <w:color w:val="auto"/>
              </w:rPr>
            </w:pPr>
            <w:r>
              <w:rPr>
                <w:rFonts w:hint="eastAsia" w:ascii="宋体" w:hAnsi="宋体" w:cs="宋体"/>
                <w:color w:val="auto"/>
              </w:rPr>
              <w:t>内置≥32GB eMMC，数据盘支持8x3.0" SATA，单盘容量支持4TB/6TB/8TB/10TB/16TB；</w:t>
            </w:r>
          </w:p>
          <w:p>
            <w:pPr>
              <w:rPr>
                <w:rFonts w:ascii="宋体" w:hAnsi="宋体" w:cs="宋体"/>
                <w:color w:val="auto"/>
              </w:rPr>
            </w:pPr>
            <w:r>
              <w:rPr>
                <w:rFonts w:hint="eastAsia" w:ascii="宋体" w:hAnsi="宋体" w:cs="宋体"/>
                <w:color w:val="auto"/>
              </w:rPr>
              <w:t>支持双网口，RCA，3个USB接口，2个HDMI接口；</w:t>
            </w:r>
          </w:p>
          <w:p>
            <w:pPr>
              <w:rPr>
                <w:rFonts w:ascii="宋体" w:hAnsi="宋体" w:cs="宋体"/>
                <w:color w:val="auto"/>
              </w:rPr>
            </w:pPr>
            <w:r>
              <w:rPr>
                <w:rFonts w:hint="eastAsia" w:ascii="宋体" w:hAnsi="宋体" w:cs="宋体"/>
                <w:color w:val="auto"/>
              </w:rPr>
              <w:t>支持32路摄像机接入、转发，接入能力256M，以及16路回放下载；</w:t>
            </w:r>
          </w:p>
          <w:p>
            <w:pPr>
              <w:rPr>
                <w:rFonts w:ascii="宋体" w:hAnsi="宋体" w:cs="宋体"/>
                <w:color w:val="auto"/>
              </w:rPr>
            </w:pPr>
            <w:r>
              <w:rPr>
                <w:rFonts w:hint="eastAsia" w:ascii="宋体" w:hAnsi="宋体" w:cs="宋体"/>
                <w:color w:val="auto"/>
              </w:rPr>
              <w:t>支持H.264/H.265/MJEPG视频解码；</w:t>
            </w:r>
          </w:p>
          <w:p>
            <w:pPr>
              <w:rPr>
                <w:rFonts w:ascii="宋体" w:hAnsi="宋体" w:cs="宋体"/>
                <w:color w:val="auto"/>
              </w:rPr>
            </w:pPr>
            <w:r>
              <w:rPr>
                <w:rFonts w:hint="eastAsia" w:ascii="宋体" w:hAnsi="宋体" w:cs="宋体"/>
                <w:color w:val="auto"/>
              </w:rPr>
              <w:t>支持16路告警输入，4路告警输出；</w:t>
            </w:r>
          </w:p>
        </w:tc>
        <w:tc>
          <w:tcPr>
            <w:tcW w:w="684" w:type="dxa"/>
            <w:noWrap w:val="0"/>
            <w:vAlign w:val="center"/>
          </w:tcPr>
          <w:p>
            <w:pPr>
              <w:jc w:val="center"/>
              <w:rPr>
                <w:rFonts w:ascii="宋体" w:hAnsi="宋体" w:cs="宋体"/>
                <w:color w:val="auto"/>
              </w:rPr>
            </w:pPr>
            <w:r>
              <w:rPr>
                <w:rFonts w:hint="eastAsia" w:ascii="宋体" w:hAnsi="宋体" w:cs="宋体"/>
                <w:color w:val="auto"/>
              </w:rPr>
              <w:t>台</w:t>
            </w:r>
          </w:p>
        </w:tc>
        <w:tc>
          <w:tcPr>
            <w:tcW w:w="732" w:type="dxa"/>
            <w:noWrap w:val="0"/>
            <w:vAlign w:val="center"/>
          </w:tcPr>
          <w:p>
            <w:pPr>
              <w:jc w:val="center"/>
              <w:textAlignment w:val="center"/>
              <w:rPr>
                <w:rFonts w:ascii="宋体" w:hAnsi="宋体" w:cs="宋体"/>
                <w:color w:val="auto"/>
                <w:kern w:val="0"/>
              </w:rPr>
            </w:pPr>
            <w:r>
              <w:rPr>
                <w:rFonts w:hint="eastAsia" w:ascii="宋体" w:hAnsi="宋体" w:cs="宋体"/>
                <w:color w:val="auto"/>
                <w:kern w:val="0"/>
                <w:lang w:bidi="ar"/>
              </w:rPr>
              <w:t>1</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3</w:t>
            </w:r>
          </w:p>
        </w:tc>
        <w:tc>
          <w:tcPr>
            <w:tcW w:w="999" w:type="dxa"/>
            <w:noWrap w:val="0"/>
            <w:vAlign w:val="center"/>
          </w:tcPr>
          <w:p>
            <w:pPr>
              <w:jc w:val="center"/>
              <w:rPr>
                <w:rFonts w:ascii="宋体" w:hAnsi="宋体" w:cs="宋体"/>
                <w:color w:val="auto"/>
              </w:rPr>
            </w:pPr>
            <w:r>
              <w:rPr>
                <w:rFonts w:hint="eastAsia" w:ascii="宋体" w:hAnsi="宋体" w:cs="宋体"/>
                <w:color w:val="auto"/>
              </w:rPr>
              <w:t>立杆</w:t>
            </w:r>
          </w:p>
        </w:tc>
        <w:tc>
          <w:tcPr>
            <w:tcW w:w="5643" w:type="dxa"/>
            <w:noWrap w:val="0"/>
            <w:vAlign w:val="center"/>
          </w:tcPr>
          <w:p>
            <w:pPr>
              <w:jc w:val="both"/>
              <w:rPr>
                <w:rFonts w:ascii="宋体" w:hAnsi="宋体" w:cs="宋体"/>
                <w:color w:val="auto"/>
              </w:rPr>
            </w:pPr>
            <w:r>
              <w:rPr>
                <w:rFonts w:hint="eastAsia" w:ascii="宋体" w:hAnsi="宋体" w:cs="宋体"/>
                <w:color w:val="auto"/>
              </w:rPr>
              <w:t>3.5米立杆（包括基础地笼、支架固件）</w:t>
            </w:r>
          </w:p>
        </w:tc>
        <w:tc>
          <w:tcPr>
            <w:tcW w:w="684" w:type="dxa"/>
            <w:noWrap w:val="0"/>
            <w:vAlign w:val="center"/>
          </w:tcPr>
          <w:p>
            <w:pPr>
              <w:jc w:val="center"/>
              <w:rPr>
                <w:rFonts w:ascii="宋体" w:hAnsi="宋体" w:cs="宋体"/>
                <w:color w:val="auto"/>
              </w:rPr>
            </w:pPr>
            <w:r>
              <w:rPr>
                <w:rFonts w:hint="eastAsia" w:ascii="宋体" w:hAnsi="宋体" w:cs="宋体"/>
                <w:color w:val="auto"/>
              </w:rPr>
              <w:t>套</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2</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4</w:t>
            </w:r>
          </w:p>
        </w:tc>
        <w:tc>
          <w:tcPr>
            <w:tcW w:w="999" w:type="dxa"/>
            <w:noWrap w:val="0"/>
            <w:vAlign w:val="center"/>
          </w:tcPr>
          <w:p>
            <w:pPr>
              <w:jc w:val="center"/>
              <w:rPr>
                <w:rFonts w:ascii="宋体" w:hAnsi="宋体" w:cs="宋体"/>
                <w:color w:val="auto"/>
              </w:rPr>
            </w:pPr>
            <w:r>
              <w:rPr>
                <w:rFonts w:hint="eastAsia" w:ascii="宋体" w:hAnsi="宋体" w:cs="宋体"/>
                <w:color w:val="auto"/>
              </w:rPr>
              <w:t>设备箱</w:t>
            </w:r>
          </w:p>
        </w:tc>
        <w:tc>
          <w:tcPr>
            <w:tcW w:w="5643" w:type="dxa"/>
            <w:noWrap w:val="0"/>
            <w:vAlign w:val="top"/>
          </w:tcPr>
          <w:p>
            <w:pPr>
              <w:rPr>
                <w:rFonts w:ascii="宋体" w:hAnsi="宋体" w:cs="宋体"/>
                <w:color w:val="auto"/>
              </w:rPr>
            </w:pPr>
            <w:r>
              <w:rPr>
                <w:rFonts w:hint="eastAsia" w:ascii="宋体" w:hAnsi="宋体" w:cs="宋体"/>
                <w:color w:val="auto"/>
              </w:rPr>
              <w:t>400*300*180不锈钢1.2，自动重合闸、电源防雷、网络防雷、公牛3孔插座、熔纤盘等</w:t>
            </w:r>
          </w:p>
        </w:tc>
        <w:tc>
          <w:tcPr>
            <w:tcW w:w="684" w:type="dxa"/>
            <w:noWrap w:val="0"/>
            <w:vAlign w:val="center"/>
          </w:tcPr>
          <w:p>
            <w:pPr>
              <w:jc w:val="center"/>
              <w:rPr>
                <w:rFonts w:ascii="宋体" w:hAnsi="宋体" w:cs="宋体"/>
                <w:color w:val="auto"/>
              </w:rPr>
            </w:pPr>
            <w:r>
              <w:rPr>
                <w:rFonts w:hint="eastAsia" w:ascii="宋体" w:hAnsi="宋体" w:cs="宋体"/>
                <w:color w:val="auto"/>
              </w:rPr>
              <w:t>套</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10</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5</w:t>
            </w:r>
          </w:p>
        </w:tc>
        <w:tc>
          <w:tcPr>
            <w:tcW w:w="999" w:type="dxa"/>
            <w:noWrap w:val="0"/>
            <w:vAlign w:val="center"/>
          </w:tcPr>
          <w:p>
            <w:pPr>
              <w:jc w:val="center"/>
              <w:rPr>
                <w:rFonts w:ascii="宋体" w:hAnsi="宋体" w:cs="宋体"/>
                <w:color w:val="auto"/>
              </w:rPr>
            </w:pPr>
            <w:r>
              <w:rPr>
                <w:rFonts w:hint="eastAsia" w:ascii="宋体" w:hAnsi="宋体" w:cs="宋体"/>
                <w:color w:val="auto"/>
              </w:rPr>
              <w:t>汇聚交换机</w:t>
            </w:r>
          </w:p>
        </w:tc>
        <w:tc>
          <w:tcPr>
            <w:tcW w:w="5643" w:type="dxa"/>
            <w:noWrap w:val="0"/>
            <w:vAlign w:val="top"/>
          </w:tcPr>
          <w:p>
            <w:pPr>
              <w:rPr>
                <w:rFonts w:ascii="宋体" w:hAnsi="宋体" w:cs="宋体"/>
                <w:b/>
                <w:bCs/>
                <w:color w:val="auto"/>
              </w:rPr>
            </w:pPr>
            <w:r>
              <w:rPr>
                <w:rFonts w:hint="eastAsia" w:ascii="宋体" w:hAnsi="宋体" w:cs="宋体"/>
                <w:b/>
                <w:bCs/>
                <w:color w:val="auto"/>
              </w:rPr>
              <w:t>建议品牌：华为、华三、海康</w:t>
            </w:r>
          </w:p>
          <w:p>
            <w:pPr>
              <w:rPr>
                <w:rFonts w:ascii="宋体" w:hAnsi="宋体" w:cs="宋体"/>
                <w:color w:val="auto"/>
              </w:rPr>
            </w:pPr>
            <w:r>
              <w:rPr>
                <w:rFonts w:hint="eastAsia" w:ascii="宋体" w:hAnsi="宋体" w:cs="宋体"/>
                <w:color w:val="auto"/>
              </w:rPr>
              <w:t>1.交换容量≥430Gbps，包转发率≥140Mpps（以官网或彩页较小值为准）；</w:t>
            </w:r>
          </w:p>
          <w:p>
            <w:pPr>
              <w:rPr>
                <w:rFonts w:ascii="宋体" w:hAnsi="宋体" w:cs="宋体"/>
                <w:color w:val="auto"/>
              </w:rPr>
            </w:pPr>
            <w:r>
              <w:rPr>
                <w:rFonts w:hint="eastAsia" w:ascii="宋体" w:hAnsi="宋体" w:cs="宋体"/>
                <w:color w:val="auto"/>
              </w:rPr>
              <w:t>2.支持48个千兆电口，4个万兆光口；</w:t>
            </w:r>
          </w:p>
          <w:p>
            <w:pPr>
              <w:rPr>
                <w:rFonts w:ascii="宋体" w:hAnsi="宋体" w:cs="宋体"/>
                <w:color w:val="auto"/>
              </w:rPr>
            </w:pPr>
            <w:r>
              <w:rPr>
                <w:rFonts w:hint="eastAsia" w:ascii="宋体" w:hAnsi="宋体" w:cs="宋体"/>
                <w:color w:val="auto"/>
              </w:rPr>
              <w:t>3.支持标准USB接口，支持U盘快速开局；</w:t>
            </w:r>
          </w:p>
          <w:p>
            <w:pPr>
              <w:rPr>
                <w:rFonts w:ascii="宋体" w:hAnsi="宋体" w:cs="宋体"/>
                <w:color w:val="auto"/>
              </w:rPr>
            </w:pPr>
            <w:r>
              <w:rPr>
                <w:rFonts w:hint="eastAsia" w:ascii="宋体" w:hAnsi="宋体" w:cs="宋体"/>
                <w:color w:val="auto"/>
              </w:rPr>
              <w:t>4.支持MAC地址≥32K,ARP表项≥4K,IPV4路由规格≥4K,IPV6路由规格≥1K；</w:t>
            </w:r>
          </w:p>
          <w:p>
            <w:pPr>
              <w:rPr>
                <w:rFonts w:ascii="宋体" w:hAnsi="宋体" w:cs="宋体"/>
                <w:color w:val="auto"/>
              </w:rPr>
            </w:pPr>
            <w:r>
              <w:rPr>
                <w:rFonts w:hint="eastAsia" w:ascii="宋体" w:hAnsi="宋体" w:cs="宋体"/>
                <w:color w:val="auto"/>
              </w:rPr>
              <w:t>5.支持4K个VLAN，支持Voice VLAN，基于端口的VLAN，基于MAC的VLAN，基于协议的VLAN</w:t>
            </w:r>
          </w:p>
          <w:p>
            <w:pPr>
              <w:rPr>
                <w:rFonts w:ascii="宋体" w:hAnsi="宋体" w:cs="宋体"/>
                <w:color w:val="auto"/>
              </w:rPr>
            </w:pPr>
            <w:r>
              <w:rPr>
                <w:rFonts w:hint="eastAsia" w:ascii="宋体" w:hAnsi="宋体" w:cs="宋体"/>
                <w:color w:val="auto"/>
              </w:rPr>
              <w:t>6.支持RIP、RIPng、OSPF、OSPFv3路由协议；</w:t>
            </w:r>
          </w:p>
          <w:p>
            <w:pPr>
              <w:rPr>
                <w:rFonts w:ascii="宋体" w:hAnsi="宋体" w:cs="宋体"/>
                <w:color w:val="auto"/>
              </w:rPr>
            </w:pPr>
            <w:r>
              <w:rPr>
                <w:rFonts w:hint="eastAsia" w:ascii="宋体" w:hAnsi="宋体" w:cs="宋体"/>
                <w:color w:val="auto"/>
              </w:rPr>
              <w:t>7.支持DHCPv6 Snooping，DAI，SAVI等安全特性；</w:t>
            </w:r>
          </w:p>
          <w:p>
            <w:pPr>
              <w:rPr>
                <w:rFonts w:ascii="宋体" w:hAnsi="宋体" w:cs="宋体"/>
                <w:color w:val="auto"/>
              </w:rPr>
            </w:pPr>
            <w:r>
              <w:rPr>
                <w:rFonts w:hint="eastAsia" w:ascii="宋体" w:hAnsi="宋体" w:cs="宋体"/>
                <w:color w:val="auto"/>
              </w:rPr>
              <w:t>8.支持以太网环网保护协议ERPS，故障倒换时间小于50ms；</w:t>
            </w:r>
          </w:p>
          <w:p>
            <w:pPr>
              <w:rPr>
                <w:rFonts w:ascii="宋体" w:hAnsi="宋体" w:cs="宋体"/>
                <w:color w:val="auto"/>
              </w:rPr>
            </w:pPr>
            <w:r>
              <w:rPr>
                <w:rFonts w:hint="eastAsia" w:ascii="宋体" w:hAnsi="宋体" w:cs="宋体"/>
                <w:color w:val="auto"/>
              </w:rPr>
              <w:t>9.支持纵向虚拟化，作为纵向子节点零配置即插即用；</w:t>
            </w:r>
          </w:p>
          <w:p>
            <w:pPr>
              <w:rPr>
                <w:rFonts w:ascii="宋体" w:hAnsi="宋体" w:cs="宋体"/>
                <w:color w:val="auto"/>
              </w:rPr>
            </w:pPr>
            <w:r>
              <w:rPr>
                <w:rFonts w:hint="eastAsia" w:ascii="宋体" w:hAnsi="宋体" w:cs="宋体"/>
                <w:color w:val="auto"/>
              </w:rPr>
              <w:t>10.支持Telemetry技术，配合网络分析组件通过智能故障识别算法对网络数据进行分析，精准展现网络实时状态，并能及时有效地定界故障以及定位故障发生原因，发现影响用户体验的网络问题，精准保障用户体验；</w:t>
            </w:r>
          </w:p>
        </w:tc>
        <w:tc>
          <w:tcPr>
            <w:tcW w:w="684" w:type="dxa"/>
            <w:noWrap w:val="0"/>
            <w:vAlign w:val="center"/>
          </w:tcPr>
          <w:p>
            <w:pPr>
              <w:jc w:val="center"/>
              <w:rPr>
                <w:rFonts w:ascii="宋体" w:hAnsi="宋体" w:cs="宋体"/>
                <w:color w:val="auto"/>
              </w:rPr>
            </w:pPr>
            <w:r>
              <w:rPr>
                <w:rFonts w:hint="eastAsia" w:ascii="宋体" w:hAnsi="宋体" w:cs="宋体"/>
                <w:color w:val="auto"/>
              </w:rPr>
              <w:t>台</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1</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6</w:t>
            </w:r>
          </w:p>
        </w:tc>
        <w:tc>
          <w:tcPr>
            <w:tcW w:w="999" w:type="dxa"/>
            <w:noWrap w:val="0"/>
            <w:vAlign w:val="top"/>
          </w:tcPr>
          <w:p>
            <w:pPr>
              <w:rPr>
                <w:rFonts w:ascii="宋体" w:hAnsi="宋体" w:cs="宋体"/>
                <w:color w:val="auto"/>
              </w:rPr>
            </w:pPr>
            <w:r>
              <w:rPr>
                <w:rFonts w:hint="eastAsia" w:ascii="宋体" w:hAnsi="宋体" w:cs="宋体"/>
                <w:color w:val="auto"/>
              </w:rPr>
              <w:t>前端光纤收发器</w:t>
            </w:r>
          </w:p>
        </w:tc>
        <w:tc>
          <w:tcPr>
            <w:tcW w:w="5643" w:type="dxa"/>
            <w:noWrap w:val="0"/>
            <w:vAlign w:val="center"/>
          </w:tcPr>
          <w:p>
            <w:pPr>
              <w:jc w:val="center"/>
              <w:rPr>
                <w:rFonts w:ascii="宋体" w:hAnsi="宋体" w:cs="宋体"/>
                <w:color w:val="auto"/>
              </w:rPr>
            </w:pPr>
            <w:r>
              <w:rPr>
                <w:rFonts w:hint="eastAsia" w:ascii="宋体" w:hAnsi="宋体" w:cs="宋体"/>
                <w:color w:val="auto"/>
              </w:rPr>
              <w:t>具有1电1光</w:t>
            </w:r>
          </w:p>
        </w:tc>
        <w:tc>
          <w:tcPr>
            <w:tcW w:w="684" w:type="dxa"/>
            <w:noWrap w:val="0"/>
            <w:vAlign w:val="center"/>
          </w:tcPr>
          <w:p>
            <w:pPr>
              <w:jc w:val="center"/>
              <w:rPr>
                <w:rFonts w:ascii="宋体" w:hAnsi="宋体" w:cs="宋体"/>
                <w:color w:val="auto"/>
              </w:rPr>
            </w:pPr>
            <w:r>
              <w:rPr>
                <w:rFonts w:hint="eastAsia" w:ascii="宋体" w:hAnsi="宋体" w:cs="宋体"/>
                <w:color w:val="auto"/>
              </w:rPr>
              <w:t>台</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22</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7</w:t>
            </w:r>
          </w:p>
        </w:tc>
        <w:tc>
          <w:tcPr>
            <w:tcW w:w="999" w:type="dxa"/>
            <w:noWrap w:val="0"/>
            <w:vAlign w:val="center"/>
          </w:tcPr>
          <w:p>
            <w:pPr>
              <w:jc w:val="center"/>
              <w:rPr>
                <w:rFonts w:ascii="宋体" w:hAnsi="宋体" w:cs="宋体"/>
                <w:color w:val="auto"/>
              </w:rPr>
            </w:pPr>
            <w:r>
              <w:rPr>
                <w:rFonts w:hint="eastAsia" w:ascii="宋体" w:hAnsi="宋体" w:cs="宋体"/>
                <w:color w:val="auto"/>
              </w:rPr>
              <w:t>模块</w:t>
            </w:r>
          </w:p>
        </w:tc>
        <w:tc>
          <w:tcPr>
            <w:tcW w:w="5643" w:type="dxa"/>
            <w:noWrap w:val="0"/>
            <w:vAlign w:val="center"/>
          </w:tcPr>
          <w:p>
            <w:pPr>
              <w:jc w:val="center"/>
              <w:rPr>
                <w:rFonts w:ascii="宋体" w:hAnsi="宋体" w:cs="宋体"/>
                <w:color w:val="auto"/>
              </w:rPr>
            </w:pPr>
            <w:r>
              <w:rPr>
                <w:rFonts w:hint="eastAsia" w:ascii="宋体" w:hAnsi="宋体" w:cs="宋体"/>
                <w:color w:val="auto"/>
              </w:rPr>
              <w:t>千兆光纤模块</w:t>
            </w:r>
          </w:p>
        </w:tc>
        <w:tc>
          <w:tcPr>
            <w:tcW w:w="684" w:type="dxa"/>
            <w:noWrap w:val="0"/>
            <w:vAlign w:val="center"/>
          </w:tcPr>
          <w:p>
            <w:pPr>
              <w:jc w:val="center"/>
              <w:rPr>
                <w:rFonts w:ascii="宋体" w:hAnsi="宋体" w:cs="宋体"/>
                <w:color w:val="auto"/>
              </w:rPr>
            </w:pPr>
            <w:r>
              <w:rPr>
                <w:rFonts w:hint="eastAsia" w:ascii="宋体" w:hAnsi="宋体" w:cs="宋体"/>
                <w:color w:val="auto"/>
              </w:rPr>
              <w:t>只</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22</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8</w:t>
            </w:r>
          </w:p>
        </w:tc>
        <w:tc>
          <w:tcPr>
            <w:tcW w:w="999" w:type="dxa"/>
            <w:noWrap w:val="0"/>
            <w:vAlign w:val="center"/>
          </w:tcPr>
          <w:p>
            <w:pPr>
              <w:ind w:firstLine="210" w:firstLineChars="100"/>
              <w:rPr>
                <w:rFonts w:ascii="宋体" w:hAnsi="宋体" w:cs="宋体"/>
                <w:color w:val="auto"/>
              </w:rPr>
            </w:pPr>
            <w:r>
              <w:rPr>
                <w:rFonts w:hint="eastAsia" w:ascii="宋体" w:hAnsi="宋体" w:cs="宋体"/>
                <w:color w:val="auto"/>
              </w:rPr>
              <w:t>网线</w:t>
            </w:r>
          </w:p>
        </w:tc>
        <w:tc>
          <w:tcPr>
            <w:tcW w:w="5643" w:type="dxa"/>
            <w:noWrap w:val="0"/>
            <w:vAlign w:val="center"/>
          </w:tcPr>
          <w:p>
            <w:pPr>
              <w:spacing w:line="260" w:lineRule="exact"/>
              <w:jc w:val="left"/>
              <w:textAlignment w:val="center"/>
              <w:rPr>
                <w:rFonts w:ascii="宋体" w:hAnsi="宋体" w:cs="宋体"/>
                <w:b/>
                <w:bCs/>
                <w:color w:val="auto"/>
                <w:kern w:val="0"/>
                <w:lang w:bidi="ar"/>
              </w:rPr>
            </w:pPr>
            <w:r>
              <w:rPr>
                <w:rFonts w:hint="eastAsia" w:ascii="宋体" w:hAnsi="宋体" w:cs="宋体"/>
                <w:b/>
                <w:bCs/>
                <w:color w:val="auto"/>
                <w:kern w:val="0"/>
                <w:lang w:bidi="ar"/>
              </w:rPr>
              <w:t>建议品牌：韩电、普天天纪、康普</w:t>
            </w:r>
          </w:p>
          <w:p>
            <w:pPr>
              <w:spacing w:line="260" w:lineRule="exact"/>
              <w:jc w:val="left"/>
              <w:textAlignment w:val="center"/>
              <w:rPr>
                <w:rFonts w:ascii="宋体" w:hAnsi="宋体" w:cs="宋体"/>
                <w:color w:val="auto"/>
                <w:kern w:val="0"/>
                <w:lang w:bidi="ar"/>
              </w:rPr>
            </w:pPr>
            <w:r>
              <w:rPr>
                <w:rFonts w:hint="eastAsia" w:ascii="宋体" w:hAnsi="宋体" w:cs="宋体"/>
                <w:color w:val="auto"/>
                <w:kern w:val="0"/>
                <w:lang w:bidi="ar"/>
              </w:rPr>
              <w:t xml:space="preserve">产品标准：YD/T 1019-2013 、ISO/IEC 11801:2017 、TIA-568.2-D:2018               </w:t>
            </w:r>
          </w:p>
          <w:p>
            <w:pPr>
              <w:spacing w:line="260" w:lineRule="exact"/>
              <w:jc w:val="left"/>
              <w:textAlignment w:val="center"/>
              <w:rPr>
                <w:rFonts w:ascii="宋体" w:hAnsi="宋体" w:cs="宋体"/>
                <w:color w:val="auto"/>
                <w:kern w:val="0"/>
                <w:lang w:bidi="ar"/>
              </w:rPr>
            </w:pPr>
            <w:r>
              <w:rPr>
                <w:rFonts w:hint="eastAsia" w:ascii="宋体" w:hAnsi="宋体" w:cs="宋体"/>
                <w:color w:val="auto"/>
                <w:kern w:val="0"/>
                <w:lang w:bidi="ar"/>
              </w:rPr>
              <w:t xml:space="preserve">产品特性：①铜丝采用无氧铜，导体直径 0.57±0.02mm/23AWG ②绝缘层采用 HDPE 料，实心绝缘，绝缘外径 0.98±0.02mm ③骨架采用十字型结构 ④护套厚度≥0.55mm，护套外径 6.0±0.3mm， ⑤直流电阻≤8.0Ω/100m，直流电阻不平衡≤1.5% ⑥传播相时延≤536ns/100m（250MHz） ⑦特性阻抗 100±15Ω（4-250MHz） ⑧工作温度-20℃～60℃，安装拉力≤100N，弯曲半径≥8×护套外径 ⑨带宽≥250MHz                                   </w:t>
            </w:r>
          </w:p>
          <w:p>
            <w:pPr>
              <w:spacing w:line="260" w:lineRule="exact"/>
              <w:jc w:val="left"/>
              <w:textAlignment w:val="center"/>
              <w:rPr>
                <w:rFonts w:ascii="宋体" w:hAnsi="宋体" w:cs="宋体"/>
                <w:color w:val="auto"/>
                <w:kern w:val="0"/>
                <w:lang w:bidi="ar"/>
              </w:rPr>
            </w:pPr>
            <w:r>
              <w:rPr>
                <w:rFonts w:hint="eastAsia" w:ascii="宋体" w:hAnsi="宋体" w:cs="宋体"/>
                <w:color w:val="auto"/>
                <w:kern w:val="0"/>
                <w:lang w:bidi="ar"/>
              </w:rPr>
              <w:t>【基本性能要求】：</w:t>
            </w:r>
          </w:p>
          <w:p>
            <w:pPr>
              <w:spacing w:line="260" w:lineRule="exact"/>
              <w:jc w:val="left"/>
              <w:textAlignment w:val="center"/>
              <w:rPr>
                <w:rFonts w:ascii="宋体" w:hAnsi="宋体" w:cs="宋体"/>
                <w:color w:val="auto"/>
                <w:kern w:val="0"/>
                <w:lang w:bidi="ar"/>
              </w:rPr>
            </w:pPr>
            <w:r>
              <w:rPr>
                <w:rFonts w:hint="eastAsia" w:ascii="宋体" w:hAnsi="宋体" w:cs="宋体"/>
                <w:color w:val="auto"/>
                <w:kern w:val="0"/>
                <w:lang w:bidi="ar"/>
              </w:rPr>
              <w:t>A</w:t>
            </w:r>
            <w:r>
              <w:rPr>
                <w:rFonts w:hint="eastAsia" w:ascii="宋体" w:hAnsi="宋体" w:cs="宋体"/>
                <w:color w:val="auto"/>
                <w:kern w:val="0"/>
                <w:lang w:val="en-US" w:eastAsia="zh-CN" w:bidi="ar"/>
              </w:rPr>
              <w:t>.</w:t>
            </w:r>
            <w:r>
              <w:rPr>
                <w:rFonts w:hint="eastAsia" w:ascii="宋体" w:hAnsi="宋体" w:cs="宋体"/>
                <w:color w:val="auto"/>
                <w:kern w:val="0"/>
                <w:lang w:bidi="ar"/>
              </w:rPr>
              <w:t>通过泰尔实验室或者中华人民共和国信息产业相关质量监督机构出具的六类非屏蔽六节点检验报告及其六类非屏蔽单体全性能检验报告；</w:t>
            </w:r>
          </w:p>
          <w:p>
            <w:pPr>
              <w:spacing w:line="260" w:lineRule="exact"/>
              <w:jc w:val="left"/>
              <w:textAlignment w:val="center"/>
              <w:rPr>
                <w:rFonts w:ascii="宋体" w:hAnsi="宋体" w:cs="宋体"/>
                <w:color w:val="auto"/>
                <w:kern w:val="0"/>
                <w:lang w:bidi="ar"/>
              </w:rPr>
            </w:pPr>
            <w:r>
              <w:rPr>
                <w:rFonts w:hint="eastAsia" w:ascii="宋体" w:hAnsi="宋体" w:cs="宋体"/>
                <w:color w:val="auto"/>
                <w:kern w:val="0"/>
                <w:lang w:bidi="ar"/>
              </w:rPr>
              <w:t>B</w:t>
            </w:r>
            <w:r>
              <w:rPr>
                <w:rFonts w:hint="eastAsia" w:ascii="宋体" w:hAnsi="宋体" w:cs="宋体"/>
                <w:color w:val="auto"/>
                <w:kern w:val="0"/>
                <w:lang w:val="en-US" w:eastAsia="zh-CN" w:bidi="ar"/>
              </w:rPr>
              <w:t>.</w:t>
            </w:r>
            <w:r>
              <w:rPr>
                <w:rFonts w:hint="eastAsia" w:ascii="宋体" w:hAnsi="宋体" w:cs="宋体"/>
                <w:color w:val="auto"/>
                <w:kern w:val="0"/>
                <w:lang w:bidi="ar"/>
              </w:rPr>
              <w:t>通过 VDE 实验室 CPR的燃烧测试，并燃烧测试报告；</w:t>
            </w:r>
          </w:p>
          <w:p>
            <w:pPr>
              <w:spacing w:line="260" w:lineRule="exact"/>
              <w:jc w:val="left"/>
              <w:textAlignment w:val="center"/>
              <w:rPr>
                <w:rFonts w:ascii="宋体" w:hAnsi="宋体" w:cs="宋体"/>
                <w:color w:val="auto"/>
                <w:kern w:val="0"/>
                <w:lang w:bidi="ar"/>
              </w:rPr>
            </w:pPr>
            <w:r>
              <w:rPr>
                <w:rFonts w:hint="eastAsia" w:ascii="宋体" w:hAnsi="宋体" w:cs="宋体"/>
                <w:color w:val="auto"/>
                <w:kern w:val="0"/>
                <w:lang w:bidi="ar"/>
              </w:rPr>
              <w:t>C</w:t>
            </w:r>
            <w:r>
              <w:rPr>
                <w:rFonts w:hint="eastAsia" w:ascii="宋体" w:hAnsi="宋体" w:cs="宋体"/>
                <w:color w:val="auto"/>
                <w:kern w:val="0"/>
                <w:lang w:val="en-US" w:eastAsia="zh-CN" w:bidi="ar"/>
              </w:rPr>
              <w:t>.</w:t>
            </w:r>
            <w:r>
              <w:rPr>
                <w:rFonts w:hint="eastAsia" w:ascii="宋体" w:hAnsi="宋体" w:cs="宋体"/>
                <w:color w:val="auto"/>
                <w:kern w:val="0"/>
                <w:lang w:bidi="ar"/>
              </w:rPr>
              <w:t>通过 FORCE Technology 实验室六类非屏蔽通道检测报告 ；</w:t>
            </w:r>
          </w:p>
          <w:p>
            <w:pPr>
              <w:spacing w:line="260" w:lineRule="exact"/>
              <w:jc w:val="left"/>
              <w:textAlignment w:val="center"/>
              <w:rPr>
                <w:rFonts w:ascii="宋体" w:hAnsi="宋体" w:cs="宋体"/>
                <w:color w:val="auto"/>
                <w:kern w:val="0"/>
                <w:lang w:bidi="ar"/>
              </w:rPr>
            </w:pPr>
            <w:r>
              <w:rPr>
                <w:rFonts w:hint="eastAsia" w:ascii="宋体" w:hAnsi="宋体" w:cs="宋体"/>
                <w:color w:val="auto"/>
                <w:kern w:val="0"/>
                <w:lang w:bidi="ar"/>
              </w:rPr>
              <w:t>D</w:t>
            </w:r>
            <w:r>
              <w:rPr>
                <w:rFonts w:hint="eastAsia" w:ascii="宋体" w:hAnsi="宋体" w:cs="宋体"/>
                <w:color w:val="auto"/>
                <w:kern w:val="0"/>
                <w:lang w:val="en-US" w:eastAsia="zh-CN" w:bidi="ar"/>
              </w:rPr>
              <w:t>.</w:t>
            </w:r>
            <w:r>
              <w:rPr>
                <w:rFonts w:hint="eastAsia" w:ascii="宋体" w:hAnsi="宋体" w:cs="宋体"/>
                <w:color w:val="auto"/>
                <w:kern w:val="0"/>
                <w:lang w:bidi="ar"/>
              </w:rPr>
              <w:t>具有近3年内ROHS（EU2015-863版本)（产品+原材料）检测报告；</w:t>
            </w:r>
          </w:p>
          <w:p>
            <w:pPr>
              <w:spacing w:line="260" w:lineRule="exact"/>
              <w:jc w:val="left"/>
              <w:textAlignment w:val="center"/>
              <w:rPr>
                <w:rFonts w:ascii="宋体" w:hAnsi="宋体" w:cs="宋体"/>
                <w:color w:val="auto"/>
              </w:rPr>
            </w:pPr>
            <w:r>
              <w:rPr>
                <w:rFonts w:hint="eastAsia" w:ascii="宋体" w:hAnsi="宋体" w:cs="宋体"/>
                <w:b/>
                <w:bCs/>
                <w:color w:val="auto"/>
                <w:kern w:val="0"/>
                <w:lang w:bidi="ar"/>
              </w:rPr>
              <w:t>★投标时提供以上检测报告</w:t>
            </w:r>
            <w:r>
              <w:rPr>
                <w:rFonts w:hint="eastAsia" w:ascii="宋体" w:hAnsi="宋体" w:cs="宋体"/>
                <w:b/>
                <w:bCs/>
                <w:color w:val="auto"/>
                <w:kern w:val="0"/>
              </w:rPr>
              <w:t>复印件并加盖投标人公章。</w:t>
            </w:r>
            <w:r>
              <w:rPr>
                <w:rFonts w:hint="eastAsia" w:ascii="宋体" w:hAnsi="宋体" w:cs="宋体"/>
                <w:b/>
                <w:bCs/>
                <w:color w:val="auto"/>
                <w:kern w:val="0"/>
                <w:lang w:bidi="ar"/>
              </w:rPr>
              <w:t xml:space="preserve">                        </w:t>
            </w:r>
          </w:p>
        </w:tc>
        <w:tc>
          <w:tcPr>
            <w:tcW w:w="684" w:type="dxa"/>
            <w:noWrap w:val="0"/>
            <w:vAlign w:val="center"/>
          </w:tcPr>
          <w:p>
            <w:pPr>
              <w:ind w:firstLine="105" w:firstLineChars="50"/>
              <w:rPr>
                <w:rFonts w:ascii="宋体" w:hAnsi="宋体" w:cs="宋体"/>
                <w:color w:val="auto"/>
              </w:rPr>
            </w:pPr>
            <w:r>
              <w:rPr>
                <w:rFonts w:hint="eastAsia" w:ascii="宋体" w:hAnsi="宋体" w:cs="宋体"/>
                <w:color w:val="auto"/>
              </w:rPr>
              <w:t>米</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500</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9</w:t>
            </w:r>
          </w:p>
        </w:tc>
        <w:tc>
          <w:tcPr>
            <w:tcW w:w="999" w:type="dxa"/>
            <w:noWrap w:val="0"/>
            <w:vAlign w:val="center"/>
          </w:tcPr>
          <w:p>
            <w:pPr>
              <w:ind w:firstLine="210" w:firstLineChars="100"/>
              <w:rPr>
                <w:rFonts w:ascii="宋体" w:hAnsi="宋体" w:cs="宋体"/>
                <w:color w:val="auto"/>
              </w:rPr>
            </w:pPr>
            <w:r>
              <w:rPr>
                <w:rFonts w:hint="eastAsia" w:ascii="宋体" w:hAnsi="宋体" w:cs="宋体"/>
                <w:color w:val="auto"/>
              </w:rPr>
              <w:t>跳纤</w:t>
            </w:r>
          </w:p>
        </w:tc>
        <w:tc>
          <w:tcPr>
            <w:tcW w:w="5643" w:type="dxa"/>
            <w:noWrap w:val="0"/>
            <w:vAlign w:val="center"/>
          </w:tcPr>
          <w:p>
            <w:pPr>
              <w:jc w:val="center"/>
              <w:rPr>
                <w:rFonts w:ascii="宋体" w:hAnsi="宋体" w:cs="宋体"/>
                <w:color w:val="auto"/>
              </w:rPr>
            </w:pPr>
            <w:r>
              <w:rPr>
                <w:rFonts w:hint="eastAsia" w:ascii="宋体" w:hAnsi="宋体" w:cs="宋体"/>
                <w:color w:val="auto"/>
              </w:rPr>
              <w:t>国标</w:t>
            </w:r>
          </w:p>
        </w:tc>
        <w:tc>
          <w:tcPr>
            <w:tcW w:w="684" w:type="dxa"/>
            <w:noWrap w:val="0"/>
            <w:vAlign w:val="center"/>
          </w:tcPr>
          <w:p>
            <w:pPr>
              <w:jc w:val="center"/>
              <w:rPr>
                <w:rFonts w:ascii="宋体" w:hAnsi="宋体" w:cs="宋体"/>
                <w:color w:val="auto"/>
              </w:rPr>
            </w:pPr>
            <w:r>
              <w:rPr>
                <w:rFonts w:hint="eastAsia" w:ascii="宋体" w:hAnsi="宋体" w:cs="宋体"/>
                <w:color w:val="auto"/>
              </w:rPr>
              <w:t>根</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44</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10</w:t>
            </w:r>
          </w:p>
        </w:tc>
        <w:tc>
          <w:tcPr>
            <w:tcW w:w="999" w:type="dxa"/>
            <w:noWrap w:val="0"/>
            <w:vAlign w:val="center"/>
          </w:tcPr>
          <w:p>
            <w:pPr>
              <w:jc w:val="center"/>
              <w:rPr>
                <w:rFonts w:ascii="宋体" w:hAnsi="宋体" w:cs="宋体"/>
                <w:color w:val="auto"/>
              </w:rPr>
            </w:pPr>
            <w:r>
              <w:rPr>
                <w:rFonts w:hint="eastAsia" w:ascii="宋体" w:hAnsi="宋体" w:cs="宋体"/>
                <w:color w:val="auto"/>
              </w:rPr>
              <w:t>电源线</w:t>
            </w:r>
          </w:p>
        </w:tc>
        <w:tc>
          <w:tcPr>
            <w:tcW w:w="5643" w:type="dxa"/>
            <w:noWrap w:val="0"/>
            <w:vAlign w:val="center"/>
          </w:tcPr>
          <w:p>
            <w:pPr>
              <w:jc w:val="center"/>
              <w:rPr>
                <w:rFonts w:ascii="宋体" w:hAnsi="宋体" w:cs="宋体"/>
                <w:color w:val="auto"/>
              </w:rPr>
            </w:pPr>
            <w:r>
              <w:rPr>
                <w:rFonts w:hint="eastAsia" w:ascii="宋体" w:hAnsi="宋体" w:cs="宋体"/>
                <w:color w:val="auto"/>
              </w:rPr>
              <w:t>RVV2*1.5</w:t>
            </w:r>
          </w:p>
        </w:tc>
        <w:tc>
          <w:tcPr>
            <w:tcW w:w="684" w:type="dxa"/>
            <w:noWrap w:val="0"/>
            <w:vAlign w:val="center"/>
          </w:tcPr>
          <w:p>
            <w:pPr>
              <w:ind w:firstLine="105" w:firstLineChars="50"/>
              <w:rPr>
                <w:rFonts w:ascii="宋体" w:hAnsi="宋体" w:cs="宋体"/>
                <w:color w:val="auto"/>
              </w:rPr>
            </w:pPr>
            <w:r>
              <w:rPr>
                <w:rFonts w:hint="eastAsia" w:ascii="宋体" w:hAnsi="宋体" w:cs="宋体"/>
                <w:color w:val="auto"/>
              </w:rPr>
              <w:t>米</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500</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5" w:type="dxa"/>
            <w:noWrap/>
            <w:vAlign w:val="center"/>
          </w:tcPr>
          <w:p>
            <w:pPr>
              <w:jc w:val="center"/>
              <w:rPr>
                <w:rFonts w:ascii="宋体" w:hAnsi="宋体" w:cs="宋体"/>
                <w:color w:val="auto"/>
                <w:kern w:val="0"/>
              </w:rPr>
            </w:pPr>
            <w:r>
              <w:rPr>
                <w:rFonts w:hint="eastAsia" w:ascii="宋体" w:hAnsi="宋体" w:cs="宋体"/>
                <w:color w:val="auto"/>
                <w:kern w:val="0"/>
              </w:rPr>
              <w:t>11</w:t>
            </w:r>
          </w:p>
        </w:tc>
        <w:tc>
          <w:tcPr>
            <w:tcW w:w="999" w:type="dxa"/>
            <w:noWrap w:val="0"/>
            <w:vAlign w:val="center"/>
          </w:tcPr>
          <w:p>
            <w:pPr>
              <w:jc w:val="center"/>
              <w:rPr>
                <w:rFonts w:ascii="宋体" w:hAnsi="宋体" w:cs="宋体"/>
                <w:color w:val="auto"/>
              </w:rPr>
            </w:pPr>
            <w:r>
              <w:rPr>
                <w:rFonts w:hint="eastAsia" w:ascii="宋体" w:hAnsi="宋体" w:cs="宋体"/>
                <w:color w:val="auto"/>
              </w:rPr>
              <w:t>系统集成</w:t>
            </w:r>
          </w:p>
        </w:tc>
        <w:tc>
          <w:tcPr>
            <w:tcW w:w="5643" w:type="dxa"/>
            <w:noWrap w:val="0"/>
            <w:vAlign w:val="center"/>
          </w:tcPr>
          <w:p>
            <w:pPr>
              <w:jc w:val="center"/>
              <w:rPr>
                <w:rFonts w:ascii="宋体" w:hAnsi="宋体" w:cs="宋体"/>
                <w:color w:val="auto"/>
              </w:rPr>
            </w:pPr>
          </w:p>
        </w:tc>
        <w:tc>
          <w:tcPr>
            <w:tcW w:w="684" w:type="dxa"/>
            <w:noWrap w:val="0"/>
            <w:vAlign w:val="center"/>
          </w:tcPr>
          <w:p>
            <w:pPr>
              <w:jc w:val="center"/>
              <w:rPr>
                <w:rFonts w:ascii="宋体" w:hAnsi="宋体" w:cs="宋体"/>
                <w:color w:val="auto"/>
              </w:rPr>
            </w:pPr>
            <w:r>
              <w:rPr>
                <w:rFonts w:hint="eastAsia" w:ascii="宋体" w:hAnsi="宋体" w:cs="宋体"/>
                <w:color w:val="auto"/>
              </w:rPr>
              <w:t>项</w:t>
            </w:r>
          </w:p>
        </w:tc>
        <w:tc>
          <w:tcPr>
            <w:tcW w:w="732" w:type="dxa"/>
            <w:noWrap w:val="0"/>
            <w:vAlign w:val="center"/>
          </w:tcPr>
          <w:p>
            <w:pPr>
              <w:jc w:val="center"/>
              <w:textAlignment w:val="center"/>
              <w:rPr>
                <w:rFonts w:ascii="宋体" w:hAnsi="宋体" w:cs="宋体"/>
                <w:color w:val="auto"/>
              </w:rPr>
            </w:pPr>
            <w:r>
              <w:rPr>
                <w:rFonts w:hint="eastAsia" w:ascii="宋体" w:hAnsi="宋体" w:cs="宋体"/>
                <w:color w:val="auto"/>
                <w:kern w:val="0"/>
                <w:lang w:bidi="ar"/>
              </w:rPr>
              <w:t>1</w:t>
            </w:r>
          </w:p>
        </w:tc>
        <w:tc>
          <w:tcPr>
            <w:tcW w:w="797" w:type="dxa"/>
            <w:noWrap w:val="0"/>
            <w:vAlign w:val="center"/>
          </w:tcPr>
          <w:p>
            <w:pPr>
              <w:jc w:val="center"/>
              <w:textAlignment w:val="center"/>
              <w:rPr>
                <w:rFonts w:hint="eastAsia" w:ascii="宋体" w:hAnsi="宋体" w:cs="宋体"/>
                <w:color w:val="auto"/>
                <w:kern w:val="0"/>
                <w:lang w:bidi="ar"/>
              </w:rPr>
            </w:pPr>
            <w:r>
              <w:rPr>
                <w:rFonts w:hint="eastAsia" w:ascii="宋体" w:hAnsi="宋体" w:cs="宋体"/>
                <w:color w:val="auto"/>
                <w:kern w:val="0"/>
                <w:lang w:val="en-US" w:eastAsia="zh-CN" w:bidi="ar"/>
              </w:rPr>
              <w:t>否</w:t>
            </w:r>
          </w:p>
        </w:tc>
      </w:tr>
    </w:tbl>
    <w:p>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备注：</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1.上述采购要求为最低要求，不得负偏离，否则视为无效报价。</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2.成交供应商须根据单位指定地点、时间安装到位。</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Hans"/>
        </w:rPr>
      </w:pPr>
      <w:r>
        <w:rPr>
          <w:rFonts w:hint="eastAsia" w:ascii="宋体" w:hAnsi="宋体" w:eastAsia="宋体" w:cs="宋体"/>
          <w:color w:val="auto"/>
          <w:sz w:val="28"/>
          <w:szCs w:val="28"/>
          <w:lang w:val="en-US" w:eastAsia="zh-CN"/>
        </w:rPr>
        <w:t>3.所提供商品必须为原厂正品，提供产品合格证，必须能通过原厂服务电话或厂家服务站查询真伪，供应商在供货时提供质保承诺书并加盖供原厂公章。</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项目中的建议品牌，只是建议所采购产品（设备）的档次。报价供应商如拟投产品不在建议品牌之列的，报价货物品牌的技术参数不得低于建议的品牌，同时报价供应商应当在递交询价响应文件一个工作日前向采购单位提供货物的技术资料、相关证明材料及相关单位的成功使用案例，采购单位将组织进行评审，当三分之二及以上评委认定，所投品牌、型号档次等于或高于建议品牌档次的，将以补充通知的形式在相关网站予以公布，所投品牌档次低于建议品牌档次的，则不予受理。询价响应文件中报价品牌、型号为非建议品牌且未在规定时间内经采购单位评审通过以补充通知形式发布的，将被视作无效报价。</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5.投标时提供采购货物清单中标★项证明材料，否则视为未实质响应报价文件要求。</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6.中标供应商在中标公示结束后三</w:t>
      </w:r>
      <w:r>
        <w:rPr>
          <w:rFonts w:hint="eastAsia" w:ascii="宋体" w:hAnsi="宋体" w:cs="宋体"/>
          <w:color w:val="auto"/>
          <w:sz w:val="28"/>
          <w:szCs w:val="28"/>
          <w:lang w:val="en-US" w:eastAsia="zh-CN"/>
        </w:rPr>
        <w:t>个</w:t>
      </w:r>
      <w:r>
        <w:rPr>
          <w:rFonts w:hint="eastAsia" w:ascii="宋体" w:hAnsi="宋体" w:eastAsia="宋体" w:cs="宋体"/>
          <w:color w:val="auto"/>
          <w:sz w:val="28"/>
          <w:szCs w:val="28"/>
          <w:lang w:val="en-US" w:eastAsia="zh-CN"/>
        </w:rPr>
        <w:t>工作日内须提供：原厂技术响应承诺函及针对本项目的原厂三年质保函原件并加盖原厂公章；未能按期提供上述材料的，取消其成交供应商资格。</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二、核心产品：汇聚交换机。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项目实施时间和地点：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1.供货与安装周期：签订合同之日起30日历天内交货、安装、调试完毕。如因中标人原因延期的，除扣除全部履约保证金外，每推迟一天加罚5000元。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2.交货、安装地点：成交供应商应按照采购单位的要求将货物运至采购单位指定地点，确保正常使用。</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lang w:eastAsia="zh-CN"/>
        </w:rPr>
        <w:t>四</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质量要求：</w:t>
      </w:r>
      <w:r>
        <w:rPr>
          <w:rFonts w:hint="eastAsia" w:ascii="宋体" w:hAnsi="宋体" w:eastAsia="宋体" w:cs="宋体"/>
          <w:color w:val="auto"/>
          <w:sz w:val="28"/>
          <w:szCs w:val="28"/>
          <w:highlight w:val="none"/>
          <w:lang w:val="en-US" w:eastAsia="zh-CN"/>
        </w:rPr>
        <w:t>产品必须是全新、未使用过的符合采购需求、符合国家质量检测标准的原装合格正品，并在供货时提供相关证明材料、随机资料及相关软件资源，如未提供则视为验收不合格，取消其成交资格，履约保证金不予退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color w:val="auto"/>
          <w:sz w:val="28"/>
          <w:szCs w:val="28"/>
          <w:highlight w:val="none"/>
          <w:lang w:val="zh-CN"/>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color w:val="auto"/>
          <w:sz w:val="28"/>
          <w:szCs w:val="28"/>
          <w:highlight w:val="none"/>
          <w:lang w:val="zh-CN"/>
        </w:rPr>
        <w:t>售后服务要求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质保要求：项目要求整体质保三年，本项目所有货物必须提供三年上门服务及全免费质保等售后服务。（原厂质保期高于供应商承诺质保期的，按原厂质保期计算。自验收合格报告签字确认日起，开始进入质保期）。</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售后服务要求：在质保期内，同一商品、同一质量问题连续两次维修仍无法正常使用，供应商无条件给予全套更新或退货。在免费质保期内，供应商在接到用户单位电话通知后，必须在4小时之内上门服务，并在8小时内负责修复。如需更换货物或送修，必须在48小时内提供备用货物，并在7个工作日内负责维修完毕。</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zh-CN" w:eastAsia="zh-CN"/>
        </w:rPr>
        <w:t>.培训要求：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（1）中标供应商须对所有本项目系统硬件产品、应用软件、系统集成、开发技术及工具等在内的全部培训，培训对象为使用单位技术人员培训、普通用户培训。</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2）培训方式为现场培训和原厂培训。现场培训指在设备的安装调试、故障处理过程中，对使用单位技术人员进行实际的操作和故障处理培训。整套设备安装、调试完成后，中标供应商应安排厂家技术人员对使用单位技术人员进行集中原厂培训。</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（3）培训内容包括正常使用和一般故障排除，并提供完整的培训资料、培训计划等文档。</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rPr>
        <w:t>、</w:t>
      </w:r>
      <w:r>
        <w:rPr>
          <w:rFonts w:hint="eastAsia" w:ascii="宋体" w:hAnsi="宋体" w:cs="宋体"/>
          <w:b/>
          <w:color w:val="auto"/>
          <w:sz w:val="28"/>
          <w:szCs w:val="28"/>
          <w:lang w:val="en-US" w:eastAsia="zh-CN"/>
        </w:rPr>
        <w:t>授予合同条件</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宋体" w:hAnsi="宋体" w:eastAsia="宋体" w:cs="宋体"/>
          <w:b/>
          <w:bCs/>
          <w:color w:val="auto"/>
          <w:sz w:val="28"/>
          <w:szCs w:val="28"/>
          <w:lang w:val="en-US" w:eastAsia="zh-CN"/>
        </w:rPr>
        <w:t>在中标公示结束后三个工作日内，提供本项目所需的高空杆塔资源（高度30米以上）的权属证明材料（复印件加盖公章）或所需的高空杆塔资源（高度30米以上）权属单位许可使用合作协议（加盖权属单位公章），否则视为无合同履约能力，取消中标资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en-US" w:eastAsia="zh-CN"/>
        </w:rPr>
        <w:t>、项目验收：</w:t>
      </w:r>
      <w:r>
        <w:rPr>
          <w:rFonts w:hint="eastAsia" w:ascii="宋体" w:hAnsi="宋体" w:eastAsia="宋体" w:cs="宋体"/>
          <w:color w:val="auto"/>
          <w:kern w:val="2"/>
          <w:sz w:val="28"/>
          <w:szCs w:val="28"/>
          <w:lang w:val="en-US" w:eastAsia="zh-CN" w:bidi="ar-SA"/>
        </w:rPr>
        <w:t>经启东市市场监督管理局组织抽样检验并取得合格的检测报告或有效的证明文件后方可安装，安装、调试完毕后，由成交供应商向采购单位提出书面验收申请，采购单位在收到成交供应商提交的书面项目验收申请后7个工作日内，将组织验收小组根据</w:t>
      </w:r>
      <w:r>
        <w:rPr>
          <w:rFonts w:hint="eastAsia" w:ascii="宋体" w:hAnsi="宋体" w:cs="宋体"/>
          <w:color w:val="auto"/>
          <w:kern w:val="2"/>
          <w:sz w:val="28"/>
          <w:szCs w:val="28"/>
          <w:lang w:val="en-US" w:eastAsia="zh-CN" w:bidi="ar-SA"/>
        </w:rPr>
        <w:t>询价文件</w:t>
      </w:r>
      <w:r>
        <w:rPr>
          <w:rFonts w:hint="eastAsia" w:ascii="宋体" w:hAnsi="宋体" w:eastAsia="宋体" w:cs="宋体"/>
          <w:color w:val="auto"/>
          <w:kern w:val="2"/>
          <w:sz w:val="28"/>
          <w:szCs w:val="28"/>
          <w:lang w:val="en-US" w:eastAsia="zh-CN" w:bidi="ar-SA"/>
        </w:rPr>
        <w:t>和供应商投标文件对供应商所供货物及相关产品合格证等进行验收。如验收时发现所供货物的数量、品牌、技术参数等与招投标文件不一致，或无有效产品合格证、存在安全隐患等，根据启东市市场监督管理局意见，采购单位将向成交供应商签发整改通知书。成交供应商在收到整改通知书后七日内必须按要求整改，如再次不符合要求或逾期，采购人将视作项目整体验收不合格，终止合同履行，履约保证金不予退还并报相关部门进行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lang w:val="en-US" w:eastAsia="zh-CN" w:bidi="ar-SA"/>
        </w:rPr>
        <w:t>启东市市场监督管理局对没有具体执行标准或者以现有设备条件无法进行检测鉴定的情况下，采购人可以委托第三方检测机构进行鉴定，产品质量鉴定结果不合格的，中标供应商承担检测费用，采购人有权拒收、部分拒收、退货、部分退货直至解除本合同，并要求中标供应商支付因此造成的所有损失。破拆部件由中标供应商负责补齐且采购人不支付任何补偿费用</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en-US" w:eastAsia="zh-CN"/>
        </w:rPr>
        <w:t>、商务要求：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项目固定单价报价，报价为本项目服务期内所包含的一切费用[包括但不限于全部货物及辅材的提供、产品制造、质保期内易损件、备品备件、材料、辅材、培训及产品运输、装卸、搬运、保管、检验、包装、运输保险费、优化设计、</w:t>
      </w:r>
      <w:r>
        <w:rPr>
          <w:rFonts w:hint="eastAsia" w:ascii="宋体" w:hAnsi="宋体" w:eastAsia="宋体" w:cs="宋体"/>
          <w:b/>
          <w:bCs/>
          <w:color w:val="auto"/>
          <w:kern w:val="2"/>
          <w:sz w:val="28"/>
          <w:szCs w:val="28"/>
          <w:highlight w:val="none"/>
          <w:lang w:val="en-US" w:eastAsia="zh-CN" w:bidi="ar-SA"/>
        </w:rPr>
        <w:t>本项目招标代理费（按照国家计委【计价格（2002）1980号】《招标代理服务收费管理暂行办法》）、专家评标费（按实收取）</w:t>
      </w:r>
      <w:r>
        <w:rPr>
          <w:rFonts w:hint="eastAsia" w:ascii="宋体" w:hAnsi="宋体" w:eastAsia="宋体" w:cs="宋体"/>
          <w:color w:val="auto"/>
          <w:kern w:val="2"/>
          <w:sz w:val="28"/>
          <w:szCs w:val="28"/>
          <w:highlight w:val="none"/>
          <w:lang w:val="en-US" w:eastAsia="zh-CN" w:bidi="ar-SA"/>
        </w:rPr>
        <w:t>、安装技术指导、调试、运行、技术服务支持、保修期内维保服务、配合费、利润、税金、验收费、全部产品通过验收并交付使用及保修等一切费用，以及供应商认为需要的其他费用等。</w:t>
      </w:r>
      <w:r>
        <w:rPr>
          <w:rFonts w:hint="eastAsia" w:ascii="宋体" w:hAnsi="宋体" w:cs="宋体"/>
          <w:color w:val="auto"/>
          <w:kern w:val="2"/>
          <w:sz w:val="28"/>
          <w:szCs w:val="28"/>
          <w:highlight w:val="none"/>
          <w:lang w:val="en-US" w:eastAsia="zh-CN" w:bidi="ar-SA"/>
        </w:rPr>
        <w:t>询价</w:t>
      </w:r>
      <w:r>
        <w:rPr>
          <w:rFonts w:hint="eastAsia" w:ascii="宋体" w:hAnsi="宋体" w:eastAsia="宋体" w:cs="宋体"/>
          <w:color w:val="auto"/>
          <w:kern w:val="2"/>
          <w:sz w:val="28"/>
          <w:szCs w:val="28"/>
          <w:highlight w:val="none"/>
          <w:lang w:val="en-US" w:eastAsia="zh-CN" w:bidi="ar-SA"/>
        </w:rPr>
        <w:t>文件中所有内容涉及的费用，按常规应当包括的其它费用，投标时一次包定，结算时不再另行追加。</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投标报价应是固定不变的，不得以任何理由予以变更。任何可变的或者附有条件的投标报价，采购人均将予以拒绝，投标人的投标文件将被视为无效投标</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九</w:t>
      </w:r>
      <w:r>
        <w:rPr>
          <w:rFonts w:hint="eastAsia" w:ascii="宋体" w:hAnsi="宋体" w:eastAsia="宋体" w:cs="宋体"/>
          <w:b/>
          <w:bCs/>
          <w:color w:val="auto"/>
          <w:sz w:val="28"/>
          <w:szCs w:val="28"/>
        </w:rPr>
        <w:t>、采购标的的其他技术、服务等要求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1.商品包装环保要求：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（1）商品包装层数不得超过 3 层，空隙率不大于 40%；</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（2）商品包装尽可能使用单一材质的包装材料，如因功能需求必需使用不同材质，不同材质间应便于分离；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（3）商品包装中铅、汞、镉、六价铬的总含量应不大于100mg/kg；</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（4）商品包装印刷使用的油墨中挥发性有机化合物(VOCs)含量应不大于 5%（以重量计）；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（5）塑料材质商品包装上呈现的印刷颜色不得超过 6 色；</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（6）纸质商品包装应使用 75%以上的可再生纤维原料生产；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（7）木质商品包装的原料应来源于可持续性森林。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2.快递包装环保要求：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（1）快递包装中重金属（铅、汞、镉、六价铬）总量应不大于 100mg/kg；</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（2）快递包装印刷使用的油墨中不应添加邻苯二甲酸酯，其挥发性有机化合物(VOCs)含量应不大于5%（以重量计）；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（3）快递包装中使用纸基材的包装材料，纸基材中的有机氯的含量应不大于 150 mg/kg；</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（4）快递包装中使用塑料基材的包装材料不得使用邻苯二甲酸二异壬酯、邻苯二甲酸二正辛酯、邻苯二甲酸二(2-乙基)己酯、邻苯二甲酸二异癸酯、邻苯二甲酸丁基苄基酯、邻苯二甲酸二丁酯等作为增塑剂；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（5）快递中使用的塑料包装袋不得使用聚氯乙烯作为原料，且原料应为单一材质制成，生物分解率大于60%；</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（6）快递中使用的充气类填充物不得使用聚氯乙烯作为 原料，且原料为单一材质制成，生物分解率大于60%；</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（7）快递中使用的集装袋应为单一材质制成，其重复使用次数应不小于 80 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（8）快递中应使用幅宽不大于45mm 的生物降解胶带；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（9）快递包装中不得使用溶剂型胶粘剂；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（11）快递应使用电子面单；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（12）直接使用商品包装作为快递包装的商品，其商品包装满足《商品包装政府采购需求标准（试行）》即可；</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（13）快递包装产品质量和封装方式应符合相关国家或行业标准技术指标要求。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3.绿色数据中心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4.低挥发性有机化合物产品：</w:t>
      </w:r>
      <w:r>
        <w:rPr>
          <w:rFonts w:hint="eastAsia" w:ascii="宋体" w:hAnsi="宋体" w:eastAsia="宋体" w:cs="宋体"/>
          <w:color w:val="auto"/>
          <w:kern w:val="2"/>
          <w:sz w:val="28"/>
          <w:szCs w:val="28"/>
          <w:highlight w:val="none"/>
          <w:lang w:val="zh-CN" w:eastAsia="zh-CN" w:bidi="ar-SA"/>
        </w:rPr>
        <w:t>本项目中如有涉及涂料、胶黏剂、油墨、清洗剂等挥发性有机物产品的，属于强制性标准的，供应商应当执行国家和我省VOCs含量限制标准。供应商提供符合推荐性标准的涂料、胶黏剂、油墨、清洗剂等挥发性有机物产品的，</w:t>
      </w:r>
      <w:r>
        <w:rPr>
          <w:rFonts w:hint="eastAsia" w:ascii="宋体" w:hAnsi="宋体" w:eastAsia="宋体" w:cs="宋体"/>
          <w:color w:val="auto"/>
          <w:kern w:val="2"/>
          <w:sz w:val="28"/>
          <w:szCs w:val="28"/>
          <w:highlight w:val="none"/>
          <w:lang w:val="en-US" w:eastAsia="zh-CN" w:bidi="ar-SA"/>
        </w:rPr>
        <w:t>予以评审优惠。</w:t>
      </w:r>
      <w:r>
        <w:rPr>
          <w:rFonts w:hint="eastAsia" w:ascii="宋体" w:hAnsi="宋体" w:eastAsia="宋体" w:cs="宋体"/>
          <w:color w:val="auto"/>
          <w:kern w:val="2"/>
          <w:sz w:val="28"/>
          <w:szCs w:val="28"/>
          <w:highlight w:val="none"/>
          <w:lang w:val="zh-CN" w:eastAsia="zh-CN" w:bidi="ar-SA"/>
        </w:rPr>
        <w:t>在通用类货物、家具、印刷、公务车辆维修等采购项目中，供应商</w:t>
      </w:r>
      <w:r>
        <w:rPr>
          <w:rFonts w:hint="eastAsia" w:ascii="宋体" w:hAnsi="宋体" w:eastAsia="宋体" w:cs="宋体"/>
          <w:color w:val="auto"/>
          <w:kern w:val="2"/>
          <w:sz w:val="28"/>
          <w:szCs w:val="28"/>
          <w:highlight w:val="none"/>
          <w:lang w:val="en-US" w:eastAsia="zh-CN" w:bidi="ar-SA"/>
        </w:rPr>
        <w:t>应</w:t>
      </w:r>
      <w:r>
        <w:rPr>
          <w:rFonts w:hint="eastAsia" w:ascii="宋体" w:hAnsi="宋体" w:eastAsia="宋体" w:cs="宋体"/>
          <w:color w:val="auto"/>
          <w:kern w:val="2"/>
          <w:sz w:val="28"/>
          <w:szCs w:val="28"/>
          <w:highlight w:val="none"/>
          <w:lang w:val="zh-CN" w:eastAsia="zh-CN" w:bidi="ar-SA"/>
        </w:rPr>
        <w:t>优先使用低挥发性原辅材料</w:t>
      </w:r>
      <w:r>
        <w:rPr>
          <w:rFonts w:hint="eastAsia" w:ascii="宋体" w:hAnsi="宋体" w:eastAsia="宋体" w:cs="宋体"/>
          <w:color w:val="auto"/>
          <w:kern w:val="2"/>
          <w:sz w:val="28"/>
          <w:szCs w:val="28"/>
          <w:highlight w:val="none"/>
          <w:lang w:val="en-US" w:eastAsia="zh-CN" w:bidi="ar-SA"/>
        </w:rPr>
        <w:t>，将使用低</w:t>
      </w:r>
      <w:r>
        <w:rPr>
          <w:rFonts w:hint="eastAsia" w:ascii="宋体" w:hAnsi="宋体" w:eastAsia="宋体" w:cs="宋体"/>
          <w:color w:val="auto"/>
          <w:kern w:val="2"/>
          <w:sz w:val="28"/>
          <w:szCs w:val="28"/>
          <w:highlight w:val="none"/>
          <w:lang w:val="zh-CN" w:eastAsia="zh-CN" w:bidi="ar-SA"/>
        </w:rPr>
        <w:t>VOCs含量的</w:t>
      </w:r>
      <w:r>
        <w:rPr>
          <w:rFonts w:hint="eastAsia" w:ascii="宋体" w:hAnsi="宋体" w:eastAsia="宋体" w:cs="宋体"/>
          <w:color w:val="auto"/>
          <w:kern w:val="2"/>
          <w:sz w:val="28"/>
          <w:szCs w:val="28"/>
          <w:highlight w:val="none"/>
          <w:lang w:val="en-US" w:eastAsia="zh-CN" w:bidi="ar-SA"/>
        </w:rPr>
        <w:t>涂料、</w:t>
      </w:r>
      <w:r>
        <w:rPr>
          <w:rFonts w:hint="eastAsia" w:ascii="宋体" w:hAnsi="宋体" w:eastAsia="宋体" w:cs="宋体"/>
          <w:color w:val="auto"/>
          <w:kern w:val="2"/>
          <w:sz w:val="28"/>
          <w:szCs w:val="28"/>
          <w:highlight w:val="none"/>
          <w:lang w:val="zh-CN" w:eastAsia="zh-CN" w:bidi="ar-SA"/>
        </w:rPr>
        <w:t>胶黏剂</w:t>
      </w:r>
      <w:r>
        <w:rPr>
          <w:rFonts w:hint="eastAsia" w:ascii="宋体" w:hAnsi="宋体" w:eastAsia="宋体" w:cs="宋体"/>
          <w:color w:val="auto"/>
          <w:kern w:val="2"/>
          <w:sz w:val="28"/>
          <w:szCs w:val="28"/>
          <w:highlight w:val="none"/>
          <w:lang w:val="en-US" w:eastAsia="zh-CN" w:bidi="ar-SA"/>
        </w:rPr>
        <w:t>等纳入合同条款。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en-US" w:eastAsia="zh-CN" w:bidi="ar-SA"/>
        </w:rPr>
        <w:t>5.节能环保产品：</w:t>
      </w:r>
      <w:r>
        <w:rPr>
          <w:rFonts w:hint="eastAsia" w:ascii="宋体" w:hAnsi="宋体" w:eastAsia="宋体" w:cs="宋体"/>
          <w:color w:val="auto"/>
          <w:kern w:val="2"/>
          <w:sz w:val="28"/>
          <w:szCs w:val="28"/>
          <w:highlight w:val="none"/>
          <w:lang w:val="zh-CN" w:eastAsia="zh-CN" w:bidi="ar-SA"/>
        </w:rPr>
        <w:t>依据财政部、国家发展和改革委员会发布的《节能产品政府采购品目清单》，本项目中有政府强制采购节能产品的（有在括号内填写产品名称，没有删除括号），只能选择具有国家确定的认证机构出具的、处于有效期之内的节能产品认证证书的产品进行报价，认证机构详见国家市场监督管理总局发布的《参与实施政府采购节能产品认证机构名录》和《参与实施政府采购环境标志产品认证机构名录》。</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rPr>
        <w:t>、付款方式：</w:t>
      </w:r>
      <w:r>
        <w:rPr>
          <w:rFonts w:hint="eastAsia" w:ascii="宋体" w:hAnsi="宋体" w:eastAsia="宋体" w:cs="宋体"/>
          <w:color w:val="auto"/>
          <w:sz w:val="28"/>
          <w:szCs w:val="28"/>
          <w:u w:val="none"/>
          <w:lang w:val="en-US" w:eastAsia="zh-CN"/>
        </w:rPr>
        <w:t>凭启东市市场监督管理局合格的检测报告或有效的证明文件作为付款依据；设备到场安装调试完毕，经验收合格后付合同价的97%，余款</w:t>
      </w:r>
      <w:r>
        <w:rPr>
          <w:rFonts w:hint="eastAsia" w:ascii="宋体" w:hAnsi="宋体" w:cs="宋体"/>
          <w:color w:val="auto"/>
          <w:sz w:val="28"/>
          <w:szCs w:val="28"/>
          <w:u w:val="none"/>
          <w:lang w:val="en-US" w:eastAsia="zh-CN"/>
        </w:rPr>
        <w:t>3%作为质保金，于验收合格之日算起满三年时提供使用单位出具的无质量问题证明后付清（不计利息）</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注：供应商申请付款的程序应符合采购人的财务规定。支付费用前要求供应商向采购人提供增值税专用发票，以上付款均不计息</w:t>
      </w:r>
      <w:r>
        <w:rPr>
          <w:rFonts w:hint="eastAsia" w:ascii="宋体" w:hAnsi="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十一</w:t>
      </w:r>
      <w:r>
        <w:rPr>
          <w:rFonts w:hint="eastAsia" w:ascii="宋体" w:hAnsi="宋体" w:eastAsia="宋体" w:cs="宋体"/>
          <w:b/>
          <w:bCs/>
          <w:color w:val="auto"/>
          <w:sz w:val="28"/>
          <w:szCs w:val="28"/>
          <w:highlight w:val="none"/>
        </w:rPr>
        <w:t>、履约保证金：</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2、成交供应商全部履约合同义务，经采购单位验收合格无质量、进度等问题的，采购人在验收合格后一次性退还履约保证金，采购人若逾期退还履约保证金的，按照逾期部分的每日0.05%支付违约金。</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3、发生以下情况的，履约保证金不予退还或部分退还：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a.签订合同后，成交供应商不履行合同义务的，采购单位有权全额扣除履约保证金，全额不予退还，同时采购单位亦有权终止合同，成交供应商还须承担相应的法律赔偿责任。</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bookmarkEnd w:id="52"/>
    <w:p>
      <w:pPr>
        <w:keepNext w:val="0"/>
        <w:keepLines w:val="0"/>
        <w:pageBreakBefore w:val="0"/>
        <w:widowControl w:val="0"/>
        <w:tabs>
          <w:tab w:val="left" w:pos="2520"/>
        </w:tabs>
        <w:kinsoku/>
        <w:wordWrap/>
        <w:overflowPunct/>
        <w:topLinePunct w:val="0"/>
        <w:autoSpaceDE/>
        <w:autoSpaceDN/>
        <w:bidi w:val="0"/>
        <w:adjustRightInd w:val="0"/>
        <w:snapToGrid w:val="0"/>
        <w:spacing w:line="500" w:lineRule="exact"/>
        <w:ind w:firstLine="560" w:firstLineChars="200"/>
        <w:textAlignment w:val="auto"/>
        <w:rPr>
          <w:rFonts w:hint="eastAsia"/>
          <w:color w:val="auto"/>
        </w:rPr>
      </w:pPr>
      <w:bookmarkStart w:id="53" w:name="_Toc82505665"/>
      <w:r>
        <w:rPr>
          <w:rFonts w:hint="eastAsia" w:ascii="宋体" w:hAnsi="宋体" w:cs="宋体"/>
          <w:b/>
          <w:color w:val="auto"/>
          <w:sz w:val="28"/>
          <w:szCs w:val="28"/>
          <w:lang w:val="en-US" w:eastAsia="zh-CN"/>
        </w:rPr>
        <w:t>十二、</w:t>
      </w:r>
      <w:r>
        <w:rPr>
          <w:rFonts w:hint="eastAsia" w:ascii="宋体" w:hAnsi="宋体" w:eastAsia="宋体" w:cs="宋体"/>
          <w:b/>
          <w:color w:val="auto"/>
          <w:sz w:val="28"/>
          <w:szCs w:val="28"/>
        </w:rPr>
        <w:t>本</w:t>
      </w:r>
      <w:r>
        <w:rPr>
          <w:rFonts w:hint="eastAsia" w:ascii="宋体" w:hAnsi="宋体" w:eastAsia="宋体" w:cs="宋体"/>
          <w:b/>
          <w:color w:val="auto"/>
          <w:sz w:val="28"/>
          <w:szCs w:val="28"/>
          <w:highlight w:val="none"/>
        </w:rPr>
        <w:t>项目不接受进口</w:t>
      </w:r>
      <w:r>
        <w:rPr>
          <w:rFonts w:hint="eastAsia" w:ascii="宋体" w:hAnsi="宋体" w:eastAsia="宋体" w:cs="宋体"/>
          <w:b/>
          <w:color w:val="auto"/>
          <w:sz w:val="28"/>
          <w:szCs w:val="28"/>
        </w:rPr>
        <w:t>产品响应</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cs="宋体"/>
          <w:b/>
          <w:color w:val="auto"/>
          <w:sz w:val="28"/>
          <w:szCs w:val="28"/>
          <w:lang w:val="en-US" w:eastAsia="zh-CN"/>
        </w:rPr>
        <w:t>三</w:t>
      </w:r>
      <w:r>
        <w:rPr>
          <w:rFonts w:hint="eastAsia" w:ascii="宋体" w:hAnsi="宋体" w:eastAsia="宋体" w:cs="宋体"/>
          <w:b/>
          <w:color w:val="auto"/>
          <w:sz w:val="28"/>
          <w:szCs w:val="28"/>
        </w:rPr>
        <w:t>、合同条款</w:t>
      </w:r>
    </w:p>
    <w:p>
      <w:pPr>
        <w:spacing w:line="480" w:lineRule="exact"/>
        <w:rPr>
          <w:rFonts w:hint="eastAsia" w:ascii="宋体" w:hAnsi="宋体" w:cs="宋体"/>
          <w:color w:val="auto"/>
          <w:sz w:val="24"/>
        </w:rPr>
      </w:pPr>
      <w:r>
        <w:rPr>
          <w:rFonts w:hint="eastAsia" w:ascii="宋体" w:hAnsi="宋体" w:cs="宋体"/>
          <w:color w:val="auto"/>
          <w:sz w:val="24"/>
        </w:rPr>
        <w:t xml:space="preserve">供货方: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（下称供方）</w:t>
      </w:r>
    </w:p>
    <w:p>
      <w:pPr>
        <w:widowControl/>
        <w:shd w:val="clear" w:color="auto" w:fill="FFFFFF"/>
        <w:spacing w:line="480" w:lineRule="exact"/>
        <w:jc w:val="left"/>
        <w:rPr>
          <w:rFonts w:hint="eastAsia" w:ascii="宋体" w:hAnsi="宋体" w:cs="宋体"/>
          <w:color w:val="auto"/>
          <w:kern w:val="0"/>
          <w:sz w:val="24"/>
        </w:rPr>
      </w:pPr>
      <w:r>
        <w:rPr>
          <w:rFonts w:hint="eastAsia" w:ascii="宋体" w:hAnsi="宋体" w:cs="宋体"/>
          <w:color w:val="auto"/>
          <w:sz w:val="24"/>
        </w:rPr>
        <w:t xml:space="preserve">采购方: </w:t>
      </w:r>
      <w:r>
        <w:rPr>
          <w:rFonts w:hint="eastAsia" w:ascii="宋体" w:hAnsi="宋体" w:cs="宋体"/>
          <w:color w:val="auto"/>
          <w:sz w:val="24"/>
          <w:u w:val="single"/>
          <w:lang w:eastAsia="zh-CN"/>
        </w:rPr>
        <w:t>江苏启东吕四港经济开发区管理委员会</w:t>
      </w:r>
      <w:r>
        <w:rPr>
          <w:rFonts w:hint="eastAsia" w:ascii="宋体" w:hAnsi="宋体" w:cs="宋体"/>
          <w:color w:val="auto"/>
          <w:sz w:val="24"/>
        </w:rPr>
        <w:t>（下称需方）</w:t>
      </w:r>
    </w:p>
    <w:p>
      <w:pPr>
        <w:spacing w:line="480" w:lineRule="exact"/>
        <w:rPr>
          <w:rFonts w:hint="eastAsia" w:ascii="宋体" w:hAnsi="宋体" w:cs="宋体"/>
          <w:color w:val="auto"/>
          <w:sz w:val="24"/>
        </w:rPr>
      </w:pPr>
      <w:r>
        <w:rPr>
          <w:rFonts w:hint="eastAsia" w:ascii="宋体" w:hAnsi="宋体" w:cs="宋体"/>
          <w:color w:val="auto"/>
          <w:sz w:val="24"/>
        </w:rPr>
        <w:t>签订地点:</w:t>
      </w:r>
      <w:r>
        <w:rPr>
          <w:rFonts w:hint="eastAsia" w:ascii="宋体" w:hAnsi="宋体" w:cs="宋体"/>
          <w:color w:val="auto"/>
          <w:sz w:val="24"/>
          <w:u w:val="single"/>
        </w:rPr>
        <w:t xml:space="preserve"> </w:t>
      </w:r>
      <w:r>
        <w:rPr>
          <w:rFonts w:hint="eastAsia" w:ascii="宋体" w:hAnsi="宋体" w:cs="宋体"/>
          <w:color w:val="auto"/>
          <w:sz w:val="24"/>
          <w:u w:val="single"/>
          <w:lang w:eastAsia="zh-CN"/>
        </w:rPr>
        <w:t>江苏启东吕四港经济开发区管理委员会</w:t>
      </w:r>
      <w:r>
        <w:rPr>
          <w:rFonts w:hint="eastAsia" w:ascii="宋体" w:hAnsi="宋体" w:cs="宋体"/>
          <w:color w:val="auto"/>
          <w:sz w:val="24"/>
          <w:u w:val="single"/>
          <w:lang w:val="en-US" w:eastAsia="zh-CN"/>
        </w:rPr>
        <w:t xml:space="preserve"> </w:t>
      </w:r>
      <w:r>
        <w:rPr>
          <w:rFonts w:hint="eastAsia" w:ascii="宋体" w:hAnsi="宋体" w:cs="宋体"/>
          <w:color w:val="auto"/>
          <w:sz w:val="24"/>
        </w:rPr>
        <w:t>签订时间:</w:t>
      </w:r>
      <w:r>
        <w:rPr>
          <w:rFonts w:hint="eastAsia" w:ascii="宋体" w:hAnsi="宋体" w:cs="宋体"/>
          <w:color w:val="auto"/>
          <w:sz w:val="24"/>
          <w:u w:val="single"/>
        </w:rPr>
        <w:t xml:space="preserve"> 202</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480" w:lineRule="exact"/>
        <w:ind w:firstLine="555"/>
        <w:rPr>
          <w:rFonts w:hint="eastAsia" w:ascii="宋体" w:hAnsi="宋体" w:cs="宋体"/>
          <w:color w:val="auto"/>
          <w:sz w:val="24"/>
        </w:rPr>
      </w:pPr>
      <w:r>
        <w:rPr>
          <w:rFonts w:hint="eastAsia" w:ascii="宋体" w:hAnsi="宋体"/>
          <w:color w:val="auto"/>
          <w:sz w:val="24"/>
        </w:rPr>
        <w:t xml:space="preserve"> 依据《中华人民共和国民法典》及其他有关法律、行政法规，遵循平等、自愿、公平和诚实信用的原则，对</w:t>
      </w:r>
      <w:r>
        <w:rPr>
          <w:rFonts w:hint="eastAsia" w:ascii="宋体" w:hAnsi="宋体"/>
          <w:color w:val="auto"/>
          <w:sz w:val="24"/>
          <w:u w:val="single"/>
          <w:lang w:val="en-US" w:eastAsia="zh-CN"/>
        </w:rPr>
        <w:t>启东吕四港环抱式港池东港区高空视频监控采购项目</w:t>
      </w:r>
      <w:r>
        <w:rPr>
          <w:rFonts w:hint="eastAsia" w:ascii="宋体" w:hAnsi="宋体"/>
          <w:color w:val="auto"/>
          <w:sz w:val="24"/>
          <w:u w:val="single"/>
        </w:rPr>
        <w:t xml:space="preserve"> </w:t>
      </w:r>
      <w:r>
        <w:rPr>
          <w:rFonts w:hint="eastAsia" w:ascii="宋体" w:hAnsi="宋体"/>
          <w:color w:val="auto"/>
          <w:sz w:val="24"/>
        </w:rPr>
        <w:t>进行</w:t>
      </w:r>
      <w:r>
        <w:rPr>
          <w:rFonts w:hint="eastAsia" w:ascii="宋体" w:hAnsi="宋体"/>
          <w:color w:val="auto"/>
          <w:sz w:val="24"/>
          <w:u w:val="single"/>
        </w:rPr>
        <w:t xml:space="preserve"> 询价</w:t>
      </w:r>
      <w:r>
        <w:rPr>
          <w:rFonts w:hint="eastAsia" w:ascii="宋体" w:hAnsi="宋体"/>
          <w:color w:val="auto"/>
          <w:sz w:val="24"/>
          <w:u w:val="single"/>
          <w:lang w:val="en-US" w:eastAsia="zh-CN"/>
        </w:rPr>
        <w:t xml:space="preserve"> </w:t>
      </w:r>
      <w:r>
        <w:rPr>
          <w:rFonts w:hint="eastAsia" w:ascii="宋体" w:hAnsi="宋体"/>
          <w:color w:val="auto"/>
          <w:sz w:val="24"/>
        </w:rPr>
        <w:t>采购，经过评委的严格审核评定，确定</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为本次供方。现就本次供货事宜订立如下合同</w:t>
      </w:r>
      <w:r>
        <w:rPr>
          <w:rFonts w:hint="eastAsia" w:ascii="宋体" w:hAnsi="宋体" w:cs="宋体"/>
          <w:color w:val="auto"/>
          <w:sz w:val="24"/>
        </w:rPr>
        <w:t>：</w:t>
      </w:r>
    </w:p>
    <w:p>
      <w:pPr>
        <w:numPr>
          <w:ilvl w:val="0"/>
          <w:numId w:val="3"/>
        </w:numPr>
        <w:spacing w:line="480" w:lineRule="exact"/>
        <w:ind w:firstLine="480" w:firstLineChars="200"/>
        <w:rPr>
          <w:rFonts w:hint="eastAsia" w:ascii="宋体" w:hAnsi="宋体" w:cs="宋体"/>
          <w:b/>
          <w:bCs/>
          <w:color w:val="auto"/>
          <w:sz w:val="24"/>
        </w:rPr>
      </w:pPr>
      <w:r>
        <w:rPr>
          <w:rFonts w:hint="eastAsia" w:ascii="宋体" w:hAnsi="宋体" w:cs="宋体"/>
          <w:b/>
          <w:bCs/>
          <w:color w:val="auto"/>
          <w:sz w:val="24"/>
        </w:rPr>
        <w:t>货物供应明细如下：</w:t>
      </w:r>
    </w:p>
    <w:tbl>
      <w:tblPr>
        <w:tblStyle w:val="1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76"/>
        <w:gridCol w:w="1235"/>
        <w:gridCol w:w="870"/>
        <w:gridCol w:w="1185"/>
        <w:gridCol w:w="765"/>
        <w:gridCol w:w="750"/>
        <w:gridCol w:w="1095"/>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721" w:type="dxa"/>
            <w:noWrap/>
            <w:vAlign w:val="center"/>
          </w:tcPr>
          <w:p>
            <w:pPr>
              <w:spacing w:line="400" w:lineRule="exact"/>
              <w:jc w:val="center"/>
              <w:rPr>
                <w:rFonts w:ascii="宋体" w:hAnsi="宋体" w:cs="宋体"/>
                <w:b/>
                <w:bCs/>
                <w:color w:val="auto"/>
                <w:kern w:val="0"/>
                <w:sz w:val="24"/>
              </w:rPr>
            </w:pPr>
            <w:r>
              <w:rPr>
                <w:rFonts w:hint="eastAsia" w:ascii="宋体" w:hAnsi="宋体" w:cs="宋体"/>
                <w:b/>
                <w:bCs/>
                <w:color w:val="auto"/>
                <w:kern w:val="0"/>
                <w:sz w:val="24"/>
              </w:rPr>
              <w:t>序号</w:t>
            </w:r>
          </w:p>
        </w:tc>
        <w:tc>
          <w:tcPr>
            <w:tcW w:w="1276" w:type="dxa"/>
            <w:noWrap/>
            <w:vAlign w:val="center"/>
          </w:tcPr>
          <w:p>
            <w:pPr>
              <w:spacing w:line="400" w:lineRule="exact"/>
              <w:jc w:val="center"/>
              <w:rPr>
                <w:rFonts w:ascii="宋体" w:hAnsi="宋体" w:cs="宋体"/>
                <w:b/>
                <w:bCs/>
                <w:color w:val="auto"/>
                <w:kern w:val="0"/>
                <w:sz w:val="24"/>
              </w:rPr>
            </w:pPr>
            <w:r>
              <w:rPr>
                <w:rFonts w:hint="eastAsia" w:ascii="宋体" w:hAnsi="宋体" w:cs="宋体"/>
                <w:b/>
                <w:bCs/>
                <w:color w:val="auto"/>
                <w:kern w:val="0"/>
                <w:sz w:val="24"/>
                <w:lang w:val="en-US" w:eastAsia="zh-CN"/>
              </w:rPr>
              <w:t>货物</w:t>
            </w:r>
            <w:r>
              <w:rPr>
                <w:rFonts w:hint="eastAsia" w:ascii="宋体" w:hAnsi="宋体" w:cs="宋体"/>
                <w:b/>
                <w:bCs/>
                <w:color w:val="auto"/>
                <w:kern w:val="0"/>
                <w:sz w:val="24"/>
              </w:rPr>
              <w:t>名称</w:t>
            </w:r>
          </w:p>
        </w:tc>
        <w:tc>
          <w:tcPr>
            <w:tcW w:w="1235" w:type="dxa"/>
            <w:noWrap/>
            <w:vAlign w:val="center"/>
          </w:tcPr>
          <w:p>
            <w:pPr>
              <w:spacing w:line="400" w:lineRule="exact"/>
              <w:jc w:val="center"/>
              <w:rPr>
                <w:rFonts w:ascii="宋体" w:hAnsi="宋体" w:cs="宋体"/>
                <w:b/>
                <w:bCs/>
                <w:color w:val="auto"/>
                <w:kern w:val="0"/>
                <w:sz w:val="24"/>
              </w:rPr>
            </w:pPr>
            <w:r>
              <w:rPr>
                <w:rFonts w:hint="eastAsia" w:ascii="宋体" w:hAnsi="宋体" w:cs="宋体"/>
                <w:b/>
                <w:bCs/>
                <w:color w:val="auto"/>
                <w:kern w:val="0"/>
                <w:sz w:val="24"/>
              </w:rPr>
              <w:t>规格型号</w:t>
            </w:r>
          </w:p>
        </w:tc>
        <w:tc>
          <w:tcPr>
            <w:tcW w:w="870" w:type="dxa"/>
            <w:noWrap/>
            <w:vAlign w:val="center"/>
          </w:tcPr>
          <w:p>
            <w:pPr>
              <w:spacing w:line="400" w:lineRule="exact"/>
              <w:jc w:val="center"/>
              <w:rPr>
                <w:rFonts w:ascii="宋体" w:hAnsi="宋体" w:cs="宋体"/>
                <w:b/>
                <w:bCs/>
                <w:color w:val="auto"/>
                <w:kern w:val="0"/>
                <w:sz w:val="24"/>
              </w:rPr>
            </w:pPr>
            <w:r>
              <w:rPr>
                <w:rFonts w:hint="eastAsia" w:ascii="宋体" w:hAnsi="宋体" w:cs="宋体"/>
                <w:b/>
                <w:bCs/>
                <w:color w:val="auto"/>
                <w:kern w:val="0"/>
                <w:sz w:val="24"/>
              </w:rPr>
              <w:t>品牌</w:t>
            </w:r>
          </w:p>
        </w:tc>
        <w:tc>
          <w:tcPr>
            <w:tcW w:w="1185" w:type="dxa"/>
            <w:noWrap w:val="0"/>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生产厂家名称</w:t>
            </w:r>
          </w:p>
        </w:tc>
        <w:tc>
          <w:tcPr>
            <w:tcW w:w="765" w:type="dxa"/>
            <w:noWrap/>
            <w:vAlign w:val="center"/>
          </w:tcPr>
          <w:p>
            <w:pPr>
              <w:spacing w:line="400" w:lineRule="exact"/>
              <w:jc w:val="center"/>
              <w:rPr>
                <w:rFonts w:ascii="宋体" w:hAnsi="宋体" w:cs="宋体"/>
                <w:b/>
                <w:bCs/>
                <w:color w:val="auto"/>
                <w:kern w:val="0"/>
                <w:sz w:val="24"/>
              </w:rPr>
            </w:pPr>
            <w:r>
              <w:rPr>
                <w:rFonts w:hint="eastAsia" w:ascii="宋体" w:hAnsi="宋体" w:cs="宋体"/>
                <w:b/>
                <w:bCs/>
                <w:color w:val="auto"/>
                <w:kern w:val="0"/>
                <w:sz w:val="24"/>
              </w:rPr>
              <w:t>单位</w:t>
            </w:r>
          </w:p>
        </w:tc>
        <w:tc>
          <w:tcPr>
            <w:tcW w:w="750" w:type="dxa"/>
            <w:noWrap/>
            <w:vAlign w:val="center"/>
          </w:tcPr>
          <w:p>
            <w:pPr>
              <w:spacing w:line="400" w:lineRule="exact"/>
              <w:jc w:val="center"/>
              <w:rPr>
                <w:rFonts w:ascii="宋体" w:hAnsi="宋体" w:cs="宋体"/>
                <w:b/>
                <w:bCs/>
                <w:color w:val="auto"/>
                <w:kern w:val="0"/>
                <w:sz w:val="24"/>
              </w:rPr>
            </w:pPr>
            <w:r>
              <w:rPr>
                <w:rFonts w:hint="eastAsia" w:ascii="宋体" w:hAnsi="宋体" w:cs="宋体"/>
                <w:b/>
                <w:bCs/>
                <w:color w:val="auto"/>
                <w:kern w:val="0"/>
                <w:sz w:val="24"/>
              </w:rPr>
              <w:t>数量</w:t>
            </w:r>
          </w:p>
        </w:tc>
        <w:tc>
          <w:tcPr>
            <w:tcW w:w="1095" w:type="dxa"/>
            <w:noWrap/>
            <w:vAlign w:val="center"/>
          </w:tcPr>
          <w:p>
            <w:pPr>
              <w:jc w:val="center"/>
              <w:rPr>
                <w:rFonts w:ascii="宋体" w:hAnsi="宋体" w:cs="宋体"/>
                <w:b/>
                <w:bCs/>
                <w:color w:val="auto"/>
                <w:kern w:val="0"/>
                <w:sz w:val="24"/>
              </w:rPr>
            </w:pPr>
            <w:r>
              <w:rPr>
                <w:rFonts w:hint="eastAsia" w:ascii="宋体" w:hAnsi="宋体" w:cs="宋体"/>
                <w:b/>
                <w:bCs/>
                <w:color w:val="auto"/>
                <w:kern w:val="0"/>
                <w:sz w:val="21"/>
                <w:szCs w:val="21"/>
                <w:highlight w:val="none"/>
                <w:lang w:val="en-US" w:eastAsia="zh-CN"/>
              </w:rPr>
              <w:t>综合</w:t>
            </w:r>
            <w:r>
              <w:rPr>
                <w:rFonts w:hint="eastAsia" w:ascii="宋体" w:hAnsi="宋体" w:eastAsia="宋体" w:cs="宋体"/>
                <w:b/>
                <w:bCs/>
                <w:color w:val="auto"/>
                <w:kern w:val="0"/>
                <w:sz w:val="21"/>
                <w:szCs w:val="21"/>
                <w:highlight w:val="none"/>
              </w:rPr>
              <w:t>单价</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元</w:t>
            </w:r>
            <w:r>
              <w:rPr>
                <w:rFonts w:hint="eastAsia" w:ascii="宋体" w:hAnsi="宋体" w:cs="宋体"/>
                <w:b/>
                <w:bCs/>
                <w:color w:val="auto"/>
                <w:kern w:val="0"/>
                <w:sz w:val="21"/>
                <w:szCs w:val="21"/>
                <w:highlight w:val="none"/>
                <w:lang w:eastAsia="zh-CN"/>
              </w:rPr>
              <w:t>）</w:t>
            </w:r>
          </w:p>
        </w:tc>
        <w:tc>
          <w:tcPr>
            <w:tcW w:w="1147" w:type="dxa"/>
            <w:noWrap/>
            <w:vAlign w:val="center"/>
          </w:tcPr>
          <w:p>
            <w:pPr>
              <w:jc w:val="center"/>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合价</w:t>
            </w:r>
          </w:p>
          <w:p>
            <w:pPr>
              <w:jc w:val="center"/>
              <w:rPr>
                <w:rFonts w:ascii="宋体" w:hAnsi="宋体" w:cs="宋体"/>
                <w:b/>
                <w:bCs/>
                <w:color w:val="auto"/>
                <w:kern w:val="0"/>
                <w:sz w:val="24"/>
              </w:rPr>
            </w:pPr>
            <w:r>
              <w:rPr>
                <w:rFonts w:hint="eastAsia" w:ascii="宋体" w:hAnsi="宋体" w:cs="宋体"/>
                <w:b/>
                <w:bCs/>
                <w:color w:val="auto"/>
                <w:kern w:val="0"/>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1" w:type="dxa"/>
            <w:noWrap/>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1276" w:type="dxa"/>
            <w:noWrap/>
            <w:vAlign w:val="center"/>
          </w:tcPr>
          <w:p>
            <w:pPr>
              <w:widowControl/>
              <w:jc w:val="left"/>
              <w:textAlignment w:val="center"/>
              <w:rPr>
                <w:rFonts w:ascii="宋体" w:hAnsi="宋体" w:cs="宋体"/>
                <w:color w:val="auto"/>
                <w:szCs w:val="21"/>
              </w:rPr>
            </w:pPr>
          </w:p>
        </w:tc>
        <w:tc>
          <w:tcPr>
            <w:tcW w:w="1235" w:type="dxa"/>
            <w:noWrap/>
            <w:vAlign w:val="center"/>
          </w:tcPr>
          <w:p>
            <w:pPr>
              <w:widowControl/>
              <w:jc w:val="left"/>
              <w:textAlignment w:val="center"/>
              <w:rPr>
                <w:rFonts w:ascii="宋体" w:hAnsi="宋体" w:cs="宋体"/>
                <w:color w:val="auto"/>
                <w:kern w:val="0"/>
                <w:szCs w:val="21"/>
                <w:lang w:bidi="ar"/>
              </w:rPr>
            </w:pPr>
          </w:p>
        </w:tc>
        <w:tc>
          <w:tcPr>
            <w:tcW w:w="870" w:type="dxa"/>
            <w:noWrap/>
            <w:vAlign w:val="center"/>
          </w:tcPr>
          <w:p>
            <w:pPr>
              <w:textAlignment w:val="center"/>
              <w:rPr>
                <w:rFonts w:hint="eastAsia" w:ascii="宋体" w:hAnsi="宋体" w:cs="宋体"/>
                <w:color w:val="auto"/>
                <w:kern w:val="0"/>
                <w:szCs w:val="21"/>
                <w:lang w:bidi="ar"/>
              </w:rPr>
            </w:pPr>
          </w:p>
        </w:tc>
        <w:tc>
          <w:tcPr>
            <w:tcW w:w="1185" w:type="dxa"/>
            <w:noWrap w:val="0"/>
            <w:vAlign w:val="center"/>
          </w:tcPr>
          <w:p>
            <w:pPr>
              <w:textAlignment w:val="center"/>
              <w:rPr>
                <w:rFonts w:hint="eastAsia" w:ascii="宋体" w:hAnsi="宋体" w:cs="宋体"/>
                <w:color w:val="auto"/>
                <w:kern w:val="0"/>
                <w:szCs w:val="21"/>
                <w:lang w:bidi="ar"/>
              </w:rPr>
            </w:pPr>
          </w:p>
        </w:tc>
        <w:tc>
          <w:tcPr>
            <w:tcW w:w="765" w:type="dxa"/>
            <w:noWrap/>
            <w:vAlign w:val="center"/>
          </w:tcPr>
          <w:p>
            <w:pPr>
              <w:widowControl/>
              <w:jc w:val="center"/>
              <w:textAlignment w:val="center"/>
              <w:rPr>
                <w:rFonts w:ascii="宋体" w:hAnsi="宋体" w:cs="宋体"/>
                <w:color w:val="auto"/>
                <w:szCs w:val="21"/>
              </w:rPr>
            </w:pPr>
          </w:p>
        </w:tc>
        <w:tc>
          <w:tcPr>
            <w:tcW w:w="750" w:type="dxa"/>
            <w:noWrap/>
            <w:vAlign w:val="center"/>
          </w:tcPr>
          <w:p>
            <w:pPr>
              <w:widowControl/>
              <w:jc w:val="center"/>
              <w:textAlignment w:val="center"/>
              <w:rPr>
                <w:rFonts w:ascii="宋体" w:hAnsi="宋体" w:cs="宋体"/>
                <w:color w:val="auto"/>
                <w:szCs w:val="21"/>
              </w:rPr>
            </w:pPr>
          </w:p>
        </w:tc>
        <w:tc>
          <w:tcPr>
            <w:tcW w:w="1095" w:type="dxa"/>
            <w:noWrap/>
            <w:vAlign w:val="center"/>
          </w:tcPr>
          <w:p>
            <w:pPr>
              <w:widowControl/>
              <w:jc w:val="center"/>
              <w:textAlignment w:val="center"/>
              <w:rPr>
                <w:rFonts w:ascii="宋体" w:hAnsi="宋体" w:cs="宋体"/>
                <w:color w:val="auto"/>
                <w:kern w:val="0"/>
                <w:szCs w:val="21"/>
                <w:lang w:bidi="ar"/>
              </w:rPr>
            </w:pPr>
          </w:p>
        </w:tc>
        <w:tc>
          <w:tcPr>
            <w:tcW w:w="1147" w:type="dxa"/>
            <w:noWrap/>
            <w:vAlign w:val="center"/>
          </w:tcPr>
          <w:p>
            <w:pPr>
              <w:widowControl/>
              <w:jc w:val="center"/>
              <w:textAlignment w:val="center"/>
              <w:rPr>
                <w:rFonts w:ascii="宋体" w:hAnsi="宋体" w:cs="宋体"/>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1" w:type="dxa"/>
            <w:noWrap/>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1276" w:type="dxa"/>
            <w:noWrap/>
            <w:vAlign w:val="center"/>
          </w:tcPr>
          <w:p>
            <w:pPr>
              <w:widowControl/>
              <w:jc w:val="left"/>
              <w:textAlignment w:val="center"/>
              <w:rPr>
                <w:rFonts w:ascii="宋体" w:hAnsi="宋体" w:cs="宋体"/>
                <w:color w:val="auto"/>
                <w:szCs w:val="21"/>
              </w:rPr>
            </w:pPr>
          </w:p>
        </w:tc>
        <w:tc>
          <w:tcPr>
            <w:tcW w:w="1235" w:type="dxa"/>
            <w:noWrap/>
            <w:vAlign w:val="center"/>
          </w:tcPr>
          <w:p>
            <w:pPr>
              <w:widowControl/>
              <w:jc w:val="left"/>
              <w:textAlignment w:val="center"/>
              <w:rPr>
                <w:rFonts w:hint="eastAsia" w:ascii="宋体" w:hAnsi="宋体" w:cs="宋体"/>
                <w:color w:val="auto"/>
                <w:kern w:val="0"/>
                <w:szCs w:val="21"/>
                <w:lang w:bidi="ar"/>
              </w:rPr>
            </w:pPr>
          </w:p>
        </w:tc>
        <w:tc>
          <w:tcPr>
            <w:tcW w:w="870" w:type="dxa"/>
            <w:noWrap/>
            <w:vAlign w:val="center"/>
          </w:tcPr>
          <w:p>
            <w:pPr>
              <w:widowControl/>
              <w:jc w:val="left"/>
              <w:textAlignment w:val="center"/>
              <w:rPr>
                <w:rFonts w:hint="eastAsia" w:ascii="宋体" w:hAnsi="宋体" w:cs="宋体"/>
                <w:color w:val="auto"/>
                <w:kern w:val="0"/>
                <w:szCs w:val="21"/>
                <w:lang w:bidi="ar"/>
              </w:rPr>
            </w:pPr>
          </w:p>
        </w:tc>
        <w:tc>
          <w:tcPr>
            <w:tcW w:w="1185" w:type="dxa"/>
            <w:noWrap w:val="0"/>
            <w:vAlign w:val="center"/>
          </w:tcPr>
          <w:p>
            <w:pPr>
              <w:widowControl/>
              <w:jc w:val="left"/>
              <w:textAlignment w:val="center"/>
              <w:rPr>
                <w:rFonts w:hint="eastAsia" w:ascii="宋体" w:hAnsi="宋体" w:cs="宋体"/>
                <w:color w:val="auto"/>
                <w:kern w:val="0"/>
                <w:szCs w:val="21"/>
                <w:lang w:bidi="ar"/>
              </w:rPr>
            </w:pPr>
          </w:p>
        </w:tc>
        <w:tc>
          <w:tcPr>
            <w:tcW w:w="765" w:type="dxa"/>
            <w:noWrap/>
            <w:vAlign w:val="center"/>
          </w:tcPr>
          <w:p>
            <w:pPr>
              <w:widowControl/>
              <w:jc w:val="center"/>
              <w:textAlignment w:val="center"/>
              <w:rPr>
                <w:rFonts w:ascii="宋体" w:hAnsi="宋体" w:cs="宋体"/>
                <w:color w:val="auto"/>
                <w:szCs w:val="21"/>
              </w:rPr>
            </w:pPr>
          </w:p>
        </w:tc>
        <w:tc>
          <w:tcPr>
            <w:tcW w:w="750" w:type="dxa"/>
            <w:noWrap/>
            <w:vAlign w:val="center"/>
          </w:tcPr>
          <w:p>
            <w:pPr>
              <w:widowControl/>
              <w:jc w:val="center"/>
              <w:textAlignment w:val="center"/>
              <w:rPr>
                <w:rFonts w:ascii="宋体" w:hAnsi="宋体" w:cs="宋体"/>
                <w:color w:val="auto"/>
                <w:szCs w:val="21"/>
              </w:rPr>
            </w:pPr>
          </w:p>
        </w:tc>
        <w:tc>
          <w:tcPr>
            <w:tcW w:w="1095" w:type="dxa"/>
            <w:noWrap/>
            <w:vAlign w:val="center"/>
          </w:tcPr>
          <w:p>
            <w:pPr>
              <w:widowControl/>
              <w:jc w:val="center"/>
              <w:textAlignment w:val="center"/>
              <w:rPr>
                <w:rFonts w:ascii="宋体" w:hAnsi="宋体" w:cs="宋体"/>
                <w:color w:val="auto"/>
                <w:kern w:val="0"/>
                <w:szCs w:val="21"/>
                <w:lang w:bidi="ar"/>
              </w:rPr>
            </w:pPr>
          </w:p>
        </w:tc>
        <w:tc>
          <w:tcPr>
            <w:tcW w:w="1147" w:type="dxa"/>
            <w:noWrap/>
            <w:vAlign w:val="center"/>
          </w:tcPr>
          <w:p>
            <w:pPr>
              <w:widowControl/>
              <w:jc w:val="center"/>
              <w:textAlignment w:val="center"/>
              <w:rPr>
                <w:rFonts w:ascii="宋体" w:hAnsi="宋体" w:cs="宋体"/>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1" w:type="dxa"/>
            <w:noWrap/>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1276" w:type="dxa"/>
            <w:noWrap/>
            <w:vAlign w:val="center"/>
          </w:tcPr>
          <w:p>
            <w:pPr>
              <w:widowControl/>
              <w:jc w:val="left"/>
              <w:textAlignment w:val="center"/>
              <w:rPr>
                <w:rFonts w:ascii="宋体" w:hAnsi="宋体" w:cs="宋体"/>
                <w:color w:val="auto"/>
                <w:szCs w:val="21"/>
              </w:rPr>
            </w:pPr>
          </w:p>
        </w:tc>
        <w:tc>
          <w:tcPr>
            <w:tcW w:w="1235" w:type="dxa"/>
            <w:noWrap/>
            <w:vAlign w:val="center"/>
          </w:tcPr>
          <w:p>
            <w:pPr>
              <w:widowControl/>
              <w:jc w:val="left"/>
              <w:textAlignment w:val="center"/>
              <w:rPr>
                <w:rFonts w:hint="eastAsia" w:ascii="宋体" w:hAnsi="宋体" w:cs="宋体"/>
                <w:color w:val="auto"/>
                <w:kern w:val="0"/>
                <w:szCs w:val="21"/>
                <w:lang w:bidi="ar"/>
              </w:rPr>
            </w:pPr>
          </w:p>
        </w:tc>
        <w:tc>
          <w:tcPr>
            <w:tcW w:w="870" w:type="dxa"/>
            <w:noWrap/>
            <w:vAlign w:val="center"/>
          </w:tcPr>
          <w:p>
            <w:pPr>
              <w:widowControl/>
              <w:jc w:val="left"/>
              <w:textAlignment w:val="center"/>
              <w:rPr>
                <w:rFonts w:hint="eastAsia" w:ascii="宋体" w:hAnsi="宋体" w:cs="宋体"/>
                <w:color w:val="auto"/>
                <w:kern w:val="0"/>
                <w:szCs w:val="21"/>
                <w:lang w:bidi="ar"/>
              </w:rPr>
            </w:pPr>
          </w:p>
        </w:tc>
        <w:tc>
          <w:tcPr>
            <w:tcW w:w="1185" w:type="dxa"/>
            <w:noWrap w:val="0"/>
            <w:vAlign w:val="center"/>
          </w:tcPr>
          <w:p>
            <w:pPr>
              <w:widowControl/>
              <w:jc w:val="left"/>
              <w:textAlignment w:val="center"/>
              <w:rPr>
                <w:rFonts w:hint="eastAsia" w:ascii="宋体" w:hAnsi="宋体" w:cs="宋体"/>
                <w:color w:val="auto"/>
                <w:kern w:val="0"/>
                <w:szCs w:val="21"/>
                <w:lang w:bidi="ar"/>
              </w:rPr>
            </w:pPr>
          </w:p>
        </w:tc>
        <w:tc>
          <w:tcPr>
            <w:tcW w:w="765" w:type="dxa"/>
            <w:noWrap/>
            <w:vAlign w:val="center"/>
          </w:tcPr>
          <w:p>
            <w:pPr>
              <w:widowControl/>
              <w:jc w:val="center"/>
              <w:textAlignment w:val="center"/>
              <w:rPr>
                <w:rFonts w:ascii="宋体" w:hAnsi="宋体" w:cs="宋体"/>
                <w:color w:val="auto"/>
                <w:szCs w:val="21"/>
              </w:rPr>
            </w:pPr>
          </w:p>
        </w:tc>
        <w:tc>
          <w:tcPr>
            <w:tcW w:w="750" w:type="dxa"/>
            <w:noWrap/>
            <w:vAlign w:val="center"/>
          </w:tcPr>
          <w:p>
            <w:pPr>
              <w:widowControl/>
              <w:jc w:val="center"/>
              <w:textAlignment w:val="center"/>
              <w:rPr>
                <w:rFonts w:ascii="宋体" w:hAnsi="宋体" w:cs="宋体"/>
                <w:color w:val="auto"/>
                <w:szCs w:val="21"/>
              </w:rPr>
            </w:pPr>
          </w:p>
        </w:tc>
        <w:tc>
          <w:tcPr>
            <w:tcW w:w="1095" w:type="dxa"/>
            <w:noWrap/>
            <w:vAlign w:val="center"/>
          </w:tcPr>
          <w:p>
            <w:pPr>
              <w:widowControl/>
              <w:jc w:val="center"/>
              <w:textAlignment w:val="center"/>
              <w:rPr>
                <w:rFonts w:ascii="宋体" w:hAnsi="宋体" w:cs="宋体"/>
                <w:color w:val="auto"/>
                <w:kern w:val="0"/>
                <w:szCs w:val="21"/>
                <w:lang w:bidi="ar"/>
              </w:rPr>
            </w:pPr>
          </w:p>
        </w:tc>
        <w:tc>
          <w:tcPr>
            <w:tcW w:w="1147" w:type="dxa"/>
            <w:noWrap/>
            <w:vAlign w:val="center"/>
          </w:tcPr>
          <w:p>
            <w:pPr>
              <w:widowControl/>
              <w:jc w:val="center"/>
              <w:textAlignment w:val="center"/>
              <w:rPr>
                <w:rFonts w:ascii="宋体" w:hAnsi="宋体" w:cs="宋体"/>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1" w:type="dxa"/>
            <w:noWrap/>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tc>
        <w:tc>
          <w:tcPr>
            <w:tcW w:w="1276" w:type="dxa"/>
            <w:noWrap/>
            <w:vAlign w:val="center"/>
          </w:tcPr>
          <w:p>
            <w:pPr>
              <w:widowControl/>
              <w:jc w:val="left"/>
              <w:textAlignment w:val="center"/>
              <w:rPr>
                <w:rFonts w:ascii="宋体" w:hAnsi="宋体" w:cs="宋体"/>
                <w:color w:val="auto"/>
                <w:szCs w:val="21"/>
              </w:rPr>
            </w:pPr>
          </w:p>
        </w:tc>
        <w:tc>
          <w:tcPr>
            <w:tcW w:w="1235" w:type="dxa"/>
            <w:noWrap/>
            <w:vAlign w:val="center"/>
          </w:tcPr>
          <w:p>
            <w:pPr>
              <w:widowControl/>
              <w:jc w:val="left"/>
              <w:textAlignment w:val="center"/>
              <w:rPr>
                <w:rFonts w:hint="eastAsia" w:ascii="宋体" w:hAnsi="宋体" w:cs="宋体"/>
                <w:color w:val="auto"/>
                <w:kern w:val="0"/>
                <w:szCs w:val="21"/>
                <w:lang w:bidi="ar"/>
              </w:rPr>
            </w:pPr>
          </w:p>
        </w:tc>
        <w:tc>
          <w:tcPr>
            <w:tcW w:w="870" w:type="dxa"/>
            <w:noWrap/>
            <w:vAlign w:val="center"/>
          </w:tcPr>
          <w:p>
            <w:pPr>
              <w:widowControl/>
              <w:jc w:val="left"/>
              <w:textAlignment w:val="center"/>
              <w:rPr>
                <w:rFonts w:hint="eastAsia" w:ascii="宋体" w:hAnsi="宋体" w:cs="宋体"/>
                <w:color w:val="auto"/>
                <w:kern w:val="0"/>
                <w:szCs w:val="21"/>
                <w:lang w:bidi="ar"/>
              </w:rPr>
            </w:pPr>
          </w:p>
        </w:tc>
        <w:tc>
          <w:tcPr>
            <w:tcW w:w="1185" w:type="dxa"/>
            <w:noWrap w:val="0"/>
            <w:vAlign w:val="center"/>
          </w:tcPr>
          <w:p>
            <w:pPr>
              <w:widowControl/>
              <w:jc w:val="left"/>
              <w:textAlignment w:val="center"/>
              <w:rPr>
                <w:rFonts w:hint="eastAsia" w:ascii="宋体" w:hAnsi="宋体" w:cs="宋体"/>
                <w:color w:val="auto"/>
                <w:kern w:val="0"/>
                <w:szCs w:val="21"/>
                <w:lang w:bidi="ar"/>
              </w:rPr>
            </w:pPr>
          </w:p>
        </w:tc>
        <w:tc>
          <w:tcPr>
            <w:tcW w:w="765" w:type="dxa"/>
            <w:noWrap/>
            <w:vAlign w:val="center"/>
          </w:tcPr>
          <w:p>
            <w:pPr>
              <w:widowControl/>
              <w:jc w:val="center"/>
              <w:textAlignment w:val="center"/>
              <w:rPr>
                <w:rFonts w:ascii="宋体" w:hAnsi="宋体" w:cs="宋体"/>
                <w:color w:val="auto"/>
                <w:szCs w:val="21"/>
              </w:rPr>
            </w:pPr>
          </w:p>
        </w:tc>
        <w:tc>
          <w:tcPr>
            <w:tcW w:w="750" w:type="dxa"/>
            <w:noWrap/>
            <w:vAlign w:val="center"/>
          </w:tcPr>
          <w:p>
            <w:pPr>
              <w:widowControl/>
              <w:jc w:val="center"/>
              <w:textAlignment w:val="center"/>
              <w:rPr>
                <w:rFonts w:ascii="宋体" w:hAnsi="宋体" w:cs="宋体"/>
                <w:color w:val="auto"/>
                <w:szCs w:val="21"/>
              </w:rPr>
            </w:pPr>
          </w:p>
        </w:tc>
        <w:tc>
          <w:tcPr>
            <w:tcW w:w="1095" w:type="dxa"/>
            <w:noWrap/>
            <w:vAlign w:val="center"/>
          </w:tcPr>
          <w:p>
            <w:pPr>
              <w:widowControl/>
              <w:jc w:val="center"/>
              <w:textAlignment w:val="center"/>
              <w:rPr>
                <w:rFonts w:ascii="宋体" w:hAnsi="宋体" w:cs="宋体"/>
                <w:color w:val="auto"/>
                <w:kern w:val="0"/>
                <w:szCs w:val="21"/>
                <w:lang w:bidi="ar"/>
              </w:rPr>
            </w:pPr>
          </w:p>
        </w:tc>
        <w:tc>
          <w:tcPr>
            <w:tcW w:w="1147" w:type="dxa"/>
            <w:noWrap/>
            <w:vAlign w:val="center"/>
          </w:tcPr>
          <w:p>
            <w:pPr>
              <w:widowControl/>
              <w:jc w:val="center"/>
              <w:textAlignment w:val="center"/>
              <w:rPr>
                <w:rFonts w:ascii="宋体" w:hAnsi="宋体" w:cs="宋体"/>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997" w:type="dxa"/>
            <w:gridSpan w:val="2"/>
            <w:noWrap/>
            <w:vAlign w:val="center"/>
          </w:tcPr>
          <w:p>
            <w:pPr>
              <w:widowControl/>
              <w:jc w:val="center"/>
              <w:textAlignment w:val="center"/>
              <w:rPr>
                <w:rFonts w:ascii="宋体" w:hAnsi="宋体" w:cs="宋体"/>
                <w:color w:val="auto"/>
                <w:kern w:val="0"/>
                <w:szCs w:val="21"/>
                <w:lang w:bidi="ar"/>
              </w:rPr>
            </w:pPr>
            <w:r>
              <w:rPr>
                <w:rFonts w:hint="eastAsia" w:ascii="宋体" w:hAnsi="宋体" w:cs="宋体"/>
                <w:b/>
                <w:bCs/>
                <w:color w:val="auto"/>
                <w:sz w:val="24"/>
              </w:rPr>
              <w:t>金额合计</w:t>
            </w:r>
          </w:p>
        </w:tc>
        <w:tc>
          <w:tcPr>
            <w:tcW w:w="7047" w:type="dxa"/>
            <w:gridSpan w:val="7"/>
            <w:noWrap/>
            <w:vAlign w:val="center"/>
          </w:tcPr>
          <w:p>
            <w:pPr>
              <w:widowControl/>
              <w:jc w:val="left"/>
              <w:textAlignment w:val="center"/>
              <w:rPr>
                <w:rFonts w:hint="eastAsia" w:ascii="宋体" w:hAnsi="宋体" w:cs="宋体"/>
                <w:b/>
                <w:bCs/>
                <w:color w:val="auto"/>
                <w:sz w:val="24"/>
              </w:rPr>
            </w:pPr>
            <w:r>
              <w:rPr>
                <w:rFonts w:hint="eastAsia" w:ascii="宋体" w:hAnsi="宋体" w:cs="宋体"/>
                <w:color w:val="auto"/>
                <w:sz w:val="21"/>
                <w:szCs w:val="21"/>
                <w:highlight w:val="none"/>
                <w:lang w:val="en-US" w:eastAsia="zh-CN"/>
              </w:rPr>
              <w:t>人民币大写：       （小写：</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p>
        </w:tc>
      </w:tr>
    </w:tbl>
    <w:p>
      <w:pPr>
        <w:pStyle w:val="2"/>
        <w:keepNext w:val="0"/>
        <w:keepLines w:val="0"/>
        <w:pageBreakBefore w:val="0"/>
        <w:kinsoku/>
        <w:wordWrap/>
        <w:overflowPunct/>
        <w:topLinePunct w:val="0"/>
        <w:autoSpaceDE/>
        <w:autoSpaceDN/>
        <w:bidi w:val="0"/>
        <w:spacing w:after="0" w:line="480" w:lineRule="exact"/>
        <w:textAlignment w:val="auto"/>
        <w:rPr>
          <w:rFonts w:ascii="宋体" w:hAnsi="宋体"/>
          <w:b/>
          <w:bCs/>
          <w:color w:val="auto"/>
          <w:sz w:val="24"/>
        </w:rPr>
      </w:pPr>
      <w:r>
        <w:rPr>
          <w:rFonts w:hint="eastAsia" w:ascii="宋体" w:hAnsi="宋体" w:cs="宋体"/>
          <w:color w:val="auto"/>
          <w:sz w:val="24"/>
          <w:szCs w:val="24"/>
          <w:lang w:val="en-US" w:eastAsia="zh-CN"/>
        </w:rPr>
        <w:t xml:space="preserve">    </w:t>
      </w:r>
      <w:r>
        <w:rPr>
          <w:rFonts w:hint="eastAsia" w:ascii="宋体" w:hAnsi="宋体"/>
          <w:b/>
          <w:bCs/>
          <w:color w:val="auto"/>
          <w:sz w:val="24"/>
        </w:rPr>
        <w:t>二、合同金额：</w:t>
      </w:r>
    </w:p>
    <w:p>
      <w:pPr>
        <w:pStyle w:val="13"/>
        <w:keepNext w:val="0"/>
        <w:keepLines w:val="0"/>
        <w:pageBreakBefore w:val="0"/>
        <w:kinsoku/>
        <w:wordWrap/>
        <w:overflowPunct/>
        <w:topLinePunct w:val="0"/>
        <w:autoSpaceDE/>
        <w:autoSpaceDN/>
        <w:bidi w:val="0"/>
        <w:spacing w:before="0" w:beforeAutospacing="0" w:after="0" w:afterAutospacing="0" w:line="480" w:lineRule="exact"/>
        <w:ind w:firstLine="480" w:firstLineChars="200"/>
        <w:textAlignment w:val="auto"/>
        <w:rPr>
          <w:rFonts w:hint="eastAsia" w:ascii="宋体" w:hAnsi="宋体" w:eastAsia="宋体" w:cs="宋体"/>
          <w:color w:val="auto"/>
          <w:u w:val="none"/>
          <w:lang w:eastAsia="zh-CN"/>
        </w:rPr>
      </w:pPr>
      <w:r>
        <w:rPr>
          <w:rFonts w:ascii="宋体" w:hAnsi="宋体"/>
          <w:color w:val="auto"/>
        </w:rPr>
        <w:t>人民币（大写）：</w:t>
      </w:r>
      <w:r>
        <w:rPr>
          <w:rFonts w:hint="eastAsia" w:ascii="宋体" w:hAnsi="宋体" w:cs="宋体"/>
          <w:color w:val="auto"/>
          <w:u w:val="single"/>
          <w:lang w:val="en-US" w:eastAsia="zh-CN"/>
        </w:rPr>
        <w:t xml:space="preserve">          </w:t>
      </w:r>
      <w:r>
        <w:rPr>
          <w:rFonts w:ascii="宋体" w:hAnsi="宋体" w:cs="宋体"/>
          <w:color w:val="auto"/>
        </w:rPr>
        <w:t>；（小写）：</w:t>
      </w:r>
      <w:r>
        <w:rPr>
          <w:rFonts w:hint="eastAsia" w:ascii="宋体" w:hAnsi="宋体" w:cs="宋体"/>
          <w:color w:val="auto"/>
          <w:kern w:val="2"/>
          <w:szCs w:val="24"/>
          <w:u w:val="single"/>
          <w:lang w:val="en-US" w:eastAsia="zh-CN"/>
        </w:rPr>
        <w:t xml:space="preserve">        </w:t>
      </w:r>
      <w:r>
        <w:rPr>
          <w:rFonts w:ascii="宋体" w:hAnsi="宋体" w:cs="宋体"/>
          <w:color w:val="auto"/>
          <w:kern w:val="2"/>
          <w:szCs w:val="24"/>
          <w:u w:val="none"/>
        </w:rPr>
        <w:t>元</w:t>
      </w:r>
      <w:r>
        <w:rPr>
          <w:rFonts w:hint="eastAsia" w:ascii="宋体" w:hAnsi="宋体" w:cs="宋体"/>
          <w:color w:val="auto"/>
          <w:kern w:val="2"/>
          <w:szCs w:val="24"/>
          <w:u w:val="none"/>
          <w:lang w:eastAsia="zh-CN"/>
        </w:rPr>
        <w:t>。</w:t>
      </w:r>
    </w:p>
    <w:p>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cs="宋体"/>
          <w:b/>
          <w:bCs/>
          <w:color w:val="auto"/>
          <w:sz w:val="24"/>
        </w:rPr>
      </w:pPr>
      <w:r>
        <w:rPr>
          <w:rFonts w:hint="eastAsia" w:ascii="宋体" w:hAnsi="宋体" w:cs="宋体"/>
          <w:b/>
          <w:bCs/>
          <w:color w:val="auto"/>
          <w:sz w:val="24"/>
        </w:rPr>
        <w:t>三、项目实施时间和地点</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1.供货与安装周期：签订合同之日起30日历天内交货、安装、调试完毕。如因中标人原因延期的，除扣除全部履约保证金外，每推迟一天加罚5000元。</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2.交货、安装地点：供方应按照需方的要求将货物运至需方指定地点，确保正常使用。</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b/>
          <w:bCs/>
          <w:color w:val="auto"/>
          <w:sz w:val="24"/>
        </w:rPr>
      </w:pPr>
      <w:r>
        <w:rPr>
          <w:rFonts w:hint="eastAsia" w:ascii="宋体" w:hAnsi="宋体" w:cs="宋体"/>
          <w:b/>
          <w:bCs/>
          <w:color w:val="auto"/>
          <w:sz w:val="24"/>
        </w:rPr>
        <w:t>四、质量要求及供方对质量负责的条件和期限：</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lang w:eastAsia="zh-CN"/>
        </w:rPr>
        <w:t>质量要求：</w:t>
      </w:r>
      <w:r>
        <w:rPr>
          <w:rFonts w:hint="eastAsia" w:ascii="宋体" w:hAnsi="宋体" w:cs="宋体"/>
          <w:color w:val="auto"/>
          <w:sz w:val="24"/>
          <w:lang w:val="en-US" w:eastAsia="zh-CN"/>
        </w:rPr>
        <w:t>产品必须是全新、未使用过的符合采购需求、符合国家质量检测标准的原装合格正品，并在供货时提供相关证明材料、随机资料及相关软件资源，如未提供则视为验收不合格，取消其成交资格，履约保证金不予退还</w:t>
      </w:r>
      <w:r>
        <w:rPr>
          <w:rFonts w:hint="eastAsia" w:ascii="宋体" w:hAnsi="宋体" w:cs="宋体"/>
          <w:color w:val="auto"/>
          <w:sz w:val="24"/>
        </w:rPr>
        <w:t>。</w:t>
      </w:r>
    </w:p>
    <w:p>
      <w:pPr>
        <w:pStyle w:val="2"/>
        <w:keepNext w:val="0"/>
        <w:keepLines w:val="0"/>
        <w:pageBreakBefore w:val="0"/>
        <w:kinsoku/>
        <w:wordWrap/>
        <w:overflowPunct/>
        <w:topLinePunct w:val="0"/>
        <w:autoSpaceDE/>
        <w:autoSpaceDN/>
        <w:bidi w:val="0"/>
        <w:spacing w:after="0" w:line="48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color w:val="auto"/>
          <w:sz w:val="24"/>
          <w:lang w:val="en-US" w:eastAsia="zh-CN"/>
        </w:rPr>
        <w:t>2.质保要求：项目要求整体质保三年，本项目所有货物必须提供三年上门服务及全</w:t>
      </w:r>
      <w:r>
        <w:rPr>
          <w:rFonts w:hint="eastAsia" w:ascii="宋体" w:hAnsi="宋体" w:eastAsia="宋体" w:cs="Times New Roman"/>
          <w:color w:val="auto"/>
          <w:sz w:val="24"/>
          <w:lang w:val="en-US" w:eastAsia="zh-CN"/>
        </w:rPr>
        <w:t>免费质保等售后服务。（原厂质保期高于供方承诺质保期的，按原厂质保期计算。自验收合格报告签字确认日起，开始进入质保期）。</w:t>
      </w:r>
    </w:p>
    <w:p>
      <w:pPr>
        <w:pStyle w:val="2"/>
        <w:keepNext w:val="0"/>
        <w:keepLines w:val="0"/>
        <w:pageBreakBefore w:val="0"/>
        <w:kinsoku/>
        <w:wordWrap/>
        <w:overflowPunct/>
        <w:topLinePunct w:val="0"/>
        <w:autoSpaceDE/>
        <w:autoSpaceDN/>
        <w:bidi w:val="0"/>
        <w:spacing w:after="0" w:line="48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售后服务要求：在质保期内，同一商品、同一质量问题连续两次维修仍无法正常使用，供方无条件给予全套更新或退货。在免费质保期内，供方在接到需方电话通知后，必须在4小时之内上门服务，并在8小时内负责修复。如需更换货物或送修，必须在48小时内提供备用货物，并在7个工作日内负责维修完毕。</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Times New Roman"/>
          <w:color w:val="auto"/>
          <w:kern w:val="2"/>
          <w:sz w:val="24"/>
          <w:szCs w:val="20"/>
          <w:lang w:val="zh-CN" w:eastAsia="zh-CN" w:bidi="ar-SA"/>
        </w:rPr>
      </w:pPr>
      <w:r>
        <w:rPr>
          <w:rFonts w:hint="eastAsia" w:ascii="宋体" w:hAnsi="宋体" w:eastAsia="宋体" w:cs="Times New Roman"/>
          <w:color w:val="auto"/>
          <w:kern w:val="2"/>
          <w:sz w:val="24"/>
          <w:szCs w:val="20"/>
          <w:lang w:val="en-US" w:eastAsia="zh-CN" w:bidi="ar-SA"/>
        </w:rPr>
        <w:t>4</w:t>
      </w:r>
      <w:r>
        <w:rPr>
          <w:rFonts w:hint="eastAsia" w:ascii="宋体" w:hAnsi="宋体" w:eastAsia="宋体" w:cs="Times New Roman"/>
          <w:color w:val="auto"/>
          <w:kern w:val="2"/>
          <w:sz w:val="24"/>
          <w:szCs w:val="20"/>
          <w:lang w:val="zh-CN" w:eastAsia="zh-CN" w:bidi="ar-SA"/>
        </w:rPr>
        <w:t>.培训要求：</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Times New Roman"/>
          <w:color w:val="auto"/>
          <w:kern w:val="2"/>
          <w:sz w:val="24"/>
          <w:szCs w:val="20"/>
          <w:lang w:val="zh-CN" w:eastAsia="zh-CN" w:bidi="ar-SA"/>
        </w:rPr>
      </w:pPr>
      <w:r>
        <w:rPr>
          <w:rFonts w:hint="eastAsia" w:ascii="宋体" w:hAnsi="宋体" w:eastAsia="宋体" w:cs="Times New Roman"/>
          <w:color w:val="auto"/>
          <w:kern w:val="2"/>
          <w:sz w:val="24"/>
          <w:szCs w:val="20"/>
          <w:lang w:val="zh-CN" w:eastAsia="zh-CN" w:bidi="ar-SA"/>
        </w:rPr>
        <w:t>（1）供方须对所有本项目系统硬件产品、应用软件、系统集成、开发技术及工具等在内的全部培训，培训对象为需方技术人员培训、普通用户培训。</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Times New Roman"/>
          <w:color w:val="auto"/>
          <w:kern w:val="2"/>
          <w:sz w:val="24"/>
          <w:szCs w:val="20"/>
          <w:lang w:val="zh-CN" w:eastAsia="zh-CN" w:bidi="ar-SA"/>
        </w:rPr>
      </w:pPr>
      <w:r>
        <w:rPr>
          <w:rFonts w:hint="eastAsia" w:ascii="宋体" w:hAnsi="宋体" w:eastAsia="宋体" w:cs="Times New Roman"/>
          <w:color w:val="auto"/>
          <w:kern w:val="2"/>
          <w:sz w:val="24"/>
          <w:szCs w:val="20"/>
          <w:lang w:val="zh-CN" w:eastAsia="zh-CN" w:bidi="ar-SA"/>
        </w:rPr>
        <w:t>（2）培训方式为现场培训和原厂培训。现场培训指在设备的安装调试、故障处理过程中，对使用单位技术人员进行实际的操作和故障处理培训。整套设备安装、调试完成后，供方应安排厂家技术人员对需方技术人员进行集中原厂培训。</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Times New Roman"/>
          <w:color w:val="auto"/>
          <w:kern w:val="2"/>
          <w:sz w:val="24"/>
          <w:szCs w:val="20"/>
          <w:lang w:val="zh-CN" w:eastAsia="zh-CN" w:bidi="ar-SA"/>
        </w:rPr>
      </w:pPr>
      <w:r>
        <w:rPr>
          <w:rFonts w:hint="eastAsia" w:ascii="宋体" w:hAnsi="宋体" w:eastAsia="宋体" w:cs="Times New Roman"/>
          <w:color w:val="auto"/>
          <w:kern w:val="2"/>
          <w:sz w:val="24"/>
          <w:szCs w:val="20"/>
          <w:lang w:val="zh-CN" w:eastAsia="zh-CN" w:bidi="ar-SA"/>
        </w:rPr>
        <w:t>（3）培训内容包括正常使用和一般故障排除，并提供完整的培训资料、培训计划等文档。</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b/>
          <w:bCs/>
          <w:color w:val="auto"/>
          <w:sz w:val="24"/>
        </w:rPr>
      </w:pPr>
      <w:r>
        <w:rPr>
          <w:rFonts w:hint="eastAsia" w:ascii="宋体" w:hAnsi="宋体"/>
          <w:b/>
          <w:bCs/>
          <w:color w:val="auto"/>
          <w:sz w:val="24"/>
        </w:rPr>
        <w:t>五、项目验收：</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olor w:val="auto"/>
          <w:sz w:val="24"/>
          <w:lang w:val="zh-CN" w:eastAsia="zh-CN"/>
        </w:rPr>
      </w:pPr>
      <w:r>
        <w:rPr>
          <w:rFonts w:hint="eastAsia" w:ascii="宋体" w:hAnsi="宋体"/>
          <w:color w:val="auto"/>
          <w:sz w:val="24"/>
          <w:lang w:val="zh-CN" w:eastAsia="zh-CN"/>
        </w:rPr>
        <w:t>经启东市市场监督管理局组织抽样检验并取得合格的检测报告或有效的证明文件后方可安装，安装、调试完毕后，由供方向需方提出书面验收申请，需方在收到供方提交的书面项目验收申请后7个工作日内，将组织验收小组根据询价文件和供方投标文件对供方所供货物及相关产品合格证等进行验收。如验收时发现所供货物的数量、品牌、技术参数等与招投标文件不一致，或无有效产品合格证、存在安全隐患等，根据启东市市场监督管理局意见，需方将向供方签发整改通知书。供方在收到整改通知书后七日内必须按要求整改，如再次不符合要求或逾期，需方将视作项目整体验收不合格，终止合同履行，履约保证金不予退还并报相关部门进行处理。</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olor w:val="auto"/>
          <w:sz w:val="24"/>
          <w:lang w:val="zh-CN"/>
        </w:rPr>
      </w:pPr>
      <w:r>
        <w:rPr>
          <w:rFonts w:hint="eastAsia" w:ascii="宋体" w:hAnsi="宋体"/>
          <w:color w:val="auto"/>
          <w:sz w:val="24"/>
          <w:lang w:val="zh-CN" w:eastAsia="zh-CN"/>
        </w:rPr>
        <w:t>启东市市场监督管理局对没有具体执行标准或者以现有设备条件无法进行检测鉴定的情况下，需方可以委托第三方检测机构进行鉴定，产品质量鉴定结果不合格的，供方承担检测费用，需方有权拒收、部分拒收、退货、部分退货直至解除本合同，并要求供方支付因此造成的所有损失。破拆部件由供方负责补齐且需方不支付任何补偿费用</w:t>
      </w:r>
      <w:r>
        <w:rPr>
          <w:rFonts w:hint="eastAsia" w:ascii="宋体" w:hAnsi="宋体"/>
          <w:color w:val="auto"/>
          <w:sz w:val="24"/>
          <w:lang w:val="zh-CN"/>
        </w:rPr>
        <w:t>。</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color w:val="auto"/>
          <w:sz w:val="24"/>
        </w:rPr>
      </w:pPr>
      <w:r>
        <w:rPr>
          <w:rFonts w:hint="eastAsia" w:ascii="宋体" w:hAnsi="宋体" w:cs="宋体"/>
          <w:b/>
          <w:bCs/>
          <w:color w:val="auto"/>
          <w:sz w:val="24"/>
        </w:rPr>
        <w:t>六、结算方式和期限</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凭启东市市场监督管理局合格的检测报告或有效的证明文件作为付款依据；设备到场安装调试完毕，经验收合格后付合同价的97%，余款3%作为质保金，于验收合格之日算起满三年时提供使用单位出具的无质量问题证明后付清（不计利息）。</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color w:val="auto"/>
          <w:sz w:val="24"/>
        </w:rPr>
      </w:pPr>
      <w:r>
        <w:rPr>
          <w:rFonts w:hint="eastAsia" w:ascii="宋体" w:hAnsi="宋体"/>
          <w:color w:val="auto"/>
          <w:sz w:val="24"/>
          <w:lang w:val="en-US" w:eastAsia="zh-CN"/>
        </w:rPr>
        <w:t>注：供方申请付款的程序应符合需方的财务规定。支付费用前要求供方向需方提供增值税专用发票，以上付款均不计息</w:t>
      </w:r>
      <w:r>
        <w:rPr>
          <w:rFonts w:hint="eastAsia" w:ascii="宋体" w:hAnsi="宋体"/>
          <w:color w:val="auto"/>
          <w:sz w:val="24"/>
          <w:lang w:val="zh-CN" w:eastAsia="zh-CN"/>
        </w:rPr>
        <w:t xml:space="preserve">。     </w:t>
      </w:r>
      <w:r>
        <w:rPr>
          <w:rFonts w:hint="eastAsia" w:ascii="宋体" w:hAnsi="宋体" w:cs="宋体"/>
          <w:color w:val="auto"/>
          <w:sz w:val="24"/>
        </w:rPr>
        <w:t xml:space="preserve">     </w:t>
      </w:r>
    </w:p>
    <w:p>
      <w:pPr>
        <w:keepNext w:val="0"/>
        <w:keepLines w:val="0"/>
        <w:pageBreakBefore w:val="0"/>
        <w:kinsoku/>
        <w:wordWrap/>
        <w:overflowPunct/>
        <w:topLinePunct w:val="0"/>
        <w:autoSpaceDE/>
        <w:autoSpaceDN/>
        <w:bidi w:val="0"/>
        <w:spacing w:line="480" w:lineRule="exact"/>
        <w:ind w:firstLine="540"/>
        <w:textAlignment w:val="auto"/>
        <w:rPr>
          <w:rFonts w:ascii="宋体" w:hAnsi="宋体"/>
          <w:b/>
          <w:bCs/>
          <w:color w:val="auto"/>
          <w:sz w:val="24"/>
        </w:rPr>
      </w:pPr>
      <w:r>
        <w:rPr>
          <w:rFonts w:hint="eastAsia" w:ascii="宋体" w:hAnsi="宋体"/>
          <w:b/>
          <w:bCs/>
          <w:color w:val="auto"/>
          <w:sz w:val="24"/>
        </w:rPr>
        <w:t>七、税金</w:t>
      </w:r>
    </w:p>
    <w:p>
      <w:pPr>
        <w:keepNext w:val="0"/>
        <w:keepLines w:val="0"/>
        <w:pageBreakBefore w:val="0"/>
        <w:kinsoku/>
        <w:wordWrap/>
        <w:overflowPunct/>
        <w:topLinePunct w:val="0"/>
        <w:autoSpaceDE/>
        <w:autoSpaceDN/>
        <w:bidi w:val="0"/>
        <w:spacing w:line="480" w:lineRule="exact"/>
        <w:ind w:firstLine="540"/>
        <w:jc w:val="left"/>
        <w:textAlignment w:val="auto"/>
        <w:rPr>
          <w:rFonts w:ascii="宋体" w:cs="宋体"/>
          <w:color w:val="auto"/>
          <w:spacing w:val="-6"/>
          <w:kern w:val="0"/>
          <w:sz w:val="24"/>
        </w:rPr>
      </w:pPr>
      <w:r>
        <w:rPr>
          <w:rFonts w:hint="eastAsia" w:ascii="宋体" w:cs="宋体"/>
          <w:color w:val="auto"/>
          <w:spacing w:val="-6"/>
          <w:kern w:val="0"/>
          <w:sz w:val="24"/>
        </w:rPr>
        <w:t>1.根据国家现行税法对供方征收的与本合同有关的一切税费均由供方负担。</w:t>
      </w:r>
    </w:p>
    <w:p>
      <w:pPr>
        <w:keepNext w:val="0"/>
        <w:keepLines w:val="0"/>
        <w:pageBreakBefore w:val="0"/>
        <w:kinsoku/>
        <w:wordWrap/>
        <w:overflowPunct/>
        <w:topLinePunct w:val="0"/>
        <w:autoSpaceDE/>
        <w:autoSpaceDN/>
        <w:bidi w:val="0"/>
        <w:spacing w:line="480" w:lineRule="exact"/>
        <w:ind w:firstLine="540"/>
        <w:jc w:val="left"/>
        <w:textAlignment w:val="auto"/>
        <w:rPr>
          <w:rFonts w:ascii="宋体" w:cs="宋体"/>
          <w:color w:val="auto"/>
          <w:kern w:val="0"/>
          <w:sz w:val="24"/>
        </w:rPr>
      </w:pPr>
      <w:r>
        <w:rPr>
          <w:rFonts w:hint="eastAsia" w:ascii="宋体" w:cs="宋体"/>
          <w:color w:val="auto"/>
          <w:kern w:val="0"/>
          <w:sz w:val="24"/>
        </w:rPr>
        <w:t>2.在中国境外发生的与本合同执行有关的一切税费均由供方负担。</w:t>
      </w:r>
    </w:p>
    <w:p>
      <w:pPr>
        <w:keepNext w:val="0"/>
        <w:keepLines w:val="0"/>
        <w:pageBreakBefore w:val="0"/>
        <w:kinsoku/>
        <w:wordWrap/>
        <w:overflowPunct/>
        <w:topLinePunct w:val="0"/>
        <w:autoSpaceDE/>
        <w:autoSpaceDN/>
        <w:bidi w:val="0"/>
        <w:spacing w:line="480" w:lineRule="exact"/>
        <w:ind w:firstLine="540"/>
        <w:textAlignment w:val="auto"/>
        <w:rPr>
          <w:rFonts w:ascii="宋体" w:hAnsi="宋体"/>
          <w:b/>
          <w:bCs/>
          <w:color w:val="auto"/>
          <w:sz w:val="24"/>
        </w:rPr>
      </w:pPr>
      <w:r>
        <w:rPr>
          <w:rFonts w:hint="eastAsia" w:ascii="宋体" w:hAnsi="宋体"/>
          <w:b/>
          <w:bCs/>
          <w:color w:val="auto"/>
          <w:sz w:val="24"/>
        </w:rPr>
        <w:t>八、技术规格</w:t>
      </w:r>
    </w:p>
    <w:p>
      <w:pPr>
        <w:keepNext w:val="0"/>
        <w:keepLines w:val="0"/>
        <w:pageBreakBefore w:val="0"/>
        <w:kinsoku/>
        <w:wordWrap/>
        <w:overflowPunct/>
        <w:topLinePunct w:val="0"/>
        <w:autoSpaceDE/>
        <w:autoSpaceDN/>
        <w:bidi w:val="0"/>
        <w:spacing w:line="480" w:lineRule="exact"/>
        <w:ind w:firstLine="540"/>
        <w:jc w:val="left"/>
        <w:textAlignment w:val="auto"/>
        <w:rPr>
          <w:rFonts w:ascii="宋体" w:cs="宋体"/>
          <w:color w:val="auto"/>
          <w:kern w:val="0"/>
          <w:sz w:val="24"/>
        </w:rPr>
      </w:pPr>
      <w:r>
        <w:rPr>
          <w:rFonts w:hint="eastAsia" w:ascii="宋体" w:cs="宋体"/>
          <w:color w:val="auto"/>
          <w:kern w:val="0"/>
          <w:sz w:val="24"/>
        </w:rPr>
        <w:t>1.提交货物的技术规格若技术规格中无相应说明，则以最新颁布的相应国家标准及规范为准，无国家标准的，按行业标准执行，无国家和行业标准的，按企业标准执行。</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b/>
          <w:bCs/>
          <w:color w:val="auto"/>
          <w:sz w:val="24"/>
        </w:rPr>
      </w:pPr>
      <w:r>
        <w:rPr>
          <w:rFonts w:hint="eastAsia" w:ascii="宋体" w:hAnsi="宋体" w:cs="宋体"/>
          <w:b/>
          <w:bCs/>
          <w:color w:val="auto"/>
          <w:sz w:val="24"/>
        </w:rPr>
        <w:t>九、担保条款</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1、本项目成交后的履约保证金为项目成交价的10%(</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供方的履约保证金须在成交通知书发出之日起至合同签订前汇入需方账户（应当以数字人民币、支票、汇票或者金融机构、担保机构出具的保函等非现金形式提交），供方凭成交通知书与需方签订合同。超期或未有协商，则视为自动放弃成交资格。</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2、供方全部履约合同义务，经需方验收合格无质量、进度等问题的，需方在验收合格后一次性退还履约保证金，需方若逾期退还履约保证金的，按照逾期部分的每日0.05%支付违约金。</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3、发生以下情况的，履约保证金不予退还或部分退还：</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a.签订合同后，供方不履行合同义务的，需方有权全额扣除履约保证金，全额不予退还，同时需方亦有权终止合同，供方还须承担相应的法律赔偿责任。</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b.供方在履约过程中发生违约行为，给需方造成损失的，需方有权在供方缴纳的履约保证金中予以扣款，以弥补需方经济损失，不足的部分供方另外补齐。</w:t>
      </w:r>
    </w:p>
    <w:p>
      <w:pPr>
        <w:keepNext w:val="0"/>
        <w:keepLines w:val="0"/>
        <w:pageBreakBefore w:val="0"/>
        <w:kinsoku/>
        <w:wordWrap/>
        <w:overflowPunct/>
        <w:topLinePunct w:val="0"/>
        <w:autoSpaceDE/>
        <w:autoSpaceDN/>
        <w:bidi w:val="0"/>
        <w:spacing w:line="480" w:lineRule="exact"/>
        <w:ind w:firstLine="540"/>
        <w:textAlignment w:val="auto"/>
        <w:rPr>
          <w:rFonts w:ascii="宋体" w:hAnsi="宋体"/>
          <w:color w:val="auto"/>
          <w:sz w:val="24"/>
        </w:rPr>
      </w:pPr>
      <w:r>
        <w:rPr>
          <w:rFonts w:hint="eastAsia" w:ascii="宋体" w:hAnsi="宋体"/>
          <w:b/>
          <w:bCs/>
          <w:color w:val="auto"/>
          <w:sz w:val="24"/>
        </w:rPr>
        <w:t>十、违约责任：</w:t>
      </w:r>
      <w:r>
        <w:rPr>
          <w:rFonts w:hint="eastAsia" w:ascii="宋体" w:hAnsi="宋体"/>
          <w:color w:val="auto"/>
          <w:sz w:val="24"/>
        </w:rPr>
        <w:t>任何一方违约,均须依照下列约定向对方支付违约金。</w:t>
      </w:r>
    </w:p>
    <w:p>
      <w:pPr>
        <w:keepNext w:val="0"/>
        <w:keepLines w:val="0"/>
        <w:pageBreakBefore w:val="0"/>
        <w:kinsoku/>
        <w:wordWrap/>
        <w:overflowPunct/>
        <w:topLinePunct w:val="0"/>
        <w:autoSpaceDE/>
        <w:autoSpaceDN/>
        <w:bidi w:val="0"/>
        <w:spacing w:line="480" w:lineRule="exact"/>
        <w:ind w:firstLine="540"/>
        <w:textAlignment w:val="auto"/>
        <w:rPr>
          <w:rFonts w:hint="eastAsia" w:ascii="宋体" w:hAnsi="宋体"/>
          <w:color w:val="auto"/>
          <w:sz w:val="24"/>
        </w:rPr>
      </w:pPr>
      <w:r>
        <w:rPr>
          <w:rFonts w:hint="eastAsia" w:ascii="宋体" w:hAnsi="宋体"/>
          <w:color w:val="auto"/>
          <w:sz w:val="24"/>
        </w:rPr>
        <w:t xml:space="preserve">⒈ </w:t>
      </w:r>
      <w:r>
        <w:rPr>
          <w:rFonts w:hint="eastAsia" w:ascii="宋体" w:hAnsi="宋体" w:cs="宋体"/>
          <w:color w:val="auto"/>
          <w:sz w:val="24"/>
          <w:lang w:val="en-US" w:eastAsia="zh-CN"/>
        </w:rPr>
        <w:t>如因供方原因延期的，除扣除全部履约保证金外，每推迟一天加罚5000元。</w:t>
      </w:r>
    </w:p>
    <w:p>
      <w:pPr>
        <w:keepNext w:val="0"/>
        <w:keepLines w:val="0"/>
        <w:pageBreakBefore w:val="0"/>
        <w:kinsoku/>
        <w:wordWrap/>
        <w:overflowPunct/>
        <w:topLinePunct w:val="0"/>
        <w:autoSpaceDE/>
        <w:autoSpaceDN/>
        <w:bidi w:val="0"/>
        <w:spacing w:line="480" w:lineRule="exact"/>
        <w:ind w:firstLine="540"/>
        <w:textAlignment w:val="auto"/>
        <w:rPr>
          <w:rFonts w:ascii="宋体" w:hAnsi="宋体"/>
          <w:color w:val="auto"/>
          <w:sz w:val="24"/>
        </w:rPr>
      </w:pPr>
      <w:r>
        <w:rPr>
          <w:rFonts w:hint="eastAsia" w:ascii="宋体" w:hAnsi="宋体"/>
          <w:color w:val="auto"/>
          <w:sz w:val="24"/>
        </w:rPr>
        <w:t>⒉ 供方交付的货物时质量不符合规定的，应在需方规定的时间内再次供货，逾期供货或再次提交的货物质量仍不符合规定的，需方有权没收全部履约保证金，终止本合同，并要求供方赔偿需方由此造成的损失</w:t>
      </w:r>
      <w:r>
        <w:rPr>
          <w:rFonts w:hint="eastAsia" w:ascii="宋体" w:hAnsi="宋体" w:cs="宋体"/>
          <w:color w:val="auto"/>
          <w:kern w:val="0"/>
          <w:sz w:val="24"/>
        </w:rPr>
        <w:t>。</w:t>
      </w:r>
    </w:p>
    <w:p>
      <w:pPr>
        <w:keepNext w:val="0"/>
        <w:keepLines w:val="0"/>
        <w:pageBreakBefore w:val="0"/>
        <w:kinsoku/>
        <w:wordWrap/>
        <w:overflowPunct/>
        <w:topLinePunct w:val="0"/>
        <w:autoSpaceDE/>
        <w:autoSpaceDN/>
        <w:bidi w:val="0"/>
        <w:spacing w:line="480" w:lineRule="exact"/>
        <w:ind w:firstLine="480" w:firstLineChars="200"/>
        <w:jc w:val="left"/>
        <w:textAlignment w:val="auto"/>
        <w:rPr>
          <w:rFonts w:ascii="宋体" w:hAnsi="宋体"/>
          <w:color w:val="auto"/>
          <w:sz w:val="24"/>
        </w:rPr>
      </w:pPr>
      <w:r>
        <w:rPr>
          <w:rFonts w:hint="eastAsia" w:ascii="宋体" w:hAnsi="宋体"/>
          <w:b/>
          <w:bCs/>
          <w:color w:val="auto"/>
          <w:sz w:val="24"/>
        </w:rPr>
        <w:t>十一、其它约定事项：</w:t>
      </w:r>
    </w:p>
    <w:p>
      <w:pPr>
        <w:keepNext w:val="0"/>
        <w:keepLines w:val="0"/>
        <w:pageBreakBefore w:val="0"/>
        <w:kinsoku/>
        <w:wordWrap/>
        <w:overflowPunct/>
        <w:topLinePunct w:val="0"/>
        <w:autoSpaceDE/>
        <w:autoSpaceDN/>
        <w:bidi w:val="0"/>
        <w:spacing w:line="480" w:lineRule="exact"/>
        <w:ind w:firstLine="480" w:firstLineChars="200"/>
        <w:jc w:val="left"/>
        <w:textAlignment w:val="auto"/>
        <w:rPr>
          <w:rFonts w:ascii="宋体" w:hAnsi="宋体"/>
          <w:color w:val="auto"/>
          <w:sz w:val="24"/>
        </w:rPr>
      </w:pPr>
      <w:r>
        <w:rPr>
          <w:rFonts w:hint="eastAsia" w:ascii="宋体" w:hAnsi="宋体"/>
          <w:color w:val="auto"/>
          <w:sz w:val="24"/>
        </w:rPr>
        <w:t>1.供、需双方如在本合同的履行过程中，对标的物的质量问题发生争议时，以质量技术监督部门或有权鉴定部门的质量鉴定结果为准，由此所产生的一切费用由供方承担。</w:t>
      </w:r>
    </w:p>
    <w:p>
      <w:pPr>
        <w:keepNext w:val="0"/>
        <w:keepLines w:val="0"/>
        <w:pageBreakBefore w:val="0"/>
        <w:kinsoku/>
        <w:wordWrap/>
        <w:overflowPunct/>
        <w:topLinePunct w:val="0"/>
        <w:autoSpaceDE/>
        <w:autoSpaceDN/>
        <w:bidi w:val="0"/>
        <w:spacing w:line="480" w:lineRule="exact"/>
        <w:ind w:firstLine="480" w:firstLineChars="200"/>
        <w:jc w:val="left"/>
        <w:textAlignment w:val="auto"/>
        <w:rPr>
          <w:rFonts w:eastAsia="方正仿宋_GBK"/>
          <w:color w:val="auto"/>
          <w:sz w:val="28"/>
        </w:rPr>
      </w:pPr>
      <w:r>
        <w:rPr>
          <w:rFonts w:hint="eastAsia" w:ascii="宋体" w:hAnsi="宋体"/>
          <w:color w:val="auto"/>
          <w:sz w:val="24"/>
        </w:rPr>
        <w:t>2.如供方不履行本合同第四条所规定的保修或后续（售后）服务，则需方有权另行聘请其他维修单位进行维修及后续服务，所支出的合理的维修和服务费用在供方的履约保证金中扣付或需方直接向供方索取，如供方的履约保证金不足以支付该维修及后续服务的费用，则需方有权继续向供方追偿。</w:t>
      </w:r>
    </w:p>
    <w:p>
      <w:pPr>
        <w:keepNext w:val="0"/>
        <w:keepLines w:val="0"/>
        <w:pageBreakBefore w:val="0"/>
        <w:kinsoku/>
        <w:wordWrap/>
        <w:overflowPunct/>
        <w:topLinePunct w:val="0"/>
        <w:autoSpaceDE/>
        <w:autoSpaceDN/>
        <w:bidi w:val="0"/>
        <w:spacing w:line="480" w:lineRule="exact"/>
        <w:ind w:firstLine="480" w:firstLineChars="200"/>
        <w:jc w:val="left"/>
        <w:textAlignment w:val="auto"/>
        <w:rPr>
          <w:rFonts w:ascii="宋体" w:hAnsi="宋体"/>
          <w:color w:val="auto"/>
          <w:sz w:val="24"/>
        </w:rPr>
      </w:pPr>
      <w:r>
        <w:rPr>
          <w:rFonts w:hint="eastAsia" w:ascii="宋体" w:hAnsi="宋体"/>
          <w:color w:val="auto"/>
          <w:sz w:val="24"/>
        </w:rPr>
        <w:t>3.除不可抗力的原因外，供方超过合同规定的履行期限十日内仍不能交付本合同项目货物的，则视为不能交货，需方有权选择决定是否继续履行本合同，如需方决定终止本合同的履行，则供方必须承担不能交货的违约责任，履约保证金不予退还，同时双方出具书面材料。</w:t>
      </w:r>
    </w:p>
    <w:p>
      <w:pPr>
        <w:keepNext w:val="0"/>
        <w:keepLines w:val="0"/>
        <w:pageBreakBefore w:val="0"/>
        <w:kinsoku/>
        <w:wordWrap/>
        <w:overflowPunct/>
        <w:topLinePunct w:val="0"/>
        <w:autoSpaceDE/>
        <w:autoSpaceDN/>
        <w:bidi w:val="0"/>
        <w:spacing w:line="480" w:lineRule="exact"/>
        <w:ind w:firstLine="480" w:firstLineChars="200"/>
        <w:jc w:val="left"/>
        <w:textAlignment w:val="auto"/>
        <w:rPr>
          <w:rFonts w:ascii="宋体" w:hAnsi="宋体"/>
          <w:color w:val="auto"/>
          <w:sz w:val="24"/>
        </w:rPr>
      </w:pPr>
      <w:r>
        <w:rPr>
          <w:rFonts w:hint="eastAsia" w:ascii="宋体" w:hAnsi="宋体"/>
          <w:color w:val="auto"/>
          <w:sz w:val="24"/>
        </w:rPr>
        <w:t>4.供方对需方提出货物或服务有欺诈行为的，依照《中华人民共和国消费者权益保护法》的规定承担损害赔偿责任。</w:t>
      </w:r>
    </w:p>
    <w:p>
      <w:pPr>
        <w:keepNext w:val="0"/>
        <w:keepLines w:val="0"/>
        <w:pageBreakBefore w:val="0"/>
        <w:kinsoku/>
        <w:wordWrap/>
        <w:overflowPunct/>
        <w:topLinePunct w:val="0"/>
        <w:autoSpaceDE/>
        <w:autoSpaceDN/>
        <w:bidi w:val="0"/>
        <w:spacing w:line="480" w:lineRule="exact"/>
        <w:ind w:firstLine="480" w:firstLineChars="200"/>
        <w:jc w:val="left"/>
        <w:textAlignment w:val="auto"/>
        <w:rPr>
          <w:rFonts w:ascii="宋体" w:hAnsi="宋体"/>
          <w:b/>
          <w:bCs/>
          <w:color w:val="auto"/>
          <w:sz w:val="24"/>
        </w:rPr>
      </w:pPr>
      <w:r>
        <w:rPr>
          <w:rFonts w:hint="eastAsia" w:ascii="宋体" w:hAnsi="宋体"/>
          <w:b/>
          <w:bCs/>
          <w:color w:val="auto"/>
          <w:sz w:val="24"/>
        </w:rPr>
        <w:t>十二、解决合同争议的方式：</w:t>
      </w:r>
    </w:p>
    <w:p>
      <w:pPr>
        <w:keepNext w:val="0"/>
        <w:keepLines w:val="0"/>
        <w:pageBreakBefore w:val="0"/>
        <w:kinsoku/>
        <w:wordWrap/>
        <w:overflowPunct/>
        <w:topLinePunct w:val="0"/>
        <w:autoSpaceDE/>
        <w:autoSpaceDN/>
        <w:bidi w:val="0"/>
        <w:spacing w:line="480" w:lineRule="exact"/>
        <w:ind w:firstLine="480" w:firstLineChars="200"/>
        <w:jc w:val="left"/>
        <w:textAlignment w:val="auto"/>
        <w:rPr>
          <w:rFonts w:ascii="宋体" w:hAnsi="宋体"/>
          <w:color w:val="auto"/>
          <w:sz w:val="24"/>
        </w:rPr>
      </w:pPr>
      <w:r>
        <w:rPr>
          <w:rFonts w:hint="eastAsia" w:ascii="宋体" w:hAnsi="宋体"/>
          <w:color w:val="auto"/>
          <w:sz w:val="24"/>
        </w:rPr>
        <w:t>本合同履行过程中如发生争议，供、需双方应协商解决，如协商不成，则任何一方均可向</w:t>
      </w:r>
      <w:r>
        <w:rPr>
          <w:rFonts w:hint="eastAsia" w:ascii="宋体" w:hAnsi="宋体"/>
          <w:color w:val="auto"/>
          <w:sz w:val="24"/>
          <w:u w:val="single"/>
        </w:rPr>
        <w:t xml:space="preserve">  启东市  </w:t>
      </w:r>
      <w:r>
        <w:rPr>
          <w:rFonts w:hint="eastAsia" w:ascii="宋体" w:hAnsi="宋体"/>
          <w:color w:val="auto"/>
          <w:sz w:val="24"/>
        </w:rPr>
        <w:t>人民法院提起诉讼。</w:t>
      </w:r>
    </w:p>
    <w:p>
      <w:pPr>
        <w:keepNext w:val="0"/>
        <w:keepLines w:val="0"/>
        <w:pageBreakBefore w:val="0"/>
        <w:kinsoku/>
        <w:wordWrap/>
        <w:overflowPunct/>
        <w:topLinePunct w:val="0"/>
        <w:autoSpaceDE/>
        <w:autoSpaceDN/>
        <w:bidi w:val="0"/>
        <w:spacing w:line="480" w:lineRule="exact"/>
        <w:ind w:firstLine="480" w:firstLineChars="200"/>
        <w:jc w:val="left"/>
        <w:textAlignment w:val="auto"/>
        <w:rPr>
          <w:rFonts w:ascii="宋体" w:hAnsi="宋体"/>
          <w:color w:val="auto"/>
          <w:sz w:val="24"/>
        </w:rPr>
      </w:pPr>
      <w:r>
        <w:rPr>
          <w:rFonts w:hint="eastAsia" w:ascii="宋体" w:hAnsi="宋体"/>
          <w:b/>
          <w:bCs/>
          <w:color w:val="auto"/>
          <w:sz w:val="24"/>
        </w:rPr>
        <w:t>十三、</w:t>
      </w:r>
      <w:r>
        <w:rPr>
          <w:rFonts w:hint="eastAsia" w:ascii="宋体" w:hAnsi="宋体"/>
          <w:color w:val="auto"/>
          <w:sz w:val="24"/>
        </w:rPr>
        <w:t>本合同由供、需双方签订并加盖公章（同时双方应加盖骑缝章）后生效，合同一式柒份（供需双方各执三份，财政局备案一份）。</w:t>
      </w:r>
    </w:p>
    <w:p>
      <w:pPr>
        <w:spacing w:line="500" w:lineRule="exact"/>
        <w:ind w:firstLine="720" w:firstLineChars="300"/>
        <w:rPr>
          <w:rFonts w:hint="eastAsia" w:ascii="宋体" w:hAnsi="宋体" w:cs="宋体"/>
          <w:color w:val="auto"/>
          <w:sz w:val="24"/>
        </w:rPr>
      </w:pPr>
    </w:p>
    <w:p>
      <w:pPr>
        <w:spacing w:line="500" w:lineRule="exact"/>
        <w:ind w:firstLine="720" w:firstLineChars="300"/>
        <w:rPr>
          <w:rFonts w:hint="eastAsia" w:ascii="宋体" w:hAnsi="宋体" w:cs="宋体"/>
          <w:color w:val="auto"/>
          <w:sz w:val="24"/>
        </w:rPr>
      </w:pPr>
    </w:p>
    <w:p>
      <w:pPr>
        <w:spacing w:line="500" w:lineRule="exact"/>
        <w:ind w:firstLine="720" w:firstLineChars="300"/>
        <w:rPr>
          <w:rFonts w:ascii="宋体" w:hAnsi="宋体" w:cs="宋体"/>
          <w:color w:val="auto"/>
          <w:sz w:val="24"/>
        </w:rPr>
      </w:pPr>
      <w:r>
        <w:rPr>
          <w:rFonts w:hint="eastAsia" w:ascii="宋体" w:hAnsi="宋体" w:cs="宋体"/>
          <w:color w:val="auto"/>
          <w:sz w:val="24"/>
        </w:rPr>
        <w:t xml:space="preserve">供方（盖章）：                    需方（盖章）：            </w:t>
      </w:r>
    </w:p>
    <w:p>
      <w:pPr>
        <w:spacing w:line="500" w:lineRule="exact"/>
        <w:rPr>
          <w:rFonts w:ascii="宋体" w:hAnsi="宋体" w:cs="宋体"/>
          <w:color w:val="auto"/>
          <w:sz w:val="24"/>
        </w:rPr>
      </w:pPr>
      <w:r>
        <w:rPr>
          <w:rFonts w:hint="eastAsia" w:ascii="宋体" w:hAnsi="宋体" w:cs="宋体"/>
          <w:color w:val="auto"/>
          <w:sz w:val="24"/>
        </w:rPr>
        <w:t xml:space="preserve">      法定代表人：                      法定代表人：             </w:t>
      </w:r>
    </w:p>
    <w:p>
      <w:pPr>
        <w:spacing w:line="500" w:lineRule="exact"/>
        <w:rPr>
          <w:rFonts w:ascii="宋体" w:hAnsi="宋体" w:cs="宋体"/>
          <w:color w:val="auto"/>
          <w:sz w:val="24"/>
        </w:rPr>
      </w:pPr>
      <w:r>
        <w:rPr>
          <w:rFonts w:hint="eastAsia" w:ascii="宋体" w:hAnsi="宋体" w:cs="宋体"/>
          <w:color w:val="auto"/>
          <w:sz w:val="24"/>
        </w:rPr>
        <w:t xml:space="preserve">      委托代理人：                      委托代理人：            </w:t>
      </w:r>
    </w:p>
    <w:p>
      <w:pPr>
        <w:spacing w:line="500" w:lineRule="exact"/>
        <w:rPr>
          <w:rFonts w:ascii="宋体" w:hAnsi="宋体" w:cs="宋体"/>
          <w:color w:val="auto"/>
          <w:sz w:val="24"/>
        </w:rPr>
      </w:pPr>
      <w:r>
        <w:rPr>
          <w:rFonts w:hint="eastAsia" w:ascii="宋体" w:hAnsi="宋体" w:cs="宋体"/>
          <w:color w:val="auto"/>
          <w:sz w:val="24"/>
        </w:rPr>
        <w:t xml:space="preserve">      联系电话：                        联系电话：              </w:t>
      </w:r>
    </w:p>
    <w:p>
      <w:pPr>
        <w:spacing w:line="500" w:lineRule="exact"/>
        <w:rPr>
          <w:rFonts w:ascii="宋体" w:hAnsi="宋体" w:cs="宋体"/>
          <w:color w:val="auto"/>
          <w:sz w:val="24"/>
        </w:rPr>
      </w:pPr>
      <w:r>
        <w:rPr>
          <w:rFonts w:hint="eastAsia" w:ascii="宋体" w:hAnsi="宋体" w:cs="宋体"/>
          <w:color w:val="auto"/>
          <w:sz w:val="24"/>
        </w:rPr>
        <w:t xml:space="preserve">      开户银行：                        开户银行：</w:t>
      </w:r>
    </w:p>
    <w:p>
      <w:pPr>
        <w:spacing w:line="500" w:lineRule="exact"/>
        <w:rPr>
          <w:color w:val="auto"/>
        </w:rPr>
      </w:pPr>
      <w:r>
        <w:rPr>
          <w:rFonts w:hint="eastAsia" w:ascii="宋体" w:hAnsi="宋体" w:cs="宋体"/>
          <w:color w:val="auto"/>
          <w:sz w:val="24"/>
        </w:rPr>
        <w:t xml:space="preserve">      银行账号：                        银行账号：</w:t>
      </w:r>
    </w:p>
    <w:p>
      <w:pPr>
        <w:rPr>
          <w:rFonts w:hint="eastAsia" w:ascii="宋体" w:hAnsi="宋体" w:eastAsia="宋体" w:cs="宋体"/>
          <w:b w:val="0"/>
          <w:color w:val="auto"/>
          <w:sz w:val="36"/>
          <w:szCs w:val="36"/>
        </w:rPr>
      </w:pPr>
      <w:r>
        <w:rPr>
          <w:rFonts w:hint="eastAsia" w:ascii="宋体" w:hAnsi="宋体" w:eastAsia="宋体" w:cs="宋体"/>
          <w:b w:val="0"/>
          <w:color w:val="auto"/>
          <w:sz w:val="36"/>
          <w:szCs w:val="36"/>
        </w:rPr>
        <w:br w:type="page"/>
      </w:r>
    </w:p>
    <w:p>
      <w:pPr>
        <w:pStyle w:val="3"/>
        <w:widowControl/>
        <w:adjustRightInd w:val="0"/>
        <w:snapToGrid w:val="0"/>
        <w:spacing w:before="0" w:after="0" w:line="500" w:lineRule="exact"/>
        <w:jc w:val="center"/>
        <w:rPr>
          <w:rFonts w:hint="eastAsia" w:ascii="宋体" w:hAnsi="宋体" w:eastAsia="宋体" w:cs="宋体"/>
          <w:b w:val="0"/>
          <w:color w:val="auto"/>
        </w:rPr>
      </w:pPr>
      <w:r>
        <w:rPr>
          <w:rFonts w:hint="eastAsia" w:ascii="宋体" w:hAnsi="宋体" w:eastAsia="宋体" w:cs="宋体"/>
          <w:b w:val="0"/>
          <w:color w:val="auto"/>
          <w:sz w:val="36"/>
          <w:szCs w:val="36"/>
        </w:rPr>
        <w:t>第四部分  响应文件</w:t>
      </w:r>
      <w:bookmarkEnd w:id="51"/>
      <w:bookmarkEnd w:id="53"/>
      <w:r>
        <w:rPr>
          <w:rFonts w:hint="eastAsia" w:ascii="宋体" w:hAnsi="宋体" w:eastAsia="宋体" w:cs="宋体"/>
          <w:b w:val="0"/>
          <w:color w:val="auto"/>
          <w:sz w:val="36"/>
          <w:szCs w:val="36"/>
        </w:rPr>
        <w:t>格式</w:t>
      </w:r>
    </w:p>
    <w:p>
      <w:pPr>
        <w:adjustRightInd w:val="0"/>
        <w:snapToGrid w:val="0"/>
        <w:spacing w:line="500" w:lineRule="exact"/>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1.</w:t>
      </w:r>
      <w:r>
        <w:rPr>
          <w:rFonts w:hint="eastAsia" w:ascii="宋体" w:hAnsi="宋体" w:eastAsia="宋体" w:cs="宋体"/>
          <w:color w:val="auto"/>
          <w:kern w:val="0"/>
          <w:sz w:val="28"/>
          <w:szCs w:val="28"/>
        </w:rPr>
        <w:t>投标人符合《政府采购法》第二十二条规定条件的声明函</w:t>
      </w:r>
      <w:r>
        <w:rPr>
          <w:rFonts w:hint="eastAsia" w:ascii="宋体" w:hAnsi="宋体" w:eastAsia="宋体" w:cs="宋体"/>
          <w:color w:val="auto"/>
          <w:kern w:val="0"/>
          <w:sz w:val="28"/>
          <w:szCs w:val="28"/>
          <w:lang w:val="zh-CN"/>
        </w:rPr>
        <w:t>（格式见附件1）（如分公司参加投标的，另需提供总公司的授权证明）；</w:t>
      </w:r>
    </w:p>
    <w:p>
      <w:pPr>
        <w:adjustRightInd w:val="0"/>
        <w:snapToGrid w:val="0"/>
        <w:spacing w:line="500" w:lineRule="exact"/>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zh-CN"/>
        </w:rPr>
        <w:t>.法定代表人身份证明书（格式见附件2）、法人或者其他组织的营业执照等证明文件，自然人的身份证明；</w:t>
      </w:r>
    </w:p>
    <w:p>
      <w:pPr>
        <w:adjustRightInd w:val="0"/>
        <w:snapToGrid w:val="0"/>
        <w:spacing w:line="500" w:lineRule="exact"/>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val="zh-CN"/>
        </w:rPr>
        <w:t>.法定代表人授权委托书原件（格式见附件3，法定代表人参加的，无需提供授权委托书），谈判代表本人身份证复印件；</w:t>
      </w:r>
    </w:p>
    <w:p>
      <w:pPr>
        <w:adjustRightInd w:val="0"/>
        <w:snapToGrid w:val="0"/>
        <w:spacing w:line="500" w:lineRule="exact"/>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4.</w:t>
      </w:r>
      <w:r>
        <w:rPr>
          <w:rFonts w:hint="eastAsia" w:ascii="宋体" w:hAnsi="宋体" w:eastAsia="宋体" w:cs="宋体"/>
          <w:color w:val="auto"/>
          <w:kern w:val="0"/>
          <w:sz w:val="28"/>
          <w:szCs w:val="28"/>
          <w:lang w:val="zh-CN"/>
        </w:rPr>
        <w:t>供应商信用承诺书（格式见附件</w:t>
      </w:r>
      <w:r>
        <w:rPr>
          <w:rFonts w:hint="eastAsia" w:ascii="宋体" w:hAnsi="宋体" w:eastAsia="宋体" w:cs="宋体"/>
          <w:color w:val="auto"/>
          <w:kern w:val="0"/>
          <w:sz w:val="28"/>
          <w:szCs w:val="28"/>
        </w:rPr>
        <w:t>4</w:t>
      </w:r>
      <w:r>
        <w:rPr>
          <w:rFonts w:hint="eastAsia" w:ascii="宋体" w:hAnsi="宋体" w:eastAsia="宋体" w:cs="宋体"/>
          <w:color w:val="auto"/>
          <w:kern w:val="0"/>
          <w:sz w:val="28"/>
          <w:szCs w:val="28"/>
          <w:lang w:val="zh-CN"/>
        </w:rPr>
        <w:t>）；</w:t>
      </w:r>
    </w:p>
    <w:p>
      <w:pPr>
        <w:adjustRightInd w:val="0"/>
        <w:snapToGrid w:val="0"/>
        <w:spacing w:line="500" w:lineRule="exact"/>
        <w:rPr>
          <w:rFonts w:hint="default"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5.</w:t>
      </w:r>
      <w:r>
        <w:rPr>
          <w:rFonts w:hint="eastAsia" w:ascii="宋体" w:hAnsi="宋体" w:eastAsia="宋体" w:cs="宋体"/>
          <w:color w:val="auto"/>
          <w:sz w:val="28"/>
          <w:szCs w:val="28"/>
          <w:highlight w:val="none"/>
          <w:lang w:val="en-US" w:eastAsia="zh-CN"/>
        </w:rPr>
        <w:t>提供采购货物清单中标★项证明材料</w:t>
      </w:r>
      <w:r>
        <w:rPr>
          <w:rFonts w:hint="eastAsia" w:ascii="宋体" w:hAnsi="宋体" w:cs="宋体"/>
          <w:color w:val="auto"/>
          <w:sz w:val="28"/>
          <w:szCs w:val="28"/>
          <w:highlight w:val="none"/>
          <w:lang w:val="en-US" w:eastAsia="zh-CN"/>
        </w:rPr>
        <w:t>；</w:t>
      </w:r>
    </w:p>
    <w:p>
      <w:pPr>
        <w:adjustRightInd w:val="0"/>
        <w:snapToGrid w:val="0"/>
        <w:spacing w:line="500" w:lineRule="exact"/>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6.质保承诺书</w:t>
      </w:r>
      <w:r>
        <w:rPr>
          <w:rFonts w:hint="eastAsia" w:ascii="宋体" w:hAnsi="宋体" w:eastAsia="宋体" w:cs="宋体"/>
          <w:bCs/>
          <w:color w:val="auto"/>
          <w:kern w:val="0"/>
          <w:sz w:val="28"/>
          <w:szCs w:val="28"/>
          <w:lang w:val="zh-CN"/>
        </w:rPr>
        <w:t>（格式见附件5）</w:t>
      </w:r>
      <w:r>
        <w:rPr>
          <w:rFonts w:hint="eastAsia" w:ascii="宋体" w:hAnsi="宋体" w:cs="宋体"/>
          <w:bCs/>
          <w:color w:val="auto"/>
          <w:kern w:val="0"/>
          <w:sz w:val="28"/>
          <w:szCs w:val="28"/>
          <w:lang w:val="zh-CN"/>
        </w:rPr>
        <w:t>；</w:t>
      </w:r>
    </w:p>
    <w:p>
      <w:pPr>
        <w:adjustRightInd w:val="0"/>
        <w:snapToGrid w:val="0"/>
        <w:spacing w:line="500" w:lineRule="exact"/>
        <w:rPr>
          <w:rFonts w:hint="eastAsia" w:ascii="宋体" w:hAnsi="宋体" w:eastAsia="宋体" w:cs="宋体"/>
          <w:color w:val="auto"/>
          <w:sz w:val="28"/>
          <w:szCs w:val="28"/>
          <w:highlight w:val="none"/>
          <w:lang w:val="en-US" w:eastAsia="zh-CN"/>
        </w:rPr>
      </w:pPr>
      <w:r>
        <w:rPr>
          <w:rFonts w:hint="eastAsia" w:ascii="宋体" w:hAnsi="宋体" w:cs="宋体"/>
          <w:bCs/>
          <w:color w:val="auto"/>
          <w:kern w:val="0"/>
          <w:sz w:val="28"/>
          <w:szCs w:val="28"/>
          <w:lang w:val="en-US" w:eastAsia="zh-CN"/>
        </w:rPr>
        <w:t>7.</w:t>
      </w:r>
      <w:r>
        <w:rPr>
          <w:rFonts w:hint="eastAsia" w:ascii="宋体" w:hAnsi="宋体" w:eastAsia="宋体" w:cs="宋体"/>
          <w:bCs/>
          <w:color w:val="auto"/>
          <w:kern w:val="0"/>
          <w:sz w:val="28"/>
          <w:szCs w:val="28"/>
          <w:lang w:val="zh-CN"/>
        </w:rPr>
        <w:t>询价响应函（格式见附件</w:t>
      </w:r>
      <w:r>
        <w:rPr>
          <w:rFonts w:hint="eastAsia" w:ascii="宋体" w:hAnsi="宋体" w:cs="宋体"/>
          <w:bCs/>
          <w:color w:val="auto"/>
          <w:kern w:val="0"/>
          <w:sz w:val="28"/>
          <w:szCs w:val="28"/>
          <w:lang w:val="en-US" w:eastAsia="zh-CN"/>
        </w:rPr>
        <w:t>6</w:t>
      </w:r>
      <w:r>
        <w:rPr>
          <w:rFonts w:hint="eastAsia" w:ascii="宋体" w:hAnsi="宋体" w:eastAsia="宋体" w:cs="宋体"/>
          <w:bCs/>
          <w:color w:val="auto"/>
          <w:kern w:val="0"/>
          <w:sz w:val="28"/>
          <w:szCs w:val="28"/>
          <w:lang w:val="zh-CN"/>
        </w:rPr>
        <w:t>）；</w:t>
      </w:r>
    </w:p>
    <w:p>
      <w:pPr>
        <w:adjustRightInd w:val="0"/>
        <w:snapToGrid w:val="0"/>
        <w:spacing w:line="500" w:lineRule="exact"/>
        <w:rPr>
          <w:rFonts w:hint="eastAsia" w:ascii="宋体" w:hAnsi="宋体" w:eastAsia="宋体" w:cs="宋体"/>
          <w:bCs/>
          <w:color w:val="auto"/>
          <w:kern w:val="0"/>
          <w:sz w:val="28"/>
          <w:szCs w:val="28"/>
          <w:lang w:val="zh-CN"/>
        </w:rPr>
      </w:pPr>
      <w:r>
        <w:rPr>
          <w:rFonts w:hint="eastAsia" w:ascii="宋体" w:hAnsi="宋体" w:cs="宋体"/>
          <w:bCs/>
          <w:color w:val="auto"/>
          <w:kern w:val="0"/>
          <w:sz w:val="28"/>
          <w:szCs w:val="28"/>
          <w:lang w:val="en-US" w:eastAsia="zh-CN"/>
        </w:rPr>
        <w:t>8</w:t>
      </w:r>
      <w:r>
        <w:rPr>
          <w:rFonts w:hint="eastAsia" w:ascii="宋体" w:hAnsi="宋体" w:eastAsia="宋体" w:cs="宋体"/>
          <w:bCs/>
          <w:color w:val="auto"/>
          <w:kern w:val="0"/>
          <w:sz w:val="28"/>
          <w:szCs w:val="28"/>
          <w:lang w:val="zh-CN"/>
        </w:rPr>
        <w:t>.商务部分正负偏离表；（格式见附件</w:t>
      </w:r>
      <w:r>
        <w:rPr>
          <w:rFonts w:hint="eastAsia" w:ascii="宋体" w:hAnsi="宋体" w:cs="宋体"/>
          <w:bCs/>
          <w:color w:val="auto"/>
          <w:kern w:val="0"/>
          <w:sz w:val="28"/>
          <w:szCs w:val="28"/>
          <w:lang w:val="en-US" w:eastAsia="zh-CN"/>
        </w:rPr>
        <w:t>7</w:t>
      </w:r>
      <w:r>
        <w:rPr>
          <w:rFonts w:hint="eastAsia" w:ascii="宋体" w:hAnsi="宋体" w:eastAsia="宋体" w:cs="宋体"/>
          <w:bCs/>
          <w:color w:val="auto"/>
          <w:kern w:val="0"/>
          <w:sz w:val="28"/>
          <w:szCs w:val="28"/>
          <w:lang w:val="zh-CN"/>
        </w:rPr>
        <w:t>）</w:t>
      </w:r>
    </w:p>
    <w:p>
      <w:pPr>
        <w:adjustRightInd w:val="0"/>
        <w:snapToGrid w:val="0"/>
        <w:spacing w:line="500" w:lineRule="exact"/>
        <w:ind w:firstLine="280" w:firstLineChars="100"/>
        <w:rPr>
          <w:rFonts w:hint="eastAsia" w:ascii="宋体" w:hAnsi="宋体" w:eastAsia="宋体" w:cs="宋体"/>
          <w:bCs/>
          <w:color w:val="auto"/>
          <w:kern w:val="0"/>
          <w:sz w:val="28"/>
          <w:szCs w:val="28"/>
          <w:lang w:val="zh-CN"/>
        </w:rPr>
      </w:pPr>
      <w:r>
        <w:rPr>
          <w:rFonts w:hint="eastAsia" w:ascii="宋体" w:hAnsi="宋体" w:eastAsia="宋体" w:cs="宋体"/>
          <w:bCs/>
          <w:color w:val="auto"/>
          <w:kern w:val="0"/>
          <w:sz w:val="28"/>
          <w:szCs w:val="28"/>
          <w:lang w:val="zh-CN"/>
        </w:rPr>
        <w:t>技术部分正负偏离表</w:t>
      </w:r>
      <w:bookmarkStart w:id="57" w:name="_GoBack"/>
      <w:bookmarkEnd w:id="57"/>
      <w:r>
        <w:rPr>
          <w:rFonts w:hint="eastAsia" w:ascii="宋体" w:hAnsi="宋体" w:eastAsia="宋体" w:cs="宋体"/>
          <w:bCs/>
          <w:color w:val="auto"/>
          <w:kern w:val="0"/>
          <w:sz w:val="28"/>
          <w:szCs w:val="28"/>
          <w:lang w:val="zh-CN"/>
        </w:rPr>
        <w:t>；（格式见附件</w:t>
      </w:r>
      <w:r>
        <w:rPr>
          <w:rFonts w:hint="eastAsia" w:ascii="宋体" w:hAnsi="宋体" w:cs="宋体"/>
          <w:bCs/>
          <w:color w:val="auto"/>
          <w:kern w:val="0"/>
          <w:sz w:val="28"/>
          <w:szCs w:val="28"/>
          <w:lang w:val="en-US" w:eastAsia="zh-CN"/>
        </w:rPr>
        <w:t>8</w:t>
      </w:r>
      <w:r>
        <w:rPr>
          <w:rFonts w:hint="eastAsia" w:ascii="宋体" w:hAnsi="宋体" w:eastAsia="宋体" w:cs="宋体"/>
          <w:bCs/>
          <w:color w:val="auto"/>
          <w:kern w:val="0"/>
          <w:sz w:val="28"/>
          <w:szCs w:val="28"/>
          <w:lang w:val="zh-CN"/>
        </w:rPr>
        <w:t>）</w:t>
      </w:r>
    </w:p>
    <w:p>
      <w:pPr>
        <w:adjustRightInd w:val="0"/>
        <w:snapToGrid w:val="0"/>
        <w:spacing w:line="500" w:lineRule="exact"/>
        <w:rPr>
          <w:rFonts w:hint="eastAsia" w:ascii="宋体" w:hAnsi="宋体" w:eastAsia="宋体" w:cs="宋体"/>
          <w:bCs/>
          <w:color w:val="auto"/>
          <w:kern w:val="0"/>
          <w:sz w:val="28"/>
          <w:szCs w:val="28"/>
          <w:lang w:val="zh-CN"/>
        </w:rPr>
      </w:pPr>
      <w:r>
        <w:rPr>
          <w:rFonts w:hint="eastAsia" w:ascii="宋体" w:hAnsi="宋体" w:eastAsia="宋体" w:cs="宋体"/>
          <w:bCs/>
          <w:color w:val="auto"/>
          <w:kern w:val="0"/>
          <w:sz w:val="28"/>
          <w:szCs w:val="28"/>
          <w:lang w:val="zh-CN"/>
        </w:rPr>
        <w:t>填制正负偏离表，完全响应的，请以空白表列示。不完全响应的，</w:t>
      </w:r>
    </w:p>
    <w:p>
      <w:pPr>
        <w:adjustRightInd w:val="0"/>
        <w:snapToGrid w:val="0"/>
        <w:spacing w:line="500" w:lineRule="exact"/>
        <w:rPr>
          <w:rFonts w:hint="eastAsia" w:ascii="宋体" w:hAnsi="宋体" w:eastAsia="宋体" w:cs="宋体"/>
          <w:bCs/>
          <w:color w:val="auto"/>
          <w:kern w:val="0"/>
          <w:sz w:val="28"/>
          <w:szCs w:val="28"/>
          <w:lang w:val="zh-CN"/>
        </w:rPr>
      </w:pPr>
      <w:r>
        <w:rPr>
          <w:rFonts w:hint="eastAsia" w:ascii="宋体" w:hAnsi="宋体" w:eastAsia="宋体" w:cs="宋体"/>
          <w:bCs/>
          <w:color w:val="auto"/>
          <w:kern w:val="0"/>
          <w:sz w:val="28"/>
          <w:szCs w:val="28"/>
          <w:lang w:val="zh-CN"/>
        </w:rPr>
        <w:t>必须在偏离表中列示；列示不全的，视同故意隐瞒。</w:t>
      </w:r>
    </w:p>
    <w:p>
      <w:pPr>
        <w:adjustRightInd w:val="0"/>
        <w:snapToGrid w:val="0"/>
        <w:spacing w:line="500" w:lineRule="exact"/>
        <w:rPr>
          <w:rFonts w:hint="eastAsia" w:ascii="宋体" w:hAnsi="宋体" w:eastAsia="宋体" w:cs="宋体"/>
          <w:color w:val="auto"/>
          <w:kern w:val="0"/>
          <w:sz w:val="28"/>
          <w:szCs w:val="28"/>
          <w:lang w:val="zh-CN"/>
        </w:rPr>
      </w:pPr>
      <w:r>
        <w:rPr>
          <w:rFonts w:hint="eastAsia" w:ascii="宋体" w:hAnsi="宋体" w:cs="宋体"/>
          <w:bCs/>
          <w:color w:val="auto"/>
          <w:kern w:val="0"/>
          <w:sz w:val="28"/>
          <w:szCs w:val="28"/>
          <w:lang w:val="en-US" w:eastAsia="zh-CN"/>
        </w:rPr>
        <w:t>9</w:t>
      </w:r>
      <w:r>
        <w:rPr>
          <w:rFonts w:hint="eastAsia" w:ascii="宋体" w:hAnsi="宋体" w:eastAsia="宋体" w:cs="宋体"/>
          <w:bCs/>
          <w:color w:val="auto"/>
          <w:kern w:val="0"/>
          <w:sz w:val="28"/>
          <w:szCs w:val="28"/>
          <w:lang w:val="zh-CN"/>
        </w:rPr>
        <w:t>.询价</w:t>
      </w:r>
      <w:r>
        <w:rPr>
          <w:rFonts w:hint="eastAsia" w:ascii="宋体" w:hAnsi="宋体" w:eastAsia="宋体" w:cs="宋体"/>
          <w:color w:val="auto"/>
          <w:kern w:val="0"/>
          <w:sz w:val="28"/>
          <w:szCs w:val="28"/>
        </w:rPr>
        <w:t>报价表</w:t>
      </w:r>
      <w:r>
        <w:rPr>
          <w:rFonts w:hint="eastAsia" w:ascii="宋体" w:hAnsi="宋体" w:eastAsia="宋体" w:cs="宋体"/>
          <w:color w:val="auto"/>
          <w:kern w:val="0"/>
          <w:sz w:val="28"/>
          <w:szCs w:val="28"/>
          <w:lang w:val="zh-CN"/>
        </w:rPr>
        <w:t>（格式见苏采云系统内电子投标(响应)文件中表式）；</w:t>
      </w:r>
    </w:p>
    <w:p>
      <w:pPr>
        <w:adjustRightInd w:val="0"/>
        <w:snapToGrid w:val="0"/>
        <w:spacing w:line="500" w:lineRule="exact"/>
        <w:rPr>
          <w:rFonts w:hint="eastAsia" w:ascii="宋体" w:hAnsi="宋体" w:eastAsia="宋体" w:cs="宋体"/>
          <w:color w:val="auto"/>
          <w:kern w:val="0"/>
          <w:sz w:val="28"/>
          <w:szCs w:val="28"/>
          <w:lang w:val="zh-CN"/>
        </w:rPr>
      </w:pPr>
      <w:r>
        <w:rPr>
          <w:rFonts w:hint="eastAsia" w:ascii="宋体" w:hAnsi="宋体" w:cs="宋体"/>
          <w:color w:val="auto"/>
          <w:kern w:val="0"/>
          <w:sz w:val="28"/>
          <w:szCs w:val="28"/>
          <w:lang w:val="en-US" w:eastAsia="zh-CN"/>
        </w:rPr>
        <w:t>10</w:t>
      </w:r>
      <w:r>
        <w:rPr>
          <w:rFonts w:hint="eastAsia" w:ascii="宋体" w:hAnsi="宋体" w:eastAsia="宋体" w:cs="宋体"/>
          <w:color w:val="auto"/>
          <w:kern w:val="0"/>
          <w:sz w:val="28"/>
          <w:szCs w:val="28"/>
          <w:lang w:val="zh-CN"/>
        </w:rPr>
        <w:t>.分项报价明细表（格式见附件</w:t>
      </w:r>
      <w:r>
        <w:rPr>
          <w:rFonts w:hint="eastAsia" w:ascii="宋体" w:hAnsi="宋体" w:cs="宋体"/>
          <w:color w:val="auto"/>
          <w:kern w:val="0"/>
          <w:sz w:val="28"/>
          <w:szCs w:val="28"/>
          <w:lang w:val="en-US" w:eastAsia="zh-CN"/>
        </w:rPr>
        <w:t>9</w:t>
      </w:r>
      <w:r>
        <w:rPr>
          <w:rFonts w:hint="eastAsia" w:ascii="宋体" w:hAnsi="宋体" w:eastAsia="宋体" w:cs="宋体"/>
          <w:color w:val="auto"/>
          <w:kern w:val="0"/>
          <w:sz w:val="28"/>
          <w:szCs w:val="28"/>
          <w:lang w:val="zh-CN"/>
        </w:rPr>
        <w:t>）；</w:t>
      </w:r>
    </w:p>
    <w:p>
      <w:pPr>
        <w:adjustRightInd w:val="0"/>
        <w:snapToGrid w:val="0"/>
        <w:spacing w:line="500" w:lineRule="exact"/>
        <w:rPr>
          <w:rFonts w:hint="eastAsia" w:ascii="宋体" w:hAnsi="宋体" w:eastAsia="宋体" w:cs="宋体"/>
          <w:color w:val="auto"/>
          <w:kern w:val="0"/>
          <w:sz w:val="28"/>
          <w:szCs w:val="28"/>
          <w:lang w:val="zh-CN"/>
        </w:rPr>
      </w:pPr>
      <w:r>
        <w:rPr>
          <w:rFonts w:hint="eastAsia" w:ascii="宋体" w:hAnsi="宋体" w:cs="宋体"/>
          <w:color w:val="auto"/>
          <w:kern w:val="0"/>
          <w:sz w:val="28"/>
          <w:szCs w:val="28"/>
          <w:lang w:val="en-US" w:eastAsia="zh-CN"/>
        </w:rPr>
        <w:t>11.</w:t>
      </w:r>
      <w:r>
        <w:rPr>
          <w:rFonts w:hint="eastAsia" w:ascii="宋体" w:hAnsi="宋体" w:eastAsia="宋体" w:cs="宋体"/>
          <w:color w:val="auto"/>
          <w:kern w:val="0"/>
          <w:sz w:val="28"/>
          <w:szCs w:val="28"/>
        </w:rPr>
        <w:t>中小企业声明函（格式见附件</w:t>
      </w:r>
      <w:r>
        <w:rPr>
          <w:rFonts w:hint="eastAsia" w:ascii="宋体" w:hAnsi="宋体" w:cs="宋体"/>
          <w:color w:val="auto"/>
          <w:kern w:val="0"/>
          <w:sz w:val="28"/>
          <w:szCs w:val="28"/>
          <w:lang w:val="en-US" w:eastAsia="zh-CN"/>
        </w:rPr>
        <w:t>10</w:t>
      </w:r>
      <w:r>
        <w:rPr>
          <w:rFonts w:hint="eastAsia" w:ascii="宋体" w:hAnsi="宋体" w:eastAsia="宋体" w:cs="宋体"/>
          <w:color w:val="auto"/>
          <w:kern w:val="0"/>
          <w:sz w:val="28"/>
          <w:szCs w:val="28"/>
        </w:rPr>
        <w:t>）；</w:t>
      </w:r>
    </w:p>
    <w:p>
      <w:pPr>
        <w:adjustRightInd w:val="0"/>
        <w:snapToGrid w:val="0"/>
        <w:spacing w:line="500" w:lineRule="exac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1</w:t>
      </w:r>
      <w:r>
        <w:rPr>
          <w:rFonts w:hint="eastAsia" w:ascii="宋体" w:hAnsi="宋体" w:cs="宋体"/>
          <w:color w:val="auto"/>
          <w:kern w:val="0"/>
          <w:sz w:val="28"/>
          <w:szCs w:val="28"/>
          <w:lang w:val="en-US" w:eastAsia="zh-CN"/>
        </w:rPr>
        <w:t>2.</w:t>
      </w:r>
      <w:r>
        <w:rPr>
          <w:rFonts w:hint="eastAsia" w:ascii="宋体" w:hAnsi="宋体" w:eastAsia="宋体" w:cs="宋体"/>
          <w:color w:val="auto"/>
          <w:kern w:val="0"/>
          <w:sz w:val="28"/>
          <w:szCs w:val="28"/>
        </w:rPr>
        <w:t>残疾人福利性单位声明函（格式见附件</w:t>
      </w:r>
      <w:r>
        <w:rPr>
          <w:rFonts w:hint="eastAsia" w:ascii="宋体" w:hAnsi="宋体" w:cs="宋体"/>
          <w:color w:val="auto"/>
          <w:kern w:val="0"/>
          <w:sz w:val="28"/>
          <w:szCs w:val="28"/>
          <w:lang w:val="en-US" w:eastAsia="zh-CN"/>
        </w:rPr>
        <w:t>11</w:t>
      </w:r>
      <w:r>
        <w:rPr>
          <w:rFonts w:hint="eastAsia" w:ascii="宋体" w:hAnsi="宋体" w:eastAsia="宋体" w:cs="宋体"/>
          <w:color w:val="auto"/>
          <w:kern w:val="0"/>
          <w:sz w:val="28"/>
          <w:szCs w:val="28"/>
        </w:rPr>
        <w:t>）；</w:t>
      </w:r>
    </w:p>
    <w:p>
      <w:pPr>
        <w:adjustRightInd w:val="0"/>
        <w:snapToGrid w:val="0"/>
        <w:spacing w:line="500" w:lineRule="exact"/>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1</w:t>
      </w:r>
      <w:r>
        <w:rPr>
          <w:rFonts w:hint="eastAsia" w:ascii="宋体" w:hAnsi="宋体" w:cs="宋体"/>
          <w:color w:val="auto"/>
          <w:kern w:val="0"/>
          <w:sz w:val="28"/>
          <w:szCs w:val="28"/>
          <w:lang w:val="en-US" w:eastAsia="zh-CN"/>
        </w:rPr>
        <w:t>3</w:t>
      </w:r>
      <w:r>
        <w:rPr>
          <w:rFonts w:hint="eastAsia" w:ascii="宋体" w:hAnsi="宋体" w:eastAsia="宋体" w:cs="宋体"/>
          <w:color w:val="auto"/>
          <w:kern w:val="0"/>
          <w:sz w:val="28"/>
          <w:szCs w:val="28"/>
        </w:rPr>
        <w:t>.</w:t>
      </w:r>
      <w:r>
        <w:rPr>
          <w:rFonts w:hint="eastAsia" w:ascii="宋体" w:hAnsi="宋体" w:eastAsia="宋体" w:cs="宋体"/>
          <w:bCs/>
          <w:color w:val="auto"/>
          <w:kern w:val="0"/>
          <w:sz w:val="28"/>
          <w:szCs w:val="28"/>
        </w:rPr>
        <w:t>监狱和戒毒企业证明材料（格式见附件1</w:t>
      </w:r>
      <w:r>
        <w:rPr>
          <w:rFonts w:hint="eastAsia" w:ascii="宋体" w:hAnsi="宋体" w:cs="宋体"/>
          <w:bCs/>
          <w:color w:val="auto"/>
          <w:kern w:val="0"/>
          <w:sz w:val="28"/>
          <w:szCs w:val="28"/>
          <w:lang w:val="en-US" w:eastAsia="zh-CN"/>
        </w:rPr>
        <w:t>2</w:t>
      </w:r>
      <w:r>
        <w:rPr>
          <w:rFonts w:hint="eastAsia" w:ascii="宋体" w:hAnsi="宋体" w:eastAsia="宋体" w:cs="宋体"/>
          <w:bCs/>
          <w:color w:val="auto"/>
          <w:kern w:val="0"/>
          <w:sz w:val="28"/>
          <w:szCs w:val="28"/>
        </w:rPr>
        <w:t>）。</w:t>
      </w:r>
    </w:p>
    <w:p>
      <w:pPr>
        <w:adjustRightInd w:val="0"/>
        <w:snapToGrid w:val="0"/>
        <w:spacing w:line="500" w:lineRule="exact"/>
        <w:ind w:firstLine="560" w:firstLineChars="200"/>
        <w:jc w:val="left"/>
        <w:rPr>
          <w:rFonts w:hint="eastAsia" w:ascii="宋体" w:hAnsi="宋体" w:eastAsia="宋体" w:cs="宋体"/>
          <w:b/>
          <w:color w:val="auto"/>
          <w:sz w:val="28"/>
          <w:szCs w:val="28"/>
        </w:rPr>
      </w:pPr>
    </w:p>
    <w:p>
      <w:pPr>
        <w:rPr>
          <w:rFonts w:hint="eastAsia" w:ascii="宋体" w:hAnsi="宋体" w:eastAsia="宋体" w:cs="宋体"/>
          <w:color w:val="auto"/>
          <w:kern w:val="0"/>
          <w:sz w:val="32"/>
          <w:szCs w:val="32"/>
          <w:lang w:val="zh-CN"/>
        </w:rPr>
      </w:pPr>
      <w:r>
        <w:rPr>
          <w:rFonts w:hint="eastAsia" w:ascii="宋体" w:hAnsi="宋体" w:eastAsia="宋体" w:cs="宋体"/>
          <w:color w:val="auto"/>
          <w:kern w:val="0"/>
          <w:sz w:val="32"/>
          <w:szCs w:val="32"/>
          <w:lang w:val="zh-CN"/>
        </w:rPr>
        <w:br w:type="page"/>
      </w:r>
    </w:p>
    <w:p>
      <w:pPr>
        <w:snapToGrid w:val="0"/>
        <w:spacing w:line="400" w:lineRule="exact"/>
        <w:contextualSpacing/>
        <w:rPr>
          <w:rFonts w:hint="eastAsia" w:ascii="宋体" w:hAnsi="宋体" w:eastAsia="宋体" w:cs="宋体"/>
          <w:color w:val="auto"/>
          <w:kern w:val="0"/>
          <w:sz w:val="32"/>
          <w:szCs w:val="32"/>
          <w:lang w:val="zh-CN"/>
        </w:rPr>
      </w:pPr>
      <w:r>
        <w:rPr>
          <w:rFonts w:hint="eastAsia" w:ascii="宋体" w:hAnsi="宋体" w:eastAsia="宋体" w:cs="宋体"/>
          <w:color w:val="auto"/>
          <w:kern w:val="0"/>
          <w:sz w:val="32"/>
          <w:szCs w:val="32"/>
          <w:lang w:val="zh-CN"/>
        </w:rPr>
        <w:t>附件1</w:t>
      </w:r>
    </w:p>
    <w:p>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投标人符合《政府采购法》第二十二条规定条件的声明函</w:t>
      </w:r>
    </w:p>
    <w:p>
      <w:pPr>
        <w:spacing w:line="460" w:lineRule="exact"/>
        <w:rPr>
          <w:rFonts w:hint="eastAsia" w:ascii="宋体" w:hAnsi="宋体" w:eastAsia="宋体" w:cs="宋体"/>
          <w:b/>
          <w:bCs/>
          <w:color w:val="auto"/>
          <w:sz w:val="44"/>
          <w:szCs w:val="44"/>
        </w:rPr>
      </w:pPr>
      <w:r>
        <w:rPr>
          <w:rFonts w:hint="eastAsia" w:ascii="宋体" w:hAnsi="宋体" w:eastAsia="宋体" w:cs="宋体"/>
          <w:b/>
          <w:bCs/>
          <w:color w:val="auto"/>
          <w:sz w:val="24"/>
          <w:szCs w:val="21"/>
        </w:rPr>
        <w:t xml:space="preserve">                       </w:t>
      </w:r>
      <w:r>
        <w:rPr>
          <w:rFonts w:hint="eastAsia" w:ascii="宋体" w:hAnsi="宋体" w:eastAsia="宋体" w:cs="宋体"/>
          <w:b/>
          <w:bCs/>
          <w:color w:val="auto"/>
          <w:sz w:val="44"/>
          <w:szCs w:val="44"/>
        </w:rPr>
        <w:t xml:space="preserve">   </w:t>
      </w:r>
    </w:p>
    <w:p>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bCs/>
          <w:color w:val="auto"/>
          <w:sz w:val="24"/>
        </w:rPr>
        <w:t>我单位参加</w:t>
      </w:r>
      <w:r>
        <w:rPr>
          <w:rFonts w:hint="eastAsia" w:ascii="宋体" w:hAnsi="宋体" w:eastAsia="宋体" w:cs="宋体"/>
          <w:bCs/>
          <w:color w:val="auto"/>
          <w:sz w:val="24"/>
          <w:szCs w:val="21"/>
          <w:u w:val="single"/>
        </w:rPr>
        <w:t>________________ _</w:t>
      </w:r>
      <w:r>
        <w:rPr>
          <w:rFonts w:hint="eastAsia" w:ascii="宋体" w:hAnsi="宋体" w:eastAsia="宋体" w:cs="宋体"/>
          <w:bCs/>
          <w:color w:val="auto"/>
          <w:sz w:val="24"/>
          <w:szCs w:val="21"/>
        </w:rPr>
        <w:t>（项目名称），</w:t>
      </w:r>
      <w:r>
        <w:rPr>
          <w:rFonts w:hint="eastAsia" w:ascii="宋体" w:hAnsi="宋体" w:eastAsia="宋体" w:cs="宋体"/>
          <w:bCs/>
          <w:color w:val="auto"/>
          <w:sz w:val="24"/>
          <w:szCs w:val="21"/>
          <w:u w:val="single"/>
        </w:rPr>
        <w:t>_______ __________</w:t>
      </w:r>
      <w:r>
        <w:rPr>
          <w:rFonts w:hint="eastAsia" w:ascii="宋体" w:hAnsi="宋体" w:eastAsia="宋体" w:cs="宋体"/>
          <w:bCs/>
          <w:color w:val="auto"/>
          <w:sz w:val="24"/>
          <w:szCs w:val="21"/>
        </w:rPr>
        <w:t>（项目编号）投标活动。针对《中华人民共和国政府采购法》第二十二条规定做出如下声明：</w:t>
      </w:r>
    </w:p>
    <w:p>
      <w:pPr>
        <w:spacing w:line="520" w:lineRule="exact"/>
        <w:ind w:firstLine="482"/>
        <w:rPr>
          <w:rFonts w:hint="eastAsia" w:ascii="宋体" w:hAnsi="宋体" w:eastAsia="宋体" w:cs="宋体"/>
          <w:color w:val="auto"/>
          <w:sz w:val="24"/>
        </w:rPr>
      </w:pPr>
      <w:r>
        <w:rPr>
          <w:rFonts w:hint="eastAsia" w:ascii="宋体" w:hAnsi="宋体" w:eastAsia="宋体" w:cs="宋体"/>
          <w:bCs/>
          <w:color w:val="auto"/>
          <w:sz w:val="24"/>
          <w:szCs w:val="21"/>
        </w:rPr>
        <w:t>1.我单位具有独立承担民事责任的能力；</w:t>
      </w:r>
    </w:p>
    <w:p>
      <w:pPr>
        <w:spacing w:line="520" w:lineRule="exact"/>
        <w:ind w:firstLine="482"/>
        <w:rPr>
          <w:rFonts w:hint="eastAsia" w:ascii="宋体" w:hAnsi="宋体" w:eastAsia="宋体" w:cs="宋体"/>
          <w:color w:val="auto"/>
          <w:sz w:val="24"/>
        </w:rPr>
      </w:pPr>
      <w:r>
        <w:rPr>
          <w:rFonts w:hint="eastAsia" w:ascii="宋体" w:hAnsi="宋体" w:eastAsia="宋体" w:cs="宋体"/>
          <w:color w:val="auto"/>
          <w:sz w:val="24"/>
        </w:rPr>
        <w:t>2.我单位具有良好的商业信誉和健全的财务会计制度；</w:t>
      </w:r>
    </w:p>
    <w:p>
      <w:pPr>
        <w:spacing w:line="520" w:lineRule="exact"/>
        <w:ind w:firstLine="482"/>
        <w:rPr>
          <w:rFonts w:hint="eastAsia" w:ascii="宋体" w:hAnsi="宋体" w:eastAsia="宋体" w:cs="宋体"/>
          <w:color w:val="auto"/>
          <w:sz w:val="24"/>
        </w:rPr>
      </w:pPr>
      <w:r>
        <w:rPr>
          <w:rFonts w:hint="eastAsia" w:ascii="宋体" w:hAnsi="宋体" w:eastAsia="宋体" w:cs="宋体"/>
          <w:color w:val="auto"/>
          <w:sz w:val="24"/>
        </w:rPr>
        <w:t>3.我单位具有履行合同所必需的设备和专业技术能力；</w:t>
      </w:r>
    </w:p>
    <w:p>
      <w:pPr>
        <w:spacing w:line="520" w:lineRule="exact"/>
        <w:ind w:firstLine="482"/>
        <w:rPr>
          <w:rFonts w:hint="eastAsia" w:ascii="宋体" w:hAnsi="宋体" w:eastAsia="宋体" w:cs="宋体"/>
          <w:color w:val="auto"/>
          <w:sz w:val="24"/>
        </w:rPr>
      </w:pPr>
      <w:r>
        <w:rPr>
          <w:rFonts w:hint="eastAsia" w:ascii="宋体" w:hAnsi="宋体" w:eastAsia="宋体" w:cs="宋体"/>
          <w:color w:val="auto"/>
          <w:sz w:val="24"/>
        </w:rPr>
        <w:t>4.我单位有依法缴纳税收和社会保障资金的良好记录；</w:t>
      </w:r>
    </w:p>
    <w:p>
      <w:pPr>
        <w:spacing w:line="520" w:lineRule="exact"/>
        <w:ind w:firstLine="482"/>
        <w:rPr>
          <w:rFonts w:hint="eastAsia" w:ascii="宋体" w:hAnsi="宋体" w:eastAsia="宋体" w:cs="宋体"/>
          <w:color w:val="auto"/>
          <w:sz w:val="24"/>
        </w:rPr>
      </w:pPr>
      <w:r>
        <w:rPr>
          <w:rFonts w:hint="eastAsia" w:ascii="宋体" w:hAnsi="宋体" w:eastAsia="宋体" w:cs="宋体"/>
          <w:color w:val="auto"/>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宋体" w:hAnsi="宋体" w:eastAsia="宋体" w:cs="宋体"/>
          <w:color w:val="auto"/>
          <w:sz w:val="24"/>
        </w:rPr>
      </w:pPr>
      <w:r>
        <w:rPr>
          <w:rFonts w:hint="eastAsia" w:ascii="宋体" w:hAnsi="宋体" w:eastAsia="宋体" w:cs="宋体"/>
          <w:color w:val="auto"/>
          <w:sz w:val="24"/>
        </w:rPr>
        <w:t>6.我单位满足法律、行政法规规定的其他条件。</w:t>
      </w:r>
    </w:p>
    <w:p>
      <w:pPr>
        <w:spacing w:line="500" w:lineRule="exact"/>
        <w:ind w:firstLine="482"/>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spacing w:line="500" w:lineRule="exact"/>
        <w:rPr>
          <w:rFonts w:hint="eastAsia" w:ascii="宋体" w:hAnsi="宋体" w:eastAsia="宋体" w:cs="宋体"/>
          <w:bCs/>
          <w:color w:val="auto"/>
          <w:sz w:val="24"/>
          <w:szCs w:val="21"/>
        </w:rPr>
      </w:pPr>
    </w:p>
    <w:p>
      <w:pPr>
        <w:spacing w:line="500" w:lineRule="exact"/>
        <w:rPr>
          <w:rFonts w:hint="eastAsia" w:ascii="宋体" w:hAnsi="宋体" w:eastAsia="宋体" w:cs="宋体"/>
          <w:bCs/>
          <w:color w:val="auto"/>
          <w:sz w:val="24"/>
          <w:szCs w:val="21"/>
        </w:rPr>
      </w:pPr>
    </w:p>
    <w:p>
      <w:pPr>
        <w:spacing w:line="500" w:lineRule="exact"/>
        <w:rPr>
          <w:rFonts w:hint="eastAsia" w:ascii="宋体" w:hAnsi="宋体" w:eastAsia="宋体" w:cs="宋体"/>
          <w:bCs/>
          <w:color w:val="auto"/>
          <w:sz w:val="24"/>
          <w:szCs w:val="21"/>
        </w:rPr>
      </w:pPr>
    </w:p>
    <w:p>
      <w:pPr>
        <w:spacing w:line="460" w:lineRule="exact"/>
        <w:jc w:val="center"/>
        <w:rPr>
          <w:rFonts w:hint="eastAsia" w:ascii="宋体" w:hAnsi="宋体" w:eastAsia="宋体" w:cs="宋体"/>
          <w:bCs/>
          <w:color w:val="auto"/>
          <w:sz w:val="24"/>
          <w:szCs w:val="21"/>
        </w:rPr>
      </w:pPr>
      <w:r>
        <w:rPr>
          <w:rFonts w:hint="eastAsia" w:ascii="宋体" w:hAnsi="宋体" w:eastAsia="宋体" w:cs="宋体"/>
          <w:bCs/>
          <w:color w:val="auto"/>
          <w:sz w:val="24"/>
          <w:szCs w:val="21"/>
        </w:rPr>
        <w:t xml:space="preserve">                                             承诺人名称（公章）：</w:t>
      </w:r>
    </w:p>
    <w:p>
      <w:pPr>
        <w:spacing w:line="460" w:lineRule="exact"/>
        <w:jc w:val="right"/>
        <w:rPr>
          <w:rFonts w:hint="eastAsia" w:ascii="宋体" w:hAnsi="宋体" w:eastAsia="宋体" w:cs="宋体"/>
          <w:bCs/>
          <w:color w:val="auto"/>
          <w:sz w:val="24"/>
          <w:szCs w:val="21"/>
        </w:rPr>
      </w:pPr>
      <w:r>
        <w:rPr>
          <w:rFonts w:hint="eastAsia" w:ascii="宋体" w:hAnsi="宋体" w:eastAsia="宋体" w:cs="宋体"/>
          <w:bCs/>
          <w:color w:val="auto"/>
          <w:sz w:val="24"/>
          <w:szCs w:val="21"/>
        </w:rPr>
        <w:t xml:space="preserve">    </w:t>
      </w:r>
    </w:p>
    <w:p>
      <w:pPr>
        <w:spacing w:line="460" w:lineRule="exact"/>
        <w:jc w:val="right"/>
        <w:rPr>
          <w:rFonts w:hint="eastAsia" w:ascii="宋体" w:hAnsi="宋体" w:eastAsia="宋体" w:cs="宋体"/>
          <w:bCs/>
          <w:color w:val="auto"/>
          <w:sz w:val="24"/>
          <w:szCs w:val="21"/>
        </w:rPr>
      </w:pPr>
      <w:r>
        <w:rPr>
          <w:rFonts w:hint="eastAsia" w:ascii="宋体" w:hAnsi="宋体" w:eastAsia="宋体" w:cs="宋体"/>
          <w:bCs/>
          <w:color w:val="auto"/>
          <w:sz w:val="24"/>
          <w:szCs w:val="21"/>
        </w:rPr>
        <w:t xml:space="preserve">                                 日期：</w:t>
      </w:r>
      <w:r>
        <w:rPr>
          <w:rFonts w:hint="eastAsia" w:ascii="宋体" w:hAnsi="宋体" w:eastAsia="宋体" w:cs="宋体"/>
          <w:bCs/>
          <w:color w:val="auto"/>
          <w:sz w:val="24"/>
          <w:szCs w:val="21"/>
          <w:u w:val="single"/>
        </w:rPr>
        <w:t>______</w:t>
      </w:r>
      <w:r>
        <w:rPr>
          <w:rFonts w:hint="eastAsia" w:ascii="宋体" w:hAnsi="宋体" w:eastAsia="宋体" w:cs="宋体"/>
          <w:bCs/>
          <w:color w:val="auto"/>
          <w:sz w:val="24"/>
          <w:szCs w:val="21"/>
        </w:rPr>
        <w:t>年</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月</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日</w:t>
      </w:r>
    </w:p>
    <w:p>
      <w:pPr>
        <w:spacing w:line="360" w:lineRule="auto"/>
        <w:rPr>
          <w:rFonts w:hint="eastAsia" w:ascii="宋体" w:hAnsi="宋体" w:eastAsia="宋体" w:cs="宋体"/>
          <w:bCs/>
          <w:color w:val="auto"/>
          <w:sz w:val="24"/>
          <w:szCs w:val="21"/>
        </w:rPr>
      </w:pPr>
      <w:r>
        <w:rPr>
          <w:rFonts w:hint="eastAsia" w:ascii="宋体" w:hAnsi="宋体" w:eastAsia="宋体" w:cs="宋体"/>
          <w:bCs/>
          <w:color w:val="auto"/>
          <w:sz w:val="24"/>
          <w:szCs w:val="21"/>
        </w:rPr>
        <w:br w:type="page"/>
      </w:r>
    </w:p>
    <w:p>
      <w:pPr>
        <w:jc w:val="left"/>
        <w:rPr>
          <w:rFonts w:hint="eastAsia" w:ascii="宋体" w:hAnsi="宋体" w:eastAsia="宋体" w:cs="宋体"/>
          <w:bCs/>
          <w:color w:val="auto"/>
          <w:sz w:val="32"/>
          <w:szCs w:val="32"/>
        </w:rPr>
      </w:pPr>
      <w:r>
        <w:rPr>
          <w:rFonts w:hint="eastAsia" w:ascii="宋体" w:hAnsi="宋体" w:eastAsia="宋体" w:cs="宋体"/>
          <w:bCs/>
          <w:color w:val="auto"/>
          <w:sz w:val="32"/>
          <w:szCs w:val="32"/>
        </w:rPr>
        <w:t>附件2</w:t>
      </w:r>
    </w:p>
    <w:p>
      <w:pPr>
        <w:spacing w:line="5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法定代表人身份证明</w:t>
      </w:r>
    </w:p>
    <w:p>
      <w:pPr>
        <w:spacing w:line="480" w:lineRule="exact"/>
        <w:rPr>
          <w:rFonts w:hint="eastAsia" w:ascii="宋体" w:hAnsi="宋体" w:eastAsia="宋体" w:cs="宋体"/>
          <w:color w:val="auto"/>
          <w:sz w:val="24"/>
        </w:rPr>
      </w:pPr>
    </w:p>
    <w:p>
      <w:pPr>
        <w:spacing w:line="480" w:lineRule="exact"/>
        <w:ind w:firstLine="48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先生/女士，身份证号码：</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现任我单位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职务，为法定代表人，特此证明。</w:t>
      </w:r>
    </w:p>
    <w:p>
      <w:pPr>
        <w:spacing w:line="480" w:lineRule="exact"/>
        <w:ind w:firstLine="480"/>
        <w:rPr>
          <w:rFonts w:hint="eastAsia" w:ascii="宋体" w:hAnsi="宋体" w:eastAsia="宋体" w:cs="宋体"/>
          <w:color w:val="auto"/>
          <w:sz w:val="24"/>
        </w:rPr>
      </w:pPr>
    </w:p>
    <w:p>
      <w:pPr>
        <w:spacing w:after="120"/>
        <w:rPr>
          <w:rFonts w:hint="eastAsia" w:ascii="宋体" w:hAnsi="宋体" w:eastAsia="宋体" w:cs="宋体"/>
          <w:color w:val="auto"/>
          <w:szCs w:val="20"/>
        </w:rPr>
      </w:pPr>
    </w:p>
    <w:p>
      <w:pPr>
        <w:adjustRightInd w:val="0"/>
        <w:spacing w:line="480" w:lineRule="auto"/>
        <w:ind w:left="3255" w:leftChars="1550" w:firstLine="210" w:firstLineChars="100"/>
        <w:rPr>
          <w:rFonts w:hint="eastAsia" w:ascii="宋体" w:hAnsi="宋体" w:eastAsia="宋体" w:cs="宋体"/>
          <w:color w:val="auto"/>
          <w:sz w:val="24"/>
        </w:rPr>
      </w:pPr>
      <w:r>
        <w:rPr>
          <w:rFonts w:hint="eastAsia" w:ascii="宋体" w:hAnsi="宋体" w:eastAsia="宋体" w:cs="宋体"/>
          <w:color w:val="auto"/>
        </w:rPr>
        <w:t xml:space="preserve">                                                 </w:t>
      </w:r>
      <w:r>
        <w:rPr>
          <w:rFonts w:hint="eastAsia" w:ascii="宋体" w:hAnsi="宋体" w:eastAsia="宋体" w:cs="宋体"/>
          <w:color w:val="auto"/>
          <w:sz w:val="24"/>
        </w:rPr>
        <w:t>单位名称(盖公章)：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adjustRightInd w:val="0"/>
        <w:spacing w:line="48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 期：     年   月   日</w:t>
      </w:r>
    </w:p>
    <w:p>
      <w:pPr>
        <w:rPr>
          <w:rFonts w:hint="eastAsia" w:ascii="宋体" w:hAnsi="宋体" w:eastAsia="宋体" w:cs="宋体"/>
          <w:color w:val="auto"/>
        </w:rPr>
      </w:pPr>
    </w:p>
    <w:p>
      <w:pPr>
        <w:widowControl/>
        <w:spacing w:line="360" w:lineRule="auto"/>
        <w:rPr>
          <w:rFonts w:hint="eastAsia" w:ascii="宋体" w:hAnsi="宋体" w:eastAsia="宋体" w:cs="宋体"/>
          <w:b/>
          <w:bCs/>
          <w:color w:val="auto"/>
          <w:kern w:val="0"/>
          <w:sz w:val="28"/>
          <w:szCs w:val="28"/>
        </w:rPr>
      </w:pPr>
      <w:r>
        <w:rPr>
          <w:rFonts w:hint="eastAsia" w:ascii="宋体" w:hAnsi="宋体" w:eastAsia="宋体" w:cs="宋体"/>
          <w:b/>
          <w:color w:val="auto"/>
          <w:sz w:val="24"/>
        </w:rPr>
        <w:t>附：法定代表人的身份证复印件盖单位公章</w:t>
      </w:r>
    </w:p>
    <w:p>
      <w:pPr>
        <w:adjustRightInd w:val="0"/>
        <w:snapToGrid w:val="0"/>
        <w:spacing w:line="312" w:lineRule="auto"/>
        <w:ind w:firstLine="560" w:firstLineChars="200"/>
        <w:jc w:val="left"/>
        <w:rPr>
          <w:rFonts w:hint="eastAsia" w:ascii="宋体" w:hAnsi="宋体" w:eastAsia="宋体" w:cs="宋体"/>
          <w:b/>
          <w:color w:val="auto"/>
          <w:sz w:val="28"/>
          <w:szCs w:val="28"/>
        </w:rPr>
      </w:pPr>
    </w:p>
    <w:p>
      <w:pPr>
        <w:adjustRightInd w:val="0"/>
        <w:snapToGrid w:val="0"/>
        <w:spacing w:line="312" w:lineRule="auto"/>
        <w:jc w:val="left"/>
        <w:rPr>
          <w:rFonts w:hint="eastAsia" w:ascii="宋体" w:hAnsi="宋体" w:eastAsia="宋体" w:cs="宋体"/>
          <w:color w:val="auto"/>
          <w:sz w:val="32"/>
          <w:szCs w:val="32"/>
        </w:rPr>
      </w:pPr>
      <w:r>
        <w:rPr>
          <w:rFonts w:hint="eastAsia" w:ascii="宋体" w:hAnsi="宋体" w:eastAsia="宋体" w:cs="宋体"/>
          <w:b/>
          <w:bCs/>
          <w:color w:val="auto"/>
          <w:sz w:val="28"/>
          <w:szCs w:val="28"/>
        </w:rPr>
        <w:br w:type="page"/>
      </w:r>
      <w:r>
        <w:rPr>
          <w:rFonts w:hint="eastAsia" w:ascii="宋体" w:hAnsi="宋体" w:eastAsia="宋体" w:cs="宋体"/>
          <w:color w:val="auto"/>
          <w:sz w:val="32"/>
          <w:szCs w:val="32"/>
        </w:rPr>
        <w:t>附件3</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法定代表人授权委托书</w:t>
      </w:r>
    </w:p>
    <w:p>
      <w:pPr>
        <w:rPr>
          <w:rFonts w:hint="eastAsia" w:ascii="宋体" w:hAnsi="宋体" w:eastAsia="宋体" w:cs="宋体"/>
          <w:color w:val="auto"/>
          <w:sz w:val="32"/>
          <w:szCs w:val="32"/>
        </w:rPr>
      </w:pP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本人------（姓名）系————（授权单位名称）的法定代表人，现委托-------（姓名）（身份证号——————）为我方代理人，以我方名义全权处理与</w:t>
      </w:r>
      <w:r>
        <w:rPr>
          <w:rFonts w:hint="eastAsia" w:ascii="宋体" w:hAnsi="宋体" w:eastAsia="宋体" w:cs="宋体"/>
          <w:color w:val="auto"/>
          <w:sz w:val="24"/>
          <w:u w:val="single"/>
        </w:rPr>
        <w:t>********************</w:t>
      </w:r>
      <w:r>
        <w:rPr>
          <w:rFonts w:hint="eastAsia" w:ascii="宋体" w:hAnsi="宋体" w:eastAsia="宋体" w:cs="宋体"/>
          <w:color w:val="auto"/>
          <w:sz w:val="28"/>
          <w:szCs w:val="28"/>
        </w:rPr>
        <w:t>采购项目（项目编号：----------）有关的一切事务，其法律后果由我方承担。</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本授权书于---年---月---日起生效。代理人无转委托权。</w:t>
      </w:r>
    </w:p>
    <w:p>
      <w:pPr>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代理人(被授权人):------</w:t>
      </w:r>
    </w:p>
    <w:p>
      <w:pPr>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授权单位名称（盖章）：-----</w:t>
      </w:r>
    </w:p>
    <w:p>
      <w:pPr>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授权单位法定代表人（签字或盖章）：-----</w:t>
      </w:r>
    </w:p>
    <w:p>
      <w:pPr>
        <w:jc w:val="right"/>
        <w:rPr>
          <w:rFonts w:hint="eastAsia" w:ascii="宋体" w:hAnsi="宋体" w:eastAsia="宋体" w:cs="宋体"/>
          <w:color w:val="auto"/>
          <w:sz w:val="28"/>
          <w:szCs w:val="28"/>
        </w:rPr>
      </w:pPr>
    </w:p>
    <w:p>
      <w:pPr>
        <w:jc w:val="right"/>
        <w:rPr>
          <w:rFonts w:hint="eastAsia" w:ascii="宋体" w:hAnsi="宋体" w:eastAsia="宋体" w:cs="宋体"/>
          <w:color w:val="auto"/>
          <w:sz w:val="28"/>
          <w:szCs w:val="28"/>
        </w:rPr>
      </w:pPr>
      <w:r>
        <w:rPr>
          <w:rFonts w:hint="eastAsia" w:ascii="宋体" w:hAnsi="宋体" w:eastAsia="宋体" w:cs="宋体"/>
          <w:color w:val="auto"/>
          <w:sz w:val="28"/>
          <w:szCs w:val="28"/>
        </w:rPr>
        <w:t>XXXX年XX月XX日</w:t>
      </w:r>
    </w:p>
    <w:p>
      <w:pPr>
        <w:snapToGrid w:val="0"/>
        <w:spacing w:line="400" w:lineRule="exact"/>
        <w:ind w:firstLine="537" w:firstLineChars="192"/>
        <w:contextualSpacing/>
        <w:rPr>
          <w:rFonts w:hint="eastAsia" w:ascii="宋体" w:hAnsi="宋体" w:eastAsia="宋体" w:cs="宋体"/>
          <w:b/>
          <w:color w:val="auto"/>
          <w:kern w:val="0"/>
          <w:sz w:val="28"/>
          <w:szCs w:val="28"/>
        </w:rPr>
      </w:pPr>
    </w:p>
    <w:p>
      <w:pPr>
        <w:adjustRightInd w:val="0"/>
        <w:snapToGrid w:val="0"/>
        <w:spacing w:line="312" w:lineRule="auto"/>
        <w:ind w:firstLine="560" w:firstLineChars="200"/>
        <w:jc w:val="left"/>
        <w:rPr>
          <w:rFonts w:hint="eastAsia" w:ascii="宋体" w:hAnsi="宋体" w:eastAsia="宋体" w:cs="宋体"/>
          <w:b/>
          <w:color w:val="auto"/>
          <w:sz w:val="24"/>
        </w:rPr>
      </w:pPr>
      <w:r>
        <w:rPr>
          <w:rFonts w:hint="eastAsia" w:ascii="宋体" w:hAnsi="宋体" w:eastAsia="宋体" w:cs="宋体"/>
          <w:b/>
          <w:color w:val="auto"/>
          <w:kern w:val="0"/>
          <w:sz w:val="28"/>
          <w:szCs w:val="28"/>
        </w:rPr>
        <w:t>附：代理人(被授权人)身份证复印件盖公章</w:t>
      </w:r>
      <w:r>
        <w:rPr>
          <w:rFonts w:hint="eastAsia" w:ascii="宋体" w:hAnsi="宋体" w:eastAsia="宋体" w:cs="宋体"/>
          <w:bCs/>
          <w:color w:val="auto"/>
          <w:sz w:val="28"/>
          <w:szCs w:val="28"/>
        </w:rPr>
        <w:br w:type="page"/>
      </w:r>
    </w:p>
    <w:p>
      <w:pPr>
        <w:spacing w:line="312" w:lineRule="auto"/>
        <w:rPr>
          <w:rFonts w:hint="eastAsia" w:ascii="宋体" w:hAnsi="宋体" w:eastAsia="宋体" w:cs="宋体"/>
          <w:color w:val="auto"/>
          <w:sz w:val="32"/>
          <w:szCs w:val="32"/>
        </w:rPr>
      </w:pPr>
      <w:r>
        <w:rPr>
          <w:rFonts w:hint="eastAsia" w:ascii="宋体" w:hAnsi="宋体" w:eastAsia="宋体" w:cs="宋体"/>
          <w:color w:val="auto"/>
          <w:sz w:val="32"/>
          <w:szCs w:val="32"/>
        </w:rPr>
        <w:t>附件4</w:t>
      </w:r>
    </w:p>
    <w:p>
      <w:pPr>
        <w:spacing w:before="240" w:line="312" w:lineRule="auto"/>
        <w:jc w:val="center"/>
        <w:rPr>
          <w:rFonts w:hint="eastAsia" w:ascii="宋体" w:hAnsi="宋体" w:eastAsia="宋体" w:cs="宋体"/>
          <w:b/>
          <w:color w:val="auto"/>
          <w:sz w:val="32"/>
          <w:szCs w:val="32"/>
          <w:lang w:bidi="ar"/>
        </w:rPr>
      </w:pPr>
      <w:r>
        <w:rPr>
          <w:rFonts w:hint="eastAsia" w:ascii="宋体" w:hAnsi="宋体" w:eastAsia="宋体" w:cs="宋体"/>
          <w:b/>
          <w:color w:val="auto"/>
          <w:sz w:val="32"/>
          <w:szCs w:val="32"/>
          <w:lang w:bidi="ar"/>
        </w:rPr>
        <w:t>供应商信用承诺书</w:t>
      </w:r>
    </w:p>
    <w:p>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为营造公开、公平、公正的公共资源交易环境，树立诚信守法的投标人形象，本人代表本单位作出以下承诺：</w:t>
      </w:r>
    </w:p>
    <w:p>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二、严格依照国家和省、市、县关于招标投标等方面的法律、法规、规章、规范性文件，参加公共资源交易招标投标活动；积极履行社会责任，促进廉政建设；</w:t>
      </w:r>
    </w:p>
    <w:p>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三、严格遵守即时信息公示规定，及时更新公共资源交易中心主体信息库中信息；</w:t>
      </w:r>
    </w:p>
    <w:p>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四、自我约束、自我管理，守合同、重信用，不参与围标串标、弄虚作假、骗取中标、干扰评标、违约毁约、恶意投诉等行为，主动维护公共资源交易招标投标的良好秩序；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六、自觉接受政府部门、行业组织、社会公众、新闻舆论等监督；</w:t>
      </w:r>
    </w:p>
    <w:p>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七、上述承诺已向本单位员工作了宣传教育；</w:t>
      </w:r>
    </w:p>
    <w:p>
      <w:pPr>
        <w:spacing w:line="360" w:lineRule="auto"/>
        <w:ind w:firstLine="480"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bidi="ar"/>
        </w:rPr>
        <w:t>如有违反上述承诺的不良行为，本单位同意将其予以上网公示。</w:t>
      </w:r>
    </w:p>
    <w:p>
      <w:pPr>
        <w:spacing w:line="360" w:lineRule="auto"/>
        <w:rPr>
          <w:rFonts w:hint="eastAsia" w:ascii="宋体" w:hAnsi="宋体" w:eastAsia="宋体" w:cs="宋体"/>
          <w:color w:val="auto"/>
          <w:kern w:val="0"/>
          <w:sz w:val="24"/>
          <w:lang w:val="zh-CN"/>
        </w:rPr>
      </w:pPr>
    </w:p>
    <w:p>
      <w:pPr>
        <w:spacing w:line="360" w:lineRule="auto"/>
        <w:ind w:firstLine="4560" w:firstLineChars="1900"/>
        <w:rPr>
          <w:rFonts w:hint="eastAsia" w:ascii="宋体" w:hAnsi="宋体" w:eastAsia="宋体" w:cs="宋体"/>
          <w:color w:val="auto"/>
          <w:kern w:val="0"/>
          <w:sz w:val="24"/>
          <w:lang w:val="zh-CN"/>
        </w:rPr>
      </w:pPr>
    </w:p>
    <w:p>
      <w:pPr>
        <w:spacing w:line="360" w:lineRule="auto"/>
        <w:ind w:firstLine="3080" w:firstLineChars="1100"/>
        <w:rPr>
          <w:rFonts w:hint="eastAsia" w:ascii="宋体" w:hAnsi="宋体" w:eastAsia="宋体" w:cs="宋体"/>
          <w:color w:val="auto"/>
          <w:kern w:val="0"/>
          <w:sz w:val="28"/>
          <w:szCs w:val="28"/>
          <w:u w:val="single"/>
          <w:lang w:val="zh-CN"/>
        </w:rPr>
      </w:pPr>
      <w:r>
        <w:rPr>
          <w:rFonts w:hint="eastAsia" w:ascii="宋体" w:hAnsi="宋体" w:eastAsia="宋体" w:cs="宋体"/>
          <w:color w:val="auto"/>
          <w:kern w:val="0"/>
          <w:sz w:val="28"/>
          <w:szCs w:val="28"/>
          <w:lang w:val="zh-CN" w:bidi="ar"/>
        </w:rPr>
        <w:t>投标供应商全称(盖公章)：</w:t>
      </w:r>
    </w:p>
    <w:p>
      <w:pPr>
        <w:spacing w:line="360" w:lineRule="auto"/>
        <w:ind w:firstLine="3080" w:firstLineChars="1100"/>
        <w:rPr>
          <w:rFonts w:hint="eastAsia" w:ascii="宋体" w:hAnsi="宋体" w:eastAsia="宋体" w:cs="宋体"/>
          <w:color w:val="auto"/>
          <w:sz w:val="28"/>
          <w:szCs w:val="28"/>
          <w:u w:val="single"/>
          <w:lang w:val="zh-CN"/>
        </w:rPr>
      </w:pPr>
      <w:r>
        <w:rPr>
          <w:rFonts w:hint="eastAsia" w:ascii="宋体" w:hAnsi="宋体" w:eastAsia="宋体" w:cs="宋体"/>
          <w:color w:val="auto"/>
          <w:kern w:val="0"/>
          <w:sz w:val="28"/>
          <w:szCs w:val="28"/>
          <w:lang w:val="zh-CN" w:bidi="ar"/>
        </w:rPr>
        <w:t>法定代表人（签字或盖章）：</w:t>
      </w:r>
    </w:p>
    <w:p>
      <w:pPr>
        <w:spacing w:line="360" w:lineRule="auto"/>
        <w:ind w:firstLine="3080" w:firstLineChars="1100"/>
        <w:rPr>
          <w:rFonts w:hint="eastAsia" w:ascii="宋体" w:hAnsi="宋体" w:eastAsia="宋体" w:cs="宋体"/>
          <w:color w:val="auto"/>
          <w:kern w:val="0"/>
          <w:sz w:val="28"/>
          <w:szCs w:val="28"/>
          <w:lang w:val="zh-CN" w:bidi="ar"/>
        </w:rPr>
      </w:pPr>
      <w:r>
        <w:rPr>
          <w:rFonts w:hint="eastAsia" w:ascii="宋体" w:hAnsi="宋体" w:eastAsia="宋体" w:cs="宋体"/>
          <w:color w:val="auto"/>
          <w:kern w:val="0"/>
          <w:sz w:val="28"/>
          <w:szCs w:val="28"/>
          <w:lang w:val="zh-CN" w:bidi="ar"/>
        </w:rPr>
        <w:t>时间：  年  月   日</w:t>
      </w: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rPr>
          <w:rFonts w:hint="eastAsia" w:ascii="宋体" w:hAnsi="宋体" w:eastAsia="宋体" w:cs="宋体"/>
          <w:color w:val="auto"/>
          <w:sz w:val="32"/>
          <w:szCs w:val="32"/>
        </w:rPr>
      </w:pPr>
      <w:r>
        <w:rPr>
          <w:rFonts w:hint="eastAsia" w:ascii="宋体" w:hAnsi="宋体" w:eastAsia="宋体" w:cs="宋体"/>
          <w:color w:val="auto"/>
          <w:sz w:val="32"/>
          <w:szCs w:val="32"/>
        </w:rPr>
        <w:t>附件5</w:t>
      </w:r>
    </w:p>
    <w:p>
      <w:pPr>
        <w:pageBreakBefore w:val="0"/>
        <w:kinsoku/>
        <w:wordWrap/>
        <w:overflowPunct/>
        <w:topLinePunct w:val="0"/>
        <w:autoSpaceDE/>
        <w:autoSpaceDN/>
        <w:bidi w:val="0"/>
        <w:spacing w:beforeAutospacing="0" w:afterAutospacing="0" w:line="560" w:lineRule="exact"/>
        <w:jc w:val="center"/>
        <w:textAlignment w:val="auto"/>
        <w:rPr>
          <w:rFonts w:hint="eastAsia" w:ascii="宋体" w:hAnsi="宋体" w:cs="宋体"/>
          <w:color w:val="auto"/>
          <w:sz w:val="28"/>
          <w:szCs w:val="28"/>
        </w:rPr>
      </w:pPr>
      <w:r>
        <w:rPr>
          <w:rFonts w:hint="eastAsia" w:ascii="宋体" w:hAnsi="宋体" w:cs="宋体"/>
          <w:b/>
          <w:color w:val="auto"/>
          <w:sz w:val="28"/>
          <w:szCs w:val="28"/>
        </w:rPr>
        <w:t>质 保 承 诺 书</w:t>
      </w:r>
    </w:p>
    <w:p>
      <w:pPr>
        <w:pageBreakBefore w:val="0"/>
        <w:kinsoku/>
        <w:wordWrap/>
        <w:overflowPunct/>
        <w:topLinePunct w:val="0"/>
        <w:autoSpaceDE/>
        <w:autoSpaceDN/>
        <w:bidi w:val="0"/>
        <w:spacing w:beforeAutospacing="0" w:afterAutospacing="0" w:line="560" w:lineRule="exact"/>
        <w:textAlignment w:val="auto"/>
        <w:rPr>
          <w:rFonts w:hint="eastAsia" w:ascii="宋体" w:hAnsi="宋体" w:cs="宋体"/>
          <w:color w:val="auto"/>
          <w:sz w:val="28"/>
          <w:szCs w:val="28"/>
        </w:rPr>
      </w:pPr>
      <w:r>
        <w:rPr>
          <w:rFonts w:hint="eastAsia" w:ascii="宋体" w:hAnsi="宋体" w:cs="宋体"/>
          <w:color w:val="auto"/>
          <w:sz w:val="28"/>
          <w:szCs w:val="28"/>
          <w:lang w:eastAsia="zh-CN"/>
        </w:rPr>
        <w:t>江苏启东吕四港经济开发区管理委员会</w:t>
      </w:r>
      <w:r>
        <w:rPr>
          <w:rFonts w:hint="eastAsia" w:ascii="宋体" w:hAnsi="宋体" w:cs="宋体"/>
          <w:color w:val="auto"/>
          <w:sz w:val="28"/>
          <w:szCs w:val="28"/>
        </w:rPr>
        <w:t>：</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u w:val="single"/>
        </w:rPr>
        <w:t>（报价供应商全称）</w:t>
      </w:r>
      <w:r>
        <w:rPr>
          <w:rFonts w:hint="eastAsia" w:ascii="宋体" w:hAnsi="宋体" w:cs="宋体"/>
          <w:color w:val="auto"/>
          <w:sz w:val="28"/>
          <w:szCs w:val="28"/>
        </w:rPr>
        <w:t>授权</w:t>
      </w:r>
      <w:r>
        <w:rPr>
          <w:rFonts w:hint="eastAsia" w:ascii="宋体" w:hAnsi="宋体" w:cs="宋体"/>
          <w:color w:val="auto"/>
          <w:sz w:val="28"/>
          <w:szCs w:val="28"/>
          <w:u w:val="single"/>
        </w:rPr>
        <w:t>（姓  名）（职  务）</w:t>
      </w:r>
      <w:r>
        <w:rPr>
          <w:rFonts w:hint="eastAsia" w:ascii="宋体" w:hAnsi="宋体" w:cs="宋体"/>
          <w:color w:val="auto"/>
          <w:sz w:val="28"/>
          <w:szCs w:val="28"/>
        </w:rPr>
        <w:t>为全权代表，参加</w:t>
      </w:r>
      <w:r>
        <w:rPr>
          <w:rFonts w:hint="eastAsia" w:ascii="宋体" w:hAnsi="宋体" w:cs="宋体"/>
          <w:b/>
          <w:bCs/>
          <w:color w:val="auto"/>
          <w:sz w:val="28"/>
          <w:szCs w:val="28"/>
          <w:u w:val="single"/>
          <w:lang w:eastAsia="zh-CN"/>
        </w:rPr>
        <w:t>启东吕四港环抱式港池东港区高空视频监控采购项目</w:t>
      </w:r>
      <w:r>
        <w:rPr>
          <w:rFonts w:hint="eastAsia" w:ascii="宋体" w:hAnsi="宋体" w:cs="宋体"/>
          <w:color w:val="auto"/>
          <w:sz w:val="28"/>
          <w:szCs w:val="28"/>
        </w:rPr>
        <w:t>询价的有关活动，并宣布同意如下：</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1.我方承诺</w:t>
      </w:r>
      <w:r>
        <w:rPr>
          <w:rFonts w:hint="eastAsia" w:ascii="宋体" w:hAnsi="宋体" w:eastAsia="宋体" w:cs="宋体"/>
          <w:color w:val="auto"/>
          <w:sz w:val="28"/>
          <w:szCs w:val="28"/>
          <w:lang w:val="en-US" w:eastAsia="zh-CN"/>
        </w:rPr>
        <w:t>本项目所有货物必须提供三年上门服务及全免费质保等售后服务。（原厂质保期高于供应商承诺质保期的，按原厂质保期计算。自验收合格报告签字确认日起，开始进入质保期）</w:t>
      </w:r>
      <w:r>
        <w:rPr>
          <w:rFonts w:hint="eastAsia" w:ascii="宋体" w:hAnsi="宋体" w:eastAsia="宋体" w:cs="宋体"/>
          <w:color w:val="auto"/>
          <w:sz w:val="28"/>
          <w:szCs w:val="28"/>
        </w:rPr>
        <w:t>。</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在质保期内，同一商品、同一质量问题连续两次维修仍无法正常使用，我方无条件给予全套更新或退货。在免费质保期内，我方在接到用户单位电话通知后，必须在4小时之内上门服务，并在8小时内负责修复。如需更换货物或送修，必须在48小时内提供备用货物，并在7个工作日内负责维修完毕</w:t>
      </w:r>
      <w:r>
        <w:rPr>
          <w:rFonts w:hint="eastAsia" w:ascii="宋体" w:hAnsi="宋体" w:eastAsia="宋体" w:cs="宋体"/>
          <w:color w:val="auto"/>
          <w:sz w:val="28"/>
          <w:szCs w:val="28"/>
        </w:rPr>
        <w:t>。</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.在交货时我方将提供产品的合格证和产品说明书。</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.与本项目有关的一切往来通讯请寄：</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地址：</w:t>
      </w:r>
      <w:r>
        <w:rPr>
          <w:rFonts w:hint="eastAsia" w:ascii="宋体" w:hAnsi="宋体" w:cs="宋体"/>
          <w:color w:val="auto"/>
          <w:sz w:val="28"/>
          <w:szCs w:val="28"/>
          <w:u w:val="single"/>
        </w:rPr>
        <w:t>　　　　　　　　　</w:t>
      </w:r>
      <w:r>
        <w:rPr>
          <w:rFonts w:hint="eastAsia" w:ascii="宋体" w:hAnsi="宋体" w:cs="宋体"/>
          <w:color w:val="auto"/>
          <w:sz w:val="28"/>
          <w:szCs w:val="28"/>
        </w:rPr>
        <w:t>　邮编：</w:t>
      </w:r>
      <w:r>
        <w:rPr>
          <w:rFonts w:hint="eastAsia" w:ascii="宋体" w:hAnsi="宋体" w:cs="宋体"/>
          <w:color w:val="auto"/>
          <w:sz w:val="28"/>
          <w:szCs w:val="28"/>
          <w:u w:val="single"/>
        </w:rPr>
        <w:t>　　　　　　　　　</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电话：</w:t>
      </w:r>
      <w:r>
        <w:rPr>
          <w:rFonts w:hint="eastAsia" w:ascii="宋体" w:hAnsi="宋体" w:cs="宋体"/>
          <w:color w:val="auto"/>
          <w:sz w:val="28"/>
          <w:szCs w:val="28"/>
          <w:u w:val="single"/>
        </w:rPr>
        <w:t>　　　　　　　　　</w:t>
      </w:r>
      <w:r>
        <w:rPr>
          <w:rFonts w:hint="eastAsia" w:ascii="宋体" w:hAnsi="宋体" w:cs="宋体"/>
          <w:color w:val="auto"/>
          <w:sz w:val="28"/>
          <w:szCs w:val="28"/>
        </w:rPr>
        <w:t>　传真：</w:t>
      </w:r>
      <w:r>
        <w:rPr>
          <w:rFonts w:hint="eastAsia" w:ascii="宋体" w:hAnsi="宋体" w:cs="宋体"/>
          <w:color w:val="auto"/>
          <w:sz w:val="28"/>
          <w:szCs w:val="28"/>
          <w:u w:val="single"/>
        </w:rPr>
        <w:t>　　　　　　　　　</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报价单位代表：</w:t>
      </w:r>
      <w:r>
        <w:rPr>
          <w:rFonts w:hint="eastAsia" w:ascii="宋体" w:hAnsi="宋体" w:cs="宋体"/>
          <w:color w:val="auto"/>
          <w:sz w:val="28"/>
          <w:szCs w:val="28"/>
          <w:u w:val="single"/>
        </w:rPr>
        <w:t>　　　　　　　　　</w:t>
      </w:r>
      <w:r>
        <w:rPr>
          <w:rFonts w:hint="eastAsia" w:ascii="宋体" w:hAnsi="宋体" w:cs="宋体"/>
          <w:color w:val="auto"/>
          <w:sz w:val="28"/>
          <w:szCs w:val="28"/>
        </w:rPr>
        <w:t>　职务：</w:t>
      </w:r>
      <w:r>
        <w:rPr>
          <w:rFonts w:hint="eastAsia" w:ascii="宋体" w:hAnsi="宋体" w:cs="宋体"/>
          <w:color w:val="auto"/>
          <w:sz w:val="28"/>
          <w:szCs w:val="28"/>
          <w:u w:val="single"/>
        </w:rPr>
        <w:t>　　　　　　　　　</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报价单位代表移动电话：</w:t>
      </w:r>
      <w:r>
        <w:rPr>
          <w:rFonts w:hint="eastAsia" w:ascii="宋体" w:hAnsi="宋体" w:cs="宋体"/>
          <w:color w:val="auto"/>
          <w:sz w:val="28"/>
          <w:szCs w:val="28"/>
          <w:u w:val="single"/>
        </w:rPr>
        <w:t>　　　　　　　　　</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ascii="宋体" w:hAnsi="宋体" w:cs="宋体"/>
          <w:color w:val="auto"/>
          <w:sz w:val="28"/>
          <w:szCs w:val="28"/>
          <w:u w:val="single"/>
        </w:rPr>
      </w:pPr>
      <w:r>
        <w:rPr>
          <w:rFonts w:hint="eastAsia" w:ascii="宋体" w:hAnsi="宋体" w:cs="宋体"/>
          <w:color w:val="auto"/>
          <w:kern w:val="0"/>
          <w:sz w:val="28"/>
          <w:szCs w:val="28"/>
        </w:rPr>
        <w:t>报价单位</w:t>
      </w:r>
      <w:r>
        <w:rPr>
          <w:rFonts w:hint="eastAsia" w:ascii="宋体" w:hAnsi="宋体" w:cs="宋体"/>
          <w:color w:val="auto"/>
          <w:sz w:val="28"/>
          <w:szCs w:val="28"/>
        </w:rPr>
        <w:t>（加盖单位公章）：</w:t>
      </w:r>
      <w:r>
        <w:rPr>
          <w:rFonts w:hint="eastAsia" w:ascii="宋体" w:hAnsi="宋体" w:cs="宋体"/>
          <w:color w:val="auto"/>
          <w:sz w:val="28"/>
          <w:szCs w:val="28"/>
          <w:u w:val="single"/>
        </w:rPr>
        <w:t>　　　　　　　　　</w:t>
      </w:r>
    </w:p>
    <w:p>
      <w:pPr>
        <w:pageBreakBefore w:val="0"/>
        <w:kinsoku/>
        <w:wordWrap/>
        <w:overflowPunct/>
        <w:topLinePunct w:val="0"/>
        <w:autoSpaceDE/>
        <w:autoSpaceDN/>
        <w:bidi w:val="0"/>
        <w:spacing w:beforeAutospacing="0" w:afterAutospacing="0" w:line="560" w:lineRule="exact"/>
        <w:ind w:firstLine="560" w:firstLineChars="200"/>
        <w:textAlignment w:val="auto"/>
        <w:rPr>
          <w:rFonts w:hint="eastAsia"/>
          <w:color w:val="auto"/>
          <w:sz w:val="28"/>
          <w:szCs w:val="28"/>
        </w:rPr>
      </w:pPr>
      <w:r>
        <w:rPr>
          <w:rFonts w:hint="eastAsia"/>
          <w:color w:val="auto"/>
          <w:sz w:val="28"/>
          <w:szCs w:val="28"/>
        </w:rPr>
        <w:t xml:space="preserve">                                        年    月    日</w:t>
      </w: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lang w:eastAsia="zh-CN"/>
        </w:rPr>
      </w:pPr>
      <w:r>
        <w:rPr>
          <w:rFonts w:hint="eastAsia" w:ascii="宋体" w:hAnsi="宋体" w:eastAsia="宋体" w:cs="宋体"/>
          <w:color w:val="auto"/>
          <w:sz w:val="32"/>
          <w:szCs w:val="32"/>
        </w:rPr>
        <w:t>附件</w:t>
      </w:r>
      <w:r>
        <w:rPr>
          <w:rFonts w:hint="eastAsia" w:ascii="宋体" w:hAnsi="宋体" w:cs="宋体"/>
          <w:color w:val="auto"/>
          <w:sz w:val="32"/>
          <w:szCs w:val="32"/>
          <w:lang w:val="en-US" w:eastAsia="zh-CN"/>
        </w:rPr>
        <w:t>6</w:t>
      </w:r>
    </w:p>
    <w:p>
      <w:pPr>
        <w:jc w:val="center"/>
        <w:rPr>
          <w:rFonts w:ascii="宋体" w:hAnsi="宋体"/>
          <w:b/>
          <w:color w:val="auto"/>
          <w:sz w:val="32"/>
          <w:szCs w:val="32"/>
        </w:rPr>
      </w:pPr>
      <w:r>
        <w:rPr>
          <w:rFonts w:hint="eastAsia" w:ascii="宋体" w:hAnsi="宋体"/>
          <w:b/>
          <w:color w:val="auto"/>
          <w:sz w:val="32"/>
          <w:szCs w:val="32"/>
        </w:rPr>
        <w:t>询价响应函</w:t>
      </w:r>
    </w:p>
    <w:p>
      <w:pPr>
        <w:adjustRightInd w:val="0"/>
        <w:spacing w:line="420" w:lineRule="exact"/>
        <w:jc w:val="left"/>
        <w:textAlignment w:val="baseline"/>
        <w:rPr>
          <w:rFonts w:ascii="宋体" w:hAnsi="宋体"/>
          <w:color w:val="auto"/>
          <w:sz w:val="24"/>
          <w:szCs w:val="21"/>
        </w:rPr>
      </w:pPr>
      <w:r>
        <w:rPr>
          <w:rFonts w:hint="eastAsia" w:ascii="宋体" w:hAnsi="宋体"/>
          <w:color w:val="auto"/>
          <w:sz w:val="24"/>
          <w:szCs w:val="21"/>
        </w:rPr>
        <w:t>致：______</w:t>
      </w:r>
      <w:r>
        <w:rPr>
          <w:rFonts w:hint="eastAsia" w:ascii="宋体" w:hAnsi="宋体"/>
          <w:color w:val="auto"/>
          <w:sz w:val="24"/>
          <w:szCs w:val="21"/>
          <w:u w:val="single"/>
        </w:rPr>
        <w:t>__</w:t>
      </w:r>
      <w:r>
        <w:rPr>
          <w:rFonts w:ascii="宋体" w:hAnsi="宋体"/>
          <w:color w:val="auto"/>
          <w:sz w:val="24"/>
          <w:szCs w:val="21"/>
          <w:u w:val="single"/>
        </w:rPr>
        <w:t xml:space="preserve">      </w:t>
      </w:r>
      <w:r>
        <w:rPr>
          <w:rFonts w:hint="eastAsia" w:ascii="宋体" w:hAnsi="宋体"/>
          <w:color w:val="auto"/>
          <w:sz w:val="24"/>
          <w:szCs w:val="21"/>
          <w:u w:val="single"/>
        </w:rPr>
        <w:t>_</w:t>
      </w:r>
      <w:r>
        <w:rPr>
          <w:rFonts w:hint="eastAsia" w:ascii="宋体" w:hAnsi="宋体"/>
          <w:color w:val="auto"/>
          <w:sz w:val="24"/>
          <w:szCs w:val="21"/>
        </w:rPr>
        <w:t>_（采购人名称）</w:t>
      </w:r>
    </w:p>
    <w:p>
      <w:pPr>
        <w:adjustRightInd w:val="0"/>
        <w:spacing w:line="420" w:lineRule="exact"/>
        <w:ind w:firstLine="480" w:firstLineChars="200"/>
        <w:jc w:val="left"/>
        <w:textAlignment w:val="baseline"/>
        <w:rPr>
          <w:rFonts w:ascii="宋体" w:hAnsi="宋体"/>
          <w:color w:val="auto"/>
          <w:sz w:val="24"/>
          <w:szCs w:val="21"/>
        </w:rPr>
      </w:pPr>
      <w:r>
        <w:rPr>
          <w:rFonts w:hint="eastAsia" w:ascii="宋体" w:hAnsi="宋体"/>
          <w:color w:val="auto"/>
          <w:sz w:val="24"/>
          <w:szCs w:val="21"/>
        </w:rPr>
        <w:t>根据贵方的__________（项目</w:t>
      </w:r>
      <w:r>
        <w:rPr>
          <w:rFonts w:ascii="宋体" w:hAnsi="宋体"/>
          <w:color w:val="auto"/>
          <w:sz w:val="24"/>
          <w:szCs w:val="21"/>
        </w:rPr>
        <w:t>名称</w:t>
      </w:r>
      <w:r>
        <w:rPr>
          <w:rFonts w:hint="eastAsia" w:ascii="宋体" w:hAnsi="宋体"/>
          <w:color w:val="auto"/>
          <w:sz w:val="24"/>
          <w:szCs w:val="21"/>
        </w:rPr>
        <w:t>、</w:t>
      </w:r>
      <w:r>
        <w:rPr>
          <w:rFonts w:ascii="宋体" w:hAnsi="宋体"/>
          <w:color w:val="auto"/>
          <w:sz w:val="24"/>
          <w:szCs w:val="21"/>
        </w:rPr>
        <w:t>项目编号</w:t>
      </w:r>
      <w:r>
        <w:rPr>
          <w:rFonts w:hint="eastAsia" w:ascii="宋体" w:hAnsi="宋体"/>
          <w:color w:val="auto"/>
          <w:sz w:val="24"/>
          <w:szCs w:val="21"/>
        </w:rPr>
        <w:t>）询价文件，正式授权下述签字人______(姓名)代表我方______________（供应商的名称），全权处理本次项目询价的有关事宜。</w:t>
      </w:r>
    </w:p>
    <w:p>
      <w:pPr>
        <w:adjustRightInd w:val="0"/>
        <w:spacing w:line="420" w:lineRule="exact"/>
        <w:ind w:firstLine="480" w:firstLineChars="200"/>
        <w:jc w:val="left"/>
        <w:textAlignment w:val="baseline"/>
        <w:rPr>
          <w:rFonts w:ascii="宋体" w:hAnsi="宋体"/>
          <w:color w:val="auto"/>
          <w:sz w:val="24"/>
          <w:szCs w:val="21"/>
        </w:rPr>
      </w:pPr>
      <w:r>
        <w:rPr>
          <w:rFonts w:hint="eastAsia" w:ascii="宋体" w:hAnsi="宋体"/>
          <w:color w:val="auto"/>
          <w:sz w:val="24"/>
          <w:szCs w:val="21"/>
        </w:rPr>
        <w:t>据此函，__________签字人兹宣布同意如下：</w:t>
      </w:r>
    </w:p>
    <w:p>
      <w:pPr>
        <w:adjustRightInd w:val="0"/>
        <w:spacing w:line="420" w:lineRule="exact"/>
        <w:ind w:firstLine="480"/>
        <w:jc w:val="left"/>
        <w:textAlignment w:val="baseline"/>
        <w:rPr>
          <w:rFonts w:ascii="宋体" w:hAnsi="宋体"/>
          <w:color w:val="auto"/>
          <w:sz w:val="24"/>
          <w:szCs w:val="21"/>
        </w:rPr>
      </w:pPr>
      <w:r>
        <w:rPr>
          <w:rFonts w:hint="eastAsia" w:ascii="宋体" w:hAnsi="宋体"/>
          <w:color w:val="auto"/>
          <w:sz w:val="24"/>
          <w:szCs w:val="21"/>
        </w:rPr>
        <w:t>1.按询价文件规定的各项要求，向买方提供所需货物、服务（包含与货物相关的服务及与服务相关的货物）。</w:t>
      </w:r>
    </w:p>
    <w:p>
      <w:pPr>
        <w:adjustRightInd w:val="0"/>
        <w:spacing w:line="420" w:lineRule="exact"/>
        <w:ind w:firstLine="480" w:firstLineChars="200"/>
        <w:jc w:val="left"/>
        <w:textAlignment w:val="baseline"/>
        <w:rPr>
          <w:rFonts w:ascii="宋体" w:hAnsi="宋体"/>
          <w:color w:val="auto"/>
          <w:sz w:val="24"/>
          <w:szCs w:val="21"/>
        </w:rPr>
      </w:pPr>
      <w:r>
        <w:rPr>
          <w:rFonts w:ascii="宋体" w:hAnsi="宋体"/>
          <w:color w:val="auto"/>
          <w:sz w:val="24"/>
          <w:szCs w:val="21"/>
        </w:rPr>
        <w:t>2</w:t>
      </w:r>
      <w:r>
        <w:rPr>
          <w:rFonts w:hint="eastAsia" w:ascii="宋体" w:hAnsi="宋体"/>
          <w:color w:val="auto"/>
          <w:sz w:val="24"/>
          <w:szCs w:val="21"/>
        </w:rPr>
        <w:t>.我们已详细审核全部询价文件及其有效补充文件，我们知道必须放弃提出含糊不清或误解问题的权利。</w:t>
      </w:r>
    </w:p>
    <w:p>
      <w:pPr>
        <w:adjustRightInd w:val="0"/>
        <w:spacing w:line="420" w:lineRule="exact"/>
        <w:ind w:firstLine="480"/>
        <w:jc w:val="left"/>
        <w:textAlignment w:val="baseline"/>
        <w:rPr>
          <w:rFonts w:ascii="宋体" w:hAnsi="宋体"/>
          <w:color w:val="auto"/>
          <w:sz w:val="24"/>
          <w:szCs w:val="21"/>
        </w:rPr>
      </w:pPr>
      <w:r>
        <w:rPr>
          <w:rFonts w:ascii="宋体" w:hAnsi="宋体"/>
          <w:color w:val="auto"/>
          <w:sz w:val="24"/>
          <w:szCs w:val="21"/>
        </w:rPr>
        <w:t>3</w:t>
      </w:r>
      <w:r>
        <w:rPr>
          <w:rFonts w:hint="eastAsia" w:ascii="宋体" w:hAnsi="宋体"/>
          <w:color w:val="auto"/>
          <w:sz w:val="24"/>
          <w:szCs w:val="21"/>
        </w:rPr>
        <w:t>.我们同意从规定的开标日期起遵循本响应文件，并在规定的询价有效期期满之前均具有约束力。</w:t>
      </w:r>
    </w:p>
    <w:p>
      <w:pPr>
        <w:adjustRightInd w:val="0"/>
        <w:spacing w:line="420" w:lineRule="exact"/>
        <w:ind w:firstLine="480"/>
        <w:jc w:val="left"/>
        <w:textAlignment w:val="baseline"/>
        <w:rPr>
          <w:rFonts w:ascii="宋体" w:hAnsi="宋体"/>
          <w:color w:val="auto"/>
          <w:sz w:val="24"/>
          <w:szCs w:val="21"/>
        </w:rPr>
      </w:pPr>
      <w:r>
        <w:rPr>
          <w:rFonts w:ascii="宋体" w:hAnsi="宋体"/>
          <w:color w:val="auto"/>
          <w:sz w:val="24"/>
          <w:szCs w:val="21"/>
        </w:rPr>
        <w:t>4</w:t>
      </w:r>
      <w:r>
        <w:rPr>
          <w:rFonts w:hint="eastAsia" w:ascii="宋体" w:hAnsi="宋体"/>
          <w:color w:val="auto"/>
          <w:sz w:val="24"/>
          <w:szCs w:val="21"/>
        </w:rPr>
        <w:t>.同意向贵方提供贵方可能另外要求的与询价有关的任何证据或资料，并保证我方已提供和将要提供的文件是真实的、准确的。</w:t>
      </w:r>
    </w:p>
    <w:p>
      <w:pPr>
        <w:adjustRightInd w:val="0"/>
        <w:spacing w:line="420" w:lineRule="exact"/>
        <w:ind w:firstLine="480"/>
        <w:jc w:val="left"/>
        <w:textAlignment w:val="baseline"/>
        <w:rPr>
          <w:rFonts w:ascii="宋体" w:hAnsi="宋体"/>
          <w:color w:val="auto"/>
          <w:sz w:val="24"/>
          <w:szCs w:val="21"/>
        </w:rPr>
      </w:pPr>
      <w:r>
        <w:rPr>
          <w:rFonts w:ascii="宋体" w:hAnsi="宋体"/>
          <w:color w:val="auto"/>
          <w:sz w:val="24"/>
          <w:szCs w:val="21"/>
        </w:rPr>
        <w:t>5</w:t>
      </w:r>
      <w:r>
        <w:rPr>
          <w:rFonts w:hint="eastAsia" w:ascii="宋体" w:hAnsi="宋体"/>
          <w:color w:val="auto"/>
          <w:sz w:val="24"/>
          <w:szCs w:val="21"/>
        </w:rPr>
        <w:t>.一旦我方成交,我方将根据询价文件的规定，严格履行合同的责任和义务,并保证在询价文件规定的时间完成项目，交付买方验收、使用。</w:t>
      </w:r>
    </w:p>
    <w:p>
      <w:pPr>
        <w:adjustRightInd w:val="0"/>
        <w:spacing w:line="420" w:lineRule="exact"/>
        <w:ind w:left="425"/>
        <w:jc w:val="left"/>
        <w:textAlignment w:val="baseline"/>
        <w:rPr>
          <w:rFonts w:ascii="宋体" w:hAnsi="宋体"/>
          <w:color w:val="auto"/>
          <w:sz w:val="24"/>
          <w:szCs w:val="21"/>
        </w:rPr>
      </w:pPr>
      <w:r>
        <w:rPr>
          <w:rFonts w:ascii="宋体" w:hAnsi="宋体"/>
          <w:color w:val="auto"/>
          <w:sz w:val="24"/>
          <w:szCs w:val="21"/>
        </w:rPr>
        <w:t>6</w:t>
      </w:r>
      <w:r>
        <w:rPr>
          <w:rFonts w:hint="eastAsia" w:ascii="宋体" w:hAnsi="宋体"/>
          <w:color w:val="auto"/>
          <w:sz w:val="24"/>
          <w:szCs w:val="21"/>
        </w:rPr>
        <w:t>.我方与本询价有关的正式通讯地址为：</w:t>
      </w:r>
    </w:p>
    <w:p>
      <w:pPr>
        <w:adjustRightInd w:val="0"/>
        <w:spacing w:line="420" w:lineRule="exact"/>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地          址：</w:t>
      </w:r>
    </w:p>
    <w:p>
      <w:pPr>
        <w:adjustRightInd w:val="0"/>
        <w:spacing w:line="420" w:lineRule="exact"/>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邮          编：</w:t>
      </w:r>
    </w:p>
    <w:p>
      <w:pPr>
        <w:adjustRightInd w:val="0"/>
        <w:spacing w:line="420" w:lineRule="exact"/>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电          话：</w:t>
      </w:r>
    </w:p>
    <w:p>
      <w:pPr>
        <w:adjustRightInd w:val="0"/>
        <w:spacing w:line="420" w:lineRule="exact"/>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传          真：</w:t>
      </w:r>
    </w:p>
    <w:p>
      <w:pPr>
        <w:adjustRightInd w:val="0"/>
        <w:spacing w:line="420" w:lineRule="exact"/>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供应商开户行：</w:t>
      </w:r>
    </w:p>
    <w:p>
      <w:pPr>
        <w:adjustRightInd w:val="0"/>
        <w:spacing w:line="420" w:lineRule="exact"/>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 xml:space="preserve">账          号： </w:t>
      </w:r>
    </w:p>
    <w:p>
      <w:pPr>
        <w:adjustRightInd w:val="0"/>
        <w:spacing w:line="420" w:lineRule="exact"/>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日           期：________年____月____日</w:t>
      </w:r>
    </w:p>
    <w:p>
      <w:pPr>
        <w:rPr>
          <w:rFonts w:hint="eastAsia" w:ascii="宋体" w:hAnsi="宋体" w:eastAsia="宋体" w:cs="宋体"/>
          <w:b/>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lang w:eastAsia="zh-CN"/>
        </w:rPr>
      </w:pPr>
      <w:r>
        <w:rPr>
          <w:rFonts w:hint="eastAsia" w:ascii="宋体" w:hAnsi="宋体" w:eastAsia="宋体" w:cs="宋体"/>
          <w:color w:val="auto"/>
          <w:sz w:val="32"/>
          <w:szCs w:val="32"/>
        </w:rPr>
        <w:t>附件</w:t>
      </w:r>
      <w:r>
        <w:rPr>
          <w:rFonts w:hint="eastAsia" w:ascii="宋体" w:hAnsi="宋体" w:cs="宋体"/>
          <w:color w:val="auto"/>
          <w:sz w:val="32"/>
          <w:szCs w:val="32"/>
          <w:lang w:val="en-US" w:eastAsia="zh-CN"/>
        </w:rPr>
        <w:t>7</w:t>
      </w:r>
    </w:p>
    <w:p>
      <w:pPr>
        <w:snapToGrid w:val="0"/>
        <w:spacing w:line="300" w:lineRule="auto"/>
        <w:contextualSpacing/>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商务部分正负偏离表</w:t>
      </w:r>
    </w:p>
    <w:p>
      <w:pPr>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（由响应供应商据实填写，表格不够自行添加）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5"/>
        <w:gridCol w:w="2807"/>
        <w:gridCol w:w="2100"/>
        <w:gridCol w:w="11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pPr>
              <w:spacing w:line="340" w:lineRule="exact"/>
              <w:jc w:val="center"/>
              <w:rPr>
                <w:rFonts w:hint="eastAsia" w:ascii="宋体" w:hAnsi="宋体" w:eastAsia="宋体" w:cs="宋体"/>
                <w:color w:val="auto"/>
                <w:sz w:val="28"/>
                <w:szCs w:val="28"/>
              </w:rPr>
            </w:pPr>
          </w:p>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color w:val="auto"/>
                <w:sz w:val="28"/>
                <w:szCs w:val="28"/>
              </w:rPr>
            </w:pPr>
          </w:p>
        </w:tc>
      </w:tr>
    </w:tbl>
    <w:p>
      <w:pPr>
        <w:snapToGrid w:val="0"/>
        <w:spacing w:line="300" w:lineRule="auto"/>
        <w:contextualSpacing/>
        <w:rPr>
          <w:rFonts w:hint="eastAsia" w:ascii="宋体" w:hAnsi="宋体" w:eastAsia="宋体" w:cs="宋体"/>
          <w:b/>
          <w:color w:val="auto"/>
          <w:sz w:val="28"/>
          <w:szCs w:val="28"/>
        </w:rPr>
      </w:pPr>
      <w:r>
        <w:rPr>
          <w:rFonts w:hint="eastAsia" w:ascii="宋体" w:hAnsi="宋体" w:eastAsia="宋体" w:cs="宋体"/>
          <w:b/>
          <w:color w:val="auto"/>
          <w:sz w:val="28"/>
          <w:szCs w:val="28"/>
        </w:rPr>
        <w:t>注：</w:t>
      </w:r>
    </w:p>
    <w:p>
      <w:pPr>
        <w:snapToGrid w:val="0"/>
        <w:spacing w:line="30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1.如响应供应商提交的响应文件与采购文件第三部分“项目需求”中的商务部分的要求有偏离的，应逐条填列在偏离表中。未填写的内容视为完全响应本采购文件要求。</w:t>
      </w:r>
    </w:p>
    <w:p>
      <w:pPr>
        <w:snapToGrid w:val="0"/>
        <w:spacing w:line="30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2.“偏离说明”一栏选择“正偏离”、“负偏离”、“无偏离”进行填写。正偏离的确认和负偏离的是否响应采购文件，由询价小组认定。</w:t>
      </w:r>
    </w:p>
    <w:p>
      <w:pPr>
        <w:snapToGrid w:val="0"/>
        <w:spacing w:line="300" w:lineRule="auto"/>
        <w:ind w:firstLine="560" w:firstLineChars="200"/>
        <w:contextualSpacing/>
        <w:rPr>
          <w:rFonts w:hint="eastAsia" w:ascii="宋体" w:hAnsi="宋体" w:eastAsia="宋体" w:cs="宋体"/>
          <w:bCs/>
          <w:color w:val="auto"/>
          <w:sz w:val="28"/>
          <w:szCs w:val="28"/>
        </w:rPr>
      </w:pPr>
      <w:r>
        <w:rPr>
          <w:rFonts w:hint="eastAsia" w:ascii="宋体" w:hAnsi="宋体" w:eastAsia="宋体" w:cs="宋体"/>
          <w:bCs/>
          <w:color w:val="auto"/>
          <w:sz w:val="28"/>
          <w:szCs w:val="28"/>
        </w:rPr>
        <w:t>3.供应商若提供其他增值服务，可以在表中自行据实填写。</w:t>
      </w:r>
    </w:p>
    <w:p>
      <w:pPr>
        <w:snapToGrid w:val="0"/>
        <w:spacing w:line="400" w:lineRule="exact"/>
        <w:ind w:firstLine="537" w:firstLineChars="192"/>
        <w:contextualSpacing/>
        <w:rPr>
          <w:rFonts w:hint="eastAsia" w:ascii="宋体" w:hAnsi="宋体" w:eastAsia="宋体" w:cs="宋体"/>
          <w:b/>
          <w:color w:val="auto"/>
          <w:kern w:val="0"/>
          <w:sz w:val="28"/>
          <w:szCs w:val="28"/>
        </w:rPr>
      </w:pPr>
    </w:p>
    <w:p>
      <w:pPr>
        <w:spacing w:line="312" w:lineRule="auto"/>
        <w:ind w:firstLine="803" w:firstLineChars="287"/>
        <w:rPr>
          <w:rFonts w:hint="eastAsia" w:ascii="宋体" w:hAnsi="宋体" w:eastAsia="宋体" w:cs="宋体"/>
          <w:b/>
          <w:color w:val="auto"/>
          <w:sz w:val="28"/>
          <w:szCs w:val="28"/>
        </w:rPr>
      </w:pPr>
    </w:p>
    <w:p>
      <w:pPr>
        <w:spacing w:line="312" w:lineRule="auto"/>
        <w:ind w:firstLine="1960" w:firstLineChars="700"/>
        <w:rPr>
          <w:rFonts w:hint="eastAsia" w:ascii="宋体" w:hAnsi="宋体" w:eastAsia="宋体" w:cs="宋体"/>
          <w:color w:val="auto"/>
          <w:sz w:val="28"/>
          <w:szCs w:val="28"/>
          <w:u w:val="single"/>
        </w:rPr>
      </w:pPr>
      <w:r>
        <w:rPr>
          <w:rFonts w:hint="eastAsia" w:ascii="宋体" w:hAnsi="宋体" w:eastAsia="宋体" w:cs="宋体"/>
          <w:color w:val="auto"/>
          <w:sz w:val="28"/>
          <w:szCs w:val="28"/>
        </w:rPr>
        <w:t>响应供应商全称（盖公章）：</w:t>
      </w:r>
    </w:p>
    <w:p>
      <w:pPr>
        <w:spacing w:line="312" w:lineRule="auto"/>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spacing w:line="312" w:lineRule="auto"/>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日</w:t>
      </w:r>
    </w:p>
    <w:p>
      <w:pPr>
        <w:widowControl/>
        <w:spacing w:line="312" w:lineRule="auto"/>
        <w:jc w:val="left"/>
        <w:rPr>
          <w:rFonts w:hint="eastAsia" w:ascii="宋体" w:hAnsi="宋体" w:eastAsia="宋体" w:cs="宋体"/>
          <w:b/>
          <w:bCs/>
          <w:color w:val="auto"/>
          <w:sz w:val="32"/>
          <w:szCs w:val="32"/>
        </w:rPr>
      </w:pPr>
      <w:r>
        <w:rPr>
          <w:rFonts w:hint="eastAsia" w:ascii="宋体" w:hAnsi="宋体" w:eastAsia="宋体" w:cs="宋体"/>
          <w:b/>
          <w:color w:val="auto"/>
          <w:sz w:val="24"/>
        </w:rPr>
        <w:br w:type="page"/>
      </w:r>
    </w:p>
    <w:p>
      <w:pPr>
        <w:widowControl/>
        <w:spacing w:line="312" w:lineRule="auto"/>
        <w:jc w:val="left"/>
        <w:rPr>
          <w:rFonts w:hint="eastAsia" w:ascii="宋体" w:hAnsi="宋体" w:eastAsia="宋体" w:cs="宋体"/>
          <w:color w:val="auto"/>
          <w:sz w:val="24"/>
          <w:lang w:eastAsia="zh-CN"/>
        </w:rPr>
      </w:pPr>
      <w:r>
        <w:rPr>
          <w:rFonts w:hint="eastAsia" w:ascii="宋体" w:hAnsi="宋体" w:eastAsia="宋体" w:cs="宋体"/>
          <w:color w:val="auto"/>
          <w:sz w:val="32"/>
          <w:szCs w:val="32"/>
        </w:rPr>
        <w:t>附件</w:t>
      </w:r>
      <w:r>
        <w:rPr>
          <w:rFonts w:hint="eastAsia" w:ascii="宋体" w:hAnsi="宋体" w:cs="宋体"/>
          <w:color w:val="auto"/>
          <w:sz w:val="32"/>
          <w:szCs w:val="32"/>
          <w:lang w:val="en-US" w:eastAsia="zh-CN"/>
        </w:rPr>
        <w:t>8</w:t>
      </w:r>
    </w:p>
    <w:p>
      <w:pPr>
        <w:snapToGrid w:val="0"/>
        <w:spacing w:line="300" w:lineRule="auto"/>
        <w:contextualSpacing/>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技术部分正负偏离表</w:t>
      </w:r>
    </w:p>
    <w:p>
      <w:pPr>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（由响应供应商据实填写，表格不够自行添加）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5"/>
        <w:gridCol w:w="2807"/>
        <w:gridCol w:w="2100"/>
        <w:gridCol w:w="11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pPr>
              <w:spacing w:line="340" w:lineRule="exact"/>
              <w:jc w:val="center"/>
              <w:rPr>
                <w:rFonts w:hint="eastAsia" w:ascii="宋体" w:hAnsi="宋体" w:eastAsia="宋体" w:cs="宋体"/>
                <w:color w:val="auto"/>
                <w:sz w:val="28"/>
                <w:szCs w:val="28"/>
              </w:rPr>
            </w:pPr>
          </w:p>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pPr>
              <w:spacing w:line="340" w:lineRule="exact"/>
              <w:jc w:val="left"/>
              <w:rPr>
                <w:rFonts w:hint="eastAsia" w:ascii="宋体" w:hAnsi="宋体" w:eastAsia="宋体" w:cs="宋体"/>
                <w:color w:val="auto"/>
                <w:sz w:val="28"/>
                <w:szCs w:val="28"/>
              </w:rPr>
            </w:pPr>
          </w:p>
        </w:tc>
        <w:tc>
          <w:tcPr>
            <w:tcW w:w="778" w:type="pct"/>
            <w:tcBorders>
              <w:top w:val="single" w:color="auto" w:sz="6" w:space="0"/>
              <w:left w:val="single" w:color="auto" w:sz="6" w:space="0"/>
              <w:bottom w:val="single" w:color="auto" w:sz="6" w:space="0"/>
              <w:right w:val="single" w:color="auto" w:sz="12" w:space="0"/>
            </w:tcBorders>
            <w:noWrap/>
          </w:tcPr>
          <w:p>
            <w:pPr>
              <w:spacing w:line="340" w:lineRule="exact"/>
              <w:jc w:val="left"/>
              <w:rPr>
                <w:rFonts w:hint="eastAsia" w:ascii="宋体" w:hAnsi="宋体" w:eastAsia="宋体" w:cs="宋体"/>
                <w:color w:val="auto"/>
                <w:sz w:val="28"/>
                <w:szCs w:val="28"/>
              </w:rPr>
            </w:pPr>
          </w:p>
        </w:tc>
      </w:tr>
    </w:tbl>
    <w:p>
      <w:pPr>
        <w:snapToGrid w:val="0"/>
        <w:spacing w:line="300" w:lineRule="auto"/>
        <w:contextualSpacing/>
        <w:rPr>
          <w:rFonts w:hint="eastAsia" w:ascii="宋体" w:hAnsi="宋体" w:eastAsia="宋体" w:cs="宋体"/>
          <w:b/>
          <w:color w:val="auto"/>
          <w:sz w:val="28"/>
          <w:szCs w:val="28"/>
        </w:rPr>
      </w:pPr>
      <w:r>
        <w:rPr>
          <w:rFonts w:hint="eastAsia" w:ascii="宋体" w:hAnsi="宋体" w:eastAsia="宋体" w:cs="宋体"/>
          <w:b/>
          <w:color w:val="auto"/>
          <w:sz w:val="28"/>
          <w:szCs w:val="28"/>
        </w:rPr>
        <w:t>注：</w:t>
      </w:r>
    </w:p>
    <w:p>
      <w:pPr>
        <w:snapToGrid w:val="0"/>
        <w:spacing w:line="30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1.如响应供应商提交的响应文件与采购文件第三部分“项目需求”中的技术部分的要求有偏离的，应逐条填列在偏离表中。未填写的内容视为完全响应本采购文件要求。</w:t>
      </w:r>
    </w:p>
    <w:p>
      <w:pPr>
        <w:snapToGrid w:val="0"/>
        <w:spacing w:line="30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2.“偏离说明”一栏选择“正偏离”、“负偏离”、“无偏离”进行填写。正偏离的确认和负偏离的是否响应采购文件，由询价小组认定。</w:t>
      </w:r>
    </w:p>
    <w:p>
      <w:pPr>
        <w:snapToGrid w:val="0"/>
        <w:spacing w:line="300" w:lineRule="auto"/>
        <w:ind w:firstLine="560" w:firstLineChars="200"/>
        <w:contextualSpacing/>
        <w:rPr>
          <w:rFonts w:hint="eastAsia" w:ascii="宋体" w:hAnsi="宋体" w:eastAsia="宋体" w:cs="宋体"/>
          <w:bCs/>
          <w:color w:val="auto"/>
          <w:sz w:val="28"/>
          <w:szCs w:val="28"/>
        </w:rPr>
      </w:pPr>
      <w:r>
        <w:rPr>
          <w:rFonts w:hint="eastAsia" w:ascii="宋体" w:hAnsi="宋体" w:eastAsia="宋体" w:cs="宋体"/>
          <w:bCs/>
          <w:color w:val="auto"/>
          <w:sz w:val="28"/>
          <w:szCs w:val="28"/>
        </w:rPr>
        <w:t>3.供应商若提供其他增值服务，可以在表中自行据实填写。</w:t>
      </w:r>
    </w:p>
    <w:p>
      <w:pPr>
        <w:spacing w:line="312" w:lineRule="auto"/>
        <w:ind w:firstLine="2520" w:firstLineChars="900"/>
        <w:rPr>
          <w:rFonts w:hint="eastAsia" w:ascii="宋体" w:hAnsi="宋体" w:eastAsia="宋体" w:cs="宋体"/>
          <w:color w:val="auto"/>
          <w:sz w:val="28"/>
          <w:szCs w:val="28"/>
          <w:u w:val="single"/>
        </w:rPr>
      </w:pPr>
      <w:r>
        <w:rPr>
          <w:rFonts w:hint="eastAsia" w:ascii="宋体" w:hAnsi="宋体" w:eastAsia="宋体" w:cs="宋体"/>
          <w:color w:val="auto"/>
          <w:sz w:val="28"/>
          <w:szCs w:val="28"/>
        </w:rPr>
        <w:t>响应供应商全称（盖公章）：</w:t>
      </w:r>
    </w:p>
    <w:p>
      <w:pPr>
        <w:spacing w:line="312" w:lineRule="auto"/>
        <w:ind w:firstLine="2520" w:firstLineChars="90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法定代表人（签字或盖章）：</w:t>
      </w:r>
    </w:p>
    <w:p>
      <w:pPr>
        <w:spacing w:line="312" w:lineRule="auto"/>
        <w:ind w:firstLine="2520" w:firstLineChars="900"/>
        <w:rPr>
          <w:rFonts w:hint="eastAsia" w:ascii="宋体" w:hAnsi="宋体" w:eastAsia="宋体" w:cs="宋体"/>
          <w:color w:val="auto"/>
          <w:sz w:val="28"/>
          <w:szCs w:val="28"/>
        </w:rPr>
      </w:pPr>
      <w:bookmarkStart w:id="54" w:name="_Toc71282465"/>
      <w:bookmarkStart w:id="55" w:name="_Toc71282449"/>
      <w:bookmarkStart w:id="56" w:name="_Toc71282604"/>
      <w:r>
        <w:rPr>
          <w:rFonts w:hint="eastAsia" w:ascii="宋体" w:hAnsi="宋体" w:eastAsia="宋体" w:cs="宋体"/>
          <w:color w:val="auto"/>
          <w:sz w:val="28"/>
          <w:szCs w:val="28"/>
        </w:rPr>
        <w:t>日期：</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日</w:t>
      </w:r>
      <w:bookmarkEnd w:id="54"/>
      <w:bookmarkEnd w:id="55"/>
      <w:bookmarkEnd w:id="56"/>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pPr>
        <w:spacing w:line="312" w:lineRule="auto"/>
        <w:rPr>
          <w:rFonts w:hint="eastAsia" w:ascii="宋体" w:hAnsi="宋体" w:eastAsia="宋体" w:cs="宋体"/>
          <w:color w:val="auto"/>
          <w:sz w:val="32"/>
          <w:szCs w:val="32"/>
          <w:lang w:eastAsia="zh-CN"/>
        </w:rPr>
      </w:pPr>
      <w:r>
        <w:rPr>
          <w:rFonts w:hint="eastAsia" w:ascii="宋体" w:hAnsi="宋体" w:eastAsia="宋体" w:cs="宋体"/>
          <w:color w:val="auto"/>
          <w:sz w:val="32"/>
          <w:szCs w:val="32"/>
        </w:rPr>
        <w:t>附件</w:t>
      </w:r>
      <w:r>
        <w:rPr>
          <w:rFonts w:hint="eastAsia" w:ascii="宋体" w:hAnsi="宋体" w:cs="宋体"/>
          <w:color w:val="auto"/>
          <w:sz w:val="32"/>
          <w:szCs w:val="32"/>
          <w:lang w:val="en-US" w:eastAsia="zh-CN"/>
        </w:rPr>
        <w:t>9</w:t>
      </w:r>
    </w:p>
    <w:p>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分项报价明细表（货物类）</w:t>
      </w:r>
    </w:p>
    <w:tbl>
      <w:tblPr>
        <w:tblStyle w:val="15"/>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230"/>
        <w:gridCol w:w="1335"/>
        <w:gridCol w:w="705"/>
        <w:gridCol w:w="975"/>
        <w:gridCol w:w="705"/>
        <w:gridCol w:w="735"/>
        <w:gridCol w:w="707"/>
        <w:gridCol w:w="1399"/>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1226"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230" w:type="dxa"/>
            <w:noWrap/>
            <w:vAlign w:val="center"/>
          </w:tcPr>
          <w:p>
            <w:pPr>
              <w:jc w:val="center"/>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val="en-US" w:eastAsia="zh-CN"/>
              </w:rPr>
              <w:t>货物</w:t>
            </w:r>
            <w:r>
              <w:rPr>
                <w:rFonts w:hint="eastAsia" w:ascii="宋体" w:hAnsi="宋体" w:eastAsia="宋体" w:cs="宋体"/>
                <w:b/>
                <w:bCs/>
                <w:color w:val="auto"/>
                <w:kern w:val="0"/>
                <w:sz w:val="24"/>
                <w:highlight w:val="none"/>
              </w:rPr>
              <w:t>名称</w:t>
            </w:r>
          </w:p>
        </w:tc>
        <w:tc>
          <w:tcPr>
            <w:tcW w:w="1335"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规格型号</w:t>
            </w:r>
          </w:p>
        </w:tc>
        <w:tc>
          <w:tcPr>
            <w:tcW w:w="705"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品牌</w:t>
            </w:r>
          </w:p>
        </w:tc>
        <w:tc>
          <w:tcPr>
            <w:tcW w:w="975" w:type="dxa"/>
          </w:tcPr>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生产厂家名称</w:t>
            </w:r>
          </w:p>
        </w:tc>
        <w:tc>
          <w:tcPr>
            <w:tcW w:w="705"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单位</w:t>
            </w:r>
          </w:p>
        </w:tc>
        <w:tc>
          <w:tcPr>
            <w:tcW w:w="735"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数量</w:t>
            </w:r>
          </w:p>
        </w:tc>
        <w:tc>
          <w:tcPr>
            <w:tcW w:w="707"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单价</w:t>
            </w:r>
          </w:p>
        </w:tc>
        <w:tc>
          <w:tcPr>
            <w:tcW w:w="1399"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金额小计</w:t>
            </w:r>
          </w:p>
        </w:tc>
        <w:tc>
          <w:tcPr>
            <w:tcW w:w="1506" w:type="dxa"/>
            <w:noWrap/>
            <w:vAlign w:val="center"/>
          </w:tcPr>
          <w:p>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r>
              <w:rPr>
                <w:rFonts w:hint="eastAsia" w:ascii="宋体" w:hAnsi="宋体" w:eastAsia="宋体" w:cs="宋体"/>
                <w:b/>
                <w:color w:val="auto"/>
                <w:szCs w:val="21"/>
                <w:highlight w:val="none"/>
              </w:rPr>
              <w:t>（是否为主要标的）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226" w:type="dxa"/>
            <w:noWrap/>
            <w:vAlign w:val="center"/>
          </w:tcPr>
          <w:p>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230" w:type="dxa"/>
            <w:noWrap/>
            <w:vAlign w:val="center"/>
          </w:tcPr>
          <w:p>
            <w:pPr>
              <w:jc w:val="center"/>
              <w:rPr>
                <w:rFonts w:hint="eastAsia" w:ascii="宋体" w:hAnsi="宋体" w:eastAsia="宋体" w:cs="宋体"/>
                <w:color w:val="auto"/>
                <w:kern w:val="0"/>
                <w:sz w:val="24"/>
                <w:highlight w:val="none"/>
              </w:rPr>
            </w:pPr>
          </w:p>
        </w:tc>
        <w:tc>
          <w:tcPr>
            <w:tcW w:w="1335" w:type="dxa"/>
            <w:noWrap/>
            <w:vAlign w:val="center"/>
          </w:tcPr>
          <w:p>
            <w:pPr>
              <w:jc w:val="center"/>
              <w:rPr>
                <w:rFonts w:hint="eastAsia" w:ascii="宋体" w:hAnsi="宋体" w:eastAsia="宋体" w:cs="宋体"/>
                <w:color w:val="auto"/>
                <w:kern w:val="0"/>
                <w:sz w:val="24"/>
                <w:highlight w:val="none"/>
              </w:rPr>
            </w:pPr>
          </w:p>
        </w:tc>
        <w:tc>
          <w:tcPr>
            <w:tcW w:w="705" w:type="dxa"/>
            <w:noWrap/>
            <w:vAlign w:val="center"/>
          </w:tcPr>
          <w:p>
            <w:pPr>
              <w:jc w:val="center"/>
              <w:rPr>
                <w:rFonts w:hint="eastAsia" w:ascii="宋体" w:hAnsi="宋体" w:eastAsia="宋体" w:cs="宋体"/>
                <w:color w:val="auto"/>
                <w:kern w:val="0"/>
                <w:sz w:val="24"/>
                <w:highlight w:val="none"/>
              </w:rPr>
            </w:pPr>
          </w:p>
        </w:tc>
        <w:tc>
          <w:tcPr>
            <w:tcW w:w="975" w:type="dxa"/>
          </w:tcPr>
          <w:p>
            <w:pPr>
              <w:jc w:val="center"/>
              <w:rPr>
                <w:rFonts w:hint="eastAsia" w:ascii="宋体" w:hAnsi="宋体" w:eastAsia="宋体" w:cs="宋体"/>
                <w:color w:val="auto"/>
                <w:kern w:val="0"/>
                <w:sz w:val="24"/>
                <w:highlight w:val="none"/>
              </w:rPr>
            </w:pPr>
          </w:p>
        </w:tc>
        <w:tc>
          <w:tcPr>
            <w:tcW w:w="705" w:type="dxa"/>
            <w:noWrap/>
            <w:vAlign w:val="center"/>
          </w:tcPr>
          <w:p>
            <w:pPr>
              <w:jc w:val="center"/>
              <w:rPr>
                <w:rFonts w:hint="eastAsia" w:ascii="宋体" w:hAnsi="宋体" w:eastAsia="宋体" w:cs="宋体"/>
                <w:color w:val="auto"/>
                <w:kern w:val="0"/>
                <w:sz w:val="24"/>
                <w:highlight w:val="none"/>
              </w:rPr>
            </w:pPr>
          </w:p>
        </w:tc>
        <w:tc>
          <w:tcPr>
            <w:tcW w:w="735" w:type="dxa"/>
            <w:noWrap/>
            <w:vAlign w:val="center"/>
          </w:tcPr>
          <w:p>
            <w:pPr>
              <w:jc w:val="center"/>
              <w:rPr>
                <w:rFonts w:hint="eastAsia" w:ascii="宋体" w:hAnsi="宋体" w:eastAsia="宋体" w:cs="宋体"/>
                <w:color w:val="auto"/>
                <w:kern w:val="0"/>
                <w:sz w:val="24"/>
                <w:highlight w:val="none"/>
              </w:rPr>
            </w:pPr>
          </w:p>
        </w:tc>
        <w:tc>
          <w:tcPr>
            <w:tcW w:w="707" w:type="dxa"/>
            <w:noWrap/>
            <w:vAlign w:val="center"/>
          </w:tcPr>
          <w:p>
            <w:pPr>
              <w:jc w:val="center"/>
              <w:rPr>
                <w:rFonts w:hint="eastAsia" w:ascii="宋体" w:hAnsi="宋体" w:eastAsia="宋体" w:cs="宋体"/>
                <w:color w:val="auto"/>
                <w:kern w:val="0"/>
                <w:sz w:val="24"/>
                <w:highlight w:val="none"/>
              </w:rPr>
            </w:pPr>
          </w:p>
        </w:tc>
        <w:tc>
          <w:tcPr>
            <w:tcW w:w="1399" w:type="dxa"/>
            <w:noWrap/>
            <w:vAlign w:val="center"/>
          </w:tcPr>
          <w:p>
            <w:pPr>
              <w:jc w:val="center"/>
              <w:rPr>
                <w:rFonts w:hint="eastAsia" w:ascii="宋体" w:hAnsi="宋体" w:eastAsia="宋体" w:cs="宋体"/>
                <w:color w:val="auto"/>
                <w:kern w:val="0"/>
                <w:sz w:val="24"/>
                <w:highlight w:val="none"/>
              </w:rPr>
            </w:pPr>
          </w:p>
        </w:tc>
        <w:tc>
          <w:tcPr>
            <w:tcW w:w="1506" w:type="dxa"/>
            <w:noWrap/>
            <w:vAlign w:val="center"/>
          </w:tcPr>
          <w:p>
            <w:pPr>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6" w:type="dxa"/>
            <w:noWrap/>
            <w:vAlign w:val="center"/>
          </w:tcPr>
          <w:p>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230" w:type="dxa"/>
            <w:noWrap/>
            <w:vAlign w:val="center"/>
          </w:tcPr>
          <w:p>
            <w:pPr>
              <w:jc w:val="center"/>
              <w:rPr>
                <w:rFonts w:hint="eastAsia" w:ascii="宋体" w:hAnsi="宋体" w:eastAsia="宋体" w:cs="宋体"/>
                <w:color w:val="auto"/>
                <w:kern w:val="0"/>
                <w:sz w:val="24"/>
                <w:highlight w:val="none"/>
              </w:rPr>
            </w:pPr>
          </w:p>
        </w:tc>
        <w:tc>
          <w:tcPr>
            <w:tcW w:w="1335" w:type="dxa"/>
            <w:noWrap/>
            <w:vAlign w:val="center"/>
          </w:tcPr>
          <w:p>
            <w:pPr>
              <w:jc w:val="center"/>
              <w:rPr>
                <w:rFonts w:hint="eastAsia" w:ascii="宋体" w:hAnsi="宋体" w:eastAsia="宋体" w:cs="宋体"/>
                <w:color w:val="auto"/>
                <w:kern w:val="0"/>
                <w:sz w:val="24"/>
                <w:highlight w:val="none"/>
              </w:rPr>
            </w:pPr>
          </w:p>
        </w:tc>
        <w:tc>
          <w:tcPr>
            <w:tcW w:w="705" w:type="dxa"/>
            <w:noWrap/>
            <w:vAlign w:val="center"/>
          </w:tcPr>
          <w:p>
            <w:pPr>
              <w:jc w:val="center"/>
              <w:rPr>
                <w:rFonts w:hint="eastAsia" w:ascii="宋体" w:hAnsi="宋体" w:eastAsia="宋体" w:cs="宋体"/>
                <w:color w:val="auto"/>
                <w:kern w:val="0"/>
                <w:sz w:val="24"/>
                <w:highlight w:val="none"/>
              </w:rPr>
            </w:pPr>
          </w:p>
        </w:tc>
        <w:tc>
          <w:tcPr>
            <w:tcW w:w="975" w:type="dxa"/>
          </w:tcPr>
          <w:p>
            <w:pPr>
              <w:jc w:val="center"/>
              <w:rPr>
                <w:rFonts w:hint="eastAsia" w:ascii="宋体" w:hAnsi="宋体" w:eastAsia="宋体" w:cs="宋体"/>
                <w:color w:val="auto"/>
                <w:kern w:val="0"/>
                <w:sz w:val="24"/>
                <w:highlight w:val="none"/>
              </w:rPr>
            </w:pPr>
          </w:p>
        </w:tc>
        <w:tc>
          <w:tcPr>
            <w:tcW w:w="705" w:type="dxa"/>
            <w:noWrap/>
            <w:vAlign w:val="center"/>
          </w:tcPr>
          <w:p>
            <w:pPr>
              <w:jc w:val="center"/>
              <w:rPr>
                <w:rFonts w:hint="eastAsia" w:ascii="宋体" w:hAnsi="宋体" w:eastAsia="宋体" w:cs="宋体"/>
                <w:color w:val="auto"/>
                <w:kern w:val="0"/>
                <w:sz w:val="24"/>
                <w:highlight w:val="none"/>
              </w:rPr>
            </w:pPr>
          </w:p>
        </w:tc>
        <w:tc>
          <w:tcPr>
            <w:tcW w:w="735" w:type="dxa"/>
            <w:noWrap/>
            <w:vAlign w:val="center"/>
          </w:tcPr>
          <w:p>
            <w:pPr>
              <w:jc w:val="center"/>
              <w:rPr>
                <w:rFonts w:hint="eastAsia" w:ascii="宋体" w:hAnsi="宋体" w:eastAsia="宋体" w:cs="宋体"/>
                <w:color w:val="auto"/>
                <w:kern w:val="0"/>
                <w:sz w:val="24"/>
                <w:highlight w:val="none"/>
              </w:rPr>
            </w:pPr>
          </w:p>
        </w:tc>
        <w:tc>
          <w:tcPr>
            <w:tcW w:w="707" w:type="dxa"/>
            <w:noWrap/>
            <w:vAlign w:val="center"/>
          </w:tcPr>
          <w:p>
            <w:pPr>
              <w:jc w:val="center"/>
              <w:rPr>
                <w:rFonts w:hint="eastAsia" w:ascii="宋体" w:hAnsi="宋体" w:eastAsia="宋体" w:cs="宋体"/>
                <w:color w:val="auto"/>
                <w:kern w:val="0"/>
                <w:sz w:val="24"/>
                <w:highlight w:val="none"/>
              </w:rPr>
            </w:pPr>
          </w:p>
        </w:tc>
        <w:tc>
          <w:tcPr>
            <w:tcW w:w="1399" w:type="dxa"/>
            <w:noWrap/>
            <w:vAlign w:val="center"/>
          </w:tcPr>
          <w:p>
            <w:pPr>
              <w:jc w:val="center"/>
              <w:rPr>
                <w:rFonts w:hint="eastAsia" w:ascii="宋体" w:hAnsi="宋体" w:eastAsia="宋体" w:cs="宋体"/>
                <w:color w:val="auto"/>
                <w:kern w:val="0"/>
                <w:sz w:val="24"/>
                <w:highlight w:val="none"/>
              </w:rPr>
            </w:pPr>
          </w:p>
        </w:tc>
        <w:tc>
          <w:tcPr>
            <w:tcW w:w="1506" w:type="dxa"/>
            <w:noWrap/>
            <w:vAlign w:val="center"/>
          </w:tcPr>
          <w:p>
            <w:pPr>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226" w:type="dxa"/>
            <w:noWrap/>
            <w:vAlign w:val="center"/>
          </w:tcPr>
          <w:p>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230" w:type="dxa"/>
            <w:noWrap/>
            <w:vAlign w:val="center"/>
          </w:tcPr>
          <w:p>
            <w:pPr>
              <w:jc w:val="center"/>
              <w:rPr>
                <w:rFonts w:hint="eastAsia" w:ascii="宋体" w:hAnsi="宋体" w:eastAsia="宋体" w:cs="宋体"/>
                <w:color w:val="auto"/>
                <w:kern w:val="0"/>
                <w:sz w:val="24"/>
                <w:highlight w:val="none"/>
              </w:rPr>
            </w:pPr>
          </w:p>
        </w:tc>
        <w:tc>
          <w:tcPr>
            <w:tcW w:w="1335" w:type="dxa"/>
            <w:noWrap/>
            <w:vAlign w:val="center"/>
          </w:tcPr>
          <w:p>
            <w:pPr>
              <w:jc w:val="center"/>
              <w:rPr>
                <w:rFonts w:hint="eastAsia" w:ascii="宋体" w:hAnsi="宋体" w:eastAsia="宋体" w:cs="宋体"/>
                <w:color w:val="auto"/>
                <w:kern w:val="0"/>
                <w:sz w:val="24"/>
                <w:highlight w:val="none"/>
              </w:rPr>
            </w:pPr>
          </w:p>
        </w:tc>
        <w:tc>
          <w:tcPr>
            <w:tcW w:w="705" w:type="dxa"/>
            <w:noWrap/>
            <w:vAlign w:val="center"/>
          </w:tcPr>
          <w:p>
            <w:pPr>
              <w:jc w:val="center"/>
              <w:rPr>
                <w:rFonts w:hint="eastAsia" w:ascii="宋体" w:hAnsi="宋体" w:eastAsia="宋体" w:cs="宋体"/>
                <w:color w:val="auto"/>
                <w:kern w:val="0"/>
                <w:sz w:val="24"/>
                <w:highlight w:val="none"/>
              </w:rPr>
            </w:pPr>
          </w:p>
        </w:tc>
        <w:tc>
          <w:tcPr>
            <w:tcW w:w="975" w:type="dxa"/>
          </w:tcPr>
          <w:p>
            <w:pPr>
              <w:jc w:val="center"/>
              <w:rPr>
                <w:rFonts w:hint="eastAsia" w:ascii="宋体" w:hAnsi="宋体" w:eastAsia="宋体" w:cs="宋体"/>
                <w:color w:val="auto"/>
                <w:kern w:val="0"/>
                <w:sz w:val="24"/>
                <w:highlight w:val="none"/>
              </w:rPr>
            </w:pPr>
          </w:p>
        </w:tc>
        <w:tc>
          <w:tcPr>
            <w:tcW w:w="705" w:type="dxa"/>
            <w:noWrap/>
            <w:vAlign w:val="center"/>
          </w:tcPr>
          <w:p>
            <w:pPr>
              <w:jc w:val="center"/>
              <w:rPr>
                <w:rFonts w:hint="eastAsia" w:ascii="宋体" w:hAnsi="宋体" w:eastAsia="宋体" w:cs="宋体"/>
                <w:color w:val="auto"/>
                <w:kern w:val="0"/>
                <w:sz w:val="24"/>
                <w:highlight w:val="none"/>
              </w:rPr>
            </w:pPr>
          </w:p>
        </w:tc>
        <w:tc>
          <w:tcPr>
            <w:tcW w:w="735" w:type="dxa"/>
            <w:noWrap/>
            <w:vAlign w:val="center"/>
          </w:tcPr>
          <w:p>
            <w:pPr>
              <w:jc w:val="center"/>
              <w:rPr>
                <w:rFonts w:hint="eastAsia" w:ascii="宋体" w:hAnsi="宋体" w:eastAsia="宋体" w:cs="宋体"/>
                <w:color w:val="auto"/>
                <w:kern w:val="0"/>
                <w:sz w:val="24"/>
                <w:highlight w:val="none"/>
              </w:rPr>
            </w:pPr>
          </w:p>
        </w:tc>
        <w:tc>
          <w:tcPr>
            <w:tcW w:w="707" w:type="dxa"/>
            <w:noWrap/>
            <w:vAlign w:val="center"/>
          </w:tcPr>
          <w:p>
            <w:pPr>
              <w:jc w:val="center"/>
              <w:rPr>
                <w:rFonts w:hint="eastAsia" w:ascii="宋体" w:hAnsi="宋体" w:eastAsia="宋体" w:cs="宋体"/>
                <w:color w:val="auto"/>
                <w:kern w:val="0"/>
                <w:sz w:val="24"/>
                <w:highlight w:val="none"/>
              </w:rPr>
            </w:pPr>
          </w:p>
        </w:tc>
        <w:tc>
          <w:tcPr>
            <w:tcW w:w="1399" w:type="dxa"/>
            <w:noWrap/>
            <w:vAlign w:val="center"/>
          </w:tcPr>
          <w:p>
            <w:pPr>
              <w:jc w:val="center"/>
              <w:rPr>
                <w:rFonts w:hint="eastAsia" w:ascii="宋体" w:hAnsi="宋体" w:eastAsia="宋体" w:cs="宋体"/>
                <w:color w:val="auto"/>
                <w:kern w:val="0"/>
                <w:sz w:val="24"/>
                <w:highlight w:val="none"/>
              </w:rPr>
            </w:pPr>
          </w:p>
        </w:tc>
        <w:tc>
          <w:tcPr>
            <w:tcW w:w="1506" w:type="dxa"/>
            <w:noWrap/>
            <w:vAlign w:val="center"/>
          </w:tcPr>
          <w:p>
            <w:pPr>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226" w:type="dxa"/>
            <w:noWrap/>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1230" w:type="dxa"/>
            <w:noWrap/>
            <w:vAlign w:val="center"/>
          </w:tcPr>
          <w:p>
            <w:pPr>
              <w:snapToGrid w:val="0"/>
              <w:spacing w:line="360" w:lineRule="auto"/>
              <w:jc w:val="center"/>
              <w:rPr>
                <w:rFonts w:hint="eastAsia" w:ascii="宋体" w:hAnsi="宋体" w:eastAsia="宋体" w:cs="宋体"/>
                <w:color w:val="auto"/>
                <w:sz w:val="24"/>
                <w:highlight w:val="none"/>
              </w:rPr>
            </w:pPr>
          </w:p>
        </w:tc>
        <w:tc>
          <w:tcPr>
            <w:tcW w:w="1335" w:type="dxa"/>
            <w:noWrap/>
            <w:vAlign w:val="center"/>
          </w:tcPr>
          <w:p>
            <w:pPr>
              <w:snapToGrid w:val="0"/>
              <w:spacing w:line="360" w:lineRule="auto"/>
              <w:jc w:val="center"/>
              <w:rPr>
                <w:rFonts w:hint="eastAsia" w:ascii="宋体" w:hAnsi="宋体" w:eastAsia="宋体" w:cs="宋体"/>
                <w:color w:val="auto"/>
                <w:sz w:val="24"/>
                <w:highlight w:val="none"/>
              </w:rPr>
            </w:pPr>
          </w:p>
        </w:tc>
        <w:tc>
          <w:tcPr>
            <w:tcW w:w="705" w:type="dxa"/>
            <w:noWrap/>
            <w:vAlign w:val="center"/>
          </w:tcPr>
          <w:p>
            <w:pPr>
              <w:snapToGrid w:val="0"/>
              <w:spacing w:line="360" w:lineRule="auto"/>
              <w:jc w:val="center"/>
              <w:rPr>
                <w:rFonts w:hint="eastAsia" w:ascii="宋体" w:hAnsi="宋体" w:eastAsia="宋体" w:cs="宋体"/>
                <w:color w:val="auto"/>
                <w:sz w:val="24"/>
                <w:highlight w:val="none"/>
              </w:rPr>
            </w:pPr>
          </w:p>
        </w:tc>
        <w:tc>
          <w:tcPr>
            <w:tcW w:w="975" w:type="dxa"/>
          </w:tcPr>
          <w:p>
            <w:pPr>
              <w:snapToGrid w:val="0"/>
              <w:spacing w:line="360" w:lineRule="auto"/>
              <w:jc w:val="center"/>
              <w:rPr>
                <w:rFonts w:hint="eastAsia" w:ascii="宋体" w:hAnsi="宋体" w:eastAsia="宋体" w:cs="宋体"/>
                <w:color w:val="auto"/>
                <w:sz w:val="24"/>
                <w:highlight w:val="none"/>
              </w:rPr>
            </w:pPr>
          </w:p>
        </w:tc>
        <w:tc>
          <w:tcPr>
            <w:tcW w:w="705" w:type="dxa"/>
            <w:noWrap/>
            <w:vAlign w:val="center"/>
          </w:tcPr>
          <w:p>
            <w:pPr>
              <w:snapToGrid w:val="0"/>
              <w:spacing w:line="360" w:lineRule="auto"/>
              <w:jc w:val="center"/>
              <w:rPr>
                <w:rFonts w:hint="eastAsia" w:ascii="宋体" w:hAnsi="宋体" w:eastAsia="宋体" w:cs="宋体"/>
                <w:color w:val="auto"/>
                <w:sz w:val="24"/>
                <w:highlight w:val="none"/>
              </w:rPr>
            </w:pPr>
          </w:p>
        </w:tc>
        <w:tc>
          <w:tcPr>
            <w:tcW w:w="735" w:type="dxa"/>
            <w:noWrap/>
            <w:vAlign w:val="center"/>
          </w:tcPr>
          <w:p>
            <w:pPr>
              <w:snapToGrid w:val="0"/>
              <w:spacing w:line="360" w:lineRule="auto"/>
              <w:jc w:val="center"/>
              <w:rPr>
                <w:rFonts w:hint="eastAsia" w:ascii="宋体" w:hAnsi="宋体" w:eastAsia="宋体" w:cs="宋体"/>
                <w:color w:val="auto"/>
                <w:sz w:val="24"/>
                <w:highlight w:val="none"/>
              </w:rPr>
            </w:pPr>
          </w:p>
        </w:tc>
        <w:tc>
          <w:tcPr>
            <w:tcW w:w="707" w:type="dxa"/>
            <w:noWrap/>
            <w:vAlign w:val="center"/>
          </w:tcPr>
          <w:p>
            <w:pPr>
              <w:snapToGrid w:val="0"/>
              <w:spacing w:line="360" w:lineRule="auto"/>
              <w:jc w:val="center"/>
              <w:rPr>
                <w:rFonts w:hint="eastAsia" w:ascii="宋体" w:hAnsi="宋体" w:eastAsia="宋体" w:cs="宋体"/>
                <w:color w:val="auto"/>
                <w:sz w:val="24"/>
                <w:highlight w:val="none"/>
              </w:rPr>
            </w:pPr>
          </w:p>
        </w:tc>
        <w:tc>
          <w:tcPr>
            <w:tcW w:w="1399" w:type="dxa"/>
            <w:noWrap/>
            <w:vAlign w:val="center"/>
          </w:tcPr>
          <w:p>
            <w:pPr>
              <w:snapToGrid w:val="0"/>
              <w:spacing w:line="360" w:lineRule="auto"/>
              <w:jc w:val="center"/>
              <w:rPr>
                <w:rFonts w:hint="eastAsia" w:ascii="宋体" w:hAnsi="宋体" w:eastAsia="宋体" w:cs="宋体"/>
                <w:color w:val="auto"/>
                <w:sz w:val="24"/>
                <w:highlight w:val="none"/>
              </w:rPr>
            </w:pPr>
          </w:p>
        </w:tc>
        <w:tc>
          <w:tcPr>
            <w:tcW w:w="1506" w:type="dxa"/>
            <w:noWrap/>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226" w:type="dxa"/>
            <w:noWrap/>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金额合计</w:t>
            </w:r>
          </w:p>
        </w:tc>
        <w:tc>
          <w:tcPr>
            <w:tcW w:w="9297" w:type="dxa"/>
            <w:gridSpan w:val="9"/>
          </w:tcPr>
          <w:p>
            <w:pPr>
              <w:snapToGrid w:val="0"/>
              <w:spacing w:line="360" w:lineRule="auto"/>
              <w:jc w:val="center"/>
              <w:rPr>
                <w:rFonts w:hint="eastAsia" w:ascii="宋体" w:hAnsi="宋体" w:eastAsia="宋体" w:cs="宋体"/>
                <w:color w:val="auto"/>
                <w:sz w:val="24"/>
                <w:highlight w:val="none"/>
              </w:rPr>
            </w:pPr>
          </w:p>
        </w:tc>
      </w:tr>
    </w:tbl>
    <w:p>
      <w:pPr>
        <w:snapToGrid w:val="0"/>
        <w:spacing w:line="360" w:lineRule="auto"/>
        <w:rPr>
          <w:rFonts w:hint="eastAsia" w:ascii="宋体" w:hAnsi="宋体" w:eastAsia="宋体" w:cs="宋体"/>
          <w:b/>
          <w:color w:val="auto"/>
          <w:sz w:val="24"/>
        </w:rPr>
      </w:pPr>
    </w:p>
    <w:p>
      <w:pPr>
        <w:snapToGrid w:val="0"/>
        <w:spacing w:line="360" w:lineRule="auto"/>
        <w:rPr>
          <w:rFonts w:hint="eastAsia" w:ascii="宋体" w:hAnsi="宋体" w:eastAsia="宋体" w:cs="宋体"/>
          <w:b/>
          <w:color w:val="auto"/>
          <w:sz w:val="24"/>
          <w:lang w:val="zh-CN"/>
        </w:rPr>
      </w:pPr>
      <w:r>
        <w:rPr>
          <w:rFonts w:hint="eastAsia" w:ascii="宋体" w:hAnsi="宋体" w:eastAsia="宋体" w:cs="宋体"/>
          <w:b/>
          <w:color w:val="auto"/>
          <w:sz w:val="24"/>
        </w:rPr>
        <w:t>注： 1.本项目一次性报价，</w:t>
      </w:r>
      <w:r>
        <w:rPr>
          <w:rFonts w:hint="eastAsia" w:ascii="宋体" w:hAnsi="宋体" w:eastAsia="宋体" w:cs="宋体"/>
          <w:b/>
          <w:color w:val="auto"/>
          <w:sz w:val="24"/>
          <w:lang w:val="zh-CN"/>
        </w:rPr>
        <w:t>响应供应商必须详细报出采购清单中各个子项的名称、规格、工程量、单价、备注中的内容等，且本表各分项报价合计应当与询价报价表中的响应总报价相等。请各供应商务必按照以上要求填报，否则作为无效投标处理。</w:t>
      </w:r>
    </w:p>
    <w:p>
      <w:pPr>
        <w:adjustRightInd w:val="0"/>
        <w:snapToGrid w:val="0"/>
        <w:spacing w:line="360" w:lineRule="auto"/>
        <w:ind w:firstLine="600" w:firstLineChars="250"/>
        <w:jc w:val="left"/>
        <w:rPr>
          <w:rFonts w:hint="eastAsia" w:ascii="宋体" w:hAnsi="宋体" w:eastAsia="宋体" w:cs="宋体"/>
          <w:b/>
          <w:bCs/>
          <w:color w:val="auto"/>
          <w:sz w:val="24"/>
        </w:rPr>
      </w:pPr>
      <w:r>
        <w:rPr>
          <w:rFonts w:hint="eastAsia" w:ascii="宋体" w:hAnsi="宋体" w:eastAsia="宋体" w:cs="宋体"/>
          <w:b/>
          <w:bCs/>
          <w:color w:val="auto"/>
          <w:sz w:val="24"/>
        </w:rPr>
        <w:t>2.</w:t>
      </w:r>
      <w:r>
        <w:rPr>
          <w:rFonts w:hint="eastAsia" w:ascii="宋体" w:hAnsi="宋体" w:eastAsia="宋体" w:cs="宋体"/>
          <w:b/>
          <w:color w:val="auto"/>
          <w:sz w:val="24"/>
          <w:lang w:val="zh-CN"/>
        </w:rPr>
        <w:t xml:space="preserve"> 供应商须详细备注主要标的信息。内容不实的，属于提供虚假材料谋取中标、成交，依照《中华人民共和国政府采购法》等国家有关规定追究相应责任。</w:t>
      </w:r>
    </w:p>
    <w:p>
      <w:pPr>
        <w:adjustRightInd w:val="0"/>
        <w:snapToGrid w:val="0"/>
        <w:spacing w:line="312" w:lineRule="auto"/>
        <w:ind w:firstLine="3360" w:firstLineChars="1400"/>
        <w:jc w:val="left"/>
        <w:rPr>
          <w:rFonts w:hint="eastAsia" w:ascii="宋体" w:hAnsi="宋体" w:eastAsia="宋体" w:cs="宋体"/>
          <w:color w:val="auto"/>
          <w:sz w:val="24"/>
        </w:rPr>
      </w:pPr>
    </w:p>
    <w:p>
      <w:pPr>
        <w:adjustRightInd w:val="0"/>
        <w:snapToGrid w:val="0"/>
        <w:spacing w:line="312" w:lineRule="auto"/>
        <w:ind w:firstLine="3360" w:firstLineChars="1400"/>
        <w:jc w:val="left"/>
        <w:rPr>
          <w:rFonts w:hint="eastAsia" w:ascii="宋体" w:hAnsi="宋体" w:eastAsia="宋体" w:cs="宋体"/>
          <w:color w:val="auto"/>
          <w:sz w:val="24"/>
        </w:rPr>
      </w:pPr>
    </w:p>
    <w:p>
      <w:pPr>
        <w:adjustRightInd w:val="0"/>
        <w:snapToGrid w:val="0"/>
        <w:spacing w:line="312" w:lineRule="auto"/>
        <w:ind w:firstLine="3360" w:firstLineChars="1400"/>
        <w:jc w:val="left"/>
        <w:rPr>
          <w:rFonts w:hint="eastAsia" w:ascii="宋体" w:hAnsi="宋体" w:eastAsia="宋体" w:cs="宋体"/>
          <w:b/>
          <w:bCs/>
          <w:color w:val="auto"/>
          <w:sz w:val="24"/>
          <w:u w:val="single"/>
        </w:rPr>
      </w:pPr>
      <w:r>
        <w:rPr>
          <w:rFonts w:hint="eastAsia" w:ascii="宋体" w:hAnsi="宋体" w:eastAsia="宋体" w:cs="宋体"/>
          <w:color w:val="auto"/>
          <w:sz w:val="24"/>
        </w:rPr>
        <w:t>响应供应商全称（盖公章）：</w:t>
      </w:r>
    </w:p>
    <w:p>
      <w:pPr>
        <w:adjustRightInd w:val="0"/>
        <w:snapToGrid w:val="0"/>
        <w:spacing w:line="312" w:lineRule="auto"/>
        <w:ind w:firstLine="3360" w:firstLineChars="1400"/>
        <w:jc w:val="left"/>
        <w:rPr>
          <w:rFonts w:hint="eastAsia" w:ascii="宋体" w:hAnsi="宋体" w:eastAsia="宋体" w:cs="宋体"/>
          <w:color w:val="auto"/>
          <w:sz w:val="24"/>
        </w:rPr>
      </w:pPr>
      <w:r>
        <w:rPr>
          <w:rFonts w:hint="eastAsia" w:ascii="宋体" w:hAnsi="宋体" w:eastAsia="宋体" w:cs="宋体"/>
          <w:color w:val="auto"/>
          <w:sz w:val="24"/>
        </w:rPr>
        <w:t xml:space="preserve">法定代表人（签字或盖章）： </w:t>
      </w:r>
    </w:p>
    <w:p>
      <w:pPr>
        <w:adjustRightInd w:val="0"/>
        <w:snapToGrid w:val="0"/>
        <w:spacing w:line="312" w:lineRule="auto"/>
        <w:ind w:firstLine="3360" w:firstLineChars="1400"/>
        <w:jc w:val="lef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cs="宋体"/>
          <w:color w:val="auto"/>
          <w:sz w:val="24"/>
          <w:lang w:val="en-US" w:eastAsia="zh-CN"/>
        </w:rPr>
        <w:t xml:space="preserve">  </w:t>
      </w:r>
      <w:r>
        <w:rPr>
          <w:rFonts w:hint="eastAsia" w:ascii="宋体" w:hAnsi="宋体" w:eastAsia="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snapToGrid w:val="0"/>
        <w:spacing w:line="300" w:lineRule="auto"/>
        <w:outlineLvl w:val="0"/>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t>附件</w:t>
      </w:r>
      <w:r>
        <w:rPr>
          <w:rFonts w:hint="eastAsia" w:ascii="宋体" w:hAnsi="宋体" w:cs="宋体"/>
          <w:color w:val="auto"/>
          <w:sz w:val="32"/>
          <w:szCs w:val="32"/>
          <w:lang w:val="en-US" w:eastAsia="zh-CN"/>
        </w:rPr>
        <w:t>10</w:t>
      </w:r>
    </w:p>
    <w:p>
      <w:pPr>
        <w:snapToGrid w:val="0"/>
        <w:spacing w:line="300" w:lineRule="auto"/>
        <w:jc w:val="center"/>
        <w:outlineLvl w:val="0"/>
        <w:rPr>
          <w:rFonts w:hint="eastAsia" w:ascii="宋体" w:hAnsi="宋体" w:eastAsia="宋体" w:cs="宋体"/>
          <w:b/>
          <w:bCs/>
          <w:color w:val="auto"/>
          <w:sz w:val="28"/>
          <w:szCs w:val="28"/>
          <w:lang w:bidi="zh-CN"/>
        </w:rPr>
      </w:pPr>
      <w:r>
        <w:rPr>
          <w:rFonts w:hint="eastAsia" w:ascii="宋体" w:hAnsi="宋体" w:eastAsia="宋体" w:cs="宋体"/>
          <w:b/>
          <w:bCs/>
          <w:color w:val="auto"/>
          <w:sz w:val="28"/>
          <w:szCs w:val="28"/>
          <w:lang w:bidi="zh-CN"/>
        </w:rPr>
        <w:t>中小企业声明函（货物）</w:t>
      </w:r>
    </w:p>
    <w:p>
      <w:pPr>
        <w:snapToGrid w:val="0"/>
        <w:spacing w:line="360" w:lineRule="auto"/>
        <w:ind w:firstLine="560" w:firstLineChars="200"/>
        <w:outlineLvl w:val="0"/>
        <w:rPr>
          <w:rFonts w:hint="eastAsia" w:ascii="宋体" w:hAnsi="宋体" w:eastAsia="宋体" w:cs="宋体"/>
          <w:color w:val="auto"/>
          <w:sz w:val="28"/>
          <w:szCs w:val="28"/>
          <w:lang w:bidi="zh-CN"/>
        </w:rPr>
      </w:pPr>
      <w:r>
        <w:rPr>
          <w:rFonts w:hint="eastAsia" w:ascii="宋体" w:hAnsi="宋体" w:eastAsia="宋体" w:cs="宋体"/>
          <w:color w:val="auto"/>
          <w:sz w:val="28"/>
          <w:szCs w:val="28"/>
          <w:lang w:bidi="zh-CN"/>
        </w:rPr>
        <w:t>本公司（联合体）郑重声明，根据《政府采购促进中小企业发展管理办法》（财库﹝2020﹞46 号）的规定，本公司（联合体）参加</w:t>
      </w:r>
      <w:r>
        <w:rPr>
          <w:rFonts w:hint="eastAsia" w:ascii="宋体" w:hAnsi="宋体" w:eastAsia="宋体" w:cs="宋体"/>
          <w:color w:val="auto"/>
          <w:sz w:val="28"/>
          <w:szCs w:val="28"/>
          <w:u w:val="single"/>
          <w:lang w:bidi="zh-CN"/>
        </w:rPr>
        <w:t>（单位名称）</w:t>
      </w:r>
      <w:r>
        <w:rPr>
          <w:rFonts w:hint="eastAsia" w:ascii="宋体" w:hAnsi="宋体" w:eastAsia="宋体" w:cs="宋体"/>
          <w:color w:val="auto"/>
          <w:sz w:val="28"/>
          <w:szCs w:val="28"/>
          <w:lang w:bidi="zh-CN"/>
        </w:rPr>
        <w:t>的</w:t>
      </w:r>
      <w:r>
        <w:rPr>
          <w:rFonts w:hint="eastAsia" w:ascii="宋体" w:hAnsi="宋体" w:eastAsia="宋体" w:cs="宋体"/>
          <w:color w:val="auto"/>
          <w:sz w:val="28"/>
          <w:szCs w:val="28"/>
          <w:u w:val="single"/>
          <w:lang w:bidi="zh-CN"/>
        </w:rPr>
        <w:t>（项目名称）</w:t>
      </w:r>
      <w:r>
        <w:rPr>
          <w:rFonts w:hint="eastAsia" w:ascii="宋体" w:hAnsi="宋体" w:eastAsia="宋体" w:cs="宋体"/>
          <w:color w:val="auto"/>
          <w:sz w:val="28"/>
          <w:szCs w:val="28"/>
          <w:lang w:bidi="zh-CN"/>
        </w:rPr>
        <w:t>采购活动，提供的货物全部由符合政策要求的中小企业制造。相关企业（含联合体中的中小企业、签订分包意向协议的中小企业） 的具体情况如下：</w:t>
      </w:r>
    </w:p>
    <w:p>
      <w:pPr>
        <w:snapToGrid w:val="0"/>
        <w:spacing w:line="360" w:lineRule="auto"/>
        <w:outlineLvl w:val="0"/>
        <w:rPr>
          <w:rFonts w:hint="eastAsia" w:ascii="宋体" w:hAnsi="宋体" w:eastAsia="宋体" w:cs="宋体"/>
          <w:color w:val="auto"/>
          <w:sz w:val="28"/>
          <w:szCs w:val="28"/>
          <w:lang w:bidi="zh-CN"/>
        </w:rPr>
      </w:pPr>
      <w:r>
        <w:rPr>
          <w:rFonts w:hint="eastAsia" w:ascii="宋体" w:hAnsi="宋体" w:eastAsia="宋体" w:cs="宋体"/>
          <w:color w:val="auto"/>
          <w:sz w:val="28"/>
          <w:szCs w:val="28"/>
          <w:lang w:bidi="zh-CN"/>
        </w:rPr>
        <w:t>1.</w:t>
      </w:r>
      <w:r>
        <w:rPr>
          <w:rFonts w:hint="eastAsia" w:ascii="宋体" w:hAnsi="宋体" w:eastAsia="宋体" w:cs="宋体"/>
          <w:color w:val="auto"/>
          <w:sz w:val="28"/>
          <w:szCs w:val="28"/>
          <w:u w:val="single"/>
          <w:lang w:bidi="zh-CN"/>
        </w:rPr>
        <w:t xml:space="preserve"> （标的名称）</w:t>
      </w:r>
      <w:r>
        <w:rPr>
          <w:rFonts w:hint="eastAsia" w:ascii="宋体" w:hAnsi="宋体" w:eastAsia="宋体" w:cs="宋体"/>
          <w:color w:val="auto"/>
          <w:sz w:val="28"/>
          <w:szCs w:val="28"/>
          <w:lang w:bidi="zh-CN"/>
        </w:rPr>
        <w:t xml:space="preserve"> ，属于</w:t>
      </w:r>
      <w:r>
        <w:rPr>
          <w:rFonts w:hint="eastAsia" w:ascii="宋体" w:hAnsi="宋体" w:eastAsia="宋体" w:cs="宋体"/>
          <w:color w:val="auto"/>
          <w:sz w:val="28"/>
          <w:szCs w:val="28"/>
          <w:u w:val="single"/>
          <w:lang w:bidi="zh-CN"/>
        </w:rPr>
        <w:t>（采购文件中明确的所属行业）</w:t>
      </w:r>
      <w:r>
        <w:rPr>
          <w:rFonts w:hint="eastAsia" w:ascii="宋体" w:hAnsi="宋体" w:eastAsia="宋体" w:cs="宋体"/>
          <w:color w:val="auto"/>
          <w:sz w:val="28"/>
          <w:szCs w:val="28"/>
          <w:lang w:bidi="zh-CN"/>
        </w:rPr>
        <w:t>行业；制造商为</w:t>
      </w:r>
      <w:r>
        <w:rPr>
          <w:rFonts w:hint="eastAsia" w:ascii="宋体" w:hAnsi="宋体" w:eastAsia="宋体" w:cs="宋体"/>
          <w:color w:val="auto"/>
          <w:sz w:val="28"/>
          <w:szCs w:val="28"/>
          <w:u w:val="single"/>
          <w:lang w:bidi="zh-CN"/>
        </w:rPr>
        <w:t>（企业名称）</w:t>
      </w:r>
      <w:r>
        <w:rPr>
          <w:rFonts w:hint="eastAsia" w:ascii="宋体" w:hAnsi="宋体" w:eastAsia="宋体" w:cs="宋体"/>
          <w:color w:val="auto"/>
          <w:sz w:val="28"/>
          <w:szCs w:val="28"/>
          <w:lang w:bidi="zh-CN"/>
        </w:rPr>
        <w:t>，从业人员</w:t>
      </w:r>
      <w:r>
        <w:rPr>
          <w:rFonts w:hint="eastAsia" w:ascii="宋体" w:hAnsi="宋体" w:eastAsia="宋体" w:cs="宋体"/>
          <w:color w:val="auto"/>
          <w:sz w:val="28"/>
          <w:szCs w:val="28"/>
          <w:u w:val="single"/>
          <w:lang w:bidi="zh-CN"/>
        </w:rPr>
        <w:t xml:space="preserve"> </w:t>
      </w:r>
      <w:r>
        <w:rPr>
          <w:rFonts w:hint="eastAsia" w:ascii="宋体" w:hAnsi="宋体" w:eastAsia="宋体" w:cs="宋体"/>
          <w:color w:val="auto"/>
          <w:sz w:val="28"/>
          <w:szCs w:val="28"/>
          <w:u w:val="single"/>
          <w:lang w:bidi="zh-CN"/>
        </w:rPr>
        <w:tab/>
      </w:r>
      <w:r>
        <w:rPr>
          <w:rFonts w:hint="eastAsia" w:ascii="宋体" w:hAnsi="宋体" w:eastAsia="宋体" w:cs="宋体"/>
          <w:color w:val="auto"/>
          <w:sz w:val="28"/>
          <w:szCs w:val="28"/>
          <w:lang w:bidi="zh-CN"/>
        </w:rPr>
        <w:t>人，营业收入为</w:t>
      </w:r>
      <w:r>
        <w:rPr>
          <w:rFonts w:hint="eastAsia" w:ascii="宋体" w:hAnsi="宋体" w:eastAsia="宋体" w:cs="宋体"/>
          <w:color w:val="auto"/>
          <w:sz w:val="28"/>
          <w:szCs w:val="28"/>
          <w:u w:val="single"/>
          <w:lang w:bidi="zh-CN"/>
        </w:rPr>
        <w:t xml:space="preserve"> </w:t>
      </w:r>
      <w:r>
        <w:rPr>
          <w:rFonts w:hint="eastAsia" w:ascii="宋体" w:hAnsi="宋体" w:eastAsia="宋体" w:cs="宋体"/>
          <w:color w:val="auto"/>
          <w:sz w:val="28"/>
          <w:szCs w:val="28"/>
          <w:u w:val="single"/>
          <w:lang w:bidi="zh-CN"/>
        </w:rPr>
        <w:tab/>
      </w:r>
      <w:r>
        <w:rPr>
          <w:rFonts w:hint="eastAsia" w:ascii="宋体" w:hAnsi="宋体" w:eastAsia="宋体" w:cs="宋体"/>
          <w:color w:val="auto"/>
          <w:sz w:val="28"/>
          <w:szCs w:val="28"/>
          <w:lang w:bidi="zh-CN"/>
        </w:rPr>
        <w:t>万元，资产总额为</w:t>
      </w:r>
      <w:r>
        <w:rPr>
          <w:rFonts w:hint="eastAsia" w:ascii="宋体" w:hAnsi="宋体" w:eastAsia="宋体" w:cs="宋体"/>
          <w:color w:val="auto"/>
          <w:sz w:val="28"/>
          <w:szCs w:val="28"/>
          <w:u w:val="single"/>
          <w:lang w:bidi="zh-CN"/>
        </w:rPr>
        <w:t xml:space="preserve"> </w:t>
      </w:r>
      <w:r>
        <w:rPr>
          <w:rFonts w:hint="eastAsia" w:ascii="宋体" w:hAnsi="宋体" w:eastAsia="宋体" w:cs="宋体"/>
          <w:color w:val="auto"/>
          <w:sz w:val="28"/>
          <w:szCs w:val="28"/>
          <w:u w:val="single"/>
          <w:lang w:bidi="zh-CN"/>
        </w:rPr>
        <w:tab/>
      </w:r>
      <w:r>
        <w:rPr>
          <w:rFonts w:hint="eastAsia" w:ascii="宋体" w:hAnsi="宋体" w:eastAsia="宋体" w:cs="宋体"/>
          <w:color w:val="auto"/>
          <w:sz w:val="28"/>
          <w:szCs w:val="28"/>
          <w:lang w:bidi="zh-CN"/>
        </w:rPr>
        <w:t>万元，属于</w:t>
      </w:r>
      <w:r>
        <w:rPr>
          <w:rFonts w:hint="eastAsia" w:ascii="宋体" w:hAnsi="宋体" w:eastAsia="宋体" w:cs="宋体"/>
          <w:color w:val="auto"/>
          <w:sz w:val="28"/>
          <w:szCs w:val="28"/>
          <w:u w:val="single"/>
          <w:lang w:bidi="zh-CN"/>
        </w:rPr>
        <w:t>（中型企业、小型企业、微型企业）</w:t>
      </w:r>
      <w:r>
        <w:rPr>
          <w:rFonts w:hint="eastAsia" w:ascii="宋体" w:hAnsi="宋体" w:eastAsia="宋体" w:cs="宋体"/>
          <w:color w:val="auto"/>
          <w:sz w:val="28"/>
          <w:szCs w:val="28"/>
          <w:lang w:bidi="zh-CN"/>
        </w:rPr>
        <w:t>；</w:t>
      </w:r>
    </w:p>
    <w:p>
      <w:pPr>
        <w:snapToGrid w:val="0"/>
        <w:spacing w:line="360" w:lineRule="auto"/>
        <w:outlineLvl w:val="0"/>
        <w:rPr>
          <w:rFonts w:hint="eastAsia" w:ascii="宋体" w:hAnsi="宋体" w:eastAsia="宋体" w:cs="宋体"/>
          <w:color w:val="auto"/>
          <w:sz w:val="28"/>
          <w:szCs w:val="28"/>
          <w:lang w:bidi="zh-CN"/>
        </w:rPr>
      </w:pPr>
      <w:r>
        <w:rPr>
          <w:rFonts w:hint="eastAsia" w:ascii="宋体" w:hAnsi="宋体" w:eastAsia="宋体" w:cs="宋体"/>
          <w:color w:val="auto"/>
          <w:sz w:val="28"/>
          <w:szCs w:val="28"/>
          <w:lang w:bidi="zh-CN"/>
        </w:rPr>
        <w:t>2.</w:t>
      </w:r>
      <w:r>
        <w:rPr>
          <w:rFonts w:hint="eastAsia" w:ascii="宋体" w:hAnsi="宋体" w:eastAsia="宋体" w:cs="宋体"/>
          <w:i/>
          <w:color w:val="auto"/>
          <w:sz w:val="28"/>
          <w:szCs w:val="28"/>
          <w:u w:val="single"/>
          <w:lang w:bidi="zh-CN"/>
        </w:rPr>
        <w:t xml:space="preserve"> </w:t>
      </w:r>
      <w:r>
        <w:rPr>
          <w:rFonts w:hint="eastAsia" w:ascii="宋体" w:hAnsi="宋体" w:eastAsia="宋体" w:cs="宋体"/>
          <w:color w:val="auto"/>
          <w:sz w:val="28"/>
          <w:szCs w:val="28"/>
          <w:u w:val="single"/>
          <w:lang w:bidi="zh-CN"/>
        </w:rPr>
        <w:t xml:space="preserve">（标的名称） </w:t>
      </w:r>
      <w:r>
        <w:rPr>
          <w:rFonts w:hint="eastAsia" w:ascii="宋体" w:hAnsi="宋体" w:eastAsia="宋体" w:cs="宋体"/>
          <w:color w:val="auto"/>
          <w:sz w:val="28"/>
          <w:szCs w:val="28"/>
          <w:lang w:bidi="zh-CN"/>
        </w:rPr>
        <w:t>，属于</w:t>
      </w:r>
      <w:r>
        <w:rPr>
          <w:rFonts w:hint="eastAsia" w:ascii="宋体" w:hAnsi="宋体" w:eastAsia="宋体" w:cs="宋体"/>
          <w:color w:val="auto"/>
          <w:sz w:val="28"/>
          <w:szCs w:val="28"/>
          <w:u w:val="single"/>
          <w:lang w:bidi="zh-CN"/>
        </w:rPr>
        <w:t>（采购文件中明确的所属行业）</w:t>
      </w:r>
      <w:r>
        <w:rPr>
          <w:rFonts w:hint="eastAsia" w:ascii="宋体" w:hAnsi="宋体" w:eastAsia="宋体" w:cs="宋体"/>
          <w:color w:val="auto"/>
          <w:sz w:val="28"/>
          <w:szCs w:val="28"/>
          <w:lang w:bidi="zh-CN"/>
        </w:rPr>
        <w:t>行业；制造商为</w:t>
      </w:r>
      <w:r>
        <w:rPr>
          <w:rFonts w:hint="eastAsia" w:ascii="宋体" w:hAnsi="宋体" w:eastAsia="宋体" w:cs="宋体"/>
          <w:color w:val="auto"/>
          <w:sz w:val="28"/>
          <w:szCs w:val="28"/>
          <w:u w:val="single"/>
          <w:lang w:bidi="zh-CN"/>
        </w:rPr>
        <w:t>（企业名称）</w:t>
      </w:r>
      <w:r>
        <w:rPr>
          <w:rFonts w:hint="eastAsia" w:ascii="宋体" w:hAnsi="宋体" w:eastAsia="宋体" w:cs="宋体"/>
          <w:color w:val="auto"/>
          <w:sz w:val="28"/>
          <w:szCs w:val="28"/>
          <w:lang w:bidi="zh-CN"/>
        </w:rPr>
        <w:t>，从业人员</w:t>
      </w:r>
      <w:r>
        <w:rPr>
          <w:rFonts w:hint="eastAsia" w:ascii="宋体" w:hAnsi="宋体" w:eastAsia="宋体" w:cs="宋体"/>
          <w:color w:val="auto"/>
          <w:sz w:val="28"/>
          <w:szCs w:val="28"/>
          <w:u w:val="single"/>
          <w:lang w:bidi="zh-CN"/>
        </w:rPr>
        <w:t xml:space="preserve"> </w:t>
      </w:r>
      <w:r>
        <w:rPr>
          <w:rFonts w:hint="eastAsia" w:ascii="宋体" w:hAnsi="宋体" w:eastAsia="宋体" w:cs="宋体"/>
          <w:color w:val="auto"/>
          <w:sz w:val="28"/>
          <w:szCs w:val="28"/>
          <w:u w:val="single"/>
          <w:lang w:bidi="zh-CN"/>
        </w:rPr>
        <w:tab/>
      </w:r>
      <w:r>
        <w:rPr>
          <w:rFonts w:hint="eastAsia" w:ascii="宋体" w:hAnsi="宋体" w:eastAsia="宋体" w:cs="宋体"/>
          <w:color w:val="auto"/>
          <w:sz w:val="28"/>
          <w:szCs w:val="28"/>
          <w:lang w:bidi="zh-CN"/>
        </w:rPr>
        <w:t>人，营业收入为</w:t>
      </w:r>
      <w:r>
        <w:rPr>
          <w:rFonts w:hint="eastAsia" w:ascii="宋体" w:hAnsi="宋体" w:eastAsia="宋体" w:cs="宋体"/>
          <w:color w:val="auto"/>
          <w:sz w:val="28"/>
          <w:szCs w:val="28"/>
          <w:u w:val="single"/>
          <w:lang w:bidi="zh-CN"/>
        </w:rPr>
        <w:t xml:space="preserve"> </w:t>
      </w:r>
      <w:r>
        <w:rPr>
          <w:rFonts w:hint="eastAsia" w:ascii="宋体" w:hAnsi="宋体" w:eastAsia="宋体" w:cs="宋体"/>
          <w:color w:val="auto"/>
          <w:sz w:val="28"/>
          <w:szCs w:val="28"/>
          <w:u w:val="single"/>
          <w:lang w:bidi="zh-CN"/>
        </w:rPr>
        <w:tab/>
      </w:r>
      <w:r>
        <w:rPr>
          <w:rFonts w:hint="eastAsia" w:ascii="宋体" w:hAnsi="宋体" w:eastAsia="宋体" w:cs="宋体"/>
          <w:color w:val="auto"/>
          <w:sz w:val="28"/>
          <w:szCs w:val="28"/>
          <w:lang w:bidi="zh-CN"/>
        </w:rPr>
        <w:t>万元，资产总额为</w:t>
      </w:r>
      <w:r>
        <w:rPr>
          <w:rFonts w:hint="eastAsia" w:ascii="宋体" w:hAnsi="宋体" w:eastAsia="宋体" w:cs="宋体"/>
          <w:color w:val="auto"/>
          <w:sz w:val="28"/>
          <w:szCs w:val="28"/>
          <w:u w:val="single"/>
          <w:lang w:bidi="zh-CN"/>
        </w:rPr>
        <w:t xml:space="preserve"> </w:t>
      </w:r>
      <w:r>
        <w:rPr>
          <w:rFonts w:hint="eastAsia" w:ascii="宋体" w:hAnsi="宋体" w:eastAsia="宋体" w:cs="宋体"/>
          <w:color w:val="auto"/>
          <w:sz w:val="28"/>
          <w:szCs w:val="28"/>
          <w:u w:val="single"/>
          <w:lang w:bidi="zh-CN"/>
        </w:rPr>
        <w:tab/>
      </w:r>
      <w:r>
        <w:rPr>
          <w:rFonts w:hint="eastAsia" w:ascii="宋体" w:hAnsi="宋体" w:eastAsia="宋体" w:cs="宋体"/>
          <w:color w:val="auto"/>
          <w:sz w:val="28"/>
          <w:szCs w:val="28"/>
          <w:lang w:bidi="zh-CN"/>
        </w:rPr>
        <w:t>万元，属于</w:t>
      </w:r>
      <w:r>
        <w:rPr>
          <w:rFonts w:hint="eastAsia" w:ascii="宋体" w:hAnsi="宋体" w:eastAsia="宋体" w:cs="宋体"/>
          <w:color w:val="auto"/>
          <w:sz w:val="28"/>
          <w:szCs w:val="28"/>
          <w:u w:val="single"/>
          <w:lang w:bidi="zh-CN"/>
        </w:rPr>
        <w:t>（中型企业、小型企业、微型企业）</w:t>
      </w:r>
      <w:r>
        <w:rPr>
          <w:rFonts w:hint="eastAsia" w:ascii="宋体" w:hAnsi="宋体" w:eastAsia="宋体" w:cs="宋体"/>
          <w:color w:val="auto"/>
          <w:sz w:val="28"/>
          <w:szCs w:val="28"/>
          <w:lang w:bidi="zh-CN"/>
        </w:rPr>
        <w:t>；</w:t>
      </w:r>
    </w:p>
    <w:p>
      <w:pPr>
        <w:snapToGrid w:val="0"/>
        <w:spacing w:line="360" w:lineRule="auto"/>
        <w:outlineLvl w:val="0"/>
        <w:rPr>
          <w:rFonts w:hint="eastAsia" w:ascii="宋体" w:hAnsi="宋体" w:eastAsia="宋体" w:cs="宋体"/>
          <w:color w:val="auto"/>
          <w:sz w:val="28"/>
          <w:szCs w:val="28"/>
          <w:lang w:bidi="zh-CN"/>
        </w:rPr>
      </w:pPr>
      <w:r>
        <w:rPr>
          <w:rFonts w:hint="eastAsia" w:ascii="宋体" w:hAnsi="宋体" w:eastAsia="宋体" w:cs="宋体"/>
          <w:color w:val="auto"/>
          <w:sz w:val="28"/>
          <w:szCs w:val="28"/>
          <w:lang w:bidi="zh-CN"/>
        </w:rPr>
        <w:t>……</w:t>
      </w:r>
    </w:p>
    <w:p>
      <w:pPr>
        <w:snapToGrid w:val="0"/>
        <w:spacing w:line="360" w:lineRule="auto"/>
        <w:ind w:firstLine="560" w:firstLineChars="200"/>
        <w:outlineLvl w:val="0"/>
        <w:rPr>
          <w:rFonts w:hint="eastAsia" w:ascii="宋体" w:hAnsi="宋体" w:eastAsia="宋体" w:cs="宋体"/>
          <w:color w:val="auto"/>
          <w:sz w:val="28"/>
          <w:szCs w:val="28"/>
          <w:lang w:bidi="zh-CN"/>
        </w:rPr>
      </w:pPr>
      <w:r>
        <w:rPr>
          <w:rFonts w:hint="eastAsia" w:ascii="宋体" w:hAnsi="宋体" w:eastAsia="宋体" w:cs="宋体"/>
          <w:color w:val="auto"/>
          <w:sz w:val="28"/>
          <w:szCs w:val="28"/>
          <w:lang w:bidi="zh-CN"/>
        </w:rPr>
        <w:t>以上企业，不属于大企业的分支机构，不存在控股股东为大企业的情形，也不存在与大企业的负责人为同一人的情形。</w:t>
      </w:r>
    </w:p>
    <w:p>
      <w:pPr>
        <w:snapToGrid w:val="0"/>
        <w:spacing w:line="360" w:lineRule="auto"/>
        <w:ind w:firstLine="560" w:firstLineChars="200"/>
        <w:outlineLvl w:val="0"/>
        <w:rPr>
          <w:rFonts w:hint="eastAsia" w:ascii="宋体" w:hAnsi="宋体" w:eastAsia="宋体" w:cs="宋体"/>
          <w:color w:val="auto"/>
          <w:sz w:val="28"/>
          <w:szCs w:val="28"/>
          <w:lang w:bidi="zh-CN"/>
        </w:rPr>
      </w:pPr>
      <w:r>
        <w:rPr>
          <w:rFonts w:hint="eastAsia" w:ascii="宋体" w:hAnsi="宋体" w:eastAsia="宋体" w:cs="宋体"/>
          <w:color w:val="auto"/>
          <w:sz w:val="28"/>
          <w:szCs w:val="28"/>
          <w:lang w:bidi="zh-CN"/>
        </w:rPr>
        <w:t>本企业对上述声明内容的真实性负责。如有虚假，将依法承担相应责任。</w:t>
      </w:r>
    </w:p>
    <w:p>
      <w:pPr>
        <w:snapToGrid w:val="0"/>
        <w:spacing w:line="300" w:lineRule="auto"/>
        <w:outlineLvl w:val="0"/>
        <w:rPr>
          <w:rFonts w:hint="eastAsia" w:ascii="宋体" w:hAnsi="宋体" w:eastAsia="宋体" w:cs="宋体"/>
          <w:color w:val="auto"/>
          <w:sz w:val="28"/>
          <w:szCs w:val="28"/>
          <w:lang w:bidi="zh-CN"/>
        </w:rPr>
      </w:pPr>
    </w:p>
    <w:p>
      <w:pPr>
        <w:snapToGrid w:val="0"/>
        <w:spacing w:line="300" w:lineRule="auto"/>
        <w:outlineLvl w:val="0"/>
        <w:rPr>
          <w:rFonts w:hint="eastAsia" w:ascii="宋体" w:hAnsi="宋体" w:eastAsia="宋体" w:cs="宋体"/>
          <w:color w:val="auto"/>
          <w:szCs w:val="21"/>
          <w:lang w:bidi="zh-CN"/>
        </w:rPr>
      </w:pPr>
      <w:r>
        <w:rPr>
          <w:rFonts w:hint="eastAsia" w:ascii="宋体" w:hAnsi="宋体" w:eastAsia="宋体" w:cs="宋体"/>
          <w:color w:val="auto"/>
          <w:szCs w:val="21"/>
          <w:lang w:bidi="zh-CN"/>
        </w:rPr>
        <w:t>注：1.从业人员、营业收入、资产总额填报上一年度数据，无上一年度数据的新成立企业可不填报。</w:t>
      </w:r>
    </w:p>
    <w:p>
      <w:pPr>
        <w:snapToGrid w:val="0"/>
        <w:spacing w:line="300" w:lineRule="auto"/>
        <w:outlineLvl w:val="0"/>
        <w:rPr>
          <w:rFonts w:hint="eastAsia" w:ascii="宋体" w:hAnsi="宋体" w:eastAsia="宋体" w:cs="宋体"/>
          <w:color w:val="auto"/>
          <w:szCs w:val="21"/>
          <w:lang w:bidi="zh-CN"/>
        </w:rPr>
      </w:pPr>
      <w:r>
        <w:rPr>
          <w:rFonts w:hint="eastAsia" w:ascii="宋体" w:hAnsi="宋体" w:eastAsia="宋体" w:cs="宋体"/>
          <w:color w:val="auto"/>
          <w:szCs w:val="21"/>
          <w:lang w:bidi="zh-CN"/>
        </w:rPr>
        <w:t xml:space="preserve">    2.投标供应商须根据上述要求，详细列明货物清单中所有产品制造商的具体情况，否则不能享受中小企业扶持政策。</w:t>
      </w:r>
    </w:p>
    <w:p>
      <w:pPr>
        <w:snapToGrid w:val="0"/>
        <w:spacing w:line="300" w:lineRule="auto"/>
        <w:ind w:firstLine="420" w:firstLineChars="200"/>
        <w:outlineLvl w:val="0"/>
        <w:rPr>
          <w:rFonts w:hint="eastAsia" w:ascii="宋体" w:hAnsi="宋体" w:eastAsia="宋体" w:cs="宋体"/>
          <w:color w:val="auto"/>
          <w:sz w:val="28"/>
          <w:szCs w:val="28"/>
          <w:lang w:bidi="zh-CN"/>
        </w:rPr>
      </w:pPr>
      <w:r>
        <w:rPr>
          <w:rFonts w:hint="eastAsia" w:ascii="宋体" w:hAnsi="宋体" w:eastAsia="宋体" w:cs="宋体"/>
          <w:color w:val="auto"/>
          <w:szCs w:val="21"/>
          <w:lang w:bidi="zh-CN"/>
        </w:rPr>
        <w:t>3.供应商按照本办法规定提供声明函内容不实的，属于提供虚假材料谋取中标、成交，依照《中华人民共和国政府采购法》等国家有关规定追究相应责任。</w:t>
      </w:r>
    </w:p>
    <w:p>
      <w:pPr>
        <w:snapToGrid w:val="0"/>
        <w:spacing w:line="300" w:lineRule="auto"/>
        <w:jc w:val="center"/>
        <w:outlineLvl w:val="0"/>
        <w:rPr>
          <w:rFonts w:hint="eastAsia" w:ascii="宋体" w:hAnsi="宋体" w:eastAsia="宋体" w:cs="宋体"/>
          <w:color w:val="auto"/>
          <w:sz w:val="28"/>
          <w:szCs w:val="28"/>
          <w:lang w:bidi="zh-CN"/>
        </w:rPr>
      </w:pPr>
      <w:r>
        <w:rPr>
          <w:rFonts w:hint="eastAsia" w:ascii="宋体" w:hAnsi="宋体" w:eastAsia="宋体" w:cs="宋体"/>
          <w:color w:val="auto"/>
          <w:sz w:val="28"/>
          <w:szCs w:val="28"/>
          <w:lang w:bidi="zh-CN"/>
        </w:rPr>
        <w:t xml:space="preserve">                      企业名称（盖章）：</w:t>
      </w:r>
    </w:p>
    <w:p>
      <w:pPr>
        <w:snapToGrid w:val="0"/>
        <w:spacing w:line="300" w:lineRule="auto"/>
        <w:jc w:val="center"/>
        <w:outlineLvl w:val="0"/>
        <w:rPr>
          <w:rFonts w:hint="eastAsia" w:ascii="宋体" w:hAnsi="宋体" w:eastAsia="宋体" w:cs="宋体"/>
          <w:color w:val="auto"/>
          <w:sz w:val="28"/>
          <w:szCs w:val="28"/>
          <w:lang w:bidi="zh-CN"/>
        </w:rPr>
      </w:pPr>
      <w:r>
        <w:rPr>
          <w:rFonts w:hint="eastAsia" w:ascii="宋体" w:hAnsi="宋体" w:eastAsia="宋体" w:cs="宋体"/>
          <w:color w:val="auto"/>
          <w:sz w:val="28"/>
          <w:szCs w:val="28"/>
          <w:lang w:bidi="zh-CN"/>
        </w:rPr>
        <w:t xml:space="preserve">          日期：</w:t>
      </w:r>
    </w:p>
    <w:p>
      <w:pPr>
        <w:snapToGrid w:val="0"/>
        <w:spacing w:line="300" w:lineRule="auto"/>
        <w:outlineLvl w:val="0"/>
        <w:rPr>
          <w:rFonts w:hint="eastAsia" w:ascii="宋体" w:hAnsi="宋体" w:eastAsia="宋体" w:cs="宋体"/>
          <w:color w:val="auto"/>
          <w:sz w:val="32"/>
          <w:szCs w:val="32"/>
        </w:rPr>
      </w:pPr>
    </w:p>
    <w:p>
      <w:pPr>
        <w:snapToGrid w:val="0"/>
        <w:spacing w:line="300" w:lineRule="auto"/>
        <w:outlineLvl w:val="0"/>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t>附件</w:t>
      </w:r>
      <w:r>
        <w:rPr>
          <w:rFonts w:hint="eastAsia" w:ascii="宋体" w:hAnsi="宋体" w:cs="宋体"/>
          <w:color w:val="auto"/>
          <w:sz w:val="32"/>
          <w:szCs w:val="32"/>
          <w:lang w:val="en-US" w:eastAsia="zh-CN"/>
        </w:rPr>
        <w:t>11</w:t>
      </w:r>
    </w:p>
    <w:p>
      <w:pPr>
        <w:spacing w:line="46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残疾人福利性单位声明函</w:t>
      </w:r>
    </w:p>
    <w:p>
      <w:pPr>
        <w:spacing w:line="588"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项目采购活动提供本单位制造的货物（由本单位承担工程/提供服务），或者提供其他残疾人福利性单位制造的货物（不包括使用非残疾人福利性单位注册商标的货物）。</w:t>
      </w:r>
    </w:p>
    <w:p>
      <w:pPr>
        <w:spacing w:line="588"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本单位对上述声明的真实性负责。如有虚假，将依法承担相应责任。</w:t>
      </w:r>
    </w:p>
    <w:p>
      <w:pPr>
        <w:spacing w:line="588" w:lineRule="exact"/>
        <w:ind w:firstLine="560" w:firstLineChars="200"/>
        <w:rPr>
          <w:rFonts w:hint="eastAsia" w:ascii="宋体" w:hAnsi="宋体" w:eastAsia="宋体" w:cs="宋体"/>
          <w:color w:val="auto"/>
          <w:sz w:val="28"/>
          <w:szCs w:val="28"/>
        </w:rPr>
      </w:pPr>
    </w:p>
    <w:p>
      <w:pPr>
        <w:spacing w:line="588" w:lineRule="exact"/>
        <w:ind w:firstLine="584" w:firstLineChars="200"/>
        <w:rPr>
          <w:rFonts w:hint="eastAsia" w:ascii="宋体" w:hAnsi="宋体" w:eastAsia="宋体" w:cs="宋体"/>
          <w:color w:val="auto"/>
          <w:spacing w:val="6"/>
          <w:sz w:val="28"/>
          <w:szCs w:val="28"/>
        </w:rPr>
      </w:pPr>
    </w:p>
    <w:p>
      <w:pPr>
        <w:spacing w:line="588" w:lineRule="exact"/>
        <w:ind w:firstLine="584" w:firstLineChars="200"/>
        <w:rPr>
          <w:rFonts w:hint="eastAsia" w:ascii="宋体" w:hAnsi="宋体" w:eastAsia="宋体" w:cs="宋体"/>
          <w:color w:val="auto"/>
          <w:spacing w:val="6"/>
          <w:sz w:val="28"/>
          <w:szCs w:val="28"/>
        </w:rPr>
      </w:pPr>
    </w:p>
    <w:p>
      <w:pPr>
        <w:snapToGrid w:val="0"/>
        <w:spacing w:line="300" w:lineRule="auto"/>
        <w:outlineLvl w:val="0"/>
        <w:rPr>
          <w:rFonts w:hint="eastAsia" w:ascii="宋体" w:hAnsi="宋体" w:eastAsia="宋体" w:cs="宋体"/>
          <w:color w:val="auto"/>
          <w:sz w:val="28"/>
          <w:szCs w:val="28"/>
          <w:lang w:bidi="zh-CN"/>
        </w:rPr>
      </w:pPr>
      <w:r>
        <w:rPr>
          <w:rFonts w:hint="eastAsia" w:ascii="宋体" w:hAnsi="宋体" w:eastAsia="宋体" w:cs="宋体"/>
          <w:color w:val="auto"/>
          <w:sz w:val="28"/>
          <w:szCs w:val="28"/>
          <w:lang w:bidi="zh-CN"/>
        </w:rPr>
        <w:t>注：1、供应商如不提供此声明函，价格将不做相应扣除。</w:t>
      </w:r>
    </w:p>
    <w:p>
      <w:pPr>
        <w:spacing w:line="588" w:lineRule="exact"/>
        <w:ind w:firstLine="560" w:firstLineChars="200"/>
        <w:rPr>
          <w:rFonts w:hint="eastAsia" w:ascii="宋体" w:hAnsi="宋体" w:eastAsia="宋体" w:cs="宋体"/>
          <w:color w:val="auto"/>
          <w:spacing w:val="6"/>
          <w:sz w:val="28"/>
          <w:szCs w:val="28"/>
        </w:rPr>
      </w:pPr>
      <w:r>
        <w:rPr>
          <w:rFonts w:hint="eastAsia" w:ascii="宋体" w:hAnsi="宋体" w:eastAsia="宋体" w:cs="宋体"/>
          <w:color w:val="auto"/>
          <w:sz w:val="28"/>
          <w:szCs w:val="28"/>
          <w:lang w:bidi="zh-CN"/>
        </w:rPr>
        <w:t>2、供应商按照本办法规定提供声明函内容不实的，属于提供虚假材料谋取中标、成交，依照《中华人民共和国政府采购法》等国家有关规定追究相应责任。</w:t>
      </w:r>
    </w:p>
    <w:p>
      <w:pPr>
        <w:spacing w:line="588" w:lineRule="exact"/>
        <w:ind w:firstLine="584" w:firstLineChars="200"/>
        <w:rPr>
          <w:rFonts w:hint="eastAsia" w:ascii="宋体" w:hAnsi="宋体" w:eastAsia="宋体" w:cs="宋体"/>
          <w:color w:val="auto"/>
          <w:spacing w:val="6"/>
          <w:sz w:val="28"/>
          <w:szCs w:val="28"/>
        </w:rPr>
      </w:pPr>
    </w:p>
    <w:p>
      <w:pPr>
        <w:tabs>
          <w:tab w:val="left" w:pos="4860"/>
        </w:tabs>
        <w:spacing w:line="588" w:lineRule="exact"/>
        <w:ind w:right="1560" w:firstLine="584" w:firstLineChars="200"/>
        <w:jc w:val="center"/>
        <w:rPr>
          <w:rFonts w:hint="eastAsia" w:ascii="宋体" w:hAnsi="宋体" w:eastAsia="宋体" w:cs="宋体"/>
          <w:color w:val="auto"/>
          <w:sz w:val="28"/>
          <w:szCs w:val="28"/>
        </w:rPr>
      </w:pP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 xml:space="preserve">           供应商全称（盖章）：</w:t>
      </w:r>
    </w:p>
    <w:p>
      <w:pPr>
        <w:tabs>
          <w:tab w:val="left" w:pos="4860"/>
        </w:tabs>
        <w:spacing w:line="588" w:lineRule="exact"/>
        <w:ind w:right="1560"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日  期：</w:t>
      </w: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32"/>
          <w:szCs w:val="32"/>
        </w:rPr>
      </w:pPr>
    </w:p>
    <w:p>
      <w:pPr>
        <w:snapToGrid w:val="0"/>
        <w:spacing w:line="300" w:lineRule="auto"/>
        <w:outlineLvl w:val="0"/>
        <w:rPr>
          <w:rFonts w:hint="eastAsia" w:ascii="宋体" w:hAnsi="宋体" w:eastAsia="宋体" w:cs="宋体"/>
          <w:color w:val="auto"/>
          <w:sz w:val="32"/>
          <w:szCs w:val="32"/>
        </w:rPr>
      </w:pPr>
    </w:p>
    <w:p>
      <w:pPr>
        <w:snapToGrid w:val="0"/>
        <w:spacing w:line="300" w:lineRule="auto"/>
        <w:outlineLvl w:val="0"/>
        <w:rPr>
          <w:rFonts w:hint="eastAsia" w:ascii="宋体" w:hAnsi="宋体" w:eastAsia="宋体" w:cs="宋体"/>
          <w:color w:val="auto"/>
          <w:sz w:val="32"/>
          <w:szCs w:val="32"/>
        </w:rPr>
      </w:pPr>
    </w:p>
    <w:p>
      <w:pPr>
        <w:snapToGrid w:val="0"/>
        <w:spacing w:line="300" w:lineRule="auto"/>
        <w:outlineLvl w:val="0"/>
        <w:rPr>
          <w:rFonts w:hint="eastAsia" w:ascii="宋体" w:hAnsi="宋体" w:eastAsia="宋体" w:cs="宋体"/>
          <w:color w:val="auto"/>
          <w:sz w:val="32"/>
          <w:szCs w:val="32"/>
        </w:rPr>
      </w:pP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snapToGrid w:val="0"/>
        <w:spacing w:line="300" w:lineRule="auto"/>
        <w:outlineLvl w:val="0"/>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t>附件1</w:t>
      </w:r>
      <w:r>
        <w:rPr>
          <w:rFonts w:hint="eastAsia" w:ascii="宋体" w:hAnsi="宋体" w:cs="宋体"/>
          <w:color w:val="auto"/>
          <w:sz w:val="32"/>
          <w:szCs w:val="32"/>
          <w:lang w:val="en-US" w:eastAsia="zh-CN"/>
        </w:rPr>
        <w:t>2</w:t>
      </w:r>
    </w:p>
    <w:p>
      <w:pPr>
        <w:snapToGrid w:val="0"/>
        <w:spacing w:line="420" w:lineRule="exact"/>
        <w:jc w:val="center"/>
        <w:outlineLvl w:val="3"/>
        <w:rPr>
          <w:rFonts w:hint="eastAsia" w:ascii="宋体" w:hAnsi="宋体" w:eastAsia="宋体" w:cs="宋体"/>
          <w:b/>
          <w:bCs/>
          <w:color w:val="auto"/>
          <w:sz w:val="32"/>
          <w:szCs w:val="32"/>
        </w:rPr>
      </w:pPr>
      <w:r>
        <w:rPr>
          <w:rFonts w:hint="eastAsia" w:ascii="宋体" w:hAnsi="宋体" w:eastAsia="宋体" w:cs="宋体"/>
          <w:b/>
          <w:bCs/>
          <w:color w:val="auto"/>
          <w:sz w:val="32"/>
          <w:szCs w:val="32"/>
        </w:rPr>
        <w:t>监狱和戒毒企业证明材料</w:t>
      </w:r>
    </w:p>
    <w:p>
      <w:pPr>
        <w:snapToGrid w:val="0"/>
        <w:spacing w:line="420" w:lineRule="exact"/>
        <w:ind w:firstLine="495" w:firstLineChars="177"/>
        <w:rPr>
          <w:rFonts w:hint="eastAsia" w:ascii="宋体" w:hAnsi="宋体" w:eastAsia="宋体" w:cs="宋体"/>
          <w:color w:val="auto"/>
          <w:sz w:val="28"/>
          <w:szCs w:val="28"/>
        </w:rPr>
      </w:pPr>
    </w:p>
    <w:p>
      <w:pPr>
        <w:snapToGrid w:val="0"/>
        <w:spacing w:line="420" w:lineRule="exact"/>
        <w:ind w:firstLine="495" w:firstLineChars="177"/>
        <w:rPr>
          <w:rFonts w:hint="eastAsia" w:ascii="宋体" w:hAnsi="宋体" w:eastAsia="宋体" w:cs="宋体"/>
          <w:b/>
          <w:color w:val="auto"/>
          <w:sz w:val="28"/>
          <w:szCs w:val="28"/>
        </w:rPr>
      </w:pPr>
      <w:r>
        <w:rPr>
          <w:rFonts w:hint="eastAsia" w:ascii="宋体" w:hAnsi="宋体" w:eastAsia="宋体" w:cs="宋体"/>
          <w:b/>
          <w:color w:val="auto"/>
          <w:sz w:val="28"/>
          <w:szCs w:val="28"/>
        </w:rPr>
        <w:t>（格式自拟）</w:t>
      </w:r>
    </w:p>
    <w:p>
      <w:pPr>
        <w:snapToGrid w:val="0"/>
        <w:spacing w:line="420" w:lineRule="exact"/>
        <w:ind w:firstLine="495" w:firstLineChars="177"/>
        <w:rPr>
          <w:rFonts w:hint="eastAsia" w:ascii="宋体" w:hAnsi="宋体" w:eastAsia="宋体" w:cs="宋体"/>
          <w:color w:val="auto"/>
          <w:sz w:val="28"/>
          <w:szCs w:val="28"/>
        </w:rPr>
      </w:pPr>
    </w:p>
    <w:p>
      <w:pPr>
        <w:snapToGrid w:val="0"/>
        <w:spacing w:line="420" w:lineRule="exact"/>
        <w:ind w:firstLine="660" w:firstLineChars="236"/>
        <w:rPr>
          <w:rFonts w:hint="eastAsia" w:ascii="宋体" w:hAnsi="宋体" w:eastAsia="宋体" w:cs="宋体"/>
          <w:color w:val="auto"/>
          <w:sz w:val="28"/>
          <w:szCs w:val="28"/>
        </w:rPr>
      </w:pPr>
      <w:r>
        <w:rPr>
          <w:rFonts w:hint="eastAsia" w:ascii="宋体" w:hAnsi="宋体" w:eastAsia="宋体" w:cs="宋体"/>
          <w:color w:val="auto"/>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lang w:bidi="zh-CN"/>
        </w:rPr>
      </w:pPr>
      <w:r>
        <w:rPr>
          <w:rFonts w:hint="eastAsia" w:ascii="宋体" w:hAnsi="宋体" w:eastAsia="宋体" w:cs="宋体"/>
          <w:color w:val="auto"/>
          <w:sz w:val="28"/>
          <w:szCs w:val="28"/>
          <w:lang w:bidi="zh-CN"/>
        </w:rPr>
        <w:t>注：1、供应商如不提供此声明函，价格将不做相应扣除。</w:t>
      </w:r>
    </w:p>
    <w:p>
      <w:pPr>
        <w:snapToGrid w:val="0"/>
        <w:spacing w:line="300" w:lineRule="auto"/>
        <w:ind w:firstLine="560" w:firstLineChars="200"/>
        <w:outlineLvl w:val="0"/>
        <w:rPr>
          <w:rFonts w:hint="eastAsia" w:ascii="宋体" w:hAnsi="宋体" w:eastAsia="宋体" w:cs="宋体"/>
          <w:color w:val="auto"/>
          <w:sz w:val="28"/>
          <w:szCs w:val="28"/>
        </w:rPr>
      </w:pPr>
      <w:r>
        <w:rPr>
          <w:rFonts w:hint="eastAsia" w:ascii="宋体" w:hAnsi="宋体" w:eastAsia="宋体" w:cs="宋体"/>
          <w:color w:val="auto"/>
          <w:sz w:val="28"/>
          <w:szCs w:val="28"/>
          <w:lang w:bidi="zh-CN"/>
        </w:rPr>
        <w:t>2、供应商按照本办法规定提供声明函内容不实的，属于提供虚假材料谋取中标、成交，依照《中华人民共和国政府采购法》等国家有关规定追究相应责任。</w:t>
      </w: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rPr>
          <w:rFonts w:hint="eastAsia" w:ascii="宋体" w:hAnsi="宋体" w:eastAsia="宋体" w:cs="宋体"/>
          <w:bCs/>
          <w:color w:val="auto"/>
          <w:sz w:val="32"/>
          <w:szCs w:val="32"/>
          <w:lang w:val="en-US" w:eastAsia="zh-CN" w:bidi="ar"/>
        </w:rPr>
      </w:pPr>
      <w:r>
        <w:rPr>
          <w:rFonts w:hint="eastAsia" w:ascii="宋体" w:hAnsi="宋体" w:eastAsia="宋体" w:cs="宋体"/>
          <w:bCs/>
          <w:color w:val="auto"/>
          <w:sz w:val="32"/>
          <w:szCs w:val="32"/>
          <w:lang w:bidi="ar"/>
        </w:rPr>
        <w:t>附件1</w:t>
      </w:r>
      <w:r>
        <w:rPr>
          <w:rFonts w:hint="eastAsia" w:ascii="宋体" w:hAnsi="宋体" w:cs="宋体"/>
          <w:bCs/>
          <w:color w:val="auto"/>
          <w:sz w:val="32"/>
          <w:szCs w:val="32"/>
          <w:lang w:val="en-US" w:eastAsia="zh-CN" w:bidi="ar"/>
        </w:rPr>
        <w:t>3</w:t>
      </w:r>
    </w:p>
    <w:p>
      <w:pPr>
        <w:jc w:val="center"/>
        <w:rPr>
          <w:rFonts w:hint="eastAsia" w:ascii="宋体" w:hAnsi="宋体" w:eastAsia="宋体" w:cs="宋体"/>
          <w:bCs/>
          <w:color w:val="auto"/>
          <w:sz w:val="36"/>
          <w:szCs w:val="36"/>
        </w:rPr>
      </w:pPr>
      <w:r>
        <w:rPr>
          <w:rFonts w:hint="eastAsia" w:ascii="宋体" w:hAnsi="宋体" w:eastAsia="宋体" w:cs="宋体"/>
          <w:bCs/>
          <w:color w:val="auto"/>
          <w:sz w:val="36"/>
          <w:szCs w:val="36"/>
        </w:rPr>
        <w:t>质疑函范本</w:t>
      </w:r>
    </w:p>
    <w:p>
      <w:pPr>
        <w:adjustRightInd w:val="0"/>
        <w:snapToGrid w:val="0"/>
        <w:spacing w:before="312" w:beforeLines="100" w:line="312"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一、质疑供应商基本信息</w:t>
      </w:r>
    </w:p>
    <w:p>
      <w:pPr>
        <w:adjustRightInd w:val="0"/>
        <w:snapToGrid w:val="0"/>
        <w:spacing w:line="312" w:lineRule="auto"/>
        <w:rPr>
          <w:rFonts w:hint="eastAsia" w:ascii="宋体" w:hAnsi="宋体" w:eastAsia="宋体" w:cs="宋体"/>
          <w:color w:val="auto"/>
          <w:sz w:val="28"/>
          <w:szCs w:val="28"/>
          <w:u w:val="dotted"/>
        </w:rPr>
      </w:pPr>
      <w:r>
        <w:rPr>
          <w:rFonts w:hint="eastAsia" w:ascii="宋体" w:hAnsi="宋体" w:eastAsia="宋体" w:cs="宋体"/>
          <w:color w:val="auto"/>
          <w:sz w:val="28"/>
          <w:szCs w:val="28"/>
        </w:rPr>
        <w:t>质疑供应商：</w:t>
      </w:r>
    </w:p>
    <w:p>
      <w:pPr>
        <w:adjustRightInd w:val="0"/>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rPr>
        <w:t>地址：邮编：</w:t>
      </w:r>
    </w:p>
    <w:p>
      <w:pPr>
        <w:adjustRightInd w:val="0"/>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rPr>
        <w:t>联系人：联系电话：</w:t>
      </w:r>
    </w:p>
    <w:p>
      <w:pPr>
        <w:adjustRightInd w:val="0"/>
        <w:snapToGrid w:val="0"/>
        <w:spacing w:line="312" w:lineRule="auto"/>
        <w:rPr>
          <w:rFonts w:hint="eastAsia" w:ascii="宋体" w:hAnsi="宋体" w:eastAsia="宋体" w:cs="宋体"/>
          <w:color w:val="auto"/>
          <w:sz w:val="28"/>
          <w:szCs w:val="28"/>
          <w:u w:val="dotted"/>
        </w:rPr>
      </w:pPr>
      <w:r>
        <w:rPr>
          <w:rFonts w:hint="eastAsia" w:ascii="宋体" w:hAnsi="宋体" w:eastAsia="宋体" w:cs="宋体"/>
          <w:color w:val="auto"/>
          <w:sz w:val="28"/>
          <w:szCs w:val="28"/>
        </w:rPr>
        <w:t>授权代表：</w:t>
      </w:r>
    </w:p>
    <w:p>
      <w:pPr>
        <w:adjustRightInd w:val="0"/>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rPr>
        <w:t>联系电话：</w:t>
      </w:r>
    </w:p>
    <w:p>
      <w:pPr>
        <w:adjustRightInd w:val="0"/>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rPr>
        <w:t>地址：邮编：</w:t>
      </w:r>
    </w:p>
    <w:p>
      <w:pPr>
        <w:adjustRightInd w:val="0"/>
        <w:snapToGrid w:val="0"/>
        <w:spacing w:line="312"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二、质疑项目基本情况</w:t>
      </w:r>
    </w:p>
    <w:p>
      <w:pPr>
        <w:adjustRightInd w:val="0"/>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rPr>
        <w:t>质疑项目的名称：</w:t>
      </w:r>
    </w:p>
    <w:p>
      <w:pPr>
        <w:adjustRightInd w:val="0"/>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rPr>
        <w:t>质疑项目的编号：包号：</w:t>
      </w:r>
    </w:p>
    <w:p>
      <w:pPr>
        <w:adjustRightInd w:val="0"/>
        <w:snapToGrid w:val="0"/>
        <w:spacing w:line="312" w:lineRule="auto"/>
        <w:rPr>
          <w:rFonts w:hint="eastAsia" w:ascii="宋体" w:hAnsi="宋体" w:eastAsia="宋体" w:cs="宋体"/>
          <w:color w:val="auto"/>
          <w:sz w:val="28"/>
          <w:szCs w:val="28"/>
          <w:u w:val="dotted"/>
        </w:rPr>
      </w:pPr>
      <w:r>
        <w:rPr>
          <w:rFonts w:hint="eastAsia" w:ascii="宋体" w:hAnsi="宋体" w:eastAsia="宋体" w:cs="宋体"/>
          <w:color w:val="auto"/>
          <w:sz w:val="28"/>
          <w:szCs w:val="28"/>
        </w:rPr>
        <w:t>采购人名称：</w:t>
      </w:r>
    </w:p>
    <w:p>
      <w:pPr>
        <w:adjustRightInd w:val="0"/>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rPr>
        <w:t>采购文件获取日期：</w:t>
      </w:r>
    </w:p>
    <w:p>
      <w:pPr>
        <w:adjustRightInd w:val="0"/>
        <w:snapToGrid w:val="0"/>
        <w:spacing w:line="312"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三、质疑事项具体内容</w:t>
      </w:r>
    </w:p>
    <w:p>
      <w:pPr>
        <w:adjustRightInd w:val="0"/>
        <w:snapToGrid w:val="0"/>
        <w:spacing w:line="312" w:lineRule="auto"/>
        <w:rPr>
          <w:rFonts w:hint="eastAsia" w:ascii="宋体" w:hAnsi="宋体" w:eastAsia="宋体" w:cs="宋体"/>
          <w:color w:val="auto"/>
          <w:sz w:val="28"/>
          <w:szCs w:val="28"/>
          <w:u w:val="dotted"/>
        </w:rPr>
      </w:pPr>
      <w:r>
        <w:rPr>
          <w:rFonts w:hint="eastAsia" w:ascii="宋体" w:hAnsi="宋体" w:eastAsia="宋体" w:cs="宋体"/>
          <w:color w:val="auto"/>
          <w:sz w:val="28"/>
          <w:szCs w:val="28"/>
        </w:rPr>
        <w:t>质疑事项1：</w:t>
      </w:r>
    </w:p>
    <w:p>
      <w:pPr>
        <w:adjustRightInd w:val="0"/>
        <w:snapToGrid w:val="0"/>
        <w:spacing w:line="312" w:lineRule="auto"/>
        <w:rPr>
          <w:rFonts w:hint="eastAsia" w:ascii="宋体" w:hAnsi="宋体" w:eastAsia="宋体" w:cs="宋体"/>
          <w:color w:val="auto"/>
          <w:sz w:val="28"/>
          <w:szCs w:val="28"/>
          <w:u w:val="dotted"/>
        </w:rPr>
      </w:pPr>
      <w:r>
        <w:rPr>
          <w:rFonts w:hint="eastAsia" w:ascii="宋体" w:hAnsi="宋体" w:eastAsia="宋体" w:cs="宋体"/>
          <w:color w:val="auto"/>
          <w:sz w:val="28"/>
          <w:szCs w:val="28"/>
        </w:rPr>
        <w:t>事实依据：</w:t>
      </w:r>
    </w:p>
    <w:p>
      <w:pPr>
        <w:adjustRightInd w:val="0"/>
        <w:snapToGrid w:val="0"/>
        <w:spacing w:line="312" w:lineRule="auto"/>
        <w:rPr>
          <w:rFonts w:hint="eastAsia" w:ascii="宋体" w:hAnsi="宋体" w:eastAsia="宋体" w:cs="宋体"/>
          <w:color w:val="auto"/>
          <w:sz w:val="28"/>
          <w:szCs w:val="28"/>
        </w:rPr>
      </w:pPr>
    </w:p>
    <w:p>
      <w:pPr>
        <w:adjustRightInd w:val="0"/>
        <w:snapToGrid w:val="0"/>
        <w:spacing w:line="312" w:lineRule="auto"/>
        <w:rPr>
          <w:rFonts w:hint="eastAsia" w:ascii="宋体" w:hAnsi="宋体" w:eastAsia="宋体" w:cs="宋体"/>
          <w:color w:val="auto"/>
          <w:sz w:val="28"/>
          <w:szCs w:val="28"/>
          <w:u w:val="dotted"/>
        </w:rPr>
      </w:pPr>
      <w:r>
        <w:rPr>
          <w:rFonts w:hint="eastAsia" w:ascii="宋体" w:hAnsi="宋体" w:eastAsia="宋体" w:cs="宋体"/>
          <w:color w:val="auto"/>
          <w:sz w:val="28"/>
          <w:szCs w:val="28"/>
        </w:rPr>
        <w:t>法律依据：</w:t>
      </w:r>
    </w:p>
    <w:p>
      <w:pPr>
        <w:adjustRightInd w:val="0"/>
        <w:snapToGrid w:val="0"/>
        <w:spacing w:line="312" w:lineRule="auto"/>
        <w:rPr>
          <w:rFonts w:hint="eastAsia" w:ascii="宋体" w:hAnsi="宋体" w:eastAsia="宋体" w:cs="宋体"/>
          <w:color w:val="auto"/>
          <w:sz w:val="28"/>
          <w:szCs w:val="28"/>
          <w:u w:val="dotted"/>
        </w:rPr>
      </w:pPr>
    </w:p>
    <w:p>
      <w:pPr>
        <w:adjustRightInd w:val="0"/>
        <w:snapToGrid w:val="0"/>
        <w:spacing w:line="312" w:lineRule="auto"/>
        <w:rPr>
          <w:rFonts w:hint="eastAsia" w:ascii="宋体" w:hAnsi="宋体" w:eastAsia="宋体" w:cs="宋体"/>
          <w:color w:val="auto"/>
          <w:sz w:val="28"/>
          <w:szCs w:val="28"/>
          <w:u w:val="dotted"/>
        </w:rPr>
      </w:pPr>
      <w:r>
        <w:rPr>
          <w:rFonts w:hint="eastAsia" w:ascii="宋体" w:hAnsi="宋体" w:eastAsia="宋体" w:cs="宋体"/>
          <w:color w:val="auto"/>
          <w:sz w:val="28"/>
          <w:szCs w:val="28"/>
        </w:rPr>
        <w:t>质疑事项2</w:t>
      </w:r>
    </w:p>
    <w:p>
      <w:pPr>
        <w:adjustRightInd w:val="0"/>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p>
    <w:p>
      <w:pPr>
        <w:adjustRightInd w:val="0"/>
        <w:snapToGrid w:val="0"/>
        <w:spacing w:line="312"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四、与质疑事项相关的质疑请求</w:t>
      </w:r>
    </w:p>
    <w:p>
      <w:pPr>
        <w:adjustRightInd w:val="0"/>
        <w:snapToGrid w:val="0"/>
        <w:spacing w:line="312" w:lineRule="auto"/>
        <w:rPr>
          <w:rFonts w:hint="eastAsia" w:ascii="宋体" w:hAnsi="宋体" w:eastAsia="宋体" w:cs="宋体"/>
          <w:color w:val="auto"/>
          <w:sz w:val="28"/>
          <w:szCs w:val="28"/>
          <w:u w:val="dotted"/>
        </w:rPr>
      </w:pPr>
      <w:r>
        <w:rPr>
          <w:rFonts w:hint="eastAsia" w:ascii="宋体" w:hAnsi="宋体" w:eastAsia="宋体" w:cs="宋体"/>
          <w:color w:val="auto"/>
          <w:sz w:val="28"/>
          <w:szCs w:val="28"/>
        </w:rPr>
        <w:t>请求：</w:t>
      </w:r>
    </w:p>
    <w:p>
      <w:pPr>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签字(签章)：                   公章：                      </w:t>
      </w:r>
    </w:p>
    <w:p>
      <w:pPr>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日期：    </w:t>
      </w:r>
    </w:p>
    <w:p>
      <w:pPr>
        <w:adjustRightInd w:val="0"/>
        <w:snapToGrid w:val="0"/>
        <w:spacing w:line="288" w:lineRule="auto"/>
        <w:rPr>
          <w:rFonts w:hint="eastAsia" w:ascii="宋体" w:hAnsi="宋体" w:eastAsia="宋体" w:cs="宋体"/>
          <w:color w:val="auto"/>
          <w:sz w:val="28"/>
          <w:szCs w:val="28"/>
        </w:rPr>
      </w:pPr>
    </w:p>
    <w:p>
      <w:pPr>
        <w:rPr>
          <w:rFonts w:hint="eastAsia" w:ascii="宋体" w:hAnsi="宋体" w:eastAsia="宋体" w:cs="宋体"/>
          <w:b/>
          <w:color w:val="auto"/>
          <w:sz w:val="28"/>
          <w:szCs w:val="28"/>
        </w:rPr>
      </w:pPr>
      <w:r>
        <w:rPr>
          <w:rFonts w:hint="eastAsia" w:ascii="宋体" w:hAnsi="宋体" w:eastAsia="宋体" w:cs="宋体"/>
          <w:b/>
          <w:color w:val="auto"/>
          <w:sz w:val="28"/>
          <w:szCs w:val="28"/>
        </w:rPr>
        <w:t>质疑函制作说明：</w:t>
      </w:r>
    </w:p>
    <w:p>
      <w:pPr>
        <w:widowControl/>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1.供应商提出质疑时，应提交质疑函和必要的证明材料。</w:t>
      </w:r>
    </w:p>
    <w:p>
      <w:pPr>
        <w:widowControl/>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rPr>
        <w:t>供应商签署的授权委托书。授权委托书应载明代理人的姓名或者名称、代理事项、具体权限、期限和相关事项。</w:t>
      </w:r>
    </w:p>
    <w:p>
      <w:pPr>
        <w:widowControl/>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3.质疑供应商若对项目的某一分包进行质疑，质疑函中应列明具体分包号。</w:t>
      </w:r>
    </w:p>
    <w:p>
      <w:pPr>
        <w:widowControl/>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4.质疑函的质疑事项应具体、明确，并有必要的事实依据和法律依据。</w:t>
      </w:r>
    </w:p>
    <w:p>
      <w:pPr>
        <w:widowControl/>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5.质疑函的质疑请求应与质疑事项相关。</w:t>
      </w:r>
    </w:p>
    <w:p>
      <w:pPr>
        <w:widowControl/>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6.质疑供应商为自然人的，质疑函应由本人签字；质疑供应商为法人或者其他组织的，质疑函应由法定代表人、主要负责人，或者其授权代表签字或者盖章，并加盖公章。</w:t>
      </w:r>
    </w:p>
    <w:p>
      <w:pPr>
        <w:snapToGrid w:val="0"/>
        <w:spacing w:line="300" w:lineRule="auto"/>
        <w:outlineLvl w:val="0"/>
        <w:rPr>
          <w:rFonts w:hint="eastAsia" w:ascii="宋体" w:hAnsi="宋体" w:eastAsia="宋体" w:cs="宋体"/>
          <w:color w:val="auto"/>
          <w:sz w:val="28"/>
          <w:szCs w:val="28"/>
        </w:rPr>
      </w:pPr>
    </w:p>
    <w:p>
      <w:pPr>
        <w:snapToGrid w:val="0"/>
        <w:spacing w:line="300" w:lineRule="auto"/>
        <w:outlineLvl w:val="0"/>
        <w:rPr>
          <w:rFonts w:hint="eastAsia" w:ascii="宋体" w:hAnsi="宋体" w:eastAsia="宋体" w:cs="宋体"/>
          <w:color w:val="auto"/>
          <w:sz w:val="28"/>
          <w:szCs w:val="28"/>
        </w:rPr>
      </w:pPr>
    </w:p>
    <w:p>
      <w:pPr>
        <w:spacing w:line="312" w:lineRule="auto"/>
        <w:rPr>
          <w:rFonts w:hint="eastAsia" w:ascii="宋体" w:hAnsi="宋体" w:eastAsia="宋体" w:cs="宋体"/>
          <w:color w:val="auto"/>
          <w:sz w:val="28"/>
          <w:szCs w:val="28"/>
        </w:rPr>
      </w:pPr>
    </w:p>
    <w:sectPr>
      <w:footerReference r:id="rId3" w:type="default"/>
      <w:footerReference r:id="rId4" w:type="even"/>
      <w:pgSz w:w="11915" w:h="16840"/>
      <w:pgMar w:top="1440" w:right="1757" w:bottom="1440" w:left="1757" w:header="851" w:footer="850"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C1991B45"/>
    <w:multiLevelType w:val="singleLevel"/>
    <w:tmpl w:val="C1991B45"/>
    <w:lvl w:ilvl="0" w:tentative="0">
      <w:start w:val="1"/>
      <w:numFmt w:val="chineseCounting"/>
      <w:suff w:val="nothing"/>
      <w:lvlText w:val="%1、"/>
      <w:lvlJc w:val="left"/>
      <w:rPr>
        <w:rFonts w:hint="eastAsia"/>
      </w:rPr>
    </w:lvl>
  </w:abstractNum>
  <w:abstractNum w:abstractNumId="2">
    <w:nsid w:val="E50D30AC"/>
    <w:multiLevelType w:val="singleLevel"/>
    <w:tmpl w:val="E50D30A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M0NGZmMDFiZWI3ODJjN2QyZGJmMzFkMGRhYmY3NmQifQ=="/>
  </w:docVars>
  <w:rsids>
    <w:rsidRoot w:val="72DA44FF"/>
    <w:rsid w:val="000031BB"/>
    <w:rsid w:val="000120F6"/>
    <w:rsid w:val="00013AEC"/>
    <w:rsid w:val="00023F33"/>
    <w:rsid w:val="00030D94"/>
    <w:rsid w:val="0005603F"/>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1760F"/>
    <w:rsid w:val="00123BCF"/>
    <w:rsid w:val="0014136A"/>
    <w:rsid w:val="00151A61"/>
    <w:rsid w:val="00177C0D"/>
    <w:rsid w:val="001A44DD"/>
    <w:rsid w:val="001D4F48"/>
    <w:rsid w:val="001E0D3F"/>
    <w:rsid w:val="001F141B"/>
    <w:rsid w:val="001F3BB0"/>
    <w:rsid w:val="00203E2B"/>
    <w:rsid w:val="00205D51"/>
    <w:rsid w:val="00210BA2"/>
    <w:rsid w:val="00217FBF"/>
    <w:rsid w:val="00236474"/>
    <w:rsid w:val="002378FE"/>
    <w:rsid w:val="00241ACF"/>
    <w:rsid w:val="00244DEB"/>
    <w:rsid w:val="002500D3"/>
    <w:rsid w:val="0025265F"/>
    <w:rsid w:val="00257691"/>
    <w:rsid w:val="00286C87"/>
    <w:rsid w:val="002B613D"/>
    <w:rsid w:val="002C0F03"/>
    <w:rsid w:val="002D5236"/>
    <w:rsid w:val="003037A3"/>
    <w:rsid w:val="00310D5F"/>
    <w:rsid w:val="003121C2"/>
    <w:rsid w:val="00315121"/>
    <w:rsid w:val="003364F4"/>
    <w:rsid w:val="00342187"/>
    <w:rsid w:val="00380875"/>
    <w:rsid w:val="003820DA"/>
    <w:rsid w:val="003A4DF6"/>
    <w:rsid w:val="003B0EC9"/>
    <w:rsid w:val="003B0F20"/>
    <w:rsid w:val="003C03B5"/>
    <w:rsid w:val="003C130D"/>
    <w:rsid w:val="003C21FD"/>
    <w:rsid w:val="003C693E"/>
    <w:rsid w:val="003C76E6"/>
    <w:rsid w:val="003F4FD8"/>
    <w:rsid w:val="004004D4"/>
    <w:rsid w:val="00421872"/>
    <w:rsid w:val="00433C8F"/>
    <w:rsid w:val="004366FE"/>
    <w:rsid w:val="004378CD"/>
    <w:rsid w:val="004444FD"/>
    <w:rsid w:val="0044663C"/>
    <w:rsid w:val="004541EF"/>
    <w:rsid w:val="004570AF"/>
    <w:rsid w:val="00460E4A"/>
    <w:rsid w:val="0047403B"/>
    <w:rsid w:val="00491D67"/>
    <w:rsid w:val="004A0780"/>
    <w:rsid w:val="004A7ADC"/>
    <w:rsid w:val="004C4933"/>
    <w:rsid w:val="004E5643"/>
    <w:rsid w:val="004F6F7F"/>
    <w:rsid w:val="0050377F"/>
    <w:rsid w:val="0052647E"/>
    <w:rsid w:val="00535E2F"/>
    <w:rsid w:val="00543DB1"/>
    <w:rsid w:val="0056629C"/>
    <w:rsid w:val="00570FAB"/>
    <w:rsid w:val="00580847"/>
    <w:rsid w:val="005827AC"/>
    <w:rsid w:val="00585220"/>
    <w:rsid w:val="00590012"/>
    <w:rsid w:val="005C5DCC"/>
    <w:rsid w:val="005D23AE"/>
    <w:rsid w:val="005D378A"/>
    <w:rsid w:val="005E605F"/>
    <w:rsid w:val="005F05EF"/>
    <w:rsid w:val="00602CBB"/>
    <w:rsid w:val="006050D1"/>
    <w:rsid w:val="006166DC"/>
    <w:rsid w:val="00624A21"/>
    <w:rsid w:val="00635D3A"/>
    <w:rsid w:val="0067318C"/>
    <w:rsid w:val="00683185"/>
    <w:rsid w:val="006910F6"/>
    <w:rsid w:val="0069144B"/>
    <w:rsid w:val="006937C8"/>
    <w:rsid w:val="006A3707"/>
    <w:rsid w:val="006A76F6"/>
    <w:rsid w:val="006B111D"/>
    <w:rsid w:val="006B386F"/>
    <w:rsid w:val="006B5AD4"/>
    <w:rsid w:val="006B7CD3"/>
    <w:rsid w:val="006C05FC"/>
    <w:rsid w:val="006C7881"/>
    <w:rsid w:val="006F435E"/>
    <w:rsid w:val="006F61CB"/>
    <w:rsid w:val="006F72CE"/>
    <w:rsid w:val="0071021D"/>
    <w:rsid w:val="00711944"/>
    <w:rsid w:val="00715C56"/>
    <w:rsid w:val="00734BD1"/>
    <w:rsid w:val="007412AA"/>
    <w:rsid w:val="00747FCA"/>
    <w:rsid w:val="00750D27"/>
    <w:rsid w:val="00751867"/>
    <w:rsid w:val="0076663F"/>
    <w:rsid w:val="00781367"/>
    <w:rsid w:val="00793C13"/>
    <w:rsid w:val="007C4F8B"/>
    <w:rsid w:val="007E4447"/>
    <w:rsid w:val="00803D68"/>
    <w:rsid w:val="008076E2"/>
    <w:rsid w:val="00810BD0"/>
    <w:rsid w:val="00814356"/>
    <w:rsid w:val="00835E9C"/>
    <w:rsid w:val="00852DE3"/>
    <w:rsid w:val="00893CDE"/>
    <w:rsid w:val="008B5DEC"/>
    <w:rsid w:val="008D4AE6"/>
    <w:rsid w:val="008D5924"/>
    <w:rsid w:val="008D7681"/>
    <w:rsid w:val="008F4E65"/>
    <w:rsid w:val="0091137A"/>
    <w:rsid w:val="00923838"/>
    <w:rsid w:val="009312BD"/>
    <w:rsid w:val="00975836"/>
    <w:rsid w:val="009860DC"/>
    <w:rsid w:val="009937E8"/>
    <w:rsid w:val="009B79B1"/>
    <w:rsid w:val="009C0E7F"/>
    <w:rsid w:val="009D047A"/>
    <w:rsid w:val="009E04A4"/>
    <w:rsid w:val="009F049D"/>
    <w:rsid w:val="009F5E2A"/>
    <w:rsid w:val="00A0044C"/>
    <w:rsid w:val="00A019A2"/>
    <w:rsid w:val="00A02BBB"/>
    <w:rsid w:val="00A23CEC"/>
    <w:rsid w:val="00A23D2F"/>
    <w:rsid w:val="00A273B3"/>
    <w:rsid w:val="00A4744A"/>
    <w:rsid w:val="00A6197F"/>
    <w:rsid w:val="00A66D3B"/>
    <w:rsid w:val="00A737C2"/>
    <w:rsid w:val="00A751DC"/>
    <w:rsid w:val="00A77BDF"/>
    <w:rsid w:val="00A818AF"/>
    <w:rsid w:val="00AD3E11"/>
    <w:rsid w:val="00B16617"/>
    <w:rsid w:val="00B61542"/>
    <w:rsid w:val="00B654EA"/>
    <w:rsid w:val="00B82506"/>
    <w:rsid w:val="00B9181B"/>
    <w:rsid w:val="00BA611D"/>
    <w:rsid w:val="00BE5D54"/>
    <w:rsid w:val="00BE6F5B"/>
    <w:rsid w:val="00C00A45"/>
    <w:rsid w:val="00C01D06"/>
    <w:rsid w:val="00C01E89"/>
    <w:rsid w:val="00C212F4"/>
    <w:rsid w:val="00C23DFA"/>
    <w:rsid w:val="00C26813"/>
    <w:rsid w:val="00C46100"/>
    <w:rsid w:val="00C57D84"/>
    <w:rsid w:val="00C85DF0"/>
    <w:rsid w:val="00CB17F4"/>
    <w:rsid w:val="00CB3C17"/>
    <w:rsid w:val="00CE346F"/>
    <w:rsid w:val="00D07D82"/>
    <w:rsid w:val="00D112D6"/>
    <w:rsid w:val="00D114FD"/>
    <w:rsid w:val="00D30BC0"/>
    <w:rsid w:val="00D3580A"/>
    <w:rsid w:val="00D40E78"/>
    <w:rsid w:val="00D42457"/>
    <w:rsid w:val="00D817F3"/>
    <w:rsid w:val="00D8449B"/>
    <w:rsid w:val="00D94BE9"/>
    <w:rsid w:val="00D97CD4"/>
    <w:rsid w:val="00DB0445"/>
    <w:rsid w:val="00DB4CE7"/>
    <w:rsid w:val="00DD0017"/>
    <w:rsid w:val="00DD0B98"/>
    <w:rsid w:val="00DD6AE4"/>
    <w:rsid w:val="00DE7AB0"/>
    <w:rsid w:val="00DF7C9E"/>
    <w:rsid w:val="00E0598E"/>
    <w:rsid w:val="00E12985"/>
    <w:rsid w:val="00E27C07"/>
    <w:rsid w:val="00E56192"/>
    <w:rsid w:val="00E57C52"/>
    <w:rsid w:val="00E612F6"/>
    <w:rsid w:val="00E66E9B"/>
    <w:rsid w:val="00E67873"/>
    <w:rsid w:val="00EA05C0"/>
    <w:rsid w:val="00EA3731"/>
    <w:rsid w:val="00EA4BC5"/>
    <w:rsid w:val="00EA5A08"/>
    <w:rsid w:val="00EB4B03"/>
    <w:rsid w:val="00EC4009"/>
    <w:rsid w:val="00EF5DB7"/>
    <w:rsid w:val="00F21BDD"/>
    <w:rsid w:val="00F34615"/>
    <w:rsid w:val="00F54BE6"/>
    <w:rsid w:val="00F7090D"/>
    <w:rsid w:val="00FC35B2"/>
    <w:rsid w:val="00FF2CF6"/>
    <w:rsid w:val="00FF4D3F"/>
    <w:rsid w:val="00FF6AE3"/>
    <w:rsid w:val="011B466A"/>
    <w:rsid w:val="01AA3877"/>
    <w:rsid w:val="01DF2B34"/>
    <w:rsid w:val="01F17356"/>
    <w:rsid w:val="0221497E"/>
    <w:rsid w:val="02411B93"/>
    <w:rsid w:val="03A3046B"/>
    <w:rsid w:val="04231D23"/>
    <w:rsid w:val="04A8035C"/>
    <w:rsid w:val="057B186A"/>
    <w:rsid w:val="0583769E"/>
    <w:rsid w:val="06D21E81"/>
    <w:rsid w:val="06F207A1"/>
    <w:rsid w:val="075020E6"/>
    <w:rsid w:val="084501F4"/>
    <w:rsid w:val="085A3487"/>
    <w:rsid w:val="0A821835"/>
    <w:rsid w:val="0A862501"/>
    <w:rsid w:val="0B56577A"/>
    <w:rsid w:val="0B685928"/>
    <w:rsid w:val="0B700E0C"/>
    <w:rsid w:val="0CC32F3E"/>
    <w:rsid w:val="0E3B3D37"/>
    <w:rsid w:val="0E4C5AB5"/>
    <w:rsid w:val="0E867A2B"/>
    <w:rsid w:val="0F8120BC"/>
    <w:rsid w:val="0FFC0273"/>
    <w:rsid w:val="100F6863"/>
    <w:rsid w:val="101F6CD7"/>
    <w:rsid w:val="10616161"/>
    <w:rsid w:val="107C30FC"/>
    <w:rsid w:val="10802373"/>
    <w:rsid w:val="10DE1449"/>
    <w:rsid w:val="11901B3B"/>
    <w:rsid w:val="127C39BF"/>
    <w:rsid w:val="13255FEB"/>
    <w:rsid w:val="14593E59"/>
    <w:rsid w:val="15A8272D"/>
    <w:rsid w:val="16276709"/>
    <w:rsid w:val="164825DB"/>
    <w:rsid w:val="17514A69"/>
    <w:rsid w:val="17B500E2"/>
    <w:rsid w:val="19113420"/>
    <w:rsid w:val="19924EC5"/>
    <w:rsid w:val="1A3B49D3"/>
    <w:rsid w:val="1B525A3A"/>
    <w:rsid w:val="1BD15BBA"/>
    <w:rsid w:val="1BF60EA2"/>
    <w:rsid w:val="1D6512B9"/>
    <w:rsid w:val="1DFE3E65"/>
    <w:rsid w:val="1EA82360"/>
    <w:rsid w:val="2004056C"/>
    <w:rsid w:val="210D5718"/>
    <w:rsid w:val="21411C9A"/>
    <w:rsid w:val="21911B9B"/>
    <w:rsid w:val="22A81D4C"/>
    <w:rsid w:val="23A97579"/>
    <w:rsid w:val="256F266F"/>
    <w:rsid w:val="25A247EC"/>
    <w:rsid w:val="26061132"/>
    <w:rsid w:val="28274D40"/>
    <w:rsid w:val="286001FB"/>
    <w:rsid w:val="28FD7399"/>
    <w:rsid w:val="296C33FB"/>
    <w:rsid w:val="29950680"/>
    <w:rsid w:val="2AE92B8B"/>
    <w:rsid w:val="2B185933"/>
    <w:rsid w:val="2C311191"/>
    <w:rsid w:val="2C416D72"/>
    <w:rsid w:val="2D494239"/>
    <w:rsid w:val="2D6501FC"/>
    <w:rsid w:val="2E6C46A3"/>
    <w:rsid w:val="2EA72180"/>
    <w:rsid w:val="2F5C288F"/>
    <w:rsid w:val="30050E7D"/>
    <w:rsid w:val="3182062E"/>
    <w:rsid w:val="32145A07"/>
    <w:rsid w:val="32456E89"/>
    <w:rsid w:val="348451A1"/>
    <w:rsid w:val="349C3C37"/>
    <w:rsid w:val="34BF311A"/>
    <w:rsid w:val="35493093"/>
    <w:rsid w:val="356203CC"/>
    <w:rsid w:val="35680226"/>
    <w:rsid w:val="35C52022"/>
    <w:rsid w:val="35EF72F8"/>
    <w:rsid w:val="361E2B75"/>
    <w:rsid w:val="37896C52"/>
    <w:rsid w:val="38072EB2"/>
    <w:rsid w:val="3950297B"/>
    <w:rsid w:val="3AA23689"/>
    <w:rsid w:val="3AAC27E9"/>
    <w:rsid w:val="3ACA22B9"/>
    <w:rsid w:val="3C0B4511"/>
    <w:rsid w:val="3C477110"/>
    <w:rsid w:val="3C7945AF"/>
    <w:rsid w:val="3CD3774B"/>
    <w:rsid w:val="3DB41ED8"/>
    <w:rsid w:val="3DBB5DC7"/>
    <w:rsid w:val="3DC6320C"/>
    <w:rsid w:val="3E611D45"/>
    <w:rsid w:val="3FAB3A69"/>
    <w:rsid w:val="401B2B58"/>
    <w:rsid w:val="40A40D4F"/>
    <w:rsid w:val="40F36293"/>
    <w:rsid w:val="419B2E13"/>
    <w:rsid w:val="42201879"/>
    <w:rsid w:val="440B0B14"/>
    <w:rsid w:val="44BE2E8F"/>
    <w:rsid w:val="45284A5E"/>
    <w:rsid w:val="456B6431"/>
    <w:rsid w:val="47874EA9"/>
    <w:rsid w:val="47B44676"/>
    <w:rsid w:val="4803701A"/>
    <w:rsid w:val="49530312"/>
    <w:rsid w:val="49ED64C9"/>
    <w:rsid w:val="4AF36E2F"/>
    <w:rsid w:val="4B48499E"/>
    <w:rsid w:val="4B876D4C"/>
    <w:rsid w:val="4BDB5372"/>
    <w:rsid w:val="4C7A32E7"/>
    <w:rsid w:val="4CC0113B"/>
    <w:rsid w:val="4D705A5D"/>
    <w:rsid w:val="4E023E15"/>
    <w:rsid w:val="4F100820"/>
    <w:rsid w:val="507A635B"/>
    <w:rsid w:val="514207FD"/>
    <w:rsid w:val="51A73905"/>
    <w:rsid w:val="52C74869"/>
    <w:rsid w:val="53B97094"/>
    <w:rsid w:val="53BC7CB1"/>
    <w:rsid w:val="53DB2795"/>
    <w:rsid w:val="546216A6"/>
    <w:rsid w:val="54896BD1"/>
    <w:rsid w:val="54DB230D"/>
    <w:rsid w:val="55944C0E"/>
    <w:rsid w:val="56666EE2"/>
    <w:rsid w:val="576D3087"/>
    <w:rsid w:val="59345172"/>
    <w:rsid w:val="593A06B5"/>
    <w:rsid w:val="59CA59DA"/>
    <w:rsid w:val="5A762450"/>
    <w:rsid w:val="5AA4447D"/>
    <w:rsid w:val="5AC35A6B"/>
    <w:rsid w:val="5BD111F4"/>
    <w:rsid w:val="5CC86EA4"/>
    <w:rsid w:val="5CE5193F"/>
    <w:rsid w:val="5E3D507A"/>
    <w:rsid w:val="5F243677"/>
    <w:rsid w:val="5F4A16A1"/>
    <w:rsid w:val="5F9C69B7"/>
    <w:rsid w:val="60C77F13"/>
    <w:rsid w:val="6130766C"/>
    <w:rsid w:val="61DC7186"/>
    <w:rsid w:val="621F0086"/>
    <w:rsid w:val="623844F4"/>
    <w:rsid w:val="62766E03"/>
    <w:rsid w:val="63531F8D"/>
    <w:rsid w:val="638C227F"/>
    <w:rsid w:val="639B7CD8"/>
    <w:rsid w:val="63F01943"/>
    <w:rsid w:val="641C76D4"/>
    <w:rsid w:val="64256973"/>
    <w:rsid w:val="647E0EAE"/>
    <w:rsid w:val="64901CDF"/>
    <w:rsid w:val="64E102CB"/>
    <w:rsid w:val="64E12312"/>
    <w:rsid w:val="651621C9"/>
    <w:rsid w:val="65DB74FA"/>
    <w:rsid w:val="665F56FC"/>
    <w:rsid w:val="6945507D"/>
    <w:rsid w:val="69B35505"/>
    <w:rsid w:val="69B705EC"/>
    <w:rsid w:val="6AB6082A"/>
    <w:rsid w:val="6AD04767"/>
    <w:rsid w:val="6AD30F68"/>
    <w:rsid w:val="6AF059AE"/>
    <w:rsid w:val="6B182A98"/>
    <w:rsid w:val="6B3233DF"/>
    <w:rsid w:val="6B442F1F"/>
    <w:rsid w:val="6E39717B"/>
    <w:rsid w:val="6FCA2ACC"/>
    <w:rsid w:val="700F08C0"/>
    <w:rsid w:val="704F0ED7"/>
    <w:rsid w:val="705B714E"/>
    <w:rsid w:val="706F2E94"/>
    <w:rsid w:val="713E0F09"/>
    <w:rsid w:val="71933005"/>
    <w:rsid w:val="71BE5037"/>
    <w:rsid w:val="71D34078"/>
    <w:rsid w:val="72693B8A"/>
    <w:rsid w:val="729F75AC"/>
    <w:rsid w:val="72DA44FF"/>
    <w:rsid w:val="72EB15F3"/>
    <w:rsid w:val="73E01848"/>
    <w:rsid w:val="742762A4"/>
    <w:rsid w:val="74E22F5B"/>
    <w:rsid w:val="74E60521"/>
    <w:rsid w:val="75821800"/>
    <w:rsid w:val="75DC28C5"/>
    <w:rsid w:val="76EE18F3"/>
    <w:rsid w:val="77037899"/>
    <w:rsid w:val="77AB445A"/>
    <w:rsid w:val="78DF4BA6"/>
    <w:rsid w:val="78F36E09"/>
    <w:rsid w:val="7901354B"/>
    <w:rsid w:val="7A2F16EC"/>
    <w:rsid w:val="7BB52A0C"/>
    <w:rsid w:val="7EE97F06"/>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7"/>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autoRedefine/>
    <w:qFormat/>
    <w:uiPriority w:val="0"/>
    <w:pPr>
      <w:keepNext/>
      <w:jc w:val="center"/>
      <w:outlineLvl w:val="3"/>
    </w:pPr>
    <w:rPr>
      <w:rFonts w:eastAsia="新宋体"/>
      <w:kern w:val="0"/>
      <w:sz w:val="30"/>
      <w:szCs w:val="21"/>
    </w:rPr>
  </w:style>
  <w:style w:type="paragraph" w:styleId="6">
    <w:name w:val="heading 6"/>
    <w:basedOn w:val="1"/>
    <w:next w:val="7"/>
    <w:autoRedefine/>
    <w:qFormat/>
    <w:uiPriority w:val="0"/>
    <w:pPr>
      <w:keepNext/>
      <w:jc w:val="center"/>
      <w:outlineLvl w:val="5"/>
    </w:pPr>
    <w:rPr>
      <w:b/>
      <w:kern w:val="0"/>
      <w:sz w:val="44"/>
      <w:szCs w:val="20"/>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Times New Roman" w:hAnsi="Times New Roman"/>
      <w:szCs w:val="20"/>
    </w:rPr>
  </w:style>
  <w:style w:type="paragraph" w:styleId="7">
    <w:name w:val="Normal Indent"/>
    <w:basedOn w:val="1"/>
    <w:autoRedefine/>
    <w:qFormat/>
    <w:uiPriority w:val="0"/>
    <w:pPr>
      <w:ind w:firstLine="420"/>
    </w:pPr>
    <w:rPr>
      <w:kern w:val="0"/>
      <w:sz w:val="20"/>
      <w:szCs w:val="20"/>
    </w:rPr>
  </w:style>
  <w:style w:type="paragraph" w:styleId="8">
    <w:name w:val="Document Map"/>
    <w:basedOn w:val="1"/>
    <w:link w:val="38"/>
    <w:autoRedefine/>
    <w:semiHidden/>
    <w:unhideWhenUsed/>
    <w:qFormat/>
    <w:uiPriority w:val="0"/>
    <w:rPr>
      <w:rFonts w:ascii="Microsoft YaHei UI" w:eastAsia="Microsoft YaHei UI"/>
      <w:sz w:val="18"/>
      <w:szCs w:val="18"/>
    </w:rPr>
  </w:style>
  <w:style w:type="paragraph" w:styleId="9">
    <w:name w:val="Body Text Indent"/>
    <w:basedOn w:val="1"/>
    <w:autoRedefine/>
    <w:qFormat/>
    <w:uiPriority w:val="0"/>
    <w:pPr>
      <w:ind w:left="420" w:leftChars="200"/>
    </w:pPr>
  </w:style>
  <w:style w:type="paragraph" w:styleId="10">
    <w:name w:val="Plain Text"/>
    <w:basedOn w:val="1"/>
    <w:next w:val="1"/>
    <w:autoRedefine/>
    <w:qFormat/>
    <w:uiPriority w:val="0"/>
    <w:rPr>
      <w:rFonts w:hint="eastAsia" w:ascii="宋体" w:hAnsi="Courier New"/>
      <w:szCs w:val="20"/>
    </w:rPr>
  </w:style>
  <w:style w:type="paragraph" w:styleId="11">
    <w:name w:val="footer"/>
    <w:basedOn w:val="1"/>
    <w:link w:val="35"/>
    <w:autoRedefine/>
    <w:qFormat/>
    <w:uiPriority w:val="99"/>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4">
    <w:name w:val="Body Text First Indent 2"/>
    <w:basedOn w:val="9"/>
    <w:next w:val="1"/>
    <w:autoRedefine/>
    <w:qFormat/>
    <w:uiPriority w:val="0"/>
    <w:pPr>
      <w:spacing w:after="120"/>
      <w:ind w:firstLine="420" w:firstLineChars="200"/>
    </w:pPr>
    <w:rPr>
      <w:rFonts w:ascii="Times New Roman" w:hAnsi="Times New Roman"/>
      <w:szCs w:val="20"/>
    </w:rPr>
  </w:style>
  <w:style w:type="character" w:styleId="17">
    <w:name w:val="FollowedHyperlink"/>
    <w:autoRedefine/>
    <w:qFormat/>
    <w:uiPriority w:val="0"/>
    <w:rPr>
      <w:color w:val="800080"/>
      <w:u w:val="none"/>
    </w:rPr>
  </w:style>
  <w:style w:type="character" w:styleId="18">
    <w:name w:val="HTML Definition"/>
    <w:basedOn w:val="16"/>
    <w:autoRedefine/>
    <w:qFormat/>
    <w:uiPriority w:val="0"/>
  </w:style>
  <w:style w:type="character" w:styleId="19">
    <w:name w:val="HTML Typewriter"/>
    <w:basedOn w:val="16"/>
    <w:autoRedefine/>
    <w:qFormat/>
    <w:uiPriority w:val="0"/>
    <w:rPr>
      <w:rFonts w:hint="default" w:ascii="monospace" w:hAnsi="monospace" w:eastAsia="monospace" w:cs="monospace"/>
      <w:sz w:val="20"/>
    </w:rPr>
  </w:style>
  <w:style w:type="character" w:styleId="20">
    <w:name w:val="HTML Acronym"/>
    <w:basedOn w:val="16"/>
    <w:autoRedefine/>
    <w:qFormat/>
    <w:uiPriority w:val="0"/>
  </w:style>
  <w:style w:type="character" w:styleId="21">
    <w:name w:val="HTML Variable"/>
    <w:basedOn w:val="16"/>
    <w:autoRedefine/>
    <w:qFormat/>
    <w:uiPriority w:val="0"/>
  </w:style>
  <w:style w:type="character" w:styleId="22">
    <w:name w:val="Hyperlink"/>
    <w:basedOn w:val="16"/>
    <w:autoRedefine/>
    <w:qFormat/>
    <w:uiPriority w:val="0"/>
    <w:rPr>
      <w:color w:val="0000FF"/>
      <w:u w:val="none"/>
    </w:rPr>
  </w:style>
  <w:style w:type="character" w:styleId="23">
    <w:name w:val="HTML Code"/>
    <w:basedOn w:val="16"/>
    <w:autoRedefine/>
    <w:qFormat/>
    <w:uiPriority w:val="0"/>
    <w:rPr>
      <w:rFonts w:ascii="monospace" w:hAnsi="monospace" w:eastAsia="monospace" w:cs="monospace"/>
      <w:sz w:val="20"/>
    </w:rPr>
  </w:style>
  <w:style w:type="character" w:styleId="24">
    <w:name w:val="HTML Cite"/>
    <w:basedOn w:val="16"/>
    <w:autoRedefine/>
    <w:qFormat/>
    <w:uiPriority w:val="0"/>
  </w:style>
  <w:style w:type="character" w:styleId="25">
    <w:name w:val="HTML Keyboard"/>
    <w:basedOn w:val="16"/>
    <w:autoRedefine/>
    <w:qFormat/>
    <w:uiPriority w:val="0"/>
    <w:rPr>
      <w:rFonts w:hint="default" w:ascii="monospace" w:hAnsi="monospace" w:eastAsia="monospace" w:cs="monospace"/>
      <w:sz w:val="20"/>
    </w:rPr>
  </w:style>
  <w:style w:type="character" w:styleId="26">
    <w:name w:val="HTML Sample"/>
    <w:basedOn w:val="16"/>
    <w:autoRedefine/>
    <w:qFormat/>
    <w:uiPriority w:val="0"/>
    <w:rPr>
      <w:rFonts w:hint="default" w:ascii="monospace" w:hAnsi="monospace" w:eastAsia="monospace" w:cs="monospace"/>
    </w:rPr>
  </w:style>
  <w:style w:type="paragraph" w:customStyle="1" w:styleId="27">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29">
    <w:name w:val="first-child"/>
    <w:basedOn w:val="16"/>
    <w:autoRedefine/>
    <w:qFormat/>
    <w:uiPriority w:val="0"/>
  </w:style>
  <w:style w:type="character" w:customStyle="1" w:styleId="30">
    <w:name w:val="hover2"/>
    <w:basedOn w:val="16"/>
    <w:autoRedefine/>
    <w:qFormat/>
    <w:uiPriority w:val="0"/>
    <w:rPr>
      <w:color w:val="5FB878"/>
    </w:rPr>
  </w:style>
  <w:style w:type="character" w:customStyle="1" w:styleId="31">
    <w:name w:val="hover3"/>
    <w:basedOn w:val="16"/>
    <w:autoRedefine/>
    <w:qFormat/>
    <w:uiPriority w:val="0"/>
    <w:rPr>
      <w:color w:val="5FB878"/>
    </w:rPr>
  </w:style>
  <w:style w:type="character" w:customStyle="1" w:styleId="32">
    <w:name w:val="hover4"/>
    <w:basedOn w:val="16"/>
    <w:autoRedefine/>
    <w:qFormat/>
    <w:uiPriority w:val="0"/>
    <w:rPr>
      <w:color w:val="FFFFFF"/>
    </w:rPr>
  </w:style>
  <w:style w:type="character" w:customStyle="1" w:styleId="33">
    <w:name w:val="layui-this"/>
    <w:basedOn w:val="16"/>
    <w:autoRedefine/>
    <w:qFormat/>
    <w:uiPriority w:val="0"/>
    <w:rPr>
      <w:bdr w:val="single" w:color="EEEEEE" w:sz="6" w:space="0"/>
      <w:shd w:val="clear" w:color="auto" w:fill="FFFFFF"/>
    </w:rPr>
  </w:style>
  <w:style w:type="paragraph" w:customStyle="1" w:styleId="3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35">
    <w:name w:val="页脚 Char"/>
    <w:basedOn w:val="16"/>
    <w:link w:val="11"/>
    <w:autoRedefine/>
    <w:qFormat/>
    <w:uiPriority w:val="99"/>
    <w:rPr>
      <w:rFonts w:ascii="Calibri" w:hAnsi="Calibri"/>
      <w:kern w:val="2"/>
      <w:sz w:val="18"/>
      <w:szCs w:val="24"/>
    </w:rPr>
  </w:style>
  <w:style w:type="paragraph" w:styleId="36">
    <w:name w:val="List Paragraph"/>
    <w:basedOn w:val="1"/>
    <w:autoRedefine/>
    <w:qFormat/>
    <w:uiPriority w:val="99"/>
    <w:pPr>
      <w:ind w:firstLine="420" w:firstLineChars="200"/>
    </w:pPr>
  </w:style>
  <w:style w:type="character" w:customStyle="1" w:styleId="37">
    <w:name w:val="标题 1 Char"/>
    <w:link w:val="3"/>
    <w:autoRedefine/>
    <w:qFormat/>
    <w:uiPriority w:val="0"/>
    <w:rPr>
      <w:b/>
      <w:kern w:val="44"/>
      <w:sz w:val="44"/>
    </w:rPr>
  </w:style>
  <w:style w:type="character" w:customStyle="1" w:styleId="38">
    <w:name w:val="文档结构图 Char"/>
    <w:basedOn w:val="16"/>
    <w:link w:val="8"/>
    <w:autoRedefine/>
    <w:semiHidden/>
    <w:qFormat/>
    <w:uiPriority w:val="0"/>
    <w:rPr>
      <w:rFonts w:ascii="Microsoft YaHei UI" w:hAnsi="Calibri" w:eastAsia="Microsoft YaHei UI"/>
      <w:kern w:val="2"/>
      <w:sz w:val="18"/>
      <w:szCs w:val="18"/>
    </w:rPr>
  </w:style>
  <w:style w:type="paragraph" w:customStyle="1" w:styleId="39">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2953</Words>
  <Characters>16837</Characters>
  <Lines>140</Lines>
  <Paragraphs>39</Paragraphs>
  <TotalTime>65</TotalTime>
  <ScaleCrop>false</ScaleCrop>
  <LinksUpToDate>false</LinksUpToDate>
  <CharactersWithSpaces>19751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微笑 </cp:lastModifiedBy>
  <cp:lastPrinted>2024-02-06T02:23:00Z</cp:lastPrinted>
  <dcterms:modified xsi:type="dcterms:W3CDTF">2024-04-24T06:40:49Z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B04AB27B0E3646F1AA67DF491C0A1590</vt:lpwstr>
  </property>
</Properties>
</file>