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ind w:firstLine="0"/>
        <w:spacing w:before="0" w:after="0"/>
        <w:rPr>
          <w:rFonts w:hint="eastAsia" w:ascii="仿宋" w:hAnsi="仿宋" w:eastAsia="仿宋" w:cs="仿宋"/>
          <w:b/>
          <w:bCs/>
          <w:sz w:val="84"/>
          <w:highlight w:val="none"/>
        </w:rPr>
      </w:pPr>
      <w:r>
        <w:rPr>
          <w:rFonts w:hint="eastAsia" w:ascii="仿宋" w:hAnsi="仿宋" w:eastAsia="仿宋" w:cs="仿宋"/>
          <w:b/>
          <w:bCs/>
          <w:sz w:val="84"/>
          <w:highlight w:val="none"/>
        </w:rPr>
      </w:r>
      <w:r/>
    </w:p>
    <w:p>
      <w:pPr>
        <w:jc w:val="center"/>
        <w:rPr>
          <w:rFonts w:hint="eastAsia" w:ascii="仿宋" w:hAnsi="仿宋" w:eastAsia="仿宋" w:cs="仿宋"/>
          <w:b/>
          <w:bCs/>
          <w:sz w:val="96"/>
          <w:szCs w:val="96"/>
        </w:rPr>
        <w:outlineLvl w:val="9"/>
      </w:pPr>
      <w:r>
        <w:rPr>
          <w:rFonts w:hint="eastAsia" w:ascii="仿宋" w:hAnsi="仿宋" w:eastAsia="仿宋" w:cs="仿宋"/>
          <w:b/>
          <w:bCs/>
          <w:sz w:val="96"/>
          <w:szCs w:val="96"/>
        </w:rPr>
        <w:t xml:space="preserve">竞争性磋商文件</w:t>
      </w:r>
      <w:r/>
    </w:p>
    <w:p>
      <w:pPr>
        <w:pStyle w:val="806"/>
        <w:ind w:firstLine="1687"/>
        <w:jc w:val="center"/>
        <w:spacing w:before="0" w:after="0"/>
        <w:rPr>
          <w:rFonts w:hint="eastAsia" w:ascii="仿宋" w:hAnsi="仿宋" w:eastAsia="仿宋" w:cs="仿宋"/>
          <w:b/>
          <w:bCs/>
          <w:sz w:val="84"/>
          <w:highlight w:val="none"/>
        </w:rPr>
      </w:pPr>
      <w:r>
        <w:rPr>
          <w:rFonts w:hint="eastAsia" w:ascii="仿宋" w:hAnsi="仿宋" w:eastAsia="仿宋" w:cs="仿宋"/>
          <w:b/>
          <w:bCs/>
          <w:sz w:val="84"/>
          <w:highlight w:val="none"/>
        </w:rPr>
      </w:r>
      <w:r/>
    </w:p>
    <w:p>
      <w:pPr>
        <w:pStyle w:val="806"/>
        <w:ind w:firstLine="723"/>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firstLine="723"/>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jc w:val="center"/>
        <w:spacing w:line="600" w:lineRule="auto"/>
        <w:rPr>
          <w:rFonts w:hint="eastAsia" w:ascii="仿宋" w:hAnsi="仿宋" w:eastAsia="仿宋" w:cs="仿宋"/>
          <w:b/>
          <w:bCs/>
          <w:sz w:val="36"/>
          <w:szCs w:val="36"/>
          <w:highlight w:val="none"/>
          <w:u w:val="none"/>
          <w:lang w:val="en-US" w:eastAsia="zh-CN"/>
        </w:rPr>
        <w:outlineLvl w:val="9"/>
      </w:pPr>
      <w:r>
        <w:rPr>
          <w:rFonts w:hint="eastAsia" w:ascii="仿宋" w:hAnsi="仿宋" w:eastAsia="仿宋" w:cs="仿宋"/>
          <w:b/>
          <w:bCs/>
          <w:sz w:val="36"/>
          <w:szCs w:val="36"/>
          <w:highlight w:val="none"/>
          <w:u w:val="none"/>
          <w:lang w:val="en-US" w:eastAsia="zh-CN"/>
        </w:rPr>
        <w:t xml:space="preserve">项目名称：2022、2023年度省级专项转移支付资金部门绩</w:t>
      </w:r>
      <w:r/>
    </w:p>
    <w:p>
      <w:pPr>
        <w:jc w:val="center"/>
        <w:spacing w:line="600" w:lineRule="auto"/>
        <w:rPr>
          <w:rFonts w:hint="eastAsia" w:ascii="仿宋" w:hAnsi="仿宋" w:eastAsia="仿宋" w:cs="仿宋"/>
          <w:highlight w:val="none"/>
          <w:lang w:val="en-US" w:eastAsia="zh-CN"/>
        </w:rPr>
        <w:outlineLvl w:val="9"/>
      </w:pPr>
      <w:r>
        <w:rPr>
          <w:rFonts w:hint="eastAsia" w:ascii="仿宋" w:hAnsi="仿宋" w:eastAsia="仿宋" w:cs="仿宋"/>
          <w:b/>
          <w:bCs/>
          <w:sz w:val="36"/>
          <w:szCs w:val="36"/>
          <w:highlight w:val="none"/>
          <w:u w:val="none"/>
          <w:lang w:val="en-US" w:eastAsia="zh-CN"/>
        </w:rPr>
        <w:t xml:space="preserve">         效评价省级复评和省级专项资金政策绩效评价</w:t>
      </w:r>
      <w:r/>
    </w:p>
    <w:p>
      <w:pPr>
        <w:jc w:val="center"/>
        <w:spacing w:line="600" w:lineRule="auto"/>
        <w:rPr>
          <w:rFonts w:hint="eastAsia" w:ascii="仿宋" w:hAnsi="仿宋" w:eastAsia="仿宋" w:cs="仿宋"/>
          <w:b/>
          <w:bCs/>
          <w:sz w:val="36"/>
          <w:szCs w:val="36"/>
          <w:highlight w:val="none"/>
          <w:u w:val="single"/>
          <w:lang w:val="en-US" w:eastAsia="zh-CN"/>
        </w:rPr>
      </w:pPr>
      <w:r>
        <w:rPr>
          <w:rFonts w:hint="eastAsia" w:ascii="仿宋" w:hAnsi="仿宋" w:eastAsia="仿宋" w:cs="仿宋"/>
          <w:b/>
          <w:bCs/>
          <w:sz w:val="36"/>
          <w:szCs w:val="36"/>
          <w:highlight w:val="none"/>
          <w:u w:val="none"/>
          <w:lang w:val="en-US" w:eastAsia="zh-CN"/>
        </w:rPr>
        <w:t xml:space="preserve">项目编号：JSZC-320000-ZCZB-C2024-0008</w:t>
      </w:r>
      <w:r/>
    </w:p>
    <w:p>
      <w:pPr>
        <w:pStyle w:val="806"/>
        <w:ind w:firstLine="723"/>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left="0" w:firstLine="0"/>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left="0" w:firstLine="0"/>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firstLine="723"/>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firstLine="723"/>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firstLine="723"/>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06"/>
        <w:ind w:firstLine="723"/>
        <w:jc w:val="both"/>
        <w:spacing w:before="0" w:after="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jc w:val="center"/>
        <w:spacing w:line="600" w:lineRule="auto"/>
        <w:rPr>
          <w:rFonts w:hint="eastAsia" w:ascii="仿宋" w:hAnsi="仿宋" w:eastAsia="仿宋" w:cs="仿宋"/>
          <w:b/>
          <w:bCs/>
          <w:sz w:val="36"/>
          <w:szCs w:val="36"/>
          <w:highlight w:val="none"/>
          <w:u w:val="none"/>
          <w:lang w:val="en-US" w:eastAsia="zh-CN"/>
        </w:rPr>
      </w:pPr>
      <w:r>
        <w:rPr>
          <w:rFonts w:hint="eastAsia" w:ascii="仿宋" w:hAnsi="仿宋" w:eastAsia="仿宋" w:cs="仿宋"/>
          <w:b/>
          <w:bCs/>
          <w:sz w:val="36"/>
          <w:szCs w:val="36"/>
          <w:highlight w:val="none"/>
        </w:rPr>
        <w:t xml:space="preserve">采</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 xml:space="preserve">购</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 xml:space="preserve">人：</w:t>
      </w:r>
      <w:r>
        <w:rPr>
          <w:rFonts w:hint="eastAsia" w:ascii="仿宋" w:hAnsi="仿宋" w:eastAsia="仿宋" w:cs="仿宋"/>
          <w:b/>
          <w:bCs/>
          <w:sz w:val="36"/>
          <w:szCs w:val="36"/>
          <w:highlight w:val="none"/>
          <w:u w:val="none"/>
          <w:lang w:val="en-US" w:eastAsia="zh-CN"/>
        </w:rPr>
        <w:t xml:space="preserve">江苏省农业农村厅</w:t>
      </w:r>
      <w:r/>
    </w:p>
    <w:p>
      <w:pPr>
        <w:jc w:val="center"/>
        <w:spacing w:line="600" w:lineRule="auto"/>
        <w:rPr>
          <w:rFonts w:hint="eastAsia" w:ascii="仿宋" w:hAnsi="仿宋" w:eastAsia="仿宋" w:cs="仿宋"/>
          <w:b/>
          <w:bCs/>
          <w:sz w:val="36"/>
          <w:szCs w:val="36"/>
          <w:highlight w:val="none"/>
          <w:u w:val="none"/>
        </w:rPr>
      </w:pPr>
      <w:r>
        <w:rPr>
          <w:rFonts w:hint="eastAsia" w:ascii="仿宋" w:hAnsi="仿宋" w:eastAsia="仿宋" w:cs="仿宋"/>
          <w:b/>
          <w:bCs/>
          <w:sz w:val="36"/>
          <w:szCs w:val="36"/>
          <w:u w:val="none"/>
        </w:rPr>
        <w:t xml:space="preserve">代理机构：</w:t>
      </w:r>
      <w:r>
        <w:rPr>
          <w:rFonts w:hint="eastAsia" w:ascii="仿宋" w:hAnsi="仿宋" w:eastAsia="仿宋" w:cs="仿宋"/>
          <w:b/>
          <w:bCs/>
          <w:sz w:val="36"/>
          <w:szCs w:val="36"/>
          <w:u w:val="none"/>
          <w:lang w:eastAsia="zh-CN"/>
        </w:rPr>
        <w:t xml:space="preserve">江苏臻采招标代理有限公司</w:t>
      </w:r>
      <w:r/>
    </w:p>
    <w:p>
      <w:pPr>
        <w:jc w:val="center"/>
        <w:spacing w:line="600" w:lineRule="auto"/>
        <w:rPr>
          <w:rFonts w:hint="eastAsia" w:ascii="仿宋" w:hAnsi="仿宋" w:eastAsia="仿宋" w:cs="仿宋"/>
          <w:b/>
          <w:bCs/>
          <w:szCs w:val="36"/>
          <w:highlight w:val="none"/>
        </w:rPr>
        <w:outlineLvl w:val="9"/>
      </w:pPr>
      <w:r>
        <w:rPr>
          <w:rFonts w:hint="eastAsia" w:ascii="仿宋" w:hAnsi="仿宋" w:eastAsia="仿宋" w:cs="仿宋"/>
          <w:b/>
          <w:bCs/>
          <w:sz w:val="32"/>
          <w:szCs w:val="32"/>
        </w:rPr>
        <w:t xml:space="preserve">二 〇 二 </w:t>
      </w:r>
      <w:r>
        <w:rPr>
          <w:rFonts w:hint="eastAsia" w:ascii="仿宋" w:hAnsi="仿宋" w:eastAsia="仿宋" w:cs="仿宋"/>
          <w:b/>
          <w:bCs/>
          <w:sz w:val="32"/>
          <w:szCs w:val="32"/>
          <w:lang w:val="en-US" w:eastAsia="zh-CN"/>
        </w:rPr>
        <w:t xml:space="preserve">四 </w:t>
      </w:r>
      <w:r>
        <w:rPr>
          <w:rFonts w:hint="eastAsia" w:ascii="仿宋" w:hAnsi="仿宋" w:eastAsia="仿宋" w:cs="仿宋"/>
          <w:b/>
          <w:bCs/>
          <w:sz w:val="32"/>
          <w:szCs w:val="32"/>
        </w:rPr>
        <w:t xml:space="preserve">年 </w:t>
      </w:r>
      <w:r>
        <w:rPr>
          <w:rFonts w:hint="eastAsia" w:ascii="仿宋" w:hAnsi="仿宋" w:eastAsia="仿宋" w:cs="仿宋"/>
          <w:b/>
          <w:bCs/>
          <w:sz w:val="32"/>
          <w:szCs w:val="32"/>
          <w:lang w:val="en-US" w:eastAsia="zh-CN"/>
        </w:rPr>
        <w:t xml:space="preserve">九</w:t>
      </w:r>
      <w:r>
        <w:rPr>
          <w:rFonts w:hint="eastAsia" w:ascii="仿宋" w:hAnsi="仿宋" w:eastAsia="仿宋" w:cs="仿宋"/>
          <w:b/>
          <w:bCs/>
          <w:sz w:val="32"/>
          <w:szCs w:val="32"/>
        </w:rPr>
        <w:t xml:space="preserve"> 月</w:t>
      </w:r>
      <w:r/>
    </w:p>
    <w:p>
      <w:pPr>
        <w:jc w:val="center"/>
        <w:spacing w:line="240" w:lineRule="atLeast"/>
        <w:rPr>
          <w:rFonts w:hint="eastAsia" w:ascii="仿宋" w:hAnsi="仿宋" w:eastAsia="仿宋" w:cs="仿宋"/>
          <w:b/>
          <w:bCs/>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624" w:footer="964" w:gutter="0"/>
          <w:cols w:num="1" w:sep="0" w:space="720" w:equalWidth="1"/>
          <w:docGrid w:linePitch="360"/>
          <w:titlePg/>
        </w:sectPr>
      </w:pPr>
      <w:r>
        <w:rPr>
          <w:rFonts w:hint="eastAsia" w:ascii="仿宋" w:hAnsi="仿宋" w:eastAsia="仿宋" w:cs="仿宋"/>
          <w:b/>
          <w:bCs/>
          <w:sz w:val="32"/>
          <w:szCs w:val="32"/>
          <w:highlight w:val="none"/>
        </w:rPr>
      </w:r>
      <w:r/>
    </w:p>
    <w:sdt>
      <w:sdtPr>
        <w15:appearance w15:val="boundingBox"/>
        <w15:color w:val="dbdbdb"/>
        <w:id w:val="147452488"/>
        <w:docPartObj>
          <w:docPartGallery w:val="Table of Contents"/>
          <w:docPartUnique w:val="true"/>
        </w:docPartObj>
        <w:rPr>
          <w:rFonts w:hint="eastAsia" w:ascii="仿宋" w:hAnsi="仿宋" w:eastAsia="仿宋" w:cs="仿宋"/>
          <w:b/>
          <w:bCs/>
          <w:sz w:val="21"/>
          <w:szCs w:val="21"/>
          <w:lang w:val="en-US" w:eastAsia="zh-CN" w:bidi="ar-SA"/>
        </w:rPr>
      </w:sdtPr>
      <w:sdtContent>
        <w:p>
          <w:pPr>
            <w:ind w:left="0" w:right="0" w:firstLine="0"/>
            <w:jc w:val="center"/>
            <w:spacing w:before="0" w:after="0" w:line="240" w:lineRule="auto"/>
            <w:rPr>
              <w:rFonts w:hint="eastAsia" w:ascii="仿宋" w:hAnsi="仿宋" w:eastAsia="仿宋" w:cs="仿宋"/>
              <w:b/>
              <w:bCs/>
              <w:sz w:val="21"/>
              <w:szCs w:val="21"/>
              <w:lang w:val="en-US" w:eastAsia="zh-CN" w:bidi="ar-SA"/>
            </w:rPr>
          </w:pPr>
          <w:r/>
          <w:bookmarkStart w:id="0" w:name="_Toc29723"/>
          <w:r/>
          <w:bookmarkStart w:id="1" w:name="_Toc5114"/>
          <w:r/>
          <w:bookmarkStart w:id="2" w:name="_Toc21586"/>
          <w:r/>
          <w:bookmarkStart w:id="3" w:name="_Toc2039"/>
          <w:r/>
          <w:bookmarkStart w:id="4" w:name="_Toc21568"/>
          <w:r/>
          <w:bookmarkStart w:id="5" w:name="_Toc17453"/>
          <w:r/>
          <w:bookmarkStart w:id="6" w:name="_Toc31010"/>
          <w:r/>
          <w:bookmarkStart w:id="7" w:name="_Toc2312"/>
          <w:r/>
          <w:bookmarkStart w:id="8" w:name="_Toc21936"/>
          <w:r/>
          <w:bookmarkStart w:id="9" w:name="_Toc13193"/>
          <w:r/>
          <w:r/>
        </w:p>
        <w:p>
          <w:pPr>
            <w:ind w:left="0" w:right="0" w:firstLine="0"/>
            <w:jc w:val="center"/>
            <w:spacing w:before="0" w:after="0"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录</w:t>
          </w:r>
          <w:r/>
        </w:p>
        <w:p>
          <w:pPr>
            <w:pStyle w:val="796"/>
            <w:tabs>
              <w:tab w:val="right" w:pos="9746"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\h \u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_Toc25251 </w:instrText>
          </w:r>
          <w:r>
            <w:rPr>
              <w:rFonts w:hint="eastAsia" w:ascii="仿宋" w:hAnsi="仿宋" w:eastAsia="仿宋" w:cs="仿宋"/>
              <w:sz w:val="24"/>
              <w:szCs w:val="24"/>
            </w:rPr>
            <w:fldChar w:fldCharType="separate"/>
          </w:r>
          <w:r>
            <w:rPr>
              <w:rFonts w:hint="eastAsia" w:ascii="仿宋" w:hAnsi="仿宋" w:eastAsia="仿宋" w:cs="仿宋"/>
              <w:bCs/>
              <w:sz w:val="24"/>
              <w:szCs w:val="24"/>
              <w:highlight w:val="none"/>
            </w:rPr>
            <w:t xml:space="preserve">第一章 采购邀请</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采购公告</w:t>
          </w:r>
          <w:r>
            <w:rPr>
              <w:rFonts w:hint="eastAsia" w:ascii="仿宋" w:hAnsi="仿宋" w:eastAsia="仿宋" w:cs="仿宋"/>
              <w:bCs/>
              <w:sz w:val="24"/>
              <w:szCs w:val="24"/>
              <w:highlight w:val="none"/>
              <w:lang w:eastAsia="zh-CN"/>
            </w:rPr>
            <w:t xml:space="preserve">）</w:t>
          </w:r>
          <w:r>
            <w:rPr>
              <w:sz w:val="24"/>
              <w:szCs w:val="24"/>
            </w:rPr>
            <w:tab/>
          </w:r>
          <w:r>
            <w:rPr>
              <w:sz w:val="24"/>
              <w:szCs w:val="24"/>
            </w:rPr>
            <w:fldChar w:fldCharType="begin"/>
          </w:r>
          <w:r>
            <w:rPr>
              <w:sz w:val="24"/>
              <w:szCs w:val="24"/>
            </w:rPr>
            <w:instrText xml:space="preserve"> PAGEREF _Toc25251 \h </w:instrText>
          </w:r>
          <w:r>
            <w:rPr>
              <w:sz w:val="24"/>
              <w:szCs w:val="24"/>
            </w:rPr>
            <w:fldChar w:fldCharType="separate"/>
          </w:r>
          <w:r>
            <w:rPr>
              <w:sz w:val="24"/>
              <w:szCs w:val="24"/>
            </w:rPr>
            <w:t xml:space="preserve">1</w:t>
          </w:r>
          <w:r>
            <w:rPr>
              <w:sz w:val="24"/>
              <w:szCs w:val="24"/>
            </w:rPr>
            <w:fldChar w:fldCharType="end"/>
          </w:r>
          <w:r>
            <w:rPr>
              <w:rFonts w:hint="eastAsia" w:ascii="仿宋" w:hAnsi="仿宋" w:eastAsia="仿宋" w:cs="仿宋"/>
              <w:sz w:val="24"/>
              <w:szCs w:val="24"/>
            </w:rPr>
            <w:fldChar w:fldCharType="end"/>
          </w:r>
          <w:r/>
        </w:p>
        <w:p>
          <w:pPr>
            <w:pStyle w:val="796"/>
            <w:tabs>
              <w:tab w:val="right" w:pos="9746"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_Toc2430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第二章 磋商须知</w:t>
          </w:r>
          <w:r>
            <w:rPr>
              <w:sz w:val="24"/>
              <w:szCs w:val="24"/>
            </w:rPr>
            <w:tab/>
          </w:r>
          <w:r>
            <w:rPr>
              <w:sz w:val="24"/>
              <w:szCs w:val="24"/>
            </w:rPr>
            <w:fldChar w:fldCharType="begin"/>
          </w:r>
          <w:r>
            <w:rPr>
              <w:sz w:val="24"/>
              <w:szCs w:val="24"/>
            </w:rPr>
            <w:instrText xml:space="preserve"> PAGEREF _Toc2430 \h </w:instrText>
          </w:r>
          <w:r>
            <w:rPr>
              <w:sz w:val="24"/>
              <w:szCs w:val="24"/>
            </w:rPr>
            <w:fldChar w:fldCharType="separate"/>
          </w:r>
          <w:r>
            <w:rPr>
              <w:sz w:val="24"/>
              <w:szCs w:val="24"/>
            </w:rPr>
            <w:t xml:space="preserve">5</w:t>
          </w:r>
          <w:r>
            <w:rPr>
              <w:sz w:val="24"/>
              <w:szCs w:val="24"/>
            </w:rPr>
            <w:fldChar w:fldCharType="end"/>
          </w:r>
          <w:r>
            <w:rPr>
              <w:rFonts w:hint="eastAsia" w:ascii="仿宋" w:hAnsi="仿宋" w:eastAsia="仿宋" w:cs="仿宋"/>
              <w:sz w:val="24"/>
              <w:szCs w:val="24"/>
            </w:rPr>
            <w:fldChar w:fldCharType="end"/>
          </w:r>
          <w:r/>
        </w:p>
        <w:p>
          <w:pPr>
            <w:pStyle w:val="796"/>
            <w:tabs>
              <w:tab w:val="right" w:pos="9746"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_Toc14741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 xml:space="preserve">第三章 合同条款及格式</w:t>
          </w:r>
          <w:r>
            <w:rPr>
              <w:sz w:val="24"/>
              <w:szCs w:val="24"/>
            </w:rPr>
            <w:tab/>
          </w:r>
          <w:r>
            <w:rPr>
              <w:sz w:val="24"/>
              <w:szCs w:val="24"/>
            </w:rPr>
            <w:fldChar w:fldCharType="begin"/>
          </w:r>
          <w:r>
            <w:rPr>
              <w:sz w:val="24"/>
              <w:szCs w:val="24"/>
            </w:rPr>
            <w:instrText xml:space="preserve"> PAGEREF _Toc14741 \h </w:instrText>
          </w:r>
          <w:r>
            <w:rPr>
              <w:sz w:val="24"/>
              <w:szCs w:val="24"/>
            </w:rPr>
            <w:fldChar w:fldCharType="separate"/>
          </w:r>
          <w:r>
            <w:rPr>
              <w:sz w:val="24"/>
              <w:szCs w:val="24"/>
            </w:rPr>
            <w:t xml:space="preserve">22</w:t>
          </w:r>
          <w:r>
            <w:rPr>
              <w:sz w:val="24"/>
              <w:szCs w:val="24"/>
            </w:rPr>
            <w:fldChar w:fldCharType="end"/>
          </w:r>
          <w:r>
            <w:rPr>
              <w:rFonts w:hint="eastAsia" w:ascii="仿宋" w:hAnsi="仿宋" w:eastAsia="仿宋" w:cs="仿宋"/>
              <w:sz w:val="24"/>
              <w:szCs w:val="24"/>
            </w:rPr>
            <w:fldChar w:fldCharType="end"/>
          </w:r>
          <w:r/>
        </w:p>
        <w:p>
          <w:pPr>
            <w:pStyle w:val="796"/>
            <w:tabs>
              <w:tab w:val="right" w:pos="9746"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_Toc12202 </w:instrText>
          </w:r>
          <w:r>
            <w:rPr>
              <w:rFonts w:hint="eastAsia" w:ascii="仿宋" w:hAnsi="仿宋" w:eastAsia="仿宋" w:cs="仿宋"/>
              <w:sz w:val="24"/>
              <w:szCs w:val="24"/>
            </w:rPr>
            <w:fldChar w:fldCharType="separate"/>
          </w:r>
          <w:r>
            <w:rPr>
              <w:rFonts w:hint="eastAsia" w:ascii="仿宋" w:hAnsi="仿宋" w:eastAsia="仿宋" w:cs="仿宋"/>
              <w:bCs/>
              <w:sz w:val="24"/>
              <w:szCs w:val="24"/>
              <w:highlight w:val="none"/>
            </w:rPr>
            <w:t xml:space="preserve">第四章 项目需求</w:t>
          </w:r>
          <w:r>
            <w:rPr>
              <w:sz w:val="24"/>
              <w:szCs w:val="24"/>
            </w:rPr>
            <w:tab/>
          </w:r>
          <w:r>
            <w:rPr>
              <w:sz w:val="24"/>
              <w:szCs w:val="24"/>
            </w:rPr>
            <w:fldChar w:fldCharType="begin"/>
          </w:r>
          <w:r>
            <w:rPr>
              <w:sz w:val="24"/>
              <w:szCs w:val="24"/>
            </w:rPr>
            <w:instrText xml:space="preserve"> PAGEREF _Toc12202 \h </w:instrText>
          </w:r>
          <w:r>
            <w:rPr>
              <w:sz w:val="24"/>
              <w:szCs w:val="24"/>
            </w:rPr>
            <w:fldChar w:fldCharType="separate"/>
          </w:r>
          <w:r>
            <w:rPr>
              <w:sz w:val="24"/>
              <w:szCs w:val="24"/>
            </w:rPr>
            <w:t xml:space="preserve">28</w:t>
          </w:r>
          <w:r>
            <w:rPr>
              <w:sz w:val="24"/>
              <w:szCs w:val="24"/>
            </w:rPr>
            <w:fldChar w:fldCharType="end"/>
          </w:r>
          <w:r>
            <w:rPr>
              <w:rFonts w:hint="eastAsia" w:ascii="仿宋" w:hAnsi="仿宋" w:eastAsia="仿宋" w:cs="仿宋"/>
              <w:sz w:val="24"/>
              <w:szCs w:val="24"/>
            </w:rPr>
            <w:fldChar w:fldCharType="end"/>
          </w:r>
          <w:r/>
        </w:p>
        <w:p>
          <w:pPr>
            <w:pStyle w:val="796"/>
            <w:tabs>
              <w:tab w:val="right" w:pos="9746"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_Toc26188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 xml:space="preserve">第五章 评审方法与评审标准</w:t>
          </w:r>
          <w:r>
            <w:rPr>
              <w:sz w:val="24"/>
              <w:szCs w:val="24"/>
            </w:rPr>
            <w:tab/>
          </w:r>
          <w:r>
            <w:rPr>
              <w:sz w:val="24"/>
              <w:szCs w:val="24"/>
            </w:rPr>
            <w:fldChar w:fldCharType="begin"/>
          </w:r>
          <w:r>
            <w:rPr>
              <w:sz w:val="24"/>
              <w:szCs w:val="24"/>
            </w:rPr>
            <w:instrText xml:space="preserve"> PAGEREF _Toc26188 \h </w:instrText>
          </w:r>
          <w:r>
            <w:rPr>
              <w:sz w:val="24"/>
              <w:szCs w:val="24"/>
            </w:rPr>
            <w:fldChar w:fldCharType="separate"/>
          </w:r>
          <w:r>
            <w:rPr>
              <w:sz w:val="24"/>
              <w:szCs w:val="24"/>
            </w:rPr>
            <w:t xml:space="preserve">32</w:t>
          </w:r>
          <w:r>
            <w:rPr>
              <w:sz w:val="24"/>
              <w:szCs w:val="24"/>
            </w:rPr>
            <w:fldChar w:fldCharType="end"/>
          </w:r>
          <w:r>
            <w:rPr>
              <w:rFonts w:hint="eastAsia" w:ascii="仿宋" w:hAnsi="仿宋" w:eastAsia="仿宋" w:cs="仿宋"/>
              <w:sz w:val="24"/>
              <w:szCs w:val="24"/>
            </w:rPr>
            <w:fldChar w:fldCharType="end"/>
          </w:r>
          <w:r/>
        </w:p>
        <w:p>
          <w:pPr>
            <w:pStyle w:val="796"/>
            <w:tabs>
              <w:tab w:val="right" w:pos="9746"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_Toc13300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 xml:space="preserve">第六章 响应文件格式</w:t>
          </w:r>
          <w:r>
            <w:rPr>
              <w:sz w:val="24"/>
              <w:szCs w:val="24"/>
            </w:rPr>
            <w:tab/>
          </w:r>
          <w:r>
            <w:rPr>
              <w:sz w:val="24"/>
              <w:szCs w:val="24"/>
            </w:rPr>
            <w:fldChar w:fldCharType="begin"/>
          </w:r>
          <w:r>
            <w:rPr>
              <w:sz w:val="24"/>
              <w:szCs w:val="24"/>
            </w:rPr>
            <w:instrText xml:space="preserve"> PAGEREF _Toc13300 \h </w:instrText>
          </w:r>
          <w:r>
            <w:rPr>
              <w:sz w:val="24"/>
              <w:szCs w:val="24"/>
            </w:rPr>
            <w:fldChar w:fldCharType="separate"/>
          </w:r>
          <w:r>
            <w:rPr>
              <w:sz w:val="24"/>
              <w:szCs w:val="24"/>
            </w:rPr>
            <w:t xml:space="preserve">34</w:t>
          </w:r>
          <w:r>
            <w:rPr>
              <w:sz w:val="24"/>
              <w:szCs w:val="24"/>
            </w:rPr>
            <w:fldChar w:fldCharType="end"/>
          </w:r>
          <w:r>
            <w:rPr>
              <w:rFonts w:hint="eastAsia" w:ascii="仿宋" w:hAnsi="仿宋" w:eastAsia="仿宋" w:cs="仿宋"/>
              <w:sz w:val="24"/>
              <w:szCs w:val="24"/>
            </w:rPr>
            <w:fldChar w:fldCharType="end"/>
          </w:r>
          <w:r/>
        </w:p>
        <w:p>
          <w:pPr>
            <w:rPr>
              <w:rFonts w:hint="eastAsia" w:ascii="仿宋" w:hAnsi="仿宋" w:eastAsia="仿宋" w:cs="仿宋"/>
            </w:rPr>
          </w:pPr>
          <w:r>
            <w:rPr>
              <w:rFonts w:hint="eastAsia" w:ascii="仿宋" w:hAnsi="仿宋" w:eastAsia="仿宋" w:cs="仿宋"/>
              <w:sz w:val="24"/>
              <w:szCs w:val="24"/>
            </w:rPr>
            <w:fldChar w:fldCharType="end"/>
          </w:r>
          <w:r/>
        </w:p>
      </w:sdtContent>
    </w:sdt>
    <w:p>
      <w:pPr>
        <w:ind w:left="630" w:right="1049"/>
        <w:jc w:val="center"/>
        <w:pageBreakBefore/>
        <w:widowControl/>
        <w:rPr>
          <w:rFonts w:hint="eastAsia" w:ascii="仿宋" w:hAnsi="仿宋" w:eastAsia="仿宋" w:cs="仿宋"/>
          <w:b/>
          <w:bCs/>
          <w:color w:val="000000"/>
          <w:sz w:val="40"/>
          <w:highlight w:val="none"/>
        </w:rPr>
        <w:sectPr>
          <w:footerReference w:type="default" r:id="rId16"/>
          <w:footnotePr/>
          <w:endnotePr/>
          <w:type w:val="nextPage"/>
          <w:pgSz w:w="11906" w:h="16839" w:orient="portrait"/>
          <w:pgMar w:top="1440" w:right="1080" w:bottom="1440" w:left="1080" w:header="0" w:footer="1702" w:gutter="0"/>
          <w:cols w:num="1" w:sep="0" w:space="720" w:equalWidth="1"/>
          <w:docGrid w:linePitch="360"/>
        </w:sectPr>
        <w:outlineLvl w:val="0"/>
      </w:pPr>
      <w:r/>
      <w:bookmarkStart w:id="10" w:name="_Toc24230"/>
      <w:r/>
      <w:r/>
    </w:p>
    <w:p>
      <w:pPr>
        <w:ind w:left="630" w:right="1049"/>
        <w:jc w:val="center"/>
        <w:pageBreakBefore/>
        <w:widowControl/>
        <w:rPr>
          <w:rFonts w:hint="eastAsia" w:ascii="仿宋" w:hAnsi="仿宋" w:eastAsia="仿宋" w:cs="仿宋"/>
          <w:b/>
          <w:bCs/>
          <w:color w:val="000000"/>
          <w:sz w:val="40"/>
          <w:highlight w:val="none"/>
          <w:lang w:eastAsia="zh-CN"/>
        </w:rPr>
        <w:outlineLvl w:val="0"/>
      </w:pPr>
      <w:r/>
      <w:bookmarkStart w:id="11" w:name="_Toc25251"/>
      <w:r>
        <w:rPr>
          <w:rFonts w:hint="eastAsia" w:ascii="仿宋" w:hAnsi="仿宋" w:eastAsia="仿宋" w:cs="仿宋"/>
          <w:b/>
          <w:bCs/>
          <w:color w:val="000000"/>
          <w:sz w:val="40"/>
          <w:highlight w:val="none"/>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rPr>
          <w:rFonts w:hint="eastAsia" w:ascii="仿宋" w:hAnsi="仿宋" w:eastAsia="仿宋" w:cs="仿宋"/>
          <w:b/>
          <w:bCs/>
          <w:color w:val="000000"/>
          <w:sz w:val="40"/>
          <w:highlight w:val="none"/>
          <w:lang w:eastAsia="zh-CN"/>
        </w:rPr>
        <w:t xml:space="preserve">（</w:t>
      </w:r>
      <w:r>
        <w:rPr>
          <w:rFonts w:hint="eastAsia" w:ascii="仿宋" w:hAnsi="仿宋" w:eastAsia="仿宋" w:cs="仿宋"/>
          <w:b/>
          <w:bCs/>
          <w:color w:val="000000"/>
          <w:sz w:val="40"/>
          <w:highlight w:val="none"/>
          <w:lang w:val="en-US" w:eastAsia="zh-CN"/>
        </w:rPr>
        <w:t xml:space="preserve">采购公告</w:t>
      </w:r>
      <w:r>
        <w:rPr>
          <w:rFonts w:hint="eastAsia" w:ascii="仿宋" w:hAnsi="仿宋" w:eastAsia="仿宋" w:cs="仿宋"/>
          <w:b/>
          <w:bCs/>
          <w:color w:val="000000"/>
          <w:sz w:val="40"/>
          <w:highlight w:val="none"/>
          <w:lang w:eastAsia="zh-CN"/>
        </w:rPr>
        <w:t xml:space="preserve">）</w:t>
      </w:r>
      <w:bookmarkEnd w:id="11"/>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江苏臻采招标代理有限公司</w:t>
      </w:r>
      <w:r>
        <w:rPr>
          <w:rFonts w:hint="eastAsia" w:ascii="仿宋" w:hAnsi="仿宋" w:eastAsia="仿宋" w:cs="仿宋"/>
          <w:b w:val="0"/>
          <w:bCs w:val="0"/>
          <w:sz w:val="24"/>
          <w:szCs w:val="24"/>
          <w:highlight w:val="none"/>
        </w:rPr>
        <w:t xml:space="preserve">受</w:t>
      </w:r>
      <w:r>
        <w:rPr>
          <w:rFonts w:hint="eastAsia" w:ascii="仿宋" w:hAnsi="仿宋" w:eastAsia="仿宋" w:cs="仿宋"/>
          <w:b/>
          <w:bCs/>
          <w:sz w:val="24"/>
          <w:szCs w:val="24"/>
          <w:highlight w:val="none"/>
          <w:lang w:val="en-US" w:eastAsia="zh-CN"/>
        </w:rPr>
        <w:t xml:space="preserve">江苏省农业农村厅</w:t>
      </w:r>
      <w:r>
        <w:rPr>
          <w:rFonts w:hint="eastAsia" w:ascii="仿宋" w:hAnsi="仿宋" w:eastAsia="仿宋" w:cs="仿宋"/>
          <w:b w:val="0"/>
          <w:bCs w:val="0"/>
          <w:sz w:val="24"/>
          <w:szCs w:val="24"/>
          <w:highlight w:val="none"/>
        </w:rPr>
        <w:t xml:space="preserve">的委托，就</w:t>
      </w:r>
      <w:r>
        <w:rPr>
          <w:rFonts w:hint="eastAsia" w:ascii="仿宋" w:hAnsi="仿宋" w:eastAsia="仿宋" w:cs="仿宋"/>
          <w:b/>
          <w:bCs/>
          <w:sz w:val="24"/>
          <w:szCs w:val="24"/>
          <w:highlight w:val="none"/>
          <w:lang w:val="en-US" w:eastAsia="zh-CN"/>
        </w:rPr>
        <w:t xml:space="preserve">2022、2023年度省级专项转移支付资金部门绩效评价省级复评和省级专项资金政策绩效评价</w:t>
      </w:r>
      <w:r>
        <w:rPr>
          <w:rFonts w:hint="eastAsia" w:ascii="仿宋" w:hAnsi="仿宋" w:eastAsia="仿宋" w:cs="仿宋"/>
          <w:b w:val="0"/>
          <w:bCs w:val="0"/>
          <w:sz w:val="24"/>
          <w:szCs w:val="24"/>
          <w:highlight w:val="none"/>
        </w:rPr>
        <w:t xml:space="preserve">实施竞争性磋商采购，兹邀请符合条件的供应商参加磋商及报价。</w:t>
      </w:r>
      <w:r/>
    </w:p>
    <w:p>
      <w:pPr>
        <w:ind w:firstLine="482"/>
        <w:rPr>
          <w:rFonts w:hint="eastAsia" w:ascii="仿宋" w:hAnsi="仿宋" w:eastAsia="仿宋" w:cs="仿宋"/>
          <w:b/>
          <w:bCs/>
          <w:sz w:val="24"/>
          <w:szCs w:val="24"/>
        </w:rPr>
        <w:pBdr>
          <w:top w:val="single" w:color="auto" w:sz="4" w:space="1"/>
          <w:left w:val="single" w:color="auto" w:sz="4" w:space="0"/>
          <w:bottom w:val="single" w:color="auto" w:sz="4" w:space="1"/>
          <w:right w:val="single" w:color="auto" w:sz="4" w:space="4"/>
        </w:pBdr>
      </w:pPr>
      <w:r/>
      <w:bookmarkStart w:id="12" w:name="_Toc6109"/>
      <w:r/>
      <w:bookmarkStart w:id="13" w:name="_Toc7488"/>
      <w:r/>
      <w:bookmarkStart w:id="14" w:name="_Toc14696"/>
      <w:r/>
      <w:bookmarkStart w:id="15" w:name="_Toc6028"/>
      <w:r/>
      <w:bookmarkStart w:id="16" w:name="_Toc8153"/>
      <w:r/>
      <w:bookmarkStart w:id="17" w:name="_Toc4777"/>
      <w:r/>
      <w:bookmarkStart w:id="18" w:name="_Toc18014"/>
      <w:r/>
      <w:bookmarkStart w:id="19" w:name="_Toc10111"/>
      <w:r/>
      <w:bookmarkStart w:id="20" w:name="_Toc2936"/>
      <w:r>
        <w:rPr>
          <w:rFonts w:hint="eastAsia" w:ascii="仿宋" w:hAnsi="仿宋" w:eastAsia="仿宋" w:cs="仿宋"/>
          <w:b/>
          <w:bCs/>
          <w:sz w:val="24"/>
          <w:szCs w:val="24"/>
        </w:rPr>
        <w:t xml:space="preserve">项目概况</w:t>
      </w:r>
      <w:r/>
    </w:p>
    <w:p>
      <w:pPr>
        <w:ind w:firstLine="482"/>
        <w:rPr>
          <w:rFonts w:hint="eastAsia" w:ascii="仿宋" w:hAnsi="仿宋" w:eastAsia="仿宋" w:cs="仿宋"/>
          <w:sz w:val="24"/>
          <w:szCs w:val="24"/>
        </w:rPr>
        <w:pBdr>
          <w:top w:val="single" w:color="auto" w:sz="4" w:space="1"/>
          <w:left w:val="single" w:color="auto" w:sz="4" w:space="0"/>
          <w:bottom w:val="single" w:color="auto" w:sz="4" w:space="1"/>
          <w:right w:val="single" w:color="auto" w:sz="4" w:space="4"/>
        </w:pBdr>
      </w:pPr>
      <w:r>
        <w:rPr>
          <w:rFonts w:hint="eastAsia" w:ascii="仿宋" w:hAnsi="仿宋" w:eastAsia="仿宋" w:cs="仿宋"/>
          <w:b/>
          <w:bCs/>
          <w:sz w:val="24"/>
          <w:szCs w:val="24"/>
          <w:highlight w:val="none"/>
          <w:u w:val="single"/>
          <w:lang w:val="en-US" w:eastAsia="zh-CN"/>
        </w:rPr>
        <w:t xml:space="preserve">2022、2023年度省级专项转移支付资金部门绩效评价省级复评和省级专项资金政策绩效评价</w:t>
      </w:r>
      <w:r>
        <w:rPr>
          <w:rFonts w:hint="eastAsia" w:ascii="仿宋" w:hAnsi="仿宋" w:eastAsia="仿宋" w:cs="仿宋"/>
          <w:b/>
          <w:bCs/>
          <w:sz w:val="24"/>
          <w:szCs w:val="24"/>
          <w:u w:val="single"/>
          <w:lang w:val="en-US" w:eastAsia="zh-CN"/>
        </w:rPr>
        <w:t xml:space="preserve"> </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南京市</w:t>
      </w:r>
      <w:r>
        <w:rPr>
          <w:rFonts w:hint="eastAsia" w:ascii="仿宋" w:hAnsi="仿宋" w:eastAsia="仿宋" w:cs="仿宋"/>
          <w:sz w:val="24"/>
          <w:szCs w:val="24"/>
          <w:u w:val="single"/>
          <w:lang w:eastAsia="zh-CN"/>
        </w:rPr>
        <w:t xml:space="preserve">秦淮区蓝旗街6号秦淮硅巷柳树湾科技园15号</w:t>
      </w:r>
      <w:r>
        <w:rPr>
          <w:rFonts w:hint="eastAsia" w:ascii="仿宋" w:hAnsi="仿宋" w:eastAsia="仿宋" w:cs="仿宋"/>
          <w:sz w:val="24"/>
          <w:szCs w:val="24"/>
          <w:u w:val="single"/>
        </w:rPr>
        <w:t xml:space="preserve">楼4楼</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2024年</w:t>
      </w:r>
      <w:r>
        <w:rPr>
          <w:rFonts w:hint="eastAsia" w:ascii="仿宋" w:hAnsi="仿宋" w:eastAsia="仿宋" w:cs="仿宋"/>
          <w:sz w:val="24"/>
          <w:szCs w:val="24"/>
          <w:u w:val="single"/>
          <w:lang w:val="en-US" w:eastAsia="zh-CN"/>
        </w:rPr>
        <w:t xml:space="preserve">9月14日</w:t>
      </w:r>
      <w:r>
        <w:rPr>
          <w:rFonts w:hint="eastAsia" w:ascii="仿宋" w:hAnsi="仿宋" w:eastAsia="仿宋" w:cs="仿宋"/>
          <w:sz w:val="24"/>
          <w:szCs w:val="24"/>
          <w:u w:val="single"/>
        </w:rPr>
        <w:t xml:space="preserve">14点00分</w:t>
      </w:r>
      <w:r>
        <w:rPr>
          <w:rFonts w:hint="eastAsia" w:ascii="仿宋" w:hAnsi="仿宋" w:eastAsia="仿宋" w:cs="仿宋"/>
          <w:bCs/>
          <w:sz w:val="24"/>
          <w:szCs w:val="24"/>
        </w:rPr>
        <w:t xml:space="preserve">（北京时间）前提交</w:t>
      </w:r>
      <w:r>
        <w:rPr>
          <w:rFonts w:hint="eastAsia" w:ascii="仿宋" w:hAnsi="仿宋" w:eastAsia="仿宋" w:cs="仿宋"/>
          <w:bCs/>
          <w:sz w:val="24"/>
          <w:szCs w:val="24"/>
          <w:lang w:val="en-US" w:eastAsia="zh-CN"/>
        </w:rPr>
        <w:t xml:space="preserve">响应</w:t>
      </w:r>
      <w:r>
        <w:rPr>
          <w:rFonts w:hint="eastAsia" w:ascii="仿宋" w:hAnsi="仿宋" w:eastAsia="仿宋" w:cs="仿宋"/>
          <w:bCs/>
          <w:sz w:val="24"/>
          <w:szCs w:val="24"/>
        </w:rPr>
        <w:t xml:space="preserve">文件</w:t>
      </w:r>
      <w:r>
        <w:rPr>
          <w:rFonts w:hint="eastAsia" w:ascii="仿宋" w:hAnsi="仿宋" w:eastAsia="仿宋" w:cs="仿宋"/>
          <w:sz w:val="24"/>
          <w:szCs w:val="24"/>
        </w:rPr>
        <w:t xml:space="preserve">。</w:t>
      </w:r>
      <w:r/>
    </w:p>
    <w:p>
      <w:pPr>
        <w:spacing w:line="360" w:lineRule="auto"/>
        <w:rPr>
          <w:rFonts w:hint="eastAsia" w:ascii="仿宋" w:hAnsi="仿宋" w:eastAsia="仿宋" w:cs="仿宋"/>
          <w:b/>
        </w:rPr>
      </w:pPr>
      <w:r>
        <w:rPr>
          <w:rFonts w:hint="eastAsia" w:ascii="仿宋" w:hAnsi="仿宋" w:eastAsia="仿宋" w:cs="仿宋"/>
          <w:b/>
        </w:rPr>
      </w:r>
      <w:r/>
    </w:p>
    <w:p>
      <w:pPr>
        <w:numPr>
          <w:ilvl w:val="0"/>
          <w:numId w:val="2"/>
        </w:num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项目基本概况</w:t>
      </w:r>
      <w:r/>
    </w:p>
    <w:p>
      <w:pPr>
        <w:pStyle w:val="809"/>
        <w:numPr>
          <w:ilvl w:val="0"/>
          <w:numId w:val="0"/>
        </w:numPr>
        <w:ind w:left="42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JSZC-320000-ZCZB-C2024-0008</w:t>
      </w:r>
      <w:r/>
    </w:p>
    <w:p>
      <w:pPr>
        <w:pStyle w:val="809"/>
        <w:numPr>
          <w:ilvl w:val="0"/>
          <w:numId w:val="0"/>
        </w:numPr>
        <w:ind w:left="42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2022、2023年度省级专项转移支付资金部门绩效评价省级复评和省级专项资金政策绩效评价</w:t>
      </w:r>
      <w:r/>
    </w:p>
    <w:p>
      <w:pPr>
        <w:pStyle w:val="809"/>
        <w:numPr>
          <w:ilvl w:val="0"/>
          <w:numId w:val="0"/>
        </w:numPr>
        <w:ind w:left="42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预算</w:t>
      </w:r>
      <w:r>
        <w:rPr>
          <w:rFonts w:hint="eastAsia" w:ascii="仿宋" w:hAnsi="仿宋" w:eastAsia="仿宋" w:cs="仿宋"/>
          <w:sz w:val="24"/>
          <w:szCs w:val="24"/>
        </w:rPr>
        <w:t xml:space="preserve">金额：</w:t>
      </w:r>
      <w:r>
        <w:rPr>
          <w:rFonts w:hint="eastAsia" w:ascii="仿宋" w:hAnsi="仿宋" w:eastAsia="仿宋" w:cs="仿宋"/>
          <w:sz w:val="24"/>
          <w:szCs w:val="24"/>
          <w:lang w:eastAsia="zh-CN"/>
        </w:rPr>
        <w:t xml:space="preserve">人民币248万元</w:t>
      </w:r>
      <w:r/>
    </w:p>
    <w:p>
      <w:pPr>
        <w:pStyle w:val="809"/>
        <w:numPr>
          <w:ilvl w:val="0"/>
          <w:numId w:val="0"/>
        </w:numPr>
        <w:ind w:left="42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4.最高限价：人民币248万元</w:t>
      </w:r>
      <w:r/>
    </w:p>
    <w:p>
      <w:pPr>
        <w:pStyle w:val="809"/>
        <w:jc w:val="center"/>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lang w:val="en-US" w:eastAsia="zh-CN"/>
        </w:rPr>
        <w:t xml:space="preserve">最终</w:t>
      </w:r>
      <w:r>
        <w:rPr>
          <w:rFonts w:hint="eastAsia" w:ascii="仿宋" w:hAnsi="仿宋" w:eastAsia="仿宋" w:cs="仿宋"/>
          <w:b/>
          <w:bCs/>
          <w:i/>
          <w:iCs/>
          <w:sz w:val="24"/>
          <w:szCs w:val="24"/>
          <w:u w:val="single"/>
        </w:rPr>
        <w:t xml:space="preserve">报价超过政府采购预算和最高限价的为无效报价，按照无效</w:t>
      </w:r>
      <w:r>
        <w:rPr>
          <w:rFonts w:hint="eastAsia" w:ascii="仿宋" w:hAnsi="仿宋" w:eastAsia="仿宋" w:cs="仿宋"/>
          <w:b/>
          <w:bCs/>
          <w:i/>
          <w:iCs/>
          <w:sz w:val="24"/>
          <w:szCs w:val="24"/>
          <w:u w:val="single"/>
          <w:lang w:val="en-US" w:eastAsia="zh-CN"/>
        </w:rPr>
        <w:t xml:space="preserve">响应</w:t>
      </w:r>
      <w:r>
        <w:rPr>
          <w:rFonts w:hint="eastAsia" w:ascii="仿宋" w:hAnsi="仿宋" w:eastAsia="仿宋" w:cs="仿宋"/>
          <w:b/>
          <w:bCs/>
          <w:i/>
          <w:iCs/>
          <w:sz w:val="24"/>
          <w:szCs w:val="24"/>
          <w:u w:val="single"/>
        </w:rPr>
        <w:t xml:space="preserve">处理。</w:t>
      </w:r>
      <w:r/>
    </w:p>
    <w:p>
      <w:pPr>
        <w:numPr>
          <w:ilvl w:val="0"/>
          <w:numId w:val="3"/>
        </w:num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采购需求（简介）：</w:t>
      </w:r>
      <w:r/>
    </w:p>
    <w:p>
      <w:pPr>
        <w:numPr>
          <w:ilvl w:val="-1"/>
          <w:numId w:val="0"/>
        </w:num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开展2022、2023年度省级财政农业专项转移支付资金部门绩效评价省级复评：包括省级财政专项资金执行进度、工作任务完成情况和绩效目标实现等资金绩效情况、专项资金政策制定、分配立项、方案批复、项目验收、检查监管以及信息公开等部门监管情况。</w:t>
      </w:r>
      <w:r/>
    </w:p>
    <w:p>
      <w:pPr>
        <w:numPr>
          <w:ilvl w:val="-1"/>
          <w:numId w:val="0"/>
        </w:num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(2)对2022、2023年度实施的新增或延续的政策项目进行全面绩效评价：包括政策设立的决策情况、资金的分配和使用情况、监管制度完善和执行情况、绩效目标的产出情况、绩效目标的效益情况等。</w:t>
      </w:r>
      <w:r/>
    </w:p>
    <w:p>
      <w:pPr>
        <w:pStyle w:val="809"/>
        <w:numPr>
          <w:ilvl w:val="0"/>
          <w:numId w:val="0"/>
        </w:numPr>
        <w:ind w:left="420"/>
        <w:spacing w:line="360" w:lineRule="auto"/>
        <w:rPr>
          <w:rFonts w:hint="eastAsia" w:ascii="仿宋" w:hAnsi="仿宋" w:eastAsia="仿宋" w:cs="仿宋"/>
          <w:highlight w:val="none"/>
        </w:rPr>
      </w:pPr>
      <w:r>
        <w:rPr>
          <w:rFonts w:hint="eastAsia" w:ascii="仿宋" w:hAnsi="仿宋" w:eastAsia="仿宋" w:cs="仿宋"/>
          <w:sz w:val="24"/>
          <w:szCs w:val="24"/>
          <w:highlight w:val="none"/>
          <w:lang w:val="en-US" w:eastAsia="zh-CN"/>
        </w:rPr>
        <w:t xml:space="preserve">6.服务期限</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lang w:val="en-US" w:eastAsia="zh-CN"/>
        </w:rPr>
        <w:t xml:space="preserve">合同签订后90天完成</w:t>
      </w:r>
      <w:r>
        <w:rPr>
          <w:rFonts w:hint="eastAsia" w:ascii="仿宋" w:hAnsi="仿宋" w:eastAsia="仿宋" w:cs="仿宋"/>
          <w:sz w:val="24"/>
          <w:szCs w:val="24"/>
          <w:highlight w:val="none"/>
        </w:rPr>
        <w:t xml:space="preserve">。</w:t>
      </w:r>
      <w:r/>
    </w:p>
    <w:p>
      <w:pPr>
        <w:pStyle w:val="809"/>
        <w:numPr>
          <w:ilvl w:val="0"/>
          <w:numId w:val="0"/>
        </w:numPr>
        <w:ind w:left="42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本项目（是/否）接受联合体：不接受联合体。</w:t>
      </w:r>
      <w:r/>
    </w:p>
    <w:p>
      <w:pPr>
        <w:ind w:firstLine="482"/>
        <w:spacing w:line="360" w:lineRule="auto"/>
        <w:tabs>
          <w:tab w:val="left" w:pos="7810" w:leader="none"/>
        </w:tabs>
        <w:rPr>
          <w:rFonts w:hint="eastAsia" w:ascii="仿宋" w:hAnsi="仿宋" w:eastAsia="仿宋" w:cs="仿宋"/>
          <w:sz w:val="24"/>
          <w:szCs w:val="24"/>
        </w:rPr>
      </w:pPr>
      <w:r>
        <w:rPr>
          <w:rFonts w:hint="eastAsia" w:ascii="仿宋" w:hAnsi="仿宋" w:eastAsia="仿宋" w:cs="仿宋"/>
          <w:b/>
          <w:bCs/>
          <w:sz w:val="24"/>
          <w:szCs w:val="24"/>
        </w:rPr>
        <w:t xml:space="preserve">二、申请人的资格要求 </w:t>
      </w:r>
      <w:r>
        <w:rPr>
          <w:rFonts w:hint="eastAsia" w:ascii="仿宋" w:hAnsi="仿宋" w:eastAsia="仿宋" w:cs="仿宋"/>
          <w:b/>
          <w:bCs/>
          <w:sz w:val="24"/>
          <w:szCs w:val="24"/>
        </w:rPr>
        <w:tab/>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（一）满足《中华人民共和国政府采购法》第二十二条规定： </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1、具有独立承担民事责任的能力（提供法人或者其他组织的营业执照复印件并加盖公章，或者自然人的身份证明）；</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2、具有良好的商业信誉和健全的财务会计制度（提供2023年度财务报告或银行出具的企业资信证明，法人或者其他组织成立未满一年的可提供近半年内任一月的资产负债和利润表）；</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3、具有履行合同所必需的设备和专业技术能力（根据项目需求提供履行合同所必需的设备和专业技术能力的证明材料或声明函）；</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4、有依法缴纳税收和社会保障资金的良好记录（提供参加本次采购活动前近六个月内任一月份依法缴纳税收及社会保险的凭据。依法免缴、迟缴的应提供相应文件证明）；</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6.法律、行政法规规定的其他条件。</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（二）落实政府采购政策需满足的资格要求：</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sz w:val="24"/>
        </w:rPr>
        <w:t xml:space="preserve">本项目不专门面向中小企业采购，执行价格扣除优惠政策，</w:t>
      </w:r>
      <w:r>
        <w:rPr>
          <w:rFonts w:hint="eastAsia" w:ascii="仿宋" w:hAnsi="仿宋" w:eastAsia="仿宋" w:cs="仿宋"/>
          <w:bCs/>
          <w:sz w:val="24"/>
          <w:lang w:eastAsia="zh-CN"/>
        </w:rPr>
        <w:t xml:space="preserve">供应商</w:t>
      </w:r>
      <w:r>
        <w:rPr>
          <w:rFonts w:hint="eastAsia" w:ascii="仿宋" w:hAnsi="仿宋" w:eastAsia="仿宋" w:cs="仿宋"/>
          <w:bCs/>
          <w:sz w:val="24"/>
        </w:rPr>
        <w:t xml:space="preserve">为小微企业的，报价给予</w:t>
      </w:r>
      <w:r>
        <w:rPr>
          <w:rFonts w:hint="eastAsia" w:ascii="仿宋" w:hAnsi="仿宋" w:eastAsia="仿宋" w:cs="仿宋"/>
          <w:b/>
          <w:sz w:val="24"/>
          <w:u w:val="single"/>
        </w:rPr>
        <w:t xml:space="preserve">10%</w:t>
      </w:r>
      <w:r>
        <w:rPr>
          <w:rFonts w:hint="eastAsia" w:ascii="仿宋" w:hAnsi="仿宋" w:eastAsia="仿宋" w:cs="仿宋"/>
          <w:bCs/>
          <w:sz w:val="24"/>
        </w:rPr>
        <w:t xml:space="preserve">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w:t>
      </w:r>
      <w:r>
        <w:rPr>
          <w:rFonts w:hint="eastAsia" w:ascii="仿宋" w:hAnsi="仿宋" w:eastAsia="仿宋" w:cs="仿宋"/>
          <w:color w:val="000000" w:themeColor="text1"/>
          <w:sz w:val="24"/>
          <w:szCs w:val="24"/>
          <w14:textFill>
            <w14:solidFill>
              <w14:schemeClr w14:val="tx1"/>
            </w14:solidFill>
          </w14:textFill>
        </w:rPr>
        <w:t xml:space="preserve">见第六章）</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本项目采购标的对应的中小企业划分标准所属行业为：</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其他未列明行业</w:t>
      </w:r>
      <w:r>
        <w:rPr>
          <w:rFonts w:hint="eastAsia" w:ascii="仿宋" w:hAnsi="仿宋" w:eastAsia="仿宋" w:cs="仿宋"/>
          <w:b/>
          <w:bCs/>
          <w:color w:val="000000" w:themeColor="text1"/>
          <w:sz w:val="24"/>
          <w:szCs w:val="24"/>
          <w:u w:val="single"/>
          <w14:textFill>
            <w14:solidFill>
              <w14:schemeClr w14:val="tx1"/>
            </w14:solidFill>
          </w14:textFill>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三</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本项目的特定资格要</w:t>
      </w:r>
      <w:r>
        <w:rPr>
          <w:rFonts w:hint="eastAsia" w:ascii="仿宋" w:hAnsi="仿宋" w:eastAsia="仿宋" w:cs="仿宋"/>
          <w:sz w:val="24"/>
          <w:szCs w:val="24"/>
        </w:rPr>
        <w:t xml:space="preserve">求：</w:t>
      </w:r>
      <w:r>
        <w:rPr>
          <w:rFonts w:hint="eastAsia" w:ascii="仿宋" w:hAnsi="仿宋" w:eastAsia="仿宋" w:cs="仿宋"/>
          <w:b/>
          <w:bCs/>
          <w:i w:val="0"/>
          <w:iCs w:val="0"/>
          <w:sz w:val="24"/>
          <w:szCs w:val="24"/>
          <w:u w:val="single"/>
          <w:lang w:val="en-US" w:eastAsia="zh-CN"/>
        </w:rPr>
        <w:t xml:space="preserve">无</w:t>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（四）拒绝下述供应商参加本次采购活动</w:t>
      </w:r>
      <w:r/>
    </w:p>
    <w:p>
      <w:pPr>
        <w:ind w:firstLine="480"/>
        <w:spacing w:line="360" w:lineRule="auto"/>
        <w:shd w:val="clear" w:color="auto"/>
        <w:rPr>
          <w:rFonts w:hint="eastAsia"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1、凡为采购项目提供整体设计、规范编制或者项目管理、监理、检测等服务的供应商</w:t>
      </w:r>
      <w:r>
        <w:rPr>
          <w:rFonts w:hint="eastAsia" w:ascii="仿宋" w:hAnsi="仿宋" w:eastAsia="仿宋" w:cs="仿宋"/>
          <w:color w:val="000000" w:themeColor="text1"/>
          <w:sz w:val="24"/>
          <w:szCs w:val="32"/>
          <w:highlight w:val="none"/>
          <w:lang w:eastAsia="zh-CN"/>
          <w14:textFill>
            <w14:solidFill>
              <w14:schemeClr w14:val="tx1"/>
            </w14:solidFill>
          </w14:textFill>
        </w:rPr>
        <w:t xml:space="preserve">，不得再参加该采购项目的其他采购活动</w:t>
      </w:r>
      <w:r>
        <w:rPr>
          <w:rFonts w:hint="eastAsia" w:ascii="仿宋" w:hAnsi="仿宋" w:eastAsia="仿宋" w:cs="仿宋"/>
          <w:color w:val="000000" w:themeColor="text1"/>
          <w:sz w:val="24"/>
          <w:szCs w:val="32"/>
          <w:highlight w:val="none"/>
          <w14:textFill>
            <w14:solidFill>
              <w14:schemeClr w14:val="tx1"/>
            </w14:solidFill>
          </w14:textFill>
        </w:rPr>
        <w:t xml:space="preserve">。</w:t>
      </w:r>
      <w:r/>
    </w:p>
    <w:p>
      <w:pPr>
        <w:ind w:firstLine="480"/>
        <w:spacing w:line="360" w:lineRule="auto"/>
        <w:shd w:val="clear" w:color="auto"/>
        <w:rPr>
          <w:rFonts w:hint="eastAsia"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2、供应商单位负责人为同一人或者存在直接控股、管理关系的不同供应商,不得参加同一合同项下的采购活动。</w:t>
      </w:r>
      <w:r/>
    </w:p>
    <w:p>
      <w:pPr>
        <w:ind w:firstLine="480"/>
        <w:spacing w:line="360" w:lineRule="auto"/>
        <w:rPr>
          <w:rFonts w:hint="eastAsia" w:ascii="仿宋" w:hAnsi="仿宋" w:eastAsia="仿宋" w:cs="仿宋"/>
          <w:sz w:val="24"/>
          <w:szCs w:val="24"/>
        </w:rPr>
      </w:pPr>
      <w:r>
        <w:rPr>
          <w:rFonts w:hint="eastAsia" w:ascii="仿宋" w:hAnsi="仿宋" w:eastAsia="仿宋" w:cs="仿宋"/>
          <w:color w:val="000000" w:themeColor="text1"/>
          <w:sz w:val="24"/>
          <w:szCs w:val="32"/>
          <w:highlight w:val="none"/>
          <w14:textFill>
            <w14:solidFill>
              <w14:schemeClr w14:val="tx1"/>
            </w14:solidFill>
          </w14:textFill>
        </w:rPr>
        <w:t xml:space="preserve">3、在磋商截止日前被“信用中国”网站(www.creditchina.gov.cn)、中国政府采购网(www.ccgp.gov.cn) 列入失信被执行人、重大税收违法案件当事人、政府采购严重违法失信行为记录名单的供应商（</w:t>
      </w:r>
      <w:r>
        <w:rPr>
          <w:rFonts w:hint="eastAsia" w:ascii="仿宋" w:hAnsi="仿宋" w:eastAsia="仿宋" w:cs="仿宋"/>
          <w:color w:val="000000" w:themeColor="text1"/>
          <w:sz w:val="24"/>
          <w:szCs w:val="32"/>
          <w:highlight w:val="none"/>
          <w:lang w:val="en-US" w:eastAsia="zh-CN"/>
          <w14:textFill>
            <w14:solidFill>
              <w14:schemeClr w14:val="tx1"/>
            </w14:solidFill>
          </w14:textFill>
        </w:rPr>
        <w:t xml:space="preserve">须</w:t>
      </w:r>
      <w:r>
        <w:rPr>
          <w:rFonts w:hint="eastAsia" w:ascii="仿宋" w:hAnsi="仿宋" w:eastAsia="仿宋" w:cs="仿宋"/>
          <w:color w:val="000000" w:themeColor="text1"/>
          <w:sz w:val="24"/>
          <w:szCs w:val="32"/>
          <w:highlight w:val="none"/>
          <w14:textFill>
            <w14:solidFill>
              <w14:schemeClr w14:val="tx1"/>
            </w14:solidFill>
          </w14:textFill>
        </w:rPr>
        <w:t xml:space="preserve">提供网页截图）</w:t>
      </w:r>
      <w:r>
        <w:rPr>
          <w:rFonts w:hint="eastAsia" w:ascii="仿宋" w:hAnsi="仿宋" w:eastAsia="仿宋" w:cs="仿宋"/>
          <w:sz w:val="24"/>
          <w:szCs w:val="24"/>
        </w:rPr>
        <w:t xml:space="preserve">。</w:t>
      </w:r>
      <w:r/>
    </w:p>
    <w:p>
      <w:pPr>
        <w:ind w:firstLine="482"/>
        <w:spacing w:line="360" w:lineRule="auto"/>
        <w:tabs>
          <w:tab w:val="left" w:pos="7810"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三、获取采购文件</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1.采购公告在</w:t>
      </w:r>
      <w:r>
        <w:rPr>
          <w:rFonts w:hint="eastAsia" w:ascii="仿宋" w:hAnsi="仿宋" w:eastAsia="仿宋" w:cs="仿宋"/>
          <w:sz w:val="24"/>
          <w:szCs w:val="24"/>
        </w:rPr>
        <w:t xml:space="preserve">“江苏政府采购网”</w:t>
      </w:r>
      <w:r>
        <w:rPr>
          <w:rFonts w:hint="eastAsia" w:ascii="仿宋" w:hAnsi="仿宋" w:eastAsia="仿宋" w:cs="仿宋"/>
          <w:bCs/>
          <w:sz w:val="24"/>
          <w:szCs w:val="24"/>
        </w:rPr>
        <w:t xml:space="preserve">（http://www.ccgp-jiangsu.gov.cn/）</w:t>
      </w:r>
      <w:r>
        <w:rPr>
          <w:rFonts w:hint="eastAsia" w:ascii="仿宋" w:hAnsi="仿宋" w:eastAsia="仿宋" w:cs="仿宋"/>
          <w:sz w:val="24"/>
          <w:szCs w:val="24"/>
        </w:rPr>
        <w:t xml:space="preserve">发布，</w:t>
      </w:r>
      <w:r>
        <w:rPr>
          <w:rFonts w:hint="eastAsia" w:ascii="仿宋" w:hAnsi="仿宋" w:eastAsia="仿宋" w:cs="仿宋"/>
          <w:bCs/>
          <w:sz w:val="24"/>
        </w:rPr>
        <w:t xml:space="preserve">供应商如确定参加</w:t>
      </w:r>
      <w:r>
        <w:rPr>
          <w:rFonts w:hint="eastAsia" w:ascii="仿宋" w:hAnsi="仿宋" w:eastAsia="仿宋" w:cs="仿宋"/>
          <w:bCs/>
          <w:sz w:val="24"/>
          <w:lang w:eastAsia="zh-CN"/>
        </w:rPr>
        <w:t xml:space="preserve">磋商</w:t>
      </w:r>
      <w:r>
        <w:rPr>
          <w:rFonts w:hint="eastAsia" w:ascii="仿宋" w:hAnsi="仿宋" w:eastAsia="仿宋" w:cs="仿宋"/>
          <w:bCs/>
          <w:sz w:val="24"/>
        </w:rPr>
        <w:t xml:space="preserve">，须获取采购文件。</w:t>
      </w:r>
      <w:r/>
    </w:p>
    <w:p>
      <w:pPr>
        <w:ind w:firstLine="480"/>
        <w:jc w:val="left"/>
        <w:spacing w:line="360" w:lineRule="auto"/>
        <w:rPr>
          <w:rFonts w:hint="eastAsia" w:ascii="仿宋" w:hAnsi="仿宋" w:eastAsia="仿宋" w:cs="仿宋"/>
          <w:bCs/>
          <w:sz w:val="24"/>
          <w:highlight w:val="yellow"/>
        </w:rPr>
      </w:pPr>
      <w:r>
        <w:rPr>
          <w:rFonts w:hint="eastAsia" w:ascii="仿宋" w:hAnsi="仿宋" w:eastAsia="仿宋" w:cs="仿宋"/>
          <w:sz w:val="24"/>
          <w:szCs w:val="24"/>
        </w:rPr>
        <w:t xml:space="preserve">2.获取采购文件时间：</w:t>
      </w:r>
      <w:r>
        <w:rPr>
          <w:rFonts w:hint="eastAsia" w:ascii="仿宋" w:hAnsi="仿宋" w:eastAsia="仿宋" w:cs="仿宋"/>
          <w:bCs/>
          <w:sz w:val="24"/>
          <w:highlight w:val="none"/>
        </w:rPr>
        <w:t xml:space="preserve">2024年</w:t>
      </w:r>
      <w:r>
        <w:rPr>
          <w:rFonts w:hint="eastAsia" w:ascii="仿宋" w:hAnsi="仿宋" w:eastAsia="仿宋" w:cs="仿宋"/>
          <w:bCs/>
          <w:sz w:val="24"/>
          <w:highlight w:val="none"/>
          <w:lang w:val="en-US" w:eastAsia="zh-CN"/>
        </w:rPr>
        <w:t xml:space="preserve">9月4日</w:t>
      </w:r>
      <w:r>
        <w:rPr>
          <w:rFonts w:hint="eastAsia" w:ascii="仿宋" w:hAnsi="仿宋" w:eastAsia="仿宋" w:cs="仿宋"/>
          <w:bCs/>
          <w:sz w:val="24"/>
          <w:highlight w:val="none"/>
        </w:rPr>
        <w:t xml:space="preserve">起至2024年</w:t>
      </w:r>
      <w:r>
        <w:rPr>
          <w:rFonts w:hint="eastAsia" w:ascii="仿宋" w:hAnsi="仿宋" w:eastAsia="仿宋" w:cs="仿宋"/>
          <w:bCs/>
          <w:sz w:val="24"/>
          <w:highlight w:val="none"/>
          <w:lang w:val="en-US" w:eastAsia="zh-CN"/>
        </w:rPr>
        <w:t xml:space="preserve">9月10日</w:t>
      </w:r>
      <w:r>
        <w:rPr>
          <w:rFonts w:hint="eastAsia" w:ascii="仿宋" w:hAnsi="仿宋" w:eastAsia="仿宋" w:cs="仿宋"/>
          <w:bCs/>
          <w:sz w:val="24"/>
          <w:highlight w:val="none"/>
        </w:rPr>
        <w:t xml:space="preserve">每天</w:t>
      </w:r>
      <w:r>
        <w:rPr>
          <w:rFonts w:hint="eastAsia" w:ascii="仿宋" w:hAnsi="仿宋" w:eastAsia="仿宋" w:cs="仿宋"/>
          <w:sz w:val="24"/>
          <w:szCs w:val="32"/>
          <w:highlight w:val="none"/>
        </w:rPr>
        <w:t xml:space="preserve">（节假日除外）北京时间</w:t>
      </w:r>
      <w:r>
        <w:rPr>
          <w:rFonts w:hint="eastAsia" w:ascii="仿宋" w:hAnsi="仿宋" w:eastAsia="仿宋" w:cs="仿宋"/>
          <w:bCs/>
          <w:sz w:val="24"/>
          <w:highlight w:val="none"/>
        </w:rPr>
        <w:t xml:space="preserve">09:00-12:00、13:30-17:30</w:t>
      </w:r>
      <w:r/>
    </w:p>
    <w:p>
      <w:pPr>
        <w:ind w:firstLine="480"/>
        <w:spacing w:line="360" w:lineRule="auto"/>
        <w:rPr>
          <w:rFonts w:hint="eastAsia" w:ascii="仿宋" w:hAnsi="仿宋" w:eastAsia="仿宋" w:cs="仿宋"/>
          <w:b/>
          <w:bCs/>
          <w:sz w:val="24"/>
          <w:szCs w:val="32"/>
        </w:rPr>
      </w:pPr>
      <w:r>
        <w:rPr>
          <w:rFonts w:hint="eastAsia" w:ascii="仿宋" w:hAnsi="仿宋" w:eastAsia="仿宋" w:cs="仿宋"/>
          <w:sz w:val="24"/>
          <w:szCs w:val="24"/>
        </w:rPr>
        <w:t xml:space="preserve">3.获取</w:t>
      </w:r>
      <w:r>
        <w:rPr>
          <w:rFonts w:hint="eastAsia" w:ascii="仿宋" w:hAnsi="仿宋" w:eastAsia="仿宋" w:cs="仿宋"/>
          <w:bCs/>
          <w:sz w:val="24"/>
        </w:rPr>
        <w:t xml:space="preserve">采购文件地点：</w:t>
      </w:r>
      <w:r>
        <w:rPr>
          <w:rFonts w:hint="eastAsia" w:ascii="仿宋" w:hAnsi="仿宋" w:eastAsia="仿宋" w:cs="仿宋"/>
          <w:spacing w:val="-6"/>
          <w:sz w:val="24"/>
          <w:szCs w:val="24"/>
        </w:rPr>
        <w:t xml:space="preserve">南京市</w:t>
      </w:r>
      <w:r>
        <w:rPr>
          <w:rFonts w:hint="eastAsia" w:ascii="仿宋" w:hAnsi="仿宋" w:eastAsia="仿宋" w:cs="仿宋"/>
          <w:spacing w:val="-6"/>
          <w:sz w:val="24"/>
          <w:szCs w:val="24"/>
          <w:lang w:eastAsia="zh-CN"/>
        </w:rPr>
        <w:t xml:space="preserve">秦淮区蓝旗街6号秦淮硅巷柳树湾科技园15号</w:t>
      </w:r>
      <w:r>
        <w:rPr>
          <w:rFonts w:hint="eastAsia" w:ascii="仿宋" w:hAnsi="仿宋" w:eastAsia="仿宋" w:cs="仿宋"/>
          <w:spacing w:val="-6"/>
          <w:sz w:val="24"/>
          <w:szCs w:val="24"/>
        </w:rPr>
        <w:t xml:space="preserve">楼4楼，</w:t>
      </w:r>
      <w:r>
        <w:rPr>
          <w:rFonts w:hint="eastAsia" w:ascii="仿宋" w:hAnsi="仿宋" w:eastAsia="仿宋" w:cs="仿宋"/>
          <w:bCs/>
          <w:sz w:val="24"/>
          <w:lang w:eastAsia="zh-CN"/>
        </w:rPr>
        <w:t xml:space="preserve">江苏臻采招标代理有限公司</w:t>
      </w:r>
      <w:r>
        <w:rPr>
          <w:rFonts w:hint="eastAsia" w:ascii="仿宋" w:hAnsi="仿宋" w:eastAsia="仿宋" w:cs="仿宋"/>
          <w:bCs/>
          <w:sz w:val="24"/>
        </w:rPr>
        <w:t xml:space="preserve">，联系电话025-</w:t>
      </w:r>
      <w:r>
        <w:rPr>
          <w:rFonts w:hint="eastAsia" w:ascii="仿宋" w:hAnsi="仿宋" w:eastAsia="仿宋" w:cs="仿宋"/>
          <w:bCs/>
          <w:sz w:val="24"/>
          <w:lang w:eastAsia="zh-CN"/>
        </w:rPr>
        <w:t xml:space="preserve">85382797</w:t>
      </w:r>
      <w:r>
        <w:rPr>
          <w:rFonts w:hint="eastAsia" w:ascii="仿宋" w:hAnsi="仿宋" w:eastAsia="仿宋" w:cs="仿宋"/>
          <w:bCs/>
          <w:sz w:val="24"/>
        </w:rPr>
        <w:t xml:space="preserve">。</w:t>
      </w:r>
      <w:r/>
    </w:p>
    <w:p>
      <w:pPr>
        <w:ind w:firstLine="482"/>
        <w:spacing w:line="360" w:lineRule="auto"/>
        <w:tabs>
          <w:tab w:val="left" w:pos="7810" w:leader="none"/>
        </w:tabs>
        <w:rPr>
          <w:rFonts w:hint="eastAsia" w:ascii="仿宋" w:hAnsi="仿宋" w:eastAsia="仿宋" w:cs="仿宋"/>
          <w:b/>
          <w:bCs/>
          <w:sz w:val="24"/>
          <w:szCs w:val="24"/>
        </w:rPr>
      </w:pPr>
      <w:r>
        <w:rPr>
          <w:rFonts w:hint="eastAsia" w:ascii="仿宋" w:hAnsi="仿宋" w:eastAsia="仿宋" w:cs="仿宋"/>
          <w:b/>
          <w:bCs/>
          <w:sz w:val="24"/>
          <w:szCs w:val="24"/>
        </w:rPr>
        <w:t xml:space="preserve">四、提交</w:t>
      </w:r>
      <w:r>
        <w:rPr>
          <w:rFonts w:hint="eastAsia" w:ascii="仿宋" w:hAnsi="仿宋" w:eastAsia="仿宋" w:cs="仿宋"/>
          <w:b/>
          <w:bCs/>
          <w:sz w:val="24"/>
          <w:szCs w:val="24"/>
          <w:lang w:val="en-US" w:eastAsia="zh-CN"/>
        </w:rPr>
        <w:t xml:space="preserve">响应</w:t>
      </w:r>
      <w:r>
        <w:rPr>
          <w:rFonts w:hint="eastAsia" w:ascii="仿宋" w:hAnsi="仿宋" w:eastAsia="仿宋" w:cs="仿宋"/>
          <w:b/>
          <w:bCs/>
          <w:sz w:val="24"/>
          <w:szCs w:val="24"/>
        </w:rPr>
        <w:t xml:space="preserve">文件截止时间、开标时间和地点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1.提交</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文件截止时间、开标时间2024年</w:t>
      </w:r>
      <w:r>
        <w:rPr>
          <w:rFonts w:hint="eastAsia" w:ascii="仿宋" w:hAnsi="仿宋" w:eastAsia="仿宋" w:cs="仿宋"/>
          <w:sz w:val="24"/>
          <w:szCs w:val="24"/>
          <w:lang w:val="en-US" w:eastAsia="zh-CN"/>
        </w:rPr>
        <w:t xml:space="preserve">9月14日</w:t>
      </w:r>
      <w:r>
        <w:rPr>
          <w:rFonts w:hint="eastAsia" w:ascii="仿宋" w:hAnsi="仿宋" w:eastAsia="仿宋" w:cs="仿宋"/>
          <w:sz w:val="24"/>
          <w:szCs w:val="24"/>
        </w:rPr>
        <w:t xml:space="preserve">14点00分（北京时间）。</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2.</w:t>
      </w:r>
      <w:r>
        <w:rPr>
          <w:rFonts w:hint="eastAsia" w:ascii="仿宋" w:hAnsi="仿宋" w:eastAsia="仿宋" w:cs="仿宋"/>
          <w:bCs/>
          <w:sz w:val="24"/>
        </w:rPr>
        <w:t xml:space="preserve">地点：</w:t>
      </w:r>
      <w:r>
        <w:rPr>
          <w:rFonts w:hint="eastAsia" w:ascii="仿宋" w:hAnsi="仿宋" w:eastAsia="仿宋" w:cs="仿宋"/>
          <w:spacing w:val="-6"/>
          <w:sz w:val="24"/>
          <w:szCs w:val="24"/>
        </w:rPr>
        <w:t xml:space="preserve">南京市</w:t>
      </w:r>
      <w:r>
        <w:rPr>
          <w:rFonts w:hint="eastAsia" w:ascii="仿宋" w:hAnsi="仿宋" w:eastAsia="仿宋" w:cs="仿宋"/>
          <w:spacing w:val="-6"/>
          <w:sz w:val="24"/>
          <w:szCs w:val="24"/>
          <w:lang w:eastAsia="zh-CN"/>
        </w:rPr>
        <w:t xml:space="preserve">秦淮区蓝旗街6号秦淮硅巷柳树湾科技园15号</w:t>
      </w:r>
      <w:r>
        <w:rPr>
          <w:rFonts w:hint="eastAsia" w:ascii="仿宋" w:hAnsi="仿宋" w:eastAsia="仿宋" w:cs="仿宋"/>
          <w:spacing w:val="-6"/>
          <w:sz w:val="24"/>
          <w:szCs w:val="24"/>
        </w:rPr>
        <w:t xml:space="preserve">楼3楼</w:t>
      </w:r>
      <w:r>
        <w:rPr>
          <w:rFonts w:hint="eastAsia" w:ascii="仿宋" w:hAnsi="仿宋" w:eastAsia="仿宋" w:cs="仿宋"/>
          <w:spacing w:val="-6"/>
          <w:sz w:val="24"/>
          <w:szCs w:val="24"/>
          <w:lang w:val="en-US" w:eastAsia="zh-CN"/>
        </w:rPr>
        <w:t xml:space="preserve">开标室</w:t>
      </w:r>
      <w:r/>
    </w:p>
    <w:p>
      <w:pPr>
        <w:ind w:firstLine="482"/>
        <w:spacing w:line="360" w:lineRule="auto"/>
        <w:tabs>
          <w:tab w:val="left" w:pos="7810" w:leader="none"/>
        </w:tabs>
        <w:rPr>
          <w:rFonts w:hint="eastAsia" w:ascii="仿宋" w:hAnsi="仿宋" w:eastAsia="仿宋" w:cs="仿宋"/>
          <w:b/>
          <w:bCs/>
          <w:sz w:val="24"/>
          <w:szCs w:val="24"/>
        </w:rPr>
      </w:pPr>
      <w:r>
        <w:rPr>
          <w:rFonts w:hint="eastAsia" w:ascii="仿宋" w:hAnsi="仿宋" w:eastAsia="仿宋" w:cs="仿宋"/>
          <w:b/>
          <w:bCs/>
          <w:sz w:val="24"/>
          <w:szCs w:val="24"/>
        </w:rPr>
        <w:t xml:space="preserve">五、公告期限</w:t>
      </w:r>
      <w:r/>
    </w:p>
    <w:p>
      <w:pPr>
        <w:ind w:firstLine="480"/>
        <w:spacing w:line="360" w:lineRule="auto"/>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 xml:space="preserve">本次磋商公告期限为三个工作日</w:t>
      </w:r>
      <w:r>
        <w:rPr>
          <w:rFonts w:hint="eastAsia" w:ascii="仿宋" w:hAnsi="仿宋" w:eastAsia="仿宋" w:cs="仿宋"/>
          <w:sz w:val="24"/>
          <w:szCs w:val="24"/>
        </w:rPr>
        <w:t xml:space="preserve">。</w:t>
      </w:r>
      <w:r/>
    </w:p>
    <w:p>
      <w:pPr>
        <w:numPr>
          <w:ilvl w:val="0"/>
          <w:numId w:val="4"/>
        </w:numPr>
        <w:ind w:firstLine="482"/>
        <w:spacing w:line="360" w:lineRule="auto"/>
        <w:tabs>
          <w:tab w:val="left" w:pos="7810" w:leader="none"/>
        </w:tabs>
        <w:rPr>
          <w:rFonts w:hint="eastAsia" w:ascii="仿宋" w:hAnsi="仿宋" w:eastAsia="仿宋" w:cs="仿宋"/>
          <w:b/>
          <w:bCs/>
          <w:sz w:val="24"/>
          <w:szCs w:val="24"/>
        </w:rPr>
      </w:pPr>
      <w:r>
        <w:rPr>
          <w:rFonts w:hint="eastAsia" w:ascii="仿宋" w:hAnsi="仿宋" w:eastAsia="仿宋" w:cs="仿宋"/>
          <w:b/>
          <w:bCs/>
          <w:sz w:val="24"/>
          <w:szCs w:val="24"/>
        </w:rPr>
        <w:t xml:space="preserve">开启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1.时间：2024年</w:t>
      </w:r>
      <w:r>
        <w:rPr>
          <w:rFonts w:hint="eastAsia" w:ascii="仿宋" w:hAnsi="仿宋" w:eastAsia="仿宋" w:cs="仿宋"/>
          <w:sz w:val="24"/>
          <w:szCs w:val="24"/>
          <w:lang w:val="en-US" w:eastAsia="zh-CN"/>
        </w:rPr>
        <w:t xml:space="preserve">9月14日</w:t>
      </w:r>
      <w:r>
        <w:rPr>
          <w:rFonts w:hint="eastAsia" w:ascii="仿宋" w:hAnsi="仿宋" w:eastAsia="仿宋" w:cs="仿宋"/>
          <w:sz w:val="24"/>
          <w:szCs w:val="24"/>
        </w:rPr>
        <w:t xml:space="preserve">下午14：00</w:t>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2.地点：</w:t>
      </w:r>
      <w:r>
        <w:rPr>
          <w:rFonts w:hint="eastAsia" w:ascii="仿宋" w:hAnsi="仿宋" w:eastAsia="仿宋" w:cs="仿宋"/>
          <w:spacing w:val="-6"/>
          <w:sz w:val="24"/>
          <w:szCs w:val="24"/>
        </w:rPr>
        <w:t xml:space="preserve">南京市</w:t>
      </w:r>
      <w:r>
        <w:rPr>
          <w:rFonts w:hint="eastAsia" w:ascii="仿宋" w:hAnsi="仿宋" w:eastAsia="仿宋" w:cs="仿宋"/>
          <w:spacing w:val="-6"/>
          <w:sz w:val="24"/>
          <w:szCs w:val="24"/>
          <w:lang w:eastAsia="zh-CN"/>
        </w:rPr>
        <w:t xml:space="preserve">秦淮区蓝旗街6号秦淮硅巷柳树湾科技园15号</w:t>
      </w:r>
      <w:r>
        <w:rPr>
          <w:rFonts w:hint="eastAsia" w:ascii="仿宋" w:hAnsi="仿宋" w:eastAsia="仿宋" w:cs="仿宋"/>
          <w:spacing w:val="-6"/>
          <w:sz w:val="24"/>
          <w:szCs w:val="24"/>
        </w:rPr>
        <w:t xml:space="preserve">楼4楼</w:t>
      </w:r>
      <w:r>
        <w:rPr>
          <w:rFonts w:hint="eastAsia" w:ascii="仿宋" w:hAnsi="仿宋" w:eastAsia="仿宋" w:cs="仿宋"/>
          <w:sz w:val="24"/>
          <w:szCs w:val="24"/>
        </w:rPr>
        <w:t xml:space="preserve">会议室</w:t>
      </w:r>
      <w:r/>
    </w:p>
    <w:p>
      <w:pPr>
        <w:ind w:firstLine="482"/>
        <w:spacing w:line="360" w:lineRule="auto"/>
        <w:tabs>
          <w:tab w:val="left" w:pos="7810"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七、其他补充事宜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1.本次</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不收取</w:t>
      </w:r>
      <w:r>
        <w:rPr>
          <w:rFonts w:hint="eastAsia" w:ascii="仿宋" w:hAnsi="仿宋" w:eastAsia="仿宋" w:cs="仿宋"/>
          <w:sz w:val="24"/>
          <w:szCs w:val="24"/>
          <w:lang w:eastAsia="zh-CN"/>
        </w:rPr>
        <w:t xml:space="preserve">磋商</w:t>
      </w:r>
      <w:r>
        <w:rPr>
          <w:rFonts w:hint="eastAsia" w:ascii="仿宋" w:hAnsi="仿宋" w:eastAsia="仿宋" w:cs="仿宋"/>
          <w:sz w:val="24"/>
          <w:szCs w:val="24"/>
        </w:rPr>
        <w:t xml:space="preserve">保证金。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现场勘察及答疑：采购人不组织集中考察或答疑，供应商如果对采购需求有疑问请咨询采购单位联系人。</w:t>
      </w:r>
      <w:r/>
    </w:p>
    <w:p>
      <w:pPr>
        <w:ind w:firstLine="480"/>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sz w:val="24"/>
          <w:szCs w:val="24"/>
          <w:lang w:val="en-US" w:eastAsia="zh-CN"/>
        </w:rPr>
        <w:t xml:space="preserve">3.</w:t>
      </w:r>
      <w:r>
        <w:rPr>
          <w:rFonts w:hint="eastAsia" w:ascii="仿宋" w:hAnsi="仿宋" w:eastAsia="仿宋" w:cs="仿宋"/>
          <w:color w:val="000000" w:themeColor="text1"/>
          <w:sz w:val="24"/>
          <w:szCs w:val="24"/>
          <w14:textFill>
            <w14:solidFill>
              <w14:schemeClr w14:val="tx1"/>
            </w14:solidFill>
          </w14:textFill>
        </w:rPr>
        <w:t xml:space="preserve">请各位供应商领取本次磋商文件后，认真阅读各项内容，进行必要的准备，按照磋商文件的要求详细填写和编制响应文件，并按以上确定的时间、地点准时参加磋商活动。</w:t>
      </w:r>
      <w:r>
        <w:rPr>
          <w:rFonts w:hint="eastAsia" w:ascii="仿宋" w:hAnsi="仿宋" w:eastAsia="仿宋" w:cs="仿宋"/>
          <w:bCs/>
          <w:color w:val="000000" w:themeColor="text1"/>
          <w:sz w:val="24"/>
          <w14:textFill>
            <w14:solidFill>
              <w14:schemeClr w14:val="tx1"/>
            </w14:solidFill>
          </w14:textFill>
        </w:rPr>
        <w:t xml:space="preserve">有关本次磋商的事项若存在变动或修改，敬请及时关注“</w:t>
      </w:r>
      <w:r>
        <w:rPr>
          <w:rFonts w:hint="eastAsia" w:ascii="仿宋" w:hAnsi="仿宋" w:eastAsia="仿宋" w:cs="仿宋"/>
          <w:sz w:val="24"/>
          <w:szCs w:val="24"/>
        </w:rPr>
        <w:t xml:space="preserve">江苏政府采购网</w:t>
      </w:r>
      <w:r>
        <w:rPr>
          <w:rFonts w:hint="eastAsia" w:ascii="仿宋" w:hAnsi="仿宋" w:eastAsia="仿宋" w:cs="仿宋"/>
          <w:bCs/>
          <w:color w:val="000000" w:themeColor="text1"/>
          <w:sz w:val="24"/>
          <w14:textFill>
            <w14:solidFill>
              <w14:schemeClr w14:val="tx1"/>
            </w14:solidFill>
          </w14:textFill>
        </w:rPr>
        <w:t xml:space="preserve">”发布的信息更正公告。</w:t>
      </w:r>
      <w:r/>
    </w:p>
    <w:p>
      <w:pPr>
        <w:ind w:firstLine="480"/>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 xml:space="preserve">4.项目代理编号：JSZC-202407300503。</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八、凡对本次采购提出询问，请按以下方式联系。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单位名称：</w:t>
      </w:r>
      <w:r>
        <w:rPr>
          <w:rFonts w:hint="eastAsia" w:ascii="仿宋" w:hAnsi="仿宋" w:eastAsia="仿宋" w:cs="仿宋"/>
          <w:sz w:val="24"/>
          <w:szCs w:val="24"/>
          <w:lang w:eastAsia="zh-CN"/>
        </w:rPr>
        <w:t xml:space="preserve">江苏省农业农村厅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单位地址：南京市鼓楼区龙江小区月光广场8号</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魏崇辉、张玉</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联系电话：025-86263713</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单位名称：</w:t>
      </w:r>
      <w:r>
        <w:rPr>
          <w:rFonts w:hint="eastAsia" w:ascii="仿宋" w:hAnsi="仿宋" w:eastAsia="仿宋" w:cs="仿宋"/>
          <w:sz w:val="24"/>
          <w:szCs w:val="24"/>
          <w:lang w:eastAsia="zh-CN"/>
        </w:rPr>
        <w:t xml:space="preserve">江苏臻采招标代理有限公司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单位地址：南京市</w:t>
      </w:r>
      <w:r>
        <w:rPr>
          <w:rFonts w:hint="eastAsia" w:ascii="仿宋" w:hAnsi="仿宋" w:eastAsia="仿宋" w:cs="仿宋"/>
          <w:sz w:val="24"/>
          <w:szCs w:val="24"/>
          <w:lang w:eastAsia="zh-CN"/>
        </w:rPr>
        <w:t xml:space="preserve">秦淮区蓝旗街6号秦淮硅巷柳树湾科技园15号</w:t>
      </w:r>
      <w:r>
        <w:rPr>
          <w:rFonts w:hint="eastAsia" w:ascii="仿宋" w:hAnsi="仿宋" w:eastAsia="仿宋" w:cs="仿宋"/>
          <w:sz w:val="24"/>
          <w:szCs w:val="24"/>
        </w:rPr>
        <w:t xml:space="preserve">楼4楼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高工</w:t>
      </w:r>
      <w:r>
        <w:rPr>
          <w:rFonts w:hint="eastAsia" w:ascii="仿宋" w:hAnsi="仿宋" w:eastAsia="仿宋" w:cs="仿宋"/>
          <w:sz w:val="24"/>
          <w:szCs w:val="24"/>
        </w:rPr>
        <w:t xml:space="preserve">     </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电话：</w:t>
      </w:r>
      <w:r>
        <w:rPr>
          <w:rFonts w:hint="eastAsia" w:ascii="仿宋" w:hAnsi="仿宋" w:eastAsia="仿宋" w:cs="仿宋"/>
          <w:sz w:val="24"/>
          <w:szCs w:val="24"/>
          <w:lang w:eastAsia="zh-CN"/>
        </w:rPr>
        <w:t xml:space="preserve">025-85382797转8005</w:t>
      </w:r>
      <w:r/>
    </w:p>
    <w:p>
      <w:pPr>
        <w:numPr>
          <w:ilvl w:val="0"/>
          <w:numId w:val="5"/>
        </w:num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项目联系方式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高工</w:t>
      </w:r>
      <w:r>
        <w:rPr>
          <w:rFonts w:hint="eastAsia" w:ascii="仿宋" w:hAnsi="仿宋" w:eastAsia="仿宋" w:cs="仿宋"/>
          <w:sz w:val="24"/>
          <w:szCs w:val="24"/>
        </w:rPr>
        <w:t xml:space="preserve">     </w:t>
      </w:r>
      <w:r/>
    </w:p>
    <w:p>
      <w:pPr>
        <w:numPr>
          <w:ilvl w:val="0"/>
          <w:numId w:val="0"/>
        </w:num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电话：</w:t>
      </w:r>
      <w:r>
        <w:rPr>
          <w:rFonts w:hint="eastAsia" w:ascii="仿宋" w:hAnsi="仿宋" w:eastAsia="仿宋" w:cs="仿宋"/>
          <w:sz w:val="24"/>
          <w:szCs w:val="24"/>
          <w:lang w:eastAsia="zh-CN"/>
        </w:rPr>
        <w:t xml:space="preserve">025-85382797转8005</w:t>
      </w:r>
      <w:r/>
    </w:p>
    <w:p>
      <w:pPr>
        <w:pStyle w:val="807"/>
        <w:pageBreakBefore/>
        <w:spacing w:after="312"/>
        <w:rPr>
          <w:rFonts w:hint="eastAsia" w:ascii="仿宋" w:hAnsi="仿宋" w:eastAsia="仿宋" w:cs="仿宋"/>
        </w:rPr>
      </w:pPr>
      <w:r/>
      <w:bookmarkStart w:id="21" w:name="_Toc24653"/>
      <w:r/>
      <w:bookmarkStart w:id="22" w:name="_Toc12957"/>
      <w:r/>
      <w:bookmarkStart w:id="23" w:name="_Toc2430"/>
      <w:r/>
      <w:bookmarkStart w:id="24" w:name="_Toc25811"/>
      <w:r/>
      <w:bookmarkStart w:id="25" w:name="_Toc14178"/>
      <w:r/>
      <w:bookmarkStart w:id="26" w:name="_Toc29925"/>
      <w:r>
        <w:rPr>
          <w:rFonts w:hint="eastAsia" w:ascii="仿宋" w:hAnsi="仿宋" w:eastAsia="仿宋" w:cs="仿宋"/>
        </w:rPr>
        <w:t xml:space="preserve">第二章  磋商须知</w:t>
      </w:r>
      <w:bookmarkEnd w:id="21"/>
      <w:r/>
      <w:bookmarkEnd w:id="22"/>
      <w:r/>
      <w:bookmarkEnd w:id="23"/>
      <w:r/>
      <w:bookmarkEnd w:id="24"/>
      <w:r/>
      <w:bookmarkEnd w:id="25"/>
      <w:r/>
      <w:bookmarkEnd w:id="26"/>
      <w:r/>
      <w:r/>
    </w:p>
    <w:p>
      <w:pPr>
        <w:jc w:val="center"/>
        <w:spacing w:line="360" w:lineRule="auto"/>
        <w:rPr>
          <w:rFonts w:hint="eastAsia" w:ascii="仿宋" w:hAnsi="仿宋" w:eastAsia="仿宋" w:cs="仿宋"/>
          <w:b/>
          <w:bCs/>
          <w:sz w:val="24"/>
          <w:szCs w:val="24"/>
        </w:rPr>
      </w:pPr>
      <w:r/>
      <w:bookmarkStart w:id="27" w:name="_Toc14072"/>
      <w:r>
        <w:rPr>
          <w:rFonts w:hint="eastAsia" w:ascii="仿宋" w:hAnsi="仿宋" w:eastAsia="仿宋" w:cs="仿宋"/>
          <w:b/>
          <w:bCs/>
          <w:sz w:val="24"/>
          <w:szCs w:val="24"/>
        </w:rPr>
        <w:t xml:space="preserve">供应商须知前附表</w:t>
      </w:r>
      <w:r/>
    </w:p>
    <w:tbl>
      <w:tblPr>
        <w:tblStyle w:val="787"/>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71"/>
        <w:gridCol w:w="7277"/>
      </w:tblGrid>
      <w:tr>
        <w:trPr>
          <w:jc w:val="center"/>
          <w:trHeight w:val="786"/>
          <w:tblHeader/>
        </w:trPr>
        <w:tc>
          <w:tcPr>
            <w:tcW w:w="725" w:type="dxa"/>
            <w:vAlign w:val="center"/>
            <w:textDirection w:val="lrTb"/>
            <w:noWrap w:val="false"/>
          </w:tcPr>
          <w:p>
            <w:pPr>
              <w:spacing w:line="0" w:lineRule="atLeast"/>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471" w:type="dxa"/>
            <w:vAlign w:val="center"/>
            <w:textDirection w:val="lrTb"/>
            <w:noWrap w:val="false"/>
          </w:tcPr>
          <w:p>
            <w:pPr>
              <w:jc w:val="center"/>
              <w:spacing w:line="0" w:lineRule="atLeast"/>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W w:w="7277" w:type="dxa"/>
            <w:vAlign w:val="center"/>
            <w:textDirection w:val="lrTb"/>
            <w:noWrap w:val="false"/>
          </w:tcPr>
          <w:p>
            <w:pPr>
              <w:jc w:val="center"/>
              <w:spacing w:line="0" w:lineRule="atLeast"/>
              <w:rPr>
                <w:rFonts w:hint="eastAsia" w:ascii="仿宋" w:hAnsi="仿宋" w:eastAsia="仿宋" w:cs="仿宋"/>
                <w:b/>
                <w:bCs/>
                <w:sz w:val="24"/>
                <w:szCs w:val="24"/>
              </w:rPr>
            </w:pPr>
            <w:r>
              <w:rPr>
                <w:rFonts w:hint="eastAsia" w:ascii="仿宋" w:hAnsi="仿宋" w:eastAsia="仿宋" w:cs="仿宋"/>
                <w:b/>
                <w:bCs/>
                <w:sz w:val="24"/>
                <w:szCs w:val="24"/>
              </w:rPr>
              <w:t xml:space="preserve">具  体  内  容</w:t>
            </w:r>
            <w:r/>
          </w:p>
        </w:tc>
      </w:tr>
      <w:tr>
        <w:trPr>
          <w:jc w:val="center"/>
          <w:trHeight w:val="407"/>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7277" w:type="dxa"/>
            <w:vAlign w:val="center"/>
            <w:textDirection w:val="lrTb"/>
            <w:noWrap w:val="false"/>
          </w:tcPr>
          <w:p>
            <w:pPr>
              <w:spacing w:line="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2022、2023年度省级专项转移支付资金部门绩效评价省级复评和省级专项资金政策绩效评价</w:t>
            </w:r>
            <w:r/>
          </w:p>
        </w:tc>
      </w:tr>
      <w:tr>
        <w:trPr>
          <w:jc w:val="center"/>
          <w:trHeight w:val="401"/>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采购方式</w:t>
            </w:r>
            <w:r/>
          </w:p>
        </w:tc>
        <w:tc>
          <w:tcPr>
            <w:tcW w:w="7277" w:type="dxa"/>
            <w:vAlign w:val="center"/>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竞争性磋商</w:t>
            </w:r>
            <w:r/>
          </w:p>
        </w:tc>
      </w:tr>
      <w:tr>
        <w:trPr>
          <w:jc w:val="center"/>
          <w:trHeight w:val="334"/>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项目编号</w:t>
            </w:r>
            <w:r/>
          </w:p>
        </w:tc>
        <w:tc>
          <w:tcPr>
            <w:tcW w:w="7277" w:type="dxa"/>
            <w:vAlign w:val="center"/>
            <w:textDirection w:val="lrTb"/>
            <w:noWrap w:val="false"/>
          </w:tcPr>
          <w:p>
            <w:pPr>
              <w:spacing w:line="0" w:lineRule="atLeast"/>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JSZC-320000-ZCZB-C2024-0008</w:t>
            </w:r>
            <w:r>
              <w:rPr>
                <w:rFonts w:hint="eastAsia" w:ascii="仿宋" w:hAnsi="仿宋" w:eastAsia="仿宋" w:cs="仿宋"/>
                <w:sz w:val="24"/>
                <w:szCs w:val="24"/>
                <w:lang w:val="en-US" w:eastAsia="zh-CN"/>
              </w:rPr>
              <w:t xml:space="preserve">  </w:t>
            </w:r>
            <w:r/>
          </w:p>
        </w:tc>
      </w:tr>
      <w:tr>
        <w:trPr>
          <w:jc w:val="center"/>
          <w:trHeight w:val="385"/>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471" w:type="dxa"/>
            <w:vAlign w:val="center"/>
            <w:textDirection w:val="lrTb"/>
            <w:noWrap w:val="false"/>
          </w:tcPr>
          <w:p>
            <w:pPr>
              <w:ind w:right="102"/>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分包号</w:t>
            </w:r>
            <w:r/>
          </w:p>
        </w:tc>
        <w:tc>
          <w:tcPr>
            <w:tcW w:w="7277" w:type="dxa"/>
            <w:vAlign w:val="center"/>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lang w:eastAsia="zh-CN"/>
              </w:rPr>
              <w:t xml:space="preserve">无</w:t>
            </w:r>
            <w:r/>
          </w:p>
        </w:tc>
      </w:tr>
      <w:tr>
        <w:trPr>
          <w:jc w:val="center"/>
          <w:trHeight w:val="385"/>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471" w:type="dxa"/>
            <w:vAlign w:val="center"/>
            <w:textDirection w:val="lrTb"/>
            <w:noWrap w:val="false"/>
          </w:tcPr>
          <w:p>
            <w:pPr>
              <w:ind w:right="102"/>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公告发布媒体</w:t>
            </w:r>
            <w:r/>
          </w:p>
        </w:tc>
        <w:tc>
          <w:tcPr>
            <w:tcW w:w="7277" w:type="dxa"/>
            <w:vAlign w:val="center"/>
            <w:textDirection w:val="lrTb"/>
            <w:noWrap w:val="false"/>
          </w:tcPr>
          <w:p>
            <w:pPr>
              <w:spacing w:line="0" w:lineRule="atLeast"/>
              <w:rPr>
                <w:rFonts w:hint="eastAsia" w:ascii="仿宋" w:hAnsi="仿宋" w:eastAsia="仿宋" w:cs="仿宋"/>
                <w:sz w:val="24"/>
                <w:szCs w:val="24"/>
                <w:lang w:eastAsia="zh-CN"/>
              </w:rPr>
            </w:pPr>
            <w:r>
              <w:rPr>
                <w:rFonts w:hint="eastAsia" w:ascii="仿宋" w:hAnsi="仿宋" w:eastAsia="仿宋" w:cs="仿宋"/>
                <w:bCs/>
                <w:sz w:val="24"/>
                <w:szCs w:val="24"/>
                <w:lang w:eastAsia="zh-CN"/>
              </w:rPr>
              <w:t xml:space="preserve">江苏政府采购网</w:t>
            </w:r>
            <w:r/>
          </w:p>
        </w:tc>
      </w:tr>
      <w:tr>
        <w:trPr>
          <w:jc w:val="center"/>
          <w:trHeight w:val="385"/>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采购预算及资金来源</w:t>
            </w:r>
            <w:r/>
          </w:p>
        </w:tc>
        <w:tc>
          <w:tcPr>
            <w:tcW w:w="7277" w:type="dxa"/>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项目预算及最高限价：</w:t>
            </w:r>
            <w:r>
              <w:rPr>
                <w:rFonts w:hint="eastAsia" w:ascii="仿宋" w:hAnsi="仿宋" w:eastAsia="仿宋" w:cs="仿宋"/>
                <w:sz w:val="24"/>
                <w:szCs w:val="24"/>
                <w:lang w:eastAsia="zh-CN"/>
              </w:rPr>
              <w:t xml:space="preserve">人民币248万元</w:t>
            </w:r>
            <w:r>
              <w:rPr>
                <w:rFonts w:hint="eastAsia" w:ascii="仿宋" w:hAnsi="仿宋" w:eastAsia="仿宋" w:cs="仿宋"/>
                <w:sz w:val="24"/>
                <w:szCs w:val="24"/>
              </w:rPr>
              <w:t xml:space="preserve">整</w:t>
            </w:r>
            <w:r>
              <w:rPr>
                <w:rFonts w:hint="eastAsia" w:ascii="仿宋" w:hAnsi="仿宋" w:eastAsia="仿宋" w:cs="仿宋"/>
                <w:sz w:val="24"/>
                <w:szCs w:val="24"/>
                <w:lang w:eastAsia="zh-CN"/>
              </w:rPr>
              <w:t xml:space="preserve">，</w:t>
            </w:r>
            <w:r>
              <w:rPr>
                <w:rFonts w:hint="eastAsia" w:ascii="仿宋" w:hAnsi="仿宋" w:eastAsia="仿宋" w:cs="仿宋"/>
                <w:b/>
                <w:bCs/>
                <w:sz w:val="24"/>
                <w:szCs w:val="24"/>
                <w:lang w:val="en-US" w:eastAsia="zh-CN"/>
              </w:rPr>
              <w:t xml:space="preserve">最终</w:t>
            </w:r>
            <w:r>
              <w:rPr>
                <w:rFonts w:hint="eastAsia" w:ascii="仿宋" w:hAnsi="仿宋" w:eastAsia="仿宋" w:cs="仿宋"/>
                <w:b/>
                <w:bCs/>
                <w:sz w:val="24"/>
                <w:szCs w:val="24"/>
              </w:rPr>
              <w:t xml:space="preserve">报价超过政府采购预算及最高限价金额将作无效</w:t>
            </w:r>
            <w:r>
              <w:rPr>
                <w:rFonts w:hint="eastAsia" w:ascii="仿宋" w:hAnsi="仿宋" w:eastAsia="仿宋" w:cs="仿宋"/>
                <w:b/>
                <w:bCs/>
                <w:sz w:val="24"/>
                <w:szCs w:val="24"/>
                <w:lang w:val="en-US" w:eastAsia="zh-CN"/>
              </w:rPr>
              <w:t xml:space="preserve">响应</w:t>
            </w:r>
            <w:r>
              <w:rPr>
                <w:rFonts w:hint="eastAsia" w:ascii="仿宋" w:hAnsi="仿宋" w:eastAsia="仿宋" w:cs="仿宋"/>
                <w:b/>
                <w:bCs/>
                <w:sz w:val="24"/>
                <w:szCs w:val="24"/>
              </w:rPr>
              <w:t xml:space="preserve">处理。</w:t>
            </w:r>
            <w:r/>
          </w:p>
          <w:p>
            <w:pPr>
              <w:spacing w:line="360" w:lineRule="auto"/>
              <w:rPr>
                <w:rFonts w:hint="default" w:ascii="仿宋" w:hAnsi="仿宋" w:eastAsia="仿宋" w:cs="仿宋"/>
                <w:sz w:val="24"/>
                <w:szCs w:val="24"/>
                <w:lang w:val="en-US" w:eastAsia="zh-CN"/>
              </w:rPr>
            </w:pPr>
            <w:r>
              <w:rPr>
                <w:rFonts w:hint="eastAsia" w:ascii="仿宋" w:hAnsi="仿宋" w:eastAsia="仿宋" w:cs="仿宋"/>
                <w:b/>
                <w:bCs/>
                <w:sz w:val="24"/>
                <w:szCs w:val="24"/>
              </w:rPr>
              <w:t xml:space="preserve">资金</w:t>
            </w:r>
            <w:r>
              <w:rPr>
                <w:rFonts w:hint="eastAsia" w:ascii="仿宋" w:hAnsi="仿宋" w:eastAsia="仿宋" w:cs="仿宋"/>
                <w:b/>
                <w:bCs/>
                <w:sz w:val="24"/>
                <w:szCs w:val="24"/>
                <w:highlight w:val="none"/>
              </w:rPr>
              <w:t xml:space="preserve">来源：</w:t>
            </w:r>
            <w:r>
              <w:rPr>
                <w:rFonts w:hint="eastAsia" w:ascii="仿宋" w:hAnsi="仿宋" w:eastAsia="仿宋" w:cs="仿宋"/>
                <w:b/>
                <w:bCs/>
                <w:sz w:val="24"/>
                <w:szCs w:val="24"/>
                <w:highlight w:val="none"/>
                <w:lang w:val="en-US" w:eastAsia="zh-CN"/>
              </w:rPr>
              <w:t xml:space="preserve">ZDSX-2024-101  2024年财政专项资金项目管理经费</w:t>
            </w:r>
            <w:r/>
          </w:p>
        </w:tc>
      </w:tr>
      <w:tr>
        <w:trPr>
          <w:jc w:val="center"/>
          <w:trHeight w:val="385"/>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bCs/>
                <w:sz w:val="24"/>
                <w:szCs w:val="24"/>
              </w:rPr>
              <w:t xml:space="preserve">标的所属行业</w:t>
            </w:r>
            <w:r/>
          </w:p>
        </w:tc>
        <w:tc>
          <w:tcPr>
            <w:tcW w:w="7277" w:type="dxa"/>
            <w:vAlign w:val="center"/>
            <w:textDirection w:val="lrTb"/>
            <w:noWrap w:val="false"/>
          </w:tcPr>
          <w:p>
            <w:pPr>
              <w:spacing w:line="360" w:lineRule="auto"/>
              <w:rPr>
                <w:rFonts w:hint="eastAsia" w:ascii="仿宋" w:hAnsi="仿宋" w:eastAsia="仿宋" w:cs="仿宋"/>
                <w:b/>
                <w:bCs/>
                <w:sz w:val="24"/>
                <w:szCs w:val="24"/>
              </w:rPr>
            </w:pPr>
            <w:r>
              <w:rPr>
                <w:rFonts w:hint="eastAsia" w:ascii="仿宋" w:hAnsi="仿宋" w:eastAsia="仿宋" w:cs="仿宋"/>
                <w:bCs/>
                <w:sz w:val="24"/>
                <w:szCs w:val="24"/>
              </w:rPr>
              <w:t xml:space="preserve">本项目采购标的对应的中小企业划分标准所属行业为</w:t>
            </w:r>
            <w:r>
              <w:rPr>
                <w:rFonts w:hint="eastAsia" w:ascii="仿宋" w:hAnsi="仿宋" w:eastAsia="仿宋" w:cs="仿宋"/>
                <w:b/>
                <w:sz w:val="24"/>
                <w:szCs w:val="24"/>
              </w:rPr>
              <w:t xml:space="preserve">：</w:t>
            </w:r>
            <w:r>
              <w:rPr>
                <w:rFonts w:hint="eastAsia" w:ascii="仿宋" w:hAnsi="仿宋" w:eastAsia="仿宋" w:cs="仿宋"/>
                <w:bCs/>
                <w:sz w:val="24"/>
                <w:lang w:val="en-US" w:eastAsia="zh-CN"/>
              </w:rPr>
              <w:t xml:space="preserve">其他未列明行业</w:t>
            </w:r>
            <w:r>
              <w:rPr>
                <w:rFonts w:hint="eastAsia" w:ascii="仿宋" w:hAnsi="仿宋" w:eastAsia="仿宋" w:cs="仿宋"/>
                <w:bCs/>
                <w:sz w:val="24"/>
                <w:szCs w:val="24"/>
              </w:rPr>
              <w:t xml:space="preserve">。</w:t>
            </w:r>
            <w:r/>
          </w:p>
        </w:tc>
      </w:tr>
      <w:tr>
        <w:trPr>
          <w:jc w:val="center"/>
          <w:trHeight w:val="723"/>
        </w:trPr>
        <w:tc>
          <w:tcPr>
            <w:tcW w:w="725" w:type="dxa"/>
            <w:vAlign w:val="center"/>
            <w:textDirection w:val="lrTb"/>
            <w:noWrap w:val="false"/>
          </w:tcPr>
          <w:p>
            <w:pPr>
              <w:ind w:right="102"/>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 8</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代理机构</w:t>
            </w:r>
            <w:r/>
          </w:p>
        </w:tc>
        <w:tc>
          <w:tcPr>
            <w:tcW w:w="7277" w:type="dxa"/>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江苏臻采招标代理有限公司</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高工</w:t>
            </w: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联系电话：025-</w:t>
            </w:r>
            <w:r>
              <w:rPr>
                <w:rFonts w:hint="eastAsia" w:ascii="仿宋" w:hAnsi="仿宋" w:eastAsia="仿宋" w:cs="仿宋"/>
                <w:sz w:val="24"/>
                <w:szCs w:val="24"/>
                <w:lang w:eastAsia="zh-CN"/>
              </w:rPr>
              <w:t xml:space="preserve">85382797</w:t>
            </w:r>
            <w:r>
              <w:rPr>
                <w:rFonts w:hint="eastAsia" w:ascii="仿宋" w:hAnsi="仿宋" w:eastAsia="仿宋" w:cs="仿宋"/>
                <w:sz w:val="24"/>
                <w:szCs w:val="24"/>
              </w:rPr>
              <w:t xml:space="preserve">（转</w:t>
            </w:r>
            <w:r>
              <w:rPr>
                <w:rFonts w:hint="eastAsia" w:ascii="仿宋" w:hAnsi="仿宋" w:eastAsia="仿宋" w:cs="仿宋"/>
                <w:sz w:val="24"/>
                <w:szCs w:val="24"/>
                <w:lang w:eastAsia="zh-CN"/>
              </w:rPr>
              <w:t xml:space="preserve">8005</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pacing w:val="-6"/>
                <w:sz w:val="24"/>
                <w:szCs w:val="24"/>
              </w:rPr>
              <w:t xml:space="preserve">南京市</w:t>
            </w:r>
            <w:r>
              <w:rPr>
                <w:rFonts w:hint="eastAsia" w:ascii="仿宋" w:hAnsi="仿宋" w:eastAsia="仿宋" w:cs="仿宋"/>
                <w:spacing w:val="-6"/>
                <w:sz w:val="24"/>
                <w:szCs w:val="24"/>
                <w:lang w:eastAsia="zh-CN"/>
              </w:rPr>
              <w:t xml:space="preserve">秦淮区蓝旗街6号秦淮硅巷柳树湾科技园15号</w:t>
            </w:r>
            <w:r>
              <w:rPr>
                <w:rFonts w:hint="eastAsia" w:ascii="仿宋" w:hAnsi="仿宋" w:eastAsia="仿宋" w:cs="仿宋"/>
                <w:spacing w:val="-6"/>
                <w:sz w:val="24"/>
                <w:szCs w:val="24"/>
              </w:rPr>
              <w:t xml:space="preserve">楼4楼</w:t>
            </w:r>
            <w:r/>
          </w:p>
        </w:tc>
      </w:tr>
      <w:tr>
        <w:trPr>
          <w:jc w:val="center"/>
          <w:trHeight w:val="689"/>
        </w:trPr>
        <w:tc>
          <w:tcPr>
            <w:tcW w:w="725" w:type="dxa"/>
            <w:vAlign w:val="center"/>
            <w:textDirection w:val="lrTb"/>
            <w:noWrap w:val="false"/>
          </w:tcPr>
          <w:p>
            <w:pPr>
              <w:ind w:right="102"/>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 9</w:t>
            </w:r>
            <w:r/>
          </w:p>
        </w:tc>
        <w:tc>
          <w:tcPr>
            <w:tcW w:w="1471" w:type="dxa"/>
            <w:vAlign w:val="center"/>
            <w:textDirection w:val="lrTb"/>
            <w:noWrap w:val="false"/>
          </w:tcPr>
          <w:p>
            <w:pPr>
              <w:ind w:right="102"/>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采购人</w:t>
            </w:r>
            <w:r/>
          </w:p>
        </w:tc>
        <w:tc>
          <w:tcPr>
            <w:tcW w:w="7277" w:type="dxa"/>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江苏省农业农村厅</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魏崇辉、张玉        </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联系电话：025-86263713</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lang w:val="en-US" w:eastAsia="zh-CN"/>
              </w:rPr>
              <w:t xml:space="preserve">南京市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鼓楼区龙江小区月光广场8</w:t>
            </w:r>
            <w:r>
              <w:rPr>
                <w:rFonts w:hint="eastAsia" w:ascii="仿宋" w:hAnsi="仿宋" w:eastAsia="仿宋" w:cs="仿宋"/>
                <w:sz w:val="24"/>
                <w:szCs w:val="24"/>
              </w:rPr>
              <w:t xml:space="preserve">号</w:t>
            </w:r>
            <w:r/>
          </w:p>
        </w:tc>
      </w:tr>
      <w:tr>
        <w:trPr>
          <w:jc w:val="center"/>
          <w:trHeight w:val="615"/>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保证金</w:t>
            </w:r>
            <w:r/>
          </w:p>
        </w:tc>
        <w:tc>
          <w:tcPr>
            <w:tcW w:w="7277" w:type="dxa"/>
            <w:vAlign w:val="center"/>
            <w:textDirection w:val="lrTb"/>
            <w:noWrap w:val="false"/>
          </w:tcPr>
          <w:p>
            <w:pPr>
              <w:spacing w:line="0" w:lineRule="atLeast"/>
              <w:rPr>
                <w:rFonts w:hint="eastAsia" w:ascii="仿宋" w:hAnsi="仿宋" w:eastAsia="仿宋" w:cs="仿宋"/>
                <w:b/>
                <w:bCs/>
                <w:sz w:val="24"/>
                <w:szCs w:val="24"/>
              </w:rPr>
            </w:pPr>
            <w:r>
              <w:rPr>
                <w:rFonts w:hint="eastAsia" w:ascii="仿宋" w:hAnsi="仿宋" w:eastAsia="仿宋" w:cs="仿宋"/>
                <w:sz w:val="24"/>
                <w:szCs w:val="24"/>
              </w:rPr>
              <w:t xml:space="preserve">本项目不收取</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保证金。</w:t>
            </w:r>
            <w:r/>
          </w:p>
        </w:tc>
      </w:tr>
      <w:tr>
        <w:trPr>
          <w:jc w:val="center"/>
          <w:trHeight w:val="305"/>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11</w:t>
            </w:r>
            <w:r/>
          </w:p>
        </w:tc>
        <w:tc>
          <w:tcPr>
            <w:tcW w:w="147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代理服务费</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Cs/>
                <w:color w:val="000000" w:themeColor="text1"/>
                <w:sz w:val="24"/>
                <w:szCs w:val="24"/>
                <w:lang w:eastAsia="zh-CN"/>
                <w14:textFill>
                  <w14:solidFill>
                    <w14:schemeClr w14:val="tx1"/>
                  </w14:solidFill>
                </w14:textFill>
              </w:rPr>
              <w:t xml:space="preserve">本次招标代理服务费</w:t>
            </w:r>
            <w:r>
              <w:rPr>
                <w:rFonts w:hint="eastAsia" w:ascii="仿宋" w:hAnsi="仿宋" w:eastAsia="仿宋" w:cs="仿宋"/>
                <w:bCs/>
                <w:color w:val="000000" w:themeColor="text1"/>
                <w:sz w:val="24"/>
                <w:szCs w:val="24"/>
                <w14:textFill>
                  <w14:solidFill>
                    <w14:schemeClr w14:val="tx1"/>
                  </w14:solidFill>
                </w14:textFill>
              </w:rPr>
              <w:t xml:space="preserve">按照中华人民共和国国家计划委员会[计价格[2022]1980号]《招标代理服务收费管理暂行办法》规定</w:t>
            </w:r>
            <w:r>
              <w:rPr>
                <w:rFonts w:hint="eastAsia" w:ascii="仿宋" w:hAnsi="仿宋" w:eastAsia="仿宋" w:cs="仿宋"/>
                <w:bCs/>
                <w:color w:val="000000" w:themeColor="text1"/>
                <w:sz w:val="24"/>
                <w:szCs w:val="24"/>
                <w:lang w:eastAsia="zh-CN"/>
                <w14:textFill>
                  <w14:solidFill>
                    <w14:schemeClr w14:val="tx1"/>
                  </w14:solidFill>
                </w14:textFill>
              </w:rPr>
              <w:t xml:space="preserve">的费率</w:t>
            </w:r>
            <w:r>
              <w:rPr>
                <w:rFonts w:hint="eastAsia" w:ascii="仿宋" w:hAnsi="仿宋" w:eastAsia="仿宋" w:cs="仿宋"/>
                <w:bCs/>
                <w:color w:val="000000" w:themeColor="text1"/>
                <w:sz w:val="24"/>
                <w:szCs w:val="24"/>
                <w14:textFill>
                  <w14:solidFill>
                    <w14:schemeClr w14:val="tx1"/>
                  </w14:solidFill>
                </w14:textFill>
              </w:rPr>
              <w:t xml:space="preserve">计算代理服务费，不实行差额定率累进法计算代理服务费，由</w:t>
            </w:r>
            <w:r>
              <w:rPr>
                <w:rFonts w:hint="eastAsia" w:ascii="仿宋" w:hAnsi="仿宋" w:eastAsia="仿宋" w:cs="仿宋"/>
                <w:bCs/>
                <w:color w:val="000000" w:themeColor="text1"/>
                <w:sz w:val="24"/>
                <w:szCs w:val="24"/>
                <w:lang w:eastAsia="zh-CN"/>
                <w14:textFill>
                  <w14:solidFill>
                    <w14:schemeClr w14:val="tx1"/>
                  </w14:solidFill>
                </w14:textFill>
              </w:rPr>
              <w:t xml:space="preserve">成交</w:t>
            </w:r>
            <w:r>
              <w:rPr>
                <w:rFonts w:hint="eastAsia" w:ascii="仿宋" w:hAnsi="仿宋" w:eastAsia="仿宋" w:cs="仿宋"/>
                <w:bCs/>
                <w:color w:val="000000" w:themeColor="text1"/>
                <w:sz w:val="24"/>
                <w:szCs w:val="24"/>
                <w14:textFill>
                  <w14:solidFill>
                    <w14:schemeClr w14:val="tx1"/>
                  </w14:solidFill>
                </w14:textFill>
              </w:rPr>
              <w:t xml:space="preserve">人领取《</w:t>
            </w:r>
            <w:r>
              <w:rPr>
                <w:rFonts w:hint="eastAsia" w:ascii="仿宋" w:hAnsi="仿宋" w:eastAsia="仿宋" w:cs="仿宋"/>
                <w:bCs/>
                <w:color w:val="000000" w:themeColor="text1"/>
                <w:sz w:val="24"/>
                <w:szCs w:val="24"/>
                <w:lang w:eastAsia="zh-CN"/>
                <w14:textFill>
                  <w14:solidFill>
                    <w14:schemeClr w14:val="tx1"/>
                  </w14:solidFill>
                </w14:textFill>
              </w:rPr>
              <w:t xml:space="preserve">成交</w:t>
            </w:r>
            <w:r>
              <w:rPr>
                <w:rFonts w:hint="eastAsia" w:ascii="仿宋" w:hAnsi="仿宋" w:eastAsia="仿宋" w:cs="仿宋"/>
                <w:bCs/>
                <w:color w:val="000000" w:themeColor="text1"/>
                <w:sz w:val="24"/>
                <w:szCs w:val="24"/>
                <w14:textFill>
                  <w14:solidFill>
                    <w14:schemeClr w14:val="tx1"/>
                  </w14:solidFill>
                </w14:textFill>
              </w:rPr>
              <w:t xml:space="preserve">通知书》时向招标代理机构缴纳。根据财库〔2018〕2号《政府招标代理机构管理暂行办法》第十五条之规定，</w:t>
            </w:r>
            <w:r>
              <w:rPr>
                <w:rFonts w:hint="eastAsia" w:ascii="仿宋" w:hAnsi="仿宋" w:eastAsia="仿宋" w:cs="仿宋"/>
                <w:bCs/>
                <w:color w:val="000000" w:themeColor="text1"/>
                <w:sz w:val="24"/>
                <w:szCs w:val="24"/>
                <w:lang w:eastAsia="zh-CN"/>
                <w14:textFill>
                  <w14:solidFill>
                    <w14:schemeClr w14:val="tx1"/>
                  </w14:solidFill>
                </w14:textFill>
              </w:rPr>
              <w:t xml:space="preserve">成交</w:t>
            </w:r>
            <w:r>
              <w:rPr>
                <w:rFonts w:hint="eastAsia" w:ascii="仿宋" w:hAnsi="仿宋" w:eastAsia="仿宋" w:cs="仿宋"/>
                <w:bCs/>
                <w:color w:val="000000" w:themeColor="text1"/>
                <w:sz w:val="24"/>
                <w:szCs w:val="24"/>
                <w14:textFill>
                  <w14:solidFill>
                    <w14:schemeClr w14:val="tx1"/>
                  </w14:solidFill>
                </w14:textFill>
              </w:rPr>
              <w:t xml:space="preserve">人凭《</w:t>
            </w:r>
            <w:r>
              <w:rPr>
                <w:rFonts w:hint="eastAsia" w:ascii="仿宋" w:hAnsi="仿宋" w:eastAsia="仿宋" w:cs="仿宋"/>
                <w:bCs/>
                <w:color w:val="000000" w:themeColor="text1"/>
                <w:sz w:val="24"/>
                <w:szCs w:val="24"/>
                <w:lang w:eastAsia="zh-CN"/>
                <w14:textFill>
                  <w14:solidFill>
                    <w14:schemeClr w14:val="tx1"/>
                  </w14:solidFill>
                </w14:textFill>
              </w:rPr>
              <w:t xml:space="preserve">成交</w:t>
            </w:r>
            <w:r>
              <w:rPr>
                <w:rFonts w:hint="eastAsia" w:ascii="仿宋" w:hAnsi="仿宋" w:eastAsia="仿宋" w:cs="仿宋"/>
                <w:bCs/>
                <w:color w:val="000000" w:themeColor="text1"/>
                <w:sz w:val="24"/>
                <w:szCs w:val="24"/>
                <w14:textFill>
                  <w14:solidFill>
                    <w14:schemeClr w14:val="tx1"/>
                  </w14:solidFill>
                </w14:textFill>
              </w:rPr>
              <w:t xml:space="preserve">通知书》与采购人签订合同。</w:t>
            </w:r>
            <w:r/>
          </w:p>
        </w:tc>
      </w:tr>
      <w:tr>
        <w:trPr>
          <w:jc w:val="center"/>
          <w:trHeight w:val="340"/>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12</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提交</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文件截止时间、开标时间和地点</w:t>
            </w:r>
            <w:r/>
          </w:p>
        </w:tc>
        <w:tc>
          <w:tcPr>
            <w:tcW w:w="7277"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接收</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文件时间：2024年</w:t>
            </w:r>
            <w:r>
              <w:rPr>
                <w:rFonts w:hint="eastAsia" w:ascii="仿宋" w:hAnsi="仿宋" w:eastAsia="仿宋" w:cs="仿宋"/>
                <w:sz w:val="24"/>
                <w:szCs w:val="24"/>
                <w:lang w:val="en-US" w:eastAsia="zh-CN"/>
              </w:rPr>
              <w:t xml:space="preserve">9月14日</w:t>
            </w:r>
            <w:r>
              <w:rPr>
                <w:rFonts w:hint="eastAsia" w:ascii="仿宋" w:hAnsi="仿宋" w:eastAsia="仿宋" w:cs="仿宋"/>
                <w:sz w:val="24"/>
                <w:szCs w:val="24"/>
              </w:rPr>
              <w:t xml:space="preserve">下午13：30 -14：00</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接收地点：</w:t>
            </w:r>
            <w:r>
              <w:rPr>
                <w:rFonts w:hint="eastAsia" w:ascii="仿宋" w:hAnsi="仿宋" w:eastAsia="仿宋" w:cs="仿宋"/>
                <w:spacing w:val="-6"/>
                <w:sz w:val="24"/>
                <w:szCs w:val="24"/>
              </w:rPr>
              <w:t xml:space="preserve">南京市</w:t>
            </w:r>
            <w:r>
              <w:rPr>
                <w:rFonts w:hint="eastAsia" w:ascii="仿宋" w:hAnsi="仿宋" w:eastAsia="仿宋" w:cs="仿宋"/>
                <w:spacing w:val="-6"/>
                <w:sz w:val="24"/>
                <w:szCs w:val="24"/>
                <w:lang w:eastAsia="zh-CN"/>
              </w:rPr>
              <w:t xml:space="preserve">秦淮区蓝旗街6号秦淮硅巷柳树湾科技园15号</w:t>
            </w:r>
            <w:r>
              <w:rPr>
                <w:rFonts w:hint="eastAsia" w:ascii="仿宋" w:hAnsi="仿宋" w:eastAsia="仿宋" w:cs="仿宋"/>
                <w:spacing w:val="-6"/>
                <w:sz w:val="24"/>
                <w:szCs w:val="24"/>
              </w:rPr>
              <w:t xml:space="preserve">楼</w:t>
            </w:r>
            <w:r>
              <w:rPr>
                <w:rFonts w:hint="eastAsia" w:ascii="仿宋" w:hAnsi="仿宋" w:eastAsia="仿宋" w:cs="仿宋"/>
                <w:sz w:val="24"/>
                <w:szCs w:val="24"/>
              </w:rPr>
              <w:t xml:space="preserve">3楼会议室</w:t>
            </w:r>
            <w:r/>
          </w:p>
        </w:tc>
      </w:tr>
      <w:tr>
        <w:trPr>
          <w:jc w:val="center"/>
          <w:trHeight w:val="304"/>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13</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正本份数：1份</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副本份数：3份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电子文档：1份</w:t>
            </w:r>
            <w:r>
              <w:rPr>
                <w:rFonts w:hint="eastAsia" w:ascii="仿宋" w:hAnsi="仿宋" w:eastAsia="仿宋" w:cs="仿宋"/>
                <w:b/>
                <w:bCs/>
                <w:i/>
                <w:iCs/>
                <w:sz w:val="24"/>
                <w:szCs w:val="24"/>
                <w:u w:val="single"/>
              </w:rPr>
              <w:t xml:space="preserve">（提供PDF版，封面及签章部分须盖章签字，U盘与正本封装）</w:t>
            </w:r>
            <w:r/>
          </w:p>
        </w:tc>
      </w:tr>
      <w:tr>
        <w:trPr>
          <w:jc w:val="center"/>
          <w:trHeight w:val="383"/>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14</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文件开启时间和地点</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时间：2024年</w:t>
            </w:r>
            <w:r>
              <w:rPr>
                <w:rFonts w:hint="eastAsia" w:ascii="仿宋" w:hAnsi="仿宋" w:eastAsia="仿宋" w:cs="仿宋"/>
                <w:sz w:val="24"/>
                <w:szCs w:val="24"/>
                <w:lang w:val="en-US" w:eastAsia="zh-CN"/>
              </w:rPr>
              <w:t xml:space="preserve">9月14日</w:t>
            </w:r>
            <w:r>
              <w:rPr>
                <w:rFonts w:hint="eastAsia" w:ascii="仿宋" w:hAnsi="仿宋" w:eastAsia="仿宋" w:cs="仿宋"/>
                <w:sz w:val="24"/>
                <w:szCs w:val="24"/>
              </w:rPr>
              <w:t xml:space="preserve">下午14：00</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w:t>
            </w:r>
            <w:r>
              <w:rPr>
                <w:rFonts w:hint="eastAsia" w:ascii="仿宋" w:hAnsi="仿宋" w:eastAsia="仿宋" w:cs="仿宋"/>
                <w:spacing w:val="-6"/>
                <w:sz w:val="24"/>
                <w:szCs w:val="24"/>
              </w:rPr>
              <w:t xml:space="preserve">南京市</w:t>
            </w:r>
            <w:r>
              <w:rPr>
                <w:rFonts w:hint="eastAsia" w:ascii="仿宋" w:hAnsi="仿宋" w:eastAsia="仿宋" w:cs="仿宋"/>
                <w:spacing w:val="-6"/>
                <w:sz w:val="24"/>
                <w:szCs w:val="24"/>
                <w:lang w:eastAsia="zh-CN"/>
              </w:rPr>
              <w:t xml:space="preserve">秦淮区蓝旗街6号秦淮硅巷柳树湾科技园15号</w:t>
            </w:r>
            <w:r>
              <w:rPr>
                <w:rFonts w:hint="eastAsia" w:ascii="仿宋" w:hAnsi="仿宋" w:eastAsia="仿宋" w:cs="仿宋"/>
                <w:spacing w:val="-6"/>
                <w:sz w:val="24"/>
                <w:szCs w:val="24"/>
              </w:rPr>
              <w:t xml:space="preserve">楼4楼</w:t>
            </w:r>
            <w:r>
              <w:rPr>
                <w:rFonts w:hint="eastAsia" w:ascii="仿宋" w:hAnsi="仿宋" w:eastAsia="仿宋" w:cs="仿宋"/>
                <w:sz w:val="24"/>
                <w:szCs w:val="24"/>
              </w:rPr>
              <w:t xml:space="preserve">会议室</w:t>
            </w:r>
            <w:r/>
          </w:p>
        </w:tc>
      </w:tr>
      <w:tr>
        <w:trPr>
          <w:jc w:val="center"/>
          <w:trHeight w:val="680"/>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15</w:t>
            </w:r>
            <w:r/>
          </w:p>
        </w:tc>
        <w:tc>
          <w:tcPr>
            <w:tcW w:w="1471"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响应有效期</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提交</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文件截止时间起九十天，有效期短于此规定的</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文件将作无效</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处理。</w:t>
            </w:r>
            <w:r/>
          </w:p>
        </w:tc>
      </w:tr>
      <w:tr>
        <w:trPr>
          <w:jc w:val="center"/>
          <w:trHeight w:val="377"/>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16</w:t>
            </w:r>
            <w:r/>
          </w:p>
        </w:tc>
        <w:tc>
          <w:tcPr>
            <w:tcW w:w="1471" w:type="dxa"/>
            <w:vAlign w:val="center"/>
            <w:textDirection w:val="lrTb"/>
            <w:noWrap w:val="false"/>
          </w:tcPr>
          <w:p>
            <w:pPr>
              <w:jc w:val="center"/>
              <w:spacing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评审办法</w:t>
            </w:r>
            <w:r/>
          </w:p>
        </w:tc>
        <w:tc>
          <w:tcPr>
            <w:tcW w:w="7277" w:type="dxa"/>
            <w:vAlign w:val="center"/>
            <w:textDirection w:val="lrTb"/>
            <w:noWrap w:val="false"/>
          </w:tcPr>
          <w:p>
            <w:pPr>
              <w:jc w:val="left"/>
              <w:spacing w:line="0" w:lineRule="atLeast"/>
              <w:rPr>
                <w:rFonts w:hint="eastAsia" w:ascii="仿宋" w:hAnsi="仿宋" w:eastAsia="仿宋" w:cs="仿宋"/>
                <w:sz w:val="24"/>
                <w:szCs w:val="24"/>
              </w:rPr>
            </w:pPr>
            <w:r>
              <w:rPr>
                <w:rFonts w:hint="eastAsia" w:ascii="仿宋" w:hAnsi="仿宋" w:eastAsia="仿宋" w:cs="仿宋"/>
                <w:sz w:val="24"/>
                <w:szCs w:val="24"/>
              </w:rPr>
              <w:t xml:space="preserve">综合评分法</w:t>
            </w:r>
            <w:r/>
          </w:p>
        </w:tc>
      </w:tr>
      <w:tr>
        <w:trPr>
          <w:jc w:val="center"/>
          <w:trHeight w:val="680"/>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17</w:t>
            </w:r>
            <w:r/>
          </w:p>
        </w:tc>
        <w:tc>
          <w:tcPr>
            <w:tcW w:w="1471"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报价</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1.所有</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响应均以人民币报价。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应按照磋商文件规定格式填报磋商响应报价表(报价一览表）。每项产品或服务只允许有一个报价，任何有选择的报价或备选方案（每项产品多品牌报价或每项服务多方案报价）将不予接受，磋商文件中另有规定的按规定执行。</w:t>
            </w:r>
            <w:r>
              <w:rPr>
                <w:rFonts w:hint="eastAsia" w:ascii="仿宋" w:hAnsi="仿宋" w:eastAsia="仿宋" w:cs="仿宋"/>
                <w:sz w:val="24"/>
                <w:szCs w:val="24"/>
                <w:lang w:val="en-US" w:eastAsia="zh-CN"/>
              </w:rPr>
              <w:t xml:space="preserve">(如有备选配件，备选配件的报价不属于选择的报价)。</w:t>
            </w:r>
            <w:r/>
          </w:p>
        </w:tc>
      </w:tr>
      <w:tr>
        <w:trPr>
          <w:jc w:val="center"/>
          <w:trHeight w:val="310"/>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18</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人推荐资格</w:t>
            </w:r>
            <w:r/>
          </w:p>
        </w:tc>
        <w:tc>
          <w:tcPr>
            <w:tcW w:w="7277" w:type="dxa"/>
            <w:vAlign w:val="center"/>
            <w:textDirection w:val="lrTb"/>
            <w:noWrap w:val="false"/>
          </w:tcPr>
          <w:p>
            <w:pPr>
              <w:pStyle w:val="801"/>
              <w:ind w:firstLine="0"/>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磋商小组进行综合评分后按综合评分由高到低推荐三名成交候选供应商，采购人在推荐的成交候选供应商中按顺序确定一名成交供应商。</w:t>
            </w:r>
            <w:r/>
          </w:p>
        </w:tc>
      </w:tr>
      <w:tr>
        <w:trPr>
          <w:jc w:val="center"/>
          <w:trHeight w:val="680"/>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19</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采购合同签订</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合同签订，</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通知书发出后30日内。</w:t>
            </w:r>
            <w:r/>
          </w:p>
        </w:tc>
      </w:tr>
      <w:tr>
        <w:trPr>
          <w:jc w:val="center"/>
          <w:trHeight w:val="680"/>
        </w:trPr>
        <w:tc>
          <w:tcPr>
            <w:tcW w:w="72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20</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无效</w:t>
            </w:r>
            <w:r>
              <w:rPr>
                <w:rFonts w:hint="eastAsia" w:ascii="仿宋" w:hAnsi="仿宋" w:eastAsia="仿宋" w:cs="仿宋"/>
                <w:sz w:val="24"/>
                <w:szCs w:val="24"/>
              </w:rPr>
              <w:t xml:space="preserve">响应</w:t>
            </w:r>
            <w:r/>
          </w:p>
        </w:tc>
        <w:tc>
          <w:tcPr>
            <w:tcW w:w="7277"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1.未按照采购文件要求密封、签署、盖章的；</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2.供应商在报价时采用选择性报价的；</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3.供应商不具备采购文件中规定资格要求及不符合财政部财库（2016）125号文件规定的；</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4.供应商的报价超过了采购预算的；</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5.未通过符合性检查的；</w:t>
            </w:r>
            <w:r/>
          </w:p>
          <w:p>
            <w:pPr>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6.不符合法律、法规和磋商文件中规定的其他实质性要求和条件的（本磋商文件中</w:t>
            </w:r>
            <w:r>
              <w:rPr>
                <w:rFonts w:hint="eastAsia" w:ascii="仿宋" w:hAnsi="仿宋" w:eastAsia="仿宋" w:cs="仿宋"/>
                <w:sz w:val="24"/>
                <w:szCs w:val="24"/>
                <w:lang w:val="en-US" w:eastAsia="zh-CN"/>
              </w:rPr>
              <w:t xml:space="preserve">标注为实质性要求的条款或斜体且</w:t>
            </w:r>
            <w:r>
              <w:rPr>
                <w:rFonts w:hint="eastAsia" w:ascii="仿宋" w:hAnsi="仿宋" w:eastAsia="仿宋" w:cs="仿宋"/>
                <w:bCs/>
                <w:sz w:val="24"/>
                <w:szCs w:val="24"/>
              </w:rPr>
              <w:t xml:space="preserve">有下划线部分为实质性要求和条件）；</w:t>
            </w:r>
            <w:r/>
          </w:p>
        </w:tc>
      </w:tr>
      <w:tr>
        <w:trPr>
          <w:jc w:val="center"/>
          <w:trHeight w:val="680"/>
        </w:trPr>
        <w:tc>
          <w:tcPr>
            <w:tcW w:w="725" w:type="dxa"/>
            <w:vAlign w:val="center"/>
            <w:textDirection w:val="lrTb"/>
            <w:noWrap w:val="false"/>
          </w:tcPr>
          <w:p>
            <w:pPr>
              <w:jc w:val="center"/>
              <w:spacing w:line="0" w:lineRule="atLeast"/>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质疑处理</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bCs/>
                <w:sz w:val="24"/>
              </w:rPr>
              <w:t xml:space="preserve">供应商认为磋商文件、采购过程和采购结果使自己的权益受到损害的，可以在知道或应知其权益受到损害之日起七个工作日内，以书面形式向采购代理机构或采购人提出质疑。上述应知其权益受到损害之日，是指</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bCs/>
                <w:sz w:val="24"/>
              </w:rPr>
              <w:t xml:space="preserve">对可以质疑的磋商文件提出质疑的，为收到磋商文件之日或者磋商文件公告期限届满之日</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bCs/>
                <w:sz w:val="24"/>
              </w:rPr>
              <w:t xml:space="preserve">对采购过程提出质疑的，为各采购程序环节结束之日</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bCs/>
                <w:sz w:val="24"/>
              </w:rPr>
              <w:t xml:space="preserve">对成交结果提出质疑的，为成交结果公告期限届满之日</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Cs/>
                <w:color w:val="000000"/>
                <w:sz w:val="24"/>
              </w:rPr>
              <w:t xml:space="preserve">质疑必须按《政府采购法》、《政府采购法实施条例》、中华人民共和国财政部令第94号令《政府采购质疑和投诉办法》的相关规定提交，未按上述要求提交的质疑函（含传真、电子邮件等）采购代理机构有权要求质疑供应商按规定予以修正</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bCs/>
                <w:sz w:val="24"/>
              </w:rPr>
              <w:t xml:space="preserve">未参加磋商采购活动的供应商或在磋商采购活动中自身权益未受到损害的供应商所提出的质疑不予受理</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4.质疑函应当包括下列内容：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（一）供应商的姓名或者名称、地址、邮编、联系人及联系电话；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（二）质疑项目的名称、编号；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（三）具体、明确的质疑事项和与质疑事项相关的请求；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（五）必要的法律依据；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（六）提出质疑的日期。</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供应商为自然人的，应当由本人签字；供应商为法人或者其他组织的，应当由法定代表人、主要负责人，或者其授权代表签字或者盖章，并加盖公章。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质疑人委托代理质疑的，应当向采购代理机构提交授权委托书，并载明委托代理的具体权限和事项。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5.采购代理机构收到质疑函后，将对质疑的形式和内容进行审查，如质疑函内容、格式不符合规定，采购代理机构将告知质疑人进行补正。</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rPr>
              <w:t xml:space="preserve">质疑人应当在法定质疑期限内进行补正并重新提交质疑函</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7.采购代理机构应当在收到供应商的书面质疑后七个工作日内作出答复，并以书面形式通知质疑供应商和其他有关供应商，并告知质疑供应商具有投诉的权利。质疑答复的内容不得涉及评审情况与所获知的供应商的商业秘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8.供应商提出书面质疑必须依据事实和法律依据，不得捏造事实进行恶意或虚假质疑。</w:t>
            </w:r>
            <w:r/>
          </w:p>
        </w:tc>
      </w:tr>
      <w:tr>
        <w:trPr>
          <w:jc w:val="center"/>
          <w:trHeight w:val="680"/>
        </w:trPr>
        <w:tc>
          <w:tcPr>
            <w:tcW w:w="725" w:type="dxa"/>
            <w:vAlign w:val="center"/>
            <w:textDirection w:val="lrTb"/>
            <w:noWrap w:val="false"/>
          </w:tcPr>
          <w:p>
            <w:pPr>
              <w:jc w:val="center"/>
              <w:spacing w:line="0" w:lineRule="atLeast"/>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2</w:t>
            </w:r>
            <w:r/>
          </w:p>
        </w:tc>
        <w:tc>
          <w:tcPr>
            <w:tcW w:w="14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答疑或现场勘查</w:t>
            </w:r>
            <w:r/>
          </w:p>
        </w:tc>
        <w:tc>
          <w:tcPr>
            <w:tcW w:w="7277"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本项目不统一组织答疑会或现场勘查。</w:t>
            </w:r>
            <w:bookmarkEnd w:id="27"/>
            <w:r/>
          </w:p>
        </w:tc>
      </w:tr>
    </w:tbl>
    <w:p>
      <w:pPr>
        <w:pStyle w:val="808"/>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一、总则</w:t>
      </w:r>
      <w:bookmarkEnd w:id="12"/>
      <w:r/>
      <w:bookmarkEnd w:id="13"/>
      <w:r/>
      <w:bookmarkEnd w:id="14"/>
      <w:r/>
      <w:bookmarkEnd w:id="15"/>
      <w:r/>
      <w:bookmarkEnd w:id="16"/>
      <w:r/>
      <w:bookmarkEnd w:id="17"/>
      <w:r/>
      <w:bookmarkEnd w:id="18"/>
      <w:r/>
      <w:bookmarkEnd w:id="19"/>
      <w:r/>
      <w:bookmarkEnd w:id="20"/>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1、适用范围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本竞争性磋商文件（以下简称磋商文件）仅适用</w:t>
      </w:r>
      <w:r>
        <w:rPr>
          <w:rFonts w:hint="eastAsia" w:ascii="仿宋" w:hAnsi="仿宋" w:eastAsia="仿宋" w:cs="仿宋"/>
          <w:bCs/>
          <w:sz w:val="24"/>
          <w:highlight w:val="none"/>
          <w:lang w:eastAsia="zh-CN"/>
        </w:rPr>
        <w:t xml:space="preserve">2022、2023年度省级专项转移支付资金部门绩效评价省级复评和省级专项资金政策绩效评价</w:t>
      </w:r>
      <w:r>
        <w:rPr>
          <w:rFonts w:hint="eastAsia" w:ascii="仿宋" w:hAnsi="仿宋" w:eastAsia="仿宋" w:cs="仿宋"/>
          <w:bCs/>
          <w:sz w:val="24"/>
          <w:highlight w:val="none"/>
        </w:rPr>
        <w:t xml:space="preserve">。</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2、项目采购方式</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本次采购采取竞争性磋商的方式。</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3、合格的供应商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3.1满足本磋商文件“采购邀请”中合格供应商资格要求的规定。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 满足本磋商文件实质性要求和条件的规定。</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4、参加磋商费用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4.1 供应商应自行承担所有与参加</w:t>
      </w:r>
      <w:r>
        <w:rPr>
          <w:rFonts w:hint="eastAsia" w:ascii="仿宋" w:hAnsi="仿宋" w:eastAsia="仿宋" w:cs="仿宋"/>
          <w:sz w:val="24"/>
          <w:szCs w:val="24"/>
        </w:rPr>
        <w:t xml:space="preserve">竞争性磋商</w:t>
      </w:r>
      <w:r>
        <w:rPr>
          <w:rFonts w:hint="eastAsia" w:ascii="仿宋" w:hAnsi="仿宋" w:eastAsia="仿宋" w:cs="仿宋"/>
          <w:bCs/>
          <w:sz w:val="24"/>
        </w:rPr>
        <w:t xml:space="preserve">有关的费用，无论磋商过程中的做法和结果如何，</w:t>
      </w:r>
      <w:r>
        <w:rPr>
          <w:rFonts w:hint="eastAsia" w:ascii="仿宋" w:hAnsi="仿宋" w:eastAsia="仿宋" w:cs="仿宋"/>
          <w:bCs/>
          <w:sz w:val="24"/>
          <w:lang w:eastAsia="zh-CN"/>
        </w:rPr>
        <w:t xml:space="preserve">江苏臻采招标代理有限公司</w:t>
      </w:r>
      <w:r>
        <w:rPr>
          <w:rFonts w:hint="eastAsia" w:ascii="仿宋" w:hAnsi="仿宋" w:eastAsia="仿宋" w:cs="仿宋"/>
          <w:bCs/>
          <w:sz w:val="24"/>
        </w:rPr>
        <w:t xml:space="preserve">（以下简称采购代理机构）在任何情况下均无义务和责任承担这些费用。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4.2本次</w:t>
      </w:r>
      <w:r>
        <w:rPr>
          <w:rFonts w:hint="eastAsia" w:ascii="仿宋" w:hAnsi="仿宋" w:eastAsia="仿宋" w:cs="仿宋"/>
          <w:sz w:val="24"/>
          <w:szCs w:val="24"/>
        </w:rPr>
        <w:t xml:space="preserve">磋商</w:t>
      </w:r>
      <w:r>
        <w:rPr>
          <w:rFonts w:hint="eastAsia" w:ascii="仿宋" w:hAnsi="仿宋" w:eastAsia="仿宋" w:cs="仿宋"/>
          <w:bCs/>
          <w:sz w:val="24"/>
        </w:rPr>
        <w:t xml:space="preserve">收取磋商文件费。</w:t>
      </w:r>
      <w:r/>
    </w:p>
    <w:p>
      <w:pPr>
        <w:ind w:firstLine="480"/>
        <w:spacing w:line="360" w:lineRule="auto"/>
        <w:rPr>
          <w:rFonts w:hint="eastAsia" w:ascii="仿宋" w:hAnsi="仿宋" w:eastAsia="仿宋" w:cs="仿宋"/>
          <w:bCs/>
          <w:sz w:val="24"/>
          <w:lang w:val="en-US" w:eastAsia="zh-CN"/>
        </w:rPr>
      </w:pPr>
      <w:r>
        <w:rPr>
          <w:rFonts w:hint="eastAsia" w:ascii="仿宋" w:hAnsi="仿宋" w:eastAsia="仿宋" w:cs="仿宋"/>
          <w:bCs/>
          <w:sz w:val="24"/>
          <w:highlight w:val="none"/>
        </w:rPr>
        <w:t xml:space="preserve">4.3</w:t>
      </w:r>
      <w:r>
        <w:rPr>
          <w:rFonts w:hint="eastAsia" w:ascii="仿宋" w:hAnsi="仿宋" w:eastAsia="仿宋" w:cs="仿宋"/>
          <w:b w:val="0"/>
          <w:bCs/>
          <w:sz w:val="24"/>
          <w:highlight w:val="none"/>
          <w:lang w:eastAsia="zh-CN"/>
        </w:rPr>
        <w:t xml:space="preserve">代理服务费:</w:t>
      </w:r>
      <w:r>
        <w:rPr>
          <w:rFonts w:hint="eastAsia" w:ascii="仿宋" w:hAnsi="仿宋" w:eastAsia="仿宋" w:cs="仿宋"/>
          <w:bCs/>
          <w:sz w:val="24"/>
          <w:lang w:val="en-US" w:eastAsia="zh-CN"/>
        </w:rPr>
        <w:t xml:space="preserve">本次招标代理服务费按照中华人民共和国国家计划委员会[计价格[2022]1980号]《招标代理服务收费管理暂行办法》规定的费率计算代理服务费，不实行差额定率累进法计算代理服务费，由成交人领取《成交通知书》时向招标代理机构缴纳。根据财库〔2018〕2号《政府招标代理机构管理暂行办法》第十五条之规定，成交人凭《成交通知书》与采购人签订合同。</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5、磋商文件的约束力</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供应商一旦购买了本磋商文件并决定参加磋商，即被认为接受了本磋商文件的规定和约束，并且视为自竞争性磋商公告期限届满之日起已经知道或应当知道自身权益是否受到了损害。</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6、</w:t>
      </w:r>
      <w:bookmarkStart w:id="28" w:name="_Toc513029211"/>
      <w:r/>
      <w:bookmarkStart w:id="29" w:name="_Toc16938527"/>
      <w:r/>
      <w:bookmarkStart w:id="30" w:name="_Toc462564070"/>
      <w:r/>
      <w:bookmarkStart w:id="31" w:name="_Toc20823283"/>
      <w:r>
        <w:rPr>
          <w:rFonts w:hint="eastAsia" w:ascii="仿宋" w:hAnsi="仿宋" w:eastAsia="仿宋" w:cs="仿宋"/>
          <w:b/>
          <w:sz w:val="24"/>
          <w:highlight w:val="none"/>
        </w:rPr>
        <w:t xml:space="preserve">磋商文件的澄清</w:t>
      </w:r>
      <w:bookmarkEnd w:id="28"/>
      <w:r/>
      <w:bookmarkEnd w:id="29"/>
      <w:r/>
      <w:bookmarkEnd w:id="30"/>
      <w:r/>
      <w:bookmarkEnd w:id="31"/>
      <w:r>
        <w:rPr>
          <w:rFonts w:hint="eastAsia" w:ascii="仿宋" w:hAnsi="仿宋" w:eastAsia="仿宋" w:cs="仿宋"/>
          <w:b/>
          <w:sz w:val="24"/>
          <w:highlight w:val="none"/>
        </w:rPr>
        <w:t xml:space="preserve">及修改</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6.1任何要求对磋商文件进行澄清的供应商，均应在提交首次响应文件截止时间5日前按采购邀请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w:t>
      </w:r>
      <w:r>
        <w:rPr>
          <w:rFonts w:hint="eastAsia" w:ascii="仿宋" w:hAnsi="仿宋" w:eastAsia="仿宋" w:cs="仿宋"/>
          <w:b w:val="0"/>
          <w:bCs w:val="0"/>
          <w:color w:val="000000" w:themeColor="text1"/>
          <w:sz w:val="24"/>
          <w:szCs w:val="32"/>
          <w:highlight w:val="none"/>
          <w:lang w:val="en-US" w:eastAsia="zh-CN"/>
          <w14:textFill>
            <w14:solidFill>
              <w14:schemeClr w14:val="tx1"/>
            </w14:solidFill>
          </w14:textFill>
        </w:rPr>
        <w:t xml:space="preserve">“江苏政府采购网”</w:t>
      </w:r>
      <w:r>
        <w:rPr>
          <w:rFonts w:hint="eastAsia" w:ascii="仿宋" w:hAnsi="仿宋" w:eastAsia="仿宋" w:cs="仿宋"/>
          <w:bCs/>
          <w:sz w:val="24"/>
          <w:highlight w:val="none"/>
        </w:rPr>
        <w:t xml:space="preserve">上发布书面更正公告形式通知所有获取磋商文件的供应商。不足5日的，采购代理机构应当顺延提交首次响应文件截止时间。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6.2采购代理机构可以视采购项目的具体情况，组织供应商进行现场考察或召开磋商前答疑会，但不单独或分别组织只有一个供应商参加的现场考察和答疑会。</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7、政策功能</w:t>
      </w:r>
      <w:r/>
    </w:p>
    <w:p>
      <w:pPr>
        <w:ind w:firstLine="480"/>
        <w:spacing w:line="360" w:lineRule="auto"/>
        <w:rPr>
          <w:rFonts w:hint="eastAsia" w:ascii="仿宋" w:hAnsi="仿宋" w:eastAsia="仿宋" w:cs="仿宋"/>
          <w:bCs/>
          <w:color w:val="auto"/>
          <w:sz w:val="24"/>
        </w:rPr>
      </w:pPr>
      <w:r/>
      <w:bookmarkStart w:id="32" w:name="_Toc18953"/>
      <w:r/>
      <w:bookmarkStart w:id="33" w:name="_Toc2360"/>
      <w:r/>
      <w:bookmarkStart w:id="34" w:name="_Toc6869"/>
      <w:r/>
      <w:bookmarkStart w:id="35" w:name="_Toc12903"/>
      <w:r/>
      <w:bookmarkStart w:id="36" w:name="_Toc17602"/>
      <w:r/>
      <w:bookmarkStart w:id="37" w:name="_Toc16506"/>
      <w:r/>
      <w:bookmarkStart w:id="38" w:name="_Toc10479"/>
      <w:r/>
      <w:bookmarkStart w:id="39" w:name="_Toc21471"/>
      <w:r/>
      <w:bookmarkStart w:id="40" w:name="_Toc2819"/>
      <w:r>
        <w:rPr>
          <w:rFonts w:hint="eastAsia" w:ascii="仿宋" w:hAnsi="仿宋" w:eastAsia="仿宋" w:cs="仿宋"/>
          <w:bCs/>
          <w:color w:val="auto"/>
          <w:sz w:val="24"/>
        </w:rPr>
        <w:t xml:space="preserve">7.1中小企业政策</w:t>
      </w:r>
      <w:r/>
    </w:p>
    <w:p>
      <w:pPr>
        <w:numPr>
          <w:ilvl w:val="0"/>
          <w:numId w:val="6"/>
        </w:numPr>
        <w:ind w:left="0"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中小企业（含中型、小型、微型企业）应当符合《政府采购促进中小企业发展管理办法》（财库〔2020〕46号,以下简称46号文）第二条、《关于政府采购支持监狱企业发展有关问题的通知》（财库〔2014〕68号）第一条或《关于促进残疾人就业政府采购政策的通知》（财库〔2017〕141号）第一条的规定。本项目对残疾人福利性单位、监狱和戒毒企业（简称监狱企业）视同小型、微型企业。残疾人福利单位、监狱企业属于小型、微型企业的，不重复享受政策。</w:t>
      </w:r>
      <w:r/>
    </w:p>
    <w:p>
      <w:pPr>
        <w:ind w:firstLine="480"/>
        <w:spacing w:line="360" w:lineRule="auto"/>
        <w:rPr>
          <w:rFonts w:hint="eastAsia" w:ascii="仿宋" w:hAnsi="仿宋" w:eastAsia="仿宋" w:cs="仿宋"/>
          <w:lang w:val="zh-CN"/>
        </w:rPr>
      </w:pPr>
      <w:r>
        <w:rPr>
          <w:rFonts w:hint="eastAsia" w:ascii="仿宋" w:hAnsi="仿宋" w:eastAsia="仿宋" w:cs="仿宋"/>
          <w:bCs/>
          <w:color w:val="auto"/>
          <w:sz w:val="24"/>
        </w:rPr>
        <w:t xml:space="preserve">（</w:t>
      </w:r>
      <w:r>
        <w:rPr>
          <w:rFonts w:hint="eastAsia" w:ascii="仿宋" w:hAnsi="仿宋" w:eastAsia="仿宋" w:cs="仿宋"/>
          <w:bCs/>
          <w:color w:val="auto"/>
          <w:sz w:val="24"/>
          <w:lang w:val="en-US" w:eastAsia="zh-CN"/>
        </w:rPr>
        <w:t xml:space="preserve">2</w:t>
      </w:r>
      <w:r>
        <w:rPr>
          <w:rFonts w:hint="eastAsia" w:ascii="仿宋" w:hAnsi="仿宋" w:eastAsia="仿宋" w:cs="仿宋"/>
          <w:bCs/>
          <w:color w:val="auto"/>
          <w:sz w:val="24"/>
        </w:rPr>
        <w:t xml:space="preserve">）中小企业依据46号文规定的政策获取政府采购合同后，小型、微型企业不得分包或转包给大型、中型企业，中型企业不得分包或转包给大型企业。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rPr>
      </w:pPr>
      <w:r>
        <w:rPr>
          <w:rFonts w:hint="eastAsia" w:ascii="仿宋" w:hAnsi="仿宋" w:eastAsia="仿宋" w:cs="仿宋"/>
          <w:bCs/>
          <w:color w:val="auto"/>
          <w:sz w:val="24"/>
        </w:rPr>
        <w:t xml:space="preserve">（</w:t>
      </w:r>
      <w:r>
        <w:rPr>
          <w:rFonts w:hint="eastAsia" w:ascii="仿宋" w:hAnsi="仿宋" w:eastAsia="仿宋" w:cs="仿宋"/>
          <w:bCs/>
          <w:color w:val="auto"/>
          <w:sz w:val="24"/>
          <w:lang w:val="en-US" w:eastAsia="zh-CN"/>
        </w:rPr>
        <w:t xml:space="preserve">3</w:t>
      </w:r>
      <w:r>
        <w:rPr>
          <w:rFonts w:hint="eastAsia" w:ascii="仿宋" w:hAnsi="仿宋" w:eastAsia="仿宋" w:cs="仿宋"/>
          <w:bCs/>
          <w:color w:val="auto"/>
          <w:sz w:val="24"/>
        </w:rPr>
        <w:t xml:space="preserve">）政府采购监督检查、投诉处理及政府采购行政处罚中对中小企业的认定，由货物制造商或者工程、服务供应商注册登记所在地的县级以上人民政府中小企业主管部门负责。</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7.2节能产品政策</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1）根据《财政部、发展改革委、生态环境部、市场监管总局关于调整优化节能产品、环境标志产品政府采购执行机制的通知》（财库〔2019〕9号）和《财政部、发展改革委关于印发节能产品政府采购品目清单的通知》（财库〔2019〕19号）， 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（2）参加政府采购活动的节能产品供应商应当提供国家确定的认证机构出具的、处于有效期之内的节能产品产品认证证书。</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7.3环境标志产品政策</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1）根据《财政部、发展改革委、生态环境部、市场监管总局关于调整优化节能产品、环境标志产品政府采购执行机制的通知》（财库〔2019〕9号）和《财政部、生态环境部关于印发环境标志产品政府采购品目清单的通知》（财库〔2019〕18号）， 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（2）参加政府采购活动的环境标志产品供应商应当提供国家确定的认证机构出具的、处于有效期之内的环境标志产品认证证书。</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7.4进口产品政策</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（1）除磋商公告载明接受进口产品参加外，不允许进口产品参加。进口产品认定依照《财政部关于政府采购进口产品管理有关问题的通知》（财办库〔2008〕248号）的规定。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（2）允许进口产品参加的，满足需求的国内产品可以参加。</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7.5未按要求提供相关材料的，不享受相关政策。</w:t>
      </w:r>
      <w:r/>
    </w:p>
    <w:p>
      <w:pPr>
        <w:pStyle w:val="808"/>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二、磋商响应文件的编制及保证金收取</w:t>
      </w:r>
      <w:bookmarkEnd w:id="32"/>
      <w:r/>
      <w:bookmarkEnd w:id="33"/>
      <w:r/>
      <w:bookmarkEnd w:id="34"/>
      <w:r/>
      <w:bookmarkEnd w:id="35"/>
      <w:r/>
      <w:bookmarkEnd w:id="36"/>
      <w:r/>
      <w:bookmarkEnd w:id="37"/>
      <w:r/>
      <w:bookmarkEnd w:id="38"/>
      <w:r/>
      <w:bookmarkEnd w:id="39"/>
      <w:r/>
      <w:bookmarkEnd w:id="40"/>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1、磋商响应文件份数和签署</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1.1供应商应严格按照采购邀请要求准备磋商响应文件（以下简称响应文件），每份响应文件须清楚地标明“正本”或“副本”字样。</w:t>
      </w:r>
      <w:r/>
    </w:p>
    <w:p>
      <w:pPr>
        <w:ind w:firstLine="482"/>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u w:val="single"/>
        </w:rPr>
        <w:t xml:space="preserve">响应文件的正本和所有的副本应当打印或复印或用不褪色墨水书写并装订成册。</w:t>
      </w:r>
      <w:r>
        <w:rPr>
          <w:rFonts w:hint="eastAsia" w:ascii="仿宋" w:hAnsi="仿宋" w:eastAsia="仿宋" w:cs="仿宋"/>
          <w:b/>
          <w:i/>
          <w:iCs/>
          <w:color w:val="000000" w:themeColor="text1"/>
          <w:sz w:val="24"/>
          <w:u w:val="single"/>
          <w14:textFill>
            <w14:solidFill>
              <w14:schemeClr w14:val="tx1"/>
            </w14:solidFill>
          </w14:textFill>
        </w:rPr>
        <w:t xml:space="preserve">（建议胶装）</w:t>
      </w:r>
      <w:r/>
    </w:p>
    <w:p>
      <w:pPr>
        <w:ind w:firstLine="480"/>
        <w:spacing w:line="360" w:lineRule="auto"/>
        <w:rPr>
          <w:rFonts w:hint="eastAsia" w:ascii="仿宋" w:hAnsi="仿宋" w:eastAsia="仿宋" w:cs="仿宋"/>
          <w:b/>
          <w:bCs w:val="0"/>
          <w:i/>
          <w:iCs/>
          <w:sz w:val="24"/>
          <w:highlight w:val="none"/>
          <w:u w:val="single"/>
        </w:rPr>
      </w:pPr>
      <w:r>
        <w:rPr>
          <w:rFonts w:hint="eastAsia" w:ascii="仿宋" w:hAnsi="仿宋" w:eastAsia="仿宋" w:cs="仿宋"/>
          <w:bCs/>
          <w:sz w:val="24"/>
          <w:highlight w:val="none"/>
        </w:rPr>
        <w:t xml:space="preserve">响应文件正本中，除磋商文件规定的可提交复印件外，其他文件均须提交原件，文字材料需打印或用不褪色墨水书写，响应文件正本须经法定代表人或授权代表签字和加盖供应商公章。</w:t>
      </w:r>
      <w:r>
        <w:rPr>
          <w:rFonts w:hint="eastAsia" w:ascii="仿宋" w:hAnsi="仿宋" w:eastAsia="仿宋" w:cs="仿宋"/>
          <w:b/>
          <w:bCs w:val="0"/>
          <w:i/>
          <w:iCs/>
          <w:sz w:val="24"/>
          <w:highlight w:val="none"/>
          <w:u w:val="single"/>
        </w:rPr>
        <w:t xml:space="preserve">本磋商文件所表述（指定）的公章是指刻有供应商法定名称的印章，不包括合同、财务、税务、发票等形式的业务专用章。</w:t>
      </w:r>
      <w:r/>
    </w:p>
    <w:p>
      <w:pPr>
        <w:ind w:firstLine="480"/>
        <w:spacing w:line="360" w:lineRule="auto"/>
        <w:rPr>
          <w:rFonts w:hint="eastAsia" w:ascii="仿宋" w:hAnsi="仿宋" w:eastAsia="仿宋" w:cs="仿宋"/>
          <w:sz w:val="20"/>
          <w:highlight w:val="none"/>
        </w:rPr>
      </w:pPr>
      <w:r>
        <w:rPr>
          <w:rFonts w:hint="eastAsia" w:ascii="仿宋" w:hAnsi="仿宋" w:eastAsia="仿宋" w:cs="仿宋"/>
          <w:bCs/>
          <w:sz w:val="24"/>
          <w:highlight w:val="none"/>
        </w:rPr>
        <w:t xml:space="preserve">1.2 除供应商对错处做必要修改外，响应文件不得行间插字、涂改或增删。如有修改错漏处，必须由响应文件签署人签字或盖章。</w:t>
      </w:r>
      <w:r/>
    </w:p>
    <w:p>
      <w:pPr>
        <w:ind w:firstLine="482"/>
        <w:spacing w:line="360" w:lineRule="auto"/>
        <w:rPr>
          <w:rFonts w:hint="eastAsia" w:ascii="仿宋" w:hAnsi="仿宋" w:eastAsia="仿宋" w:cs="仿宋"/>
          <w:bCs/>
          <w:sz w:val="24"/>
          <w:highlight w:val="none"/>
        </w:rPr>
      </w:pPr>
      <w:r>
        <w:rPr>
          <w:rFonts w:hint="eastAsia" w:ascii="仿宋" w:hAnsi="仿宋" w:eastAsia="仿宋" w:cs="仿宋"/>
          <w:b/>
          <w:sz w:val="24"/>
          <w:highlight w:val="none"/>
        </w:rPr>
        <w:t xml:space="preserve">2、响应文件编制要求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2.1供应商提交的响应文件以及供应商与采购代理机构及采购人就有关磋商的所有来往函电均应使用简体中文。磋商文件中既有中文也有外文的，以中文意义为准。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 除技术性能另有规定外，响应文件所使用的度量衡单位，均须采用国家法定计量单位。</w:t>
      </w:r>
      <w:r/>
    </w:p>
    <w:p>
      <w:pPr>
        <w:ind w:firstLine="480"/>
        <w:jc w:val="left"/>
        <w:spacing w:line="360" w:lineRule="auto"/>
        <w:rPr>
          <w:rFonts w:hint="eastAsia" w:ascii="仿宋" w:hAnsi="仿宋" w:eastAsia="仿宋" w:cs="仿宋"/>
          <w:b/>
          <w:bCs/>
          <w:i/>
          <w:iCs/>
          <w:sz w:val="24"/>
          <w:szCs w:val="24"/>
          <w:highlight w:val="none"/>
          <w:u w:val="single"/>
        </w:rPr>
      </w:pPr>
      <w:r>
        <w:rPr>
          <w:rFonts w:hint="eastAsia" w:ascii="仿宋" w:hAnsi="仿宋" w:eastAsia="仿宋" w:cs="仿宋"/>
          <w:sz w:val="24"/>
          <w:szCs w:val="24"/>
          <w:highlight w:val="none"/>
        </w:rPr>
        <w:t xml:space="preserve">2.3 响应文件由商务部分、技术部分、价格部分，以及其他部分组成。供应商编写的响应文件应包括资信证明文件、</w:t>
      </w:r>
      <w:r>
        <w:rPr>
          <w:rFonts w:hint="eastAsia" w:ascii="仿宋" w:hAnsi="仿宋" w:eastAsia="仿宋" w:cs="仿宋"/>
          <w:sz w:val="24"/>
          <w:szCs w:val="24"/>
          <w:highlight w:val="none"/>
          <w:lang w:eastAsia="zh-CN"/>
        </w:rPr>
        <w:t xml:space="preserve">报价明细表</w:t>
      </w:r>
      <w:r>
        <w:rPr>
          <w:rFonts w:hint="eastAsia" w:ascii="仿宋" w:hAnsi="仿宋" w:eastAsia="仿宋" w:cs="仿宋"/>
          <w:sz w:val="24"/>
          <w:szCs w:val="24"/>
          <w:highlight w:val="none"/>
        </w:rPr>
        <w:t xml:space="preserve">、技术规格偏离表、商务要求偏离表、技术及售后服务承诺书、磋商函、报价一览表等部分；供应商应当根据磋商文件要求编制响应文件，响应文件应对磋商文件提出的要求和条件作出实质性响应，并在《商务要求偏离表》和《技术规格偏离表》等处逐条标明满足与否。</w:t>
      </w:r>
      <w:r>
        <w:rPr>
          <w:rFonts w:hint="eastAsia" w:ascii="仿宋" w:hAnsi="仿宋" w:eastAsia="仿宋" w:cs="仿宋"/>
          <w:b/>
          <w:bCs/>
          <w:i/>
          <w:iCs/>
          <w:sz w:val="24"/>
          <w:szCs w:val="24"/>
          <w:u w:val="single"/>
        </w:rPr>
        <w:t xml:space="preserve">项目需求中标记为核心参数（或实质性技术要求）或带星号（“★”）的核心技术指标不允许偏离，如存在负偏离作</w:t>
      </w:r>
      <w:r>
        <w:rPr>
          <w:rFonts w:hint="eastAsia" w:ascii="仿宋" w:hAnsi="仿宋" w:eastAsia="仿宋" w:cs="仿宋"/>
          <w:b/>
          <w:bCs/>
          <w:i/>
          <w:iCs/>
          <w:sz w:val="24"/>
          <w:szCs w:val="24"/>
          <w:u w:val="single"/>
          <w:lang w:val="en-US" w:eastAsia="zh-CN"/>
        </w:rPr>
        <w:t xml:space="preserve">无效响应</w:t>
      </w:r>
      <w:r>
        <w:rPr>
          <w:rFonts w:hint="eastAsia" w:ascii="仿宋" w:hAnsi="仿宋" w:eastAsia="仿宋" w:cs="仿宋"/>
          <w:b/>
          <w:bCs/>
          <w:i/>
          <w:iCs/>
          <w:sz w:val="24"/>
          <w:szCs w:val="24"/>
          <w:u w:val="single"/>
        </w:rPr>
        <w:t xml:space="preserve">处理；标记为重要参数（或技术要求）或带（“▲”）的技术条款均为重要指标</w:t>
      </w:r>
      <w:r>
        <w:rPr>
          <w:rFonts w:hint="eastAsia" w:ascii="仿宋" w:hAnsi="仿宋" w:eastAsia="仿宋" w:cs="仿宋"/>
          <w:b/>
          <w:bCs/>
          <w:i/>
          <w:iCs/>
          <w:sz w:val="24"/>
          <w:szCs w:val="24"/>
          <w:u w:val="single"/>
          <w:lang w:val="en-US" w:eastAsia="zh-CN"/>
        </w:rPr>
        <w:t xml:space="preserve">。项</w:t>
      </w:r>
      <w:r>
        <w:rPr>
          <w:rFonts w:hint="eastAsia" w:ascii="仿宋" w:hAnsi="仿宋" w:eastAsia="仿宋" w:cs="仿宋"/>
          <w:b/>
          <w:bCs/>
          <w:i/>
          <w:iCs/>
          <w:sz w:val="24"/>
          <w:szCs w:val="24"/>
          <w:u w:val="single"/>
        </w:rPr>
        <w:t xml:space="preserve">目需求中</w:t>
      </w:r>
      <w:r>
        <w:rPr>
          <w:rFonts w:hint="eastAsia" w:ascii="仿宋" w:hAnsi="仿宋" w:eastAsia="仿宋" w:cs="仿宋"/>
          <w:b/>
          <w:bCs/>
          <w:i/>
          <w:iCs/>
          <w:sz w:val="24"/>
          <w:szCs w:val="24"/>
          <w:u w:val="single"/>
          <w:lang w:val="en-US" w:eastAsia="zh-CN"/>
        </w:rPr>
        <w:t xml:space="preserve">技术条款</w:t>
      </w:r>
      <w:r>
        <w:rPr>
          <w:rFonts w:hint="eastAsia" w:ascii="仿宋" w:hAnsi="仿宋" w:eastAsia="仿宋" w:cs="仿宋"/>
          <w:b/>
          <w:bCs/>
          <w:i/>
          <w:iCs/>
          <w:sz w:val="24"/>
          <w:szCs w:val="24"/>
          <w:u w:val="single"/>
          <w:lang w:eastAsia="zh-CN"/>
        </w:rPr>
        <w:t xml:space="preserve">均</w:t>
      </w:r>
      <w:r>
        <w:rPr>
          <w:rFonts w:hint="eastAsia" w:ascii="仿宋" w:hAnsi="仿宋" w:eastAsia="仿宋" w:cs="仿宋"/>
          <w:b/>
          <w:bCs/>
          <w:i/>
          <w:iCs/>
          <w:sz w:val="24"/>
          <w:szCs w:val="24"/>
          <w:u w:val="single"/>
        </w:rPr>
        <w:t xml:space="preserve">须在</w:t>
      </w:r>
      <w:r>
        <w:rPr>
          <w:rFonts w:hint="eastAsia" w:ascii="仿宋" w:hAnsi="仿宋" w:eastAsia="仿宋" w:cs="仿宋"/>
          <w:b/>
          <w:bCs/>
          <w:i/>
          <w:iCs/>
          <w:sz w:val="24"/>
          <w:szCs w:val="24"/>
          <w:u w:val="single"/>
          <w:lang w:eastAsia="zh-CN"/>
        </w:rPr>
        <w:t xml:space="preserve">响应文件</w:t>
      </w:r>
      <w:r>
        <w:rPr>
          <w:rFonts w:hint="eastAsia" w:ascii="仿宋" w:hAnsi="仿宋" w:eastAsia="仿宋" w:cs="仿宋"/>
          <w:b/>
          <w:bCs/>
          <w:i/>
          <w:iCs/>
          <w:sz w:val="24"/>
          <w:szCs w:val="24"/>
          <w:u w:val="single"/>
        </w:rPr>
        <w:t xml:space="preserve">中提供技术支持资料（如项目需求中要求的证明材料；技术白皮书、产品彩页、产品手册、检测报告等），未提供技术支持资料的，评审时做负偏离处理。</w:t>
      </w:r>
      <w:r/>
    </w:p>
    <w:p>
      <w:pPr>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rPr>
        <w:t xml:space="preserve">响应文件的商务部分</w:t>
      </w:r>
      <w:r/>
    </w:p>
    <w:p>
      <w:pPr>
        <w:ind w:firstLine="480"/>
        <w:jc w:val="left"/>
        <w:spacing w:line="360" w:lineRule="auto"/>
        <w:rPr>
          <w:rFonts w:hint="eastAsia" w:ascii="仿宋" w:hAnsi="仿宋" w:eastAsia="仿宋" w:cs="仿宋"/>
          <w:b/>
          <w:bCs/>
          <w:sz w:val="24"/>
          <w:szCs w:val="24"/>
        </w:rPr>
      </w:pPr>
      <w:r>
        <w:rPr>
          <w:rFonts w:hint="eastAsia" w:ascii="仿宋" w:hAnsi="仿宋" w:eastAsia="仿宋" w:cs="仿宋"/>
          <w:bCs/>
          <w:i w:val="0"/>
          <w:iCs w:val="0"/>
          <w:caps w:val="0"/>
          <w:spacing w:val="0"/>
          <w:sz w:val="24"/>
          <w:szCs w:val="21"/>
          <w:highlight w:val="none"/>
          <w:shd w:val="clear" w:color="auto"/>
        </w:rPr>
        <w:t xml:space="preserve">商务部分是证明供应商有资格参加磋商和成交后有能力履行合同的文件，这些文件应能满足磋商的要求，包括但不限于下列文件，</w:t>
      </w:r>
      <w:r>
        <w:rPr>
          <w:rFonts w:hint="eastAsia" w:ascii="仿宋" w:hAnsi="仿宋" w:eastAsia="仿宋" w:cs="仿宋"/>
          <w:b/>
          <w:bCs/>
          <w:sz w:val="24"/>
          <w:szCs w:val="24"/>
        </w:rPr>
        <w:t xml:space="preserve">其中加※项目为实质性要求不得有缺失或无效，否则按无效</w:t>
      </w:r>
      <w:r>
        <w:rPr>
          <w:rFonts w:hint="eastAsia" w:ascii="仿宋" w:hAnsi="仿宋" w:eastAsia="仿宋" w:cs="仿宋"/>
          <w:b/>
          <w:bCs/>
          <w:sz w:val="24"/>
          <w:szCs w:val="24"/>
          <w:lang w:eastAsia="zh-CN"/>
        </w:rPr>
        <w:t xml:space="preserve">响应</w:t>
      </w:r>
      <w:r>
        <w:rPr>
          <w:rFonts w:hint="eastAsia" w:ascii="仿宋" w:hAnsi="仿宋" w:eastAsia="仿宋" w:cs="仿宋"/>
          <w:b/>
          <w:bCs/>
          <w:sz w:val="24"/>
          <w:szCs w:val="24"/>
        </w:rPr>
        <w:t xml:space="preserve">处理。</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磋商函（磋商申请及声明）；</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法定代表人授权委托书及委托代理人的身份证复印件；</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《报价一览表》；</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《报价明细表》；</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第一章采购邀请中《中华人民共和国政府采购法》规定的资格条件证明文件；</w:t>
      </w:r>
      <w:r/>
    </w:p>
    <w:p>
      <w:pPr>
        <w:ind w:firstLine="480"/>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第一章采购邀请中采购人根据采购项目的特殊要求规定的特定条件证明文件；</w:t>
      </w:r>
      <w:r/>
    </w:p>
    <w:p>
      <w:pPr>
        <w:ind w:firstLine="480"/>
        <w:jc w:val="left"/>
        <w:spacing w:line="360" w:lineRule="auto"/>
        <w:rPr>
          <w:rFonts w:hint="eastAsia" w:ascii="仿宋" w:hAnsi="仿宋" w:eastAsia="仿宋" w:cs="仿宋"/>
          <w:bCs w:val="0"/>
          <w:i w:val="0"/>
          <w:iCs w:val="0"/>
          <w:caps w:val="0"/>
          <w:spacing w:val="0"/>
          <w:sz w:val="24"/>
          <w:szCs w:val="24"/>
          <w:highlight w:val="none"/>
          <w:shd w:val="clear" w:color="auto"/>
          <w:lang w:eastAsia="zh-CN"/>
        </w:rPr>
      </w:pPr>
      <w:r>
        <w:rPr>
          <w:rFonts w:hint="eastAsia" w:ascii="仿宋" w:hAnsi="仿宋" w:eastAsia="仿宋" w:cs="仿宋"/>
          <w:sz w:val="24"/>
          <w:szCs w:val="24"/>
        </w:rPr>
        <w:t xml:space="preserve">（7）《商务条款偏</w:t>
      </w:r>
      <w:r>
        <w:rPr>
          <w:rFonts w:hint="eastAsia" w:ascii="仿宋" w:hAnsi="仿宋" w:eastAsia="仿宋" w:cs="仿宋"/>
          <w:bCs w:val="0"/>
          <w:i w:val="0"/>
          <w:iCs w:val="0"/>
          <w:caps w:val="0"/>
          <w:spacing w:val="0"/>
          <w:sz w:val="24"/>
          <w:szCs w:val="24"/>
          <w:highlight w:val="none"/>
          <w:shd w:val="clear" w:color="auto"/>
        </w:rPr>
        <w:t xml:space="preserve">离表》；</w:t>
      </w:r>
      <w:r/>
    </w:p>
    <w:p>
      <w:pPr>
        <w:ind w:firstLine="480"/>
        <w:jc w:val="left"/>
        <w:spacing w:line="360" w:lineRule="auto"/>
        <w:rPr>
          <w:rFonts w:hint="eastAsia" w:ascii="仿宋" w:hAnsi="仿宋" w:eastAsia="仿宋" w:cs="仿宋"/>
          <w:bCs w:val="0"/>
          <w:i w:val="0"/>
          <w:iCs w:val="0"/>
          <w:caps w:val="0"/>
          <w:spacing w:val="0"/>
          <w:sz w:val="24"/>
          <w:szCs w:val="24"/>
          <w:highlight w:val="none"/>
          <w:shd w:val="clear" w:color="auto"/>
          <w:lang w:eastAsia="zh-CN"/>
        </w:rPr>
      </w:pPr>
      <w:r>
        <w:rPr>
          <w:rFonts w:hint="eastAsia" w:ascii="仿宋" w:hAnsi="仿宋" w:eastAsia="仿宋" w:cs="仿宋"/>
          <w:bCs w:val="0"/>
          <w:i w:val="0"/>
          <w:iCs w:val="0"/>
          <w:caps w:val="0"/>
          <w:spacing w:val="0"/>
          <w:sz w:val="24"/>
          <w:szCs w:val="24"/>
          <w:highlight w:val="none"/>
          <w:shd w:val="clear" w:color="auto"/>
        </w:rPr>
        <w:t xml:space="preserve">（8）供应商认为需要提供的其他资格证明文件和商务资料等</w:t>
      </w:r>
      <w:r>
        <w:rPr>
          <w:rFonts w:hint="eastAsia" w:ascii="仿宋" w:hAnsi="仿宋" w:eastAsia="仿宋" w:cs="仿宋"/>
          <w:bCs w:val="0"/>
          <w:i w:val="0"/>
          <w:iCs w:val="0"/>
          <w:caps w:val="0"/>
          <w:spacing w:val="0"/>
          <w:sz w:val="24"/>
          <w:szCs w:val="24"/>
          <w:shd w:val="clear" w:color="auto"/>
          <w:lang w:eastAsia="zh-CN"/>
        </w:rPr>
        <w:t xml:space="preserve">。</w:t>
      </w:r>
      <w:r/>
    </w:p>
    <w:p>
      <w:pPr>
        <w:ind w:firstLine="482"/>
        <w:jc w:val="left"/>
        <w:spacing w:line="360" w:lineRule="auto"/>
        <w:rPr>
          <w:rFonts w:hint="eastAsia" w:ascii="仿宋" w:hAnsi="仿宋" w:eastAsia="仿宋" w:cs="仿宋"/>
          <w:bCs/>
          <w:i w:val="0"/>
          <w:iCs w:val="0"/>
          <w:caps w:val="0"/>
          <w:spacing w:val="0"/>
          <w:sz w:val="24"/>
          <w:szCs w:val="21"/>
          <w:highlight w:val="none"/>
          <w:shd w:val="clear" w:color="auto"/>
          <w:lang w:eastAsia="zh-CN"/>
        </w:rPr>
      </w:pPr>
      <w:r>
        <w:rPr>
          <w:rFonts w:hint="eastAsia" w:ascii="仿宋" w:hAnsi="仿宋" w:eastAsia="仿宋" w:cs="仿宋"/>
          <w:b/>
          <w:bCs/>
          <w:sz w:val="24"/>
          <w:szCs w:val="24"/>
          <w:highlight w:val="none"/>
        </w:rPr>
        <w:t xml:space="preserve">响应文件的技术部分</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lang w:eastAsia="zh-CN"/>
        </w:rPr>
      </w:pPr>
      <w:r>
        <w:rPr>
          <w:rFonts w:hint="eastAsia" w:ascii="仿宋" w:hAnsi="仿宋" w:eastAsia="仿宋" w:cs="仿宋"/>
          <w:sz w:val="24"/>
          <w:szCs w:val="24"/>
        </w:rPr>
        <w:t xml:space="preserve">技术（服务）</w:t>
      </w:r>
      <w:r>
        <w:rPr>
          <w:rFonts w:hint="eastAsia" w:ascii="仿宋" w:hAnsi="仿宋" w:eastAsia="仿宋" w:cs="仿宋"/>
          <w:bCs/>
          <w:i w:val="0"/>
          <w:iCs w:val="0"/>
          <w:caps w:val="0"/>
          <w:spacing w:val="0"/>
          <w:sz w:val="24"/>
          <w:szCs w:val="21"/>
          <w:highlight w:val="none"/>
          <w:shd w:val="clear" w:color="auto"/>
        </w:rPr>
        <w:t xml:space="preserve">部分是证明供应商提供的产品或服务是合格的、并符合磋商文件要求的证明文件，以及对响应报价表中的服务的详细说明，这些文件可以是文字资料、图纸和数据等。若技术性能无特殊说明，则按国家有关部门最新颁布的标准及规范为准； 提供的产品或服务如与磋商文件要求有不符之处，应说明其差别之所在。</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rPr>
      </w:pPr>
      <w:r>
        <w:rPr>
          <w:rFonts w:hint="eastAsia" w:ascii="仿宋" w:hAnsi="仿宋" w:eastAsia="仿宋" w:cs="仿宋"/>
          <w:bCs/>
          <w:i w:val="0"/>
          <w:iCs w:val="0"/>
          <w:caps w:val="0"/>
          <w:spacing w:val="0"/>
          <w:sz w:val="24"/>
          <w:szCs w:val="21"/>
          <w:highlight w:val="none"/>
          <w:shd w:val="clear" w:color="auto"/>
        </w:rPr>
        <w:t xml:space="preserve">响应文件应按照磋商文件要求提供技术资料、文件和有关证明，包括但不限于下列文件，</w:t>
      </w:r>
      <w:r>
        <w:rPr>
          <w:rFonts w:hint="eastAsia" w:ascii="仿宋" w:hAnsi="仿宋" w:eastAsia="仿宋" w:cs="仿宋"/>
          <w:b/>
          <w:bCs w:val="0"/>
          <w:i w:val="0"/>
          <w:iCs w:val="0"/>
          <w:caps w:val="0"/>
          <w:spacing w:val="0"/>
          <w:sz w:val="24"/>
          <w:szCs w:val="21"/>
          <w:highlight w:val="none"/>
          <w:shd w:val="clear" w:color="auto"/>
        </w:rPr>
        <w:t xml:space="preserve">其中加※项目为实质性要求不得有缺失或无效，否则按无效</w:t>
      </w:r>
      <w:r>
        <w:rPr>
          <w:rFonts w:hint="eastAsia" w:ascii="仿宋" w:hAnsi="仿宋" w:eastAsia="仿宋" w:cs="仿宋"/>
          <w:b/>
          <w:bCs w:val="0"/>
          <w:i w:val="0"/>
          <w:iCs w:val="0"/>
          <w:caps w:val="0"/>
          <w:spacing w:val="0"/>
          <w:sz w:val="24"/>
          <w:szCs w:val="21"/>
          <w:highlight w:val="none"/>
          <w:shd w:val="clear" w:color="auto"/>
          <w:lang w:eastAsia="zh-CN"/>
        </w:rPr>
        <w:t xml:space="preserve">响应</w:t>
      </w:r>
      <w:r>
        <w:rPr>
          <w:rFonts w:hint="eastAsia" w:ascii="仿宋" w:hAnsi="仿宋" w:eastAsia="仿宋" w:cs="仿宋"/>
          <w:b/>
          <w:bCs w:val="0"/>
          <w:i w:val="0"/>
          <w:iCs w:val="0"/>
          <w:caps w:val="0"/>
          <w:spacing w:val="0"/>
          <w:sz w:val="24"/>
          <w:szCs w:val="21"/>
          <w:highlight w:val="none"/>
          <w:shd w:val="clear" w:color="auto"/>
        </w:rPr>
        <w:t xml:space="preserve">处理</w:t>
      </w:r>
      <w:r>
        <w:rPr>
          <w:rFonts w:hint="eastAsia" w:ascii="仿宋" w:hAnsi="仿宋" w:eastAsia="仿宋" w:cs="仿宋"/>
          <w:bCs/>
          <w:i w:val="0"/>
          <w:iCs w:val="0"/>
          <w:caps w:val="0"/>
          <w:spacing w:val="0"/>
          <w:sz w:val="24"/>
          <w:szCs w:val="21"/>
          <w:highlight w:val="none"/>
          <w:shd w:val="clear" w:color="auto"/>
        </w:rPr>
        <w:t xml:space="preserve">。</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rPr>
      </w:pPr>
      <w:r>
        <w:rPr>
          <w:rFonts w:hint="eastAsia" w:ascii="仿宋" w:hAnsi="仿宋" w:eastAsia="仿宋" w:cs="仿宋"/>
          <w:bCs/>
          <w:i w:val="0"/>
          <w:iCs w:val="0"/>
          <w:caps w:val="0"/>
          <w:spacing w:val="0"/>
          <w:sz w:val="24"/>
          <w:szCs w:val="21"/>
          <w:highlight w:val="none"/>
          <w:shd w:val="clear" w:color="auto"/>
        </w:rPr>
        <w:t xml:space="preserve">（1）※项目实施方案；</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rPr>
      </w:pPr>
      <w:r>
        <w:rPr>
          <w:rFonts w:hint="eastAsia" w:ascii="仿宋" w:hAnsi="仿宋" w:eastAsia="仿宋" w:cs="仿宋"/>
          <w:bCs/>
          <w:i w:val="0"/>
          <w:iCs w:val="0"/>
          <w:caps w:val="0"/>
          <w:spacing w:val="0"/>
          <w:sz w:val="24"/>
          <w:szCs w:val="21"/>
          <w:highlight w:val="none"/>
          <w:shd w:val="clear" w:color="auto"/>
        </w:rPr>
        <w:t xml:space="preserve">（2）※《</w:t>
      </w:r>
      <w:r>
        <w:rPr>
          <w:rFonts w:hint="eastAsia" w:ascii="仿宋" w:hAnsi="仿宋" w:eastAsia="仿宋" w:cs="仿宋"/>
          <w:bCs/>
          <w:i w:val="0"/>
          <w:iCs w:val="0"/>
          <w:caps w:val="0"/>
          <w:spacing w:val="0"/>
          <w:sz w:val="24"/>
          <w:szCs w:val="21"/>
          <w:highlight w:val="none"/>
          <w:shd w:val="clear" w:color="auto"/>
          <w:lang w:eastAsia="zh-CN"/>
        </w:rPr>
        <w:t xml:space="preserve">服务条款偏离表</w:t>
      </w:r>
      <w:r>
        <w:rPr>
          <w:rFonts w:hint="eastAsia" w:ascii="仿宋" w:hAnsi="仿宋" w:eastAsia="仿宋" w:cs="仿宋"/>
          <w:bCs/>
          <w:i w:val="0"/>
          <w:iCs w:val="0"/>
          <w:caps w:val="0"/>
          <w:spacing w:val="0"/>
          <w:sz w:val="24"/>
          <w:szCs w:val="21"/>
          <w:highlight w:val="none"/>
          <w:shd w:val="clear" w:color="auto"/>
        </w:rPr>
        <w:t xml:space="preserve">》；</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rPr>
      </w:pPr>
      <w:r>
        <w:rPr>
          <w:rFonts w:hint="eastAsia" w:ascii="仿宋" w:hAnsi="仿宋" w:eastAsia="仿宋" w:cs="仿宋"/>
          <w:bCs/>
          <w:i w:val="0"/>
          <w:iCs w:val="0"/>
          <w:caps w:val="0"/>
          <w:spacing w:val="0"/>
          <w:sz w:val="24"/>
          <w:szCs w:val="21"/>
          <w:highlight w:val="none"/>
          <w:shd w:val="clear" w:color="auto"/>
        </w:rPr>
        <w:t xml:space="preserve">（3）履约能力及综合实力；</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lang w:eastAsia="zh-CN"/>
        </w:rPr>
      </w:pPr>
      <w:r>
        <w:rPr>
          <w:rFonts w:hint="eastAsia" w:ascii="仿宋" w:hAnsi="仿宋" w:eastAsia="仿宋" w:cs="仿宋"/>
          <w:bCs/>
          <w:i w:val="0"/>
          <w:iCs w:val="0"/>
          <w:caps w:val="0"/>
          <w:spacing w:val="0"/>
          <w:sz w:val="24"/>
          <w:szCs w:val="21"/>
          <w:highlight w:val="none"/>
          <w:shd w:val="clear" w:color="auto"/>
        </w:rPr>
        <w:t xml:space="preserve">（4）服务方案与承诺；</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lang w:val="en-US" w:eastAsia="zh-CN"/>
        </w:rPr>
      </w:pPr>
      <w:r>
        <w:rPr>
          <w:rFonts w:hint="eastAsia" w:ascii="仿宋" w:hAnsi="仿宋" w:eastAsia="仿宋" w:cs="仿宋"/>
          <w:bCs/>
          <w:i w:val="0"/>
          <w:iCs w:val="0"/>
          <w:caps w:val="0"/>
          <w:spacing w:val="0"/>
          <w:sz w:val="24"/>
          <w:szCs w:val="21"/>
          <w:highlight w:val="none"/>
          <w:shd w:val="clear" w:color="auto"/>
        </w:rPr>
        <w:t xml:space="preserve">（5）</w:t>
      </w:r>
      <w:r>
        <w:rPr>
          <w:rFonts w:hint="eastAsia" w:ascii="仿宋" w:hAnsi="仿宋" w:eastAsia="仿宋" w:cs="仿宋"/>
          <w:bCs/>
          <w:i w:val="0"/>
          <w:iCs w:val="0"/>
          <w:caps w:val="0"/>
          <w:spacing w:val="0"/>
          <w:sz w:val="24"/>
          <w:szCs w:val="21"/>
          <w:highlight w:val="none"/>
          <w:shd w:val="clear" w:color="auto"/>
          <w:lang w:eastAsia="zh-CN"/>
        </w:rPr>
        <w:t xml:space="preserve">项目</w:t>
      </w:r>
      <w:r>
        <w:rPr>
          <w:rFonts w:hint="eastAsia" w:ascii="仿宋" w:hAnsi="仿宋" w:eastAsia="仿宋" w:cs="仿宋"/>
          <w:bCs/>
          <w:i w:val="0"/>
          <w:iCs w:val="0"/>
          <w:caps w:val="0"/>
          <w:spacing w:val="0"/>
          <w:sz w:val="24"/>
          <w:szCs w:val="21"/>
          <w:highlight w:val="none"/>
          <w:shd w:val="clear" w:color="auto"/>
          <w:lang w:val="en-US" w:eastAsia="zh-CN"/>
        </w:rPr>
        <w:t xml:space="preserve">组成员一览表</w:t>
      </w:r>
      <w:r/>
    </w:p>
    <w:p>
      <w:pPr>
        <w:ind w:firstLine="480"/>
        <w:jc w:val="left"/>
        <w:spacing w:line="360" w:lineRule="auto"/>
        <w:rPr>
          <w:rFonts w:hint="eastAsia" w:ascii="仿宋" w:hAnsi="仿宋" w:eastAsia="仿宋" w:cs="仿宋"/>
          <w:bCs/>
          <w:i w:val="0"/>
          <w:iCs w:val="0"/>
          <w:caps w:val="0"/>
          <w:spacing w:val="0"/>
          <w:sz w:val="24"/>
          <w:szCs w:val="21"/>
          <w:highlight w:val="none"/>
          <w:shd w:val="clear" w:color="auto"/>
          <w:lang w:eastAsia="zh-CN"/>
        </w:rPr>
      </w:pPr>
      <w:r>
        <w:rPr>
          <w:rFonts w:hint="eastAsia" w:ascii="仿宋" w:hAnsi="仿宋" w:eastAsia="仿宋" w:cs="仿宋"/>
          <w:bCs/>
          <w:i w:val="0"/>
          <w:iCs w:val="0"/>
          <w:caps w:val="0"/>
          <w:spacing w:val="0"/>
          <w:sz w:val="24"/>
          <w:szCs w:val="21"/>
          <w:highlight w:val="none"/>
          <w:shd w:val="clear" w:color="auto"/>
        </w:rPr>
        <w:t xml:space="preserve">（6）供应商认为需要提供的其他技术资料。</w:t>
      </w:r>
      <w:r/>
    </w:p>
    <w:p>
      <w:pPr>
        <w:ind w:firstLine="480"/>
        <w:jc w:val="left"/>
        <w:spacing w:line="360" w:lineRule="auto"/>
        <w:rPr>
          <w:rFonts w:hint="eastAsia" w:ascii="仿宋" w:hAnsi="仿宋" w:eastAsia="仿宋" w:cs="仿宋"/>
          <w:b w:val="0"/>
          <w:bCs/>
          <w:sz w:val="24"/>
          <w:szCs w:val="21"/>
          <w:highlight w:val="none"/>
        </w:rPr>
      </w:pPr>
      <w:r>
        <w:rPr>
          <w:rFonts w:hint="eastAsia" w:ascii="仿宋" w:hAnsi="仿宋" w:eastAsia="仿宋" w:cs="仿宋"/>
          <w:bCs/>
          <w:i w:val="0"/>
          <w:iCs w:val="0"/>
          <w:caps w:val="0"/>
          <w:spacing w:val="0"/>
          <w:sz w:val="24"/>
          <w:szCs w:val="21"/>
          <w:highlight w:val="none"/>
          <w:shd w:val="clear" w:color="auto"/>
        </w:rPr>
        <w:t xml:space="preserve">2.4 供应商应将响应文件按顺序装订成册，并编制响应文件资料目录。</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3、参加供应商资格的文件证明</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3.1供应商应提交证明其有资格参加磋商和成交后有能力独立履行合同的文件，并作为其响应文件的一部分。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3.2供应商除必须具有履行合同所需提供的设备以及服务的能力外，还必须具备相应的财务、技术方面的能力。</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3.3供应商应填写并提交磋商文件所附的“资格证明文件”。</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4、磋商响应报价表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4.1供应商应按照磋商文件规定格式填报磋商响应报价表(报价一览表）。每项产品或服务只允许有一个报价，任何有选择的报价或备选方案（每项产品多品牌报价或每项服务多方案报价）将不予接受，磋商文件中另有规定的按规定执行。</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4.2标的物</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详见</w:t>
      </w:r>
      <w:r>
        <w:rPr>
          <w:rFonts w:hint="eastAsia" w:ascii="仿宋" w:hAnsi="仿宋" w:eastAsia="仿宋" w:cs="仿宋"/>
          <w:bCs/>
          <w:sz w:val="24"/>
        </w:rPr>
        <w:t xml:space="preserve">项目需求所述的</w:t>
      </w:r>
      <w:r>
        <w:rPr>
          <w:rFonts w:hint="eastAsia" w:ascii="仿宋" w:hAnsi="仿宋" w:eastAsia="仿宋" w:cs="仿宋"/>
          <w:bCs/>
          <w:sz w:val="24"/>
          <w:highlight w:val="none"/>
        </w:rPr>
        <w:t xml:space="preserve">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4.3有关费用处理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.3.1货物</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工程</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类</w:t>
      </w:r>
      <w:r>
        <w:rPr>
          <w:rFonts w:hint="eastAsia" w:ascii="仿宋" w:hAnsi="仿宋" w:eastAsia="仿宋" w:cs="仿宋"/>
          <w:bCs/>
          <w:sz w:val="24"/>
          <w:highlight w:val="none"/>
        </w:rPr>
        <w:t xml:space="preserve">：磋商报价采用总承包方式，供应商的报价应包含货物设计、制造、包装、仓储、运输装缷、保险、安装、调试及其材料及验收合格之前保管及运行维护费用、保修期内备品备件、专用工具、伴随服务、技术图纸资料、人员培训发生的所有含税费用、支付给员工的工资和国家强制缴纳的各种社会保障资金，国际国内运输保险、报关清关、开证、办理全套免税手续费及其他（如因中美贸易战或其他不可控因素导致的关税增加）等为完成本项目发生的所有费用，采购文件中另有规定的除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4.3.2服务类：磋商报价采用固定总价方式，供应商的报价应包含完成服务项目必要的工具采购费用和研发费用、成果鉴定或论证费用、支付给员工的工资和国家强制缴纳的各种社会保障资金，全部售后服务等为完成本项目发生的所有费用，磋商文件中另有规定的除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4.4其它费用处理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磋商文件未列明，而供应商认为必须的费用也须列入报价。</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4.5报价采用的货币</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响应文件中的单价和总价，无特殊规定的采用人民币报价，以元为单位标注。磋商文件中另有规定的按规定执行。</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4.6 磋商响应报价表上的价格应按磋商文件规定填写。</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5、项目需求响应方案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5.1提供为完成本项目的施工组织设计方案。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5.2对磋商文件中项目需求的技术与商务条款要求逐项作出应答，并提供依据或说明。</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5.3供应商认为需要的其他技术文件或说明。</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6、磋商保证金</w:t>
      </w:r>
      <w:r/>
    </w:p>
    <w:p>
      <w:pPr>
        <w:ind w:firstLine="480"/>
        <w:spacing w:line="360" w:lineRule="auto"/>
        <w:rPr>
          <w:rFonts w:hint="eastAsia" w:ascii="仿宋" w:hAnsi="仿宋" w:eastAsia="仿宋" w:cs="仿宋"/>
          <w:bCs/>
          <w:sz w:val="24"/>
          <w:highlight w:val="none"/>
          <w:lang w:val="en-US" w:eastAsia="zh-CN"/>
        </w:rPr>
      </w:pPr>
      <w:r/>
      <w:bookmarkStart w:id="41" w:name="_Toc12528"/>
      <w:r/>
      <w:bookmarkStart w:id="42" w:name="_Toc19963"/>
      <w:r/>
      <w:bookmarkStart w:id="43" w:name="_Toc17862"/>
      <w:r/>
      <w:bookmarkStart w:id="44" w:name="_Toc22674"/>
      <w:r/>
      <w:bookmarkStart w:id="45" w:name="_Toc23206"/>
      <w:r/>
      <w:bookmarkStart w:id="46" w:name="_Toc1983"/>
      <w:r/>
      <w:bookmarkStart w:id="47" w:name="_Toc7032"/>
      <w:r/>
      <w:bookmarkStart w:id="48" w:name="_Toc28686"/>
      <w:r/>
      <w:bookmarkStart w:id="49" w:name="_Toc15879"/>
      <w:r/>
      <w:bookmarkStart w:id="50" w:name="_Toc3287"/>
      <w:r>
        <w:rPr>
          <w:rFonts w:hint="eastAsia" w:ascii="仿宋" w:hAnsi="仿宋" w:eastAsia="仿宋" w:cs="仿宋"/>
          <w:bCs/>
          <w:sz w:val="24"/>
          <w:highlight w:val="none"/>
          <w:lang w:val="en-US" w:eastAsia="zh-CN"/>
        </w:rPr>
        <w:t xml:space="preserve">本项目不收取磋商保证金。</w:t>
      </w:r>
      <w:r/>
    </w:p>
    <w:p>
      <w:pPr>
        <w:pStyle w:val="808"/>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三、响应文件的递交</w:t>
      </w:r>
      <w:bookmarkEnd w:id="41"/>
      <w:r/>
      <w:bookmarkEnd w:id="42"/>
      <w:r/>
      <w:bookmarkEnd w:id="43"/>
      <w:r/>
      <w:bookmarkEnd w:id="44"/>
      <w:r/>
      <w:bookmarkEnd w:id="45"/>
      <w:r/>
      <w:bookmarkEnd w:id="46"/>
      <w:r/>
      <w:bookmarkEnd w:id="47"/>
      <w:r/>
      <w:bookmarkEnd w:id="48"/>
      <w:r/>
      <w:bookmarkEnd w:id="49"/>
      <w:r/>
      <w:bookmarkEnd w:id="50"/>
      <w:r/>
      <w:r/>
    </w:p>
    <w:p>
      <w:pPr>
        <w:ind w:firstLine="482"/>
        <w:spacing w:line="360" w:lineRule="auto"/>
        <w:rPr>
          <w:rFonts w:hint="eastAsia" w:ascii="仿宋" w:hAnsi="仿宋" w:eastAsia="仿宋" w:cs="仿宋"/>
          <w:bCs/>
          <w:sz w:val="24"/>
          <w:highlight w:val="none"/>
        </w:rPr>
      </w:pPr>
      <w:r>
        <w:rPr>
          <w:rFonts w:hint="eastAsia" w:ascii="仿宋" w:hAnsi="仿宋" w:eastAsia="仿宋" w:cs="仿宋"/>
          <w:b/>
          <w:sz w:val="24"/>
          <w:highlight w:val="none"/>
        </w:rPr>
        <w:t xml:space="preserve">1、响应文件的密封和标记</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1.1供应商应严格按照采购邀请要求的份数准备响应文件，每份响应文件须清楚地标明“正本”或“副本”字样。一旦正本和副本不符，以正本为准。供应商应将响应文件正本和所有副本密封。</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1.2密封的响应文件应：</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（1）按采购邀请中注明的地址送达规定</w:t>
      </w:r>
      <w:r>
        <w:rPr>
          <w:rFonts w:hint="eastAsia" w:ascii="仿宋" w:hAnsi="仿宋" w:eastAsia="仿宋" w:cs="仿宋"/>
          <w:bCs/>
          <w:sz w:val="24"/>
          <w:highlight w:val="none"/>
          <w:lang w:eastAsia="zh-CN"/>
        </w:rPr>
        <w:t xml:space="preserve">地址</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（2）注明参加磋商项目名称、磋商文件编号及参加的分包号；</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（3）密封包装上应写明供应商名称和地址。</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1.3如果密封包装未按要求密封和加写标记，采购代理机构对误投或过早启封概不负责。对由此造成提前开封的响应文件，其风险由供应商自行承担。</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2、响应文件</w:t>
      </w:r>
      <w:r>
        <w:rPr>
          <w:rFonts w:hint="eastAsia" w:ascii="仿宋" w:hAnsi="仿宋" w:eastAsia="仿宋" w:cs="仿宋"/>
          <w:b/>
          <w:color w:val="000000"/>
          <w:sz w:val="24"/>
          <w:lang w:eastAsia="zh-CN"/>
        </w:rPr>
        <w:t xml:space="preserve">的递交</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2.1供应商提交响应文件的时间不得迟于本磋商文件规定的响应文件接收截止时间。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rPr>
        <w:t xml:space="preserve">2.2采购代理机构可通过修改磋商文件或书面通知的方式酌情推迟响应文件接收截止时间，在此情形下，供应商的所有权利和义务以及受制的响应文件接收截止时间均应以延长后新的响应文件接收截止时间为准</w:t>
      </w:r>
      <w:r>
        <w:rPr>
          <w:rFonts w:hint="eastAsia" w:ascii="仿宋" w:hAnsi="仿宋" w:eastAsia="仿宋" w:cs="仿宋"/>
          <w:bCs/>
          <w:sz w:val="24"/>
          <w:highlight w:val="none"/>
        </w:rPr>
        <w:t xml:space="preserve">。</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3、迟交的响应文件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3.1采购代理机构将拒绝在规定的响应文件接收截止时间后接收响应文件。</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4、响应文件的修改和撤回</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4.1供应商在递交响应文件后，可以修改或撤回其谈判响应文件，但这种修改和撤回，必须在规定的响应文件接收截止时间前，以书面形式送达指定地点。</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4.2供应商的修改或撤回通知书，应按本文件规定进行编制、密封、标记和发送，并应在封套上加注“修改”和“撤回”字样。</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4.3响应文件递交，在文件接收截止时间后，递交的文件不允许被撤回。</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rPr>
        <w:t xml:space="preserve">4.4供应商在提交最终报价之前，可以根据磋商情况退出磋商</w:t>
      </w:r>
      <w:r>
        <w:rPr>
          <w:rFonts w:hint="eastAsia" w:ascii="仿宋" w:hAnsi="仿宋" w:eastAsia="仿宋" w:cs="仿宋"/>
          <w:bCs/>
          <w:sz w:val="24"/>
          <w:highlight w:val="none"/>
        </w:rPr>
        <w:t xml:space="preserve">。</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5、磋商响应有效期</w:t>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highlight w:val="none"/>
        </w:rPr>
        <w:t xml:space="preserve">5.1 </w:t>
      </w:r>
      <w:r>
        <w:rPr>
          <w:rFonts w:hint="eastAsia" w:ascii="仿宋" w:hAnsi="仿宋" w:eastAsia="仿宋" w:cs="仿宋"/>
          <w:bCs/>
          <w:sz w:val="24"/>
        </w:rPr>
        <w:t xml:space="preserve">磋商响应有效期为采购代理机构规定的响应文件接收截止时间起九十（90）天。响应</w:t>
      </w:r>
      <w:r>
        <w:rPr>
          <w:rFonts w:hint="eastAsia" w:ascii="仿宋" w:hAnsi="仿宋" w:eastAsia="仿宋" w:cs="仿宋"/>
          <w:sz w:val="24"/>
          <w:szCs w:val="24"/>
        </w:rPr>
        <w:t xml:space="preserve">文件中承诺的响应有效期应当不少于磋商文件中载明的磋商响应有效期。</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rPr>
        <w:t xml:space="preserve">5.2 在特殊情况下，采购代理机构于原磋商响应有效期满之前，可向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仿宋" w:hAnsi="仿宋" w:eastAsia="仿宋" w:cs="仿宋"/>
          <w:bCs/>
          <w:sz w:val="24"/>
          <w:highlight w:val="none"/>
        </w:rPr>
        <w:t xml:space="preserve">。</w:t>
      </w:r>
      <w:r/>
    </w:p>
    <w:p>
      <w:pPr>
        <w:pStyle w:val="808"/>
        <w:jc w:val="both"/>
        <w:spacing w:line="360" w:lineRule="auto"/>
        <w:rPr>
          <w:rFonts w:hint="eastAsia" w:ascii="仿宋" w:hAnsi="仿宋" w:eastAsia="仿宋" w:cs="仿宋"/>
          <w:highlight w:val="none"/>
        </w:rPr>
      </w:pPr>
      <w:r/>
      <w:bookmarkStart w:id="51" w:name="_Toc27624"/>
      <w:r/>
      <w:bookmarkStart w:id="52" w:name="_Toc20888"/>
      <w:r/>
      <w:bookmarkStart w:id="53" w:name="_Toc23540"/>
      <w:r/>
      <w:bookmarkStart w:id="54" w:name="_Toc6387"/>
      <w:r/>
      <w:bookmarkStart w:id="55" w:name="_Toc7593"/>
      <w:r/>
      <w:bookmarkStart w:id="56" w:name="_Toc21176"/>
      <w:r/>
      <w:bookmarkStart w:id="57" w:name="_Toc14596"/>
      <w:r/>
      <w:bookmarkStart w:id="58" w:name="_Toc17773"/>
      <w:r/>
      <w:bookmarkStart w:id="59" w:name="_Toc23844"/>
      <w:r/>
      <w:bookmarkStart w:id="60" w:name="_Toc9632"/>
      <w:r>
        <w:rPr>
          <w:rFonts w:hint="eastAsia" w:ascii="仿宋" w:hAnsi="仿宋" w:eastAsia="仿宋" w:cs="仿宋"/>
          <w:highlight w:val="none"/>
        </w:rPr>
        <w:t xml:space="preserve">四、磋商与评审</w:t>
      </w:r>
      <w:bookmarkEnd w:id="51"/>
      <w:r/>
      <w:bookmarkEnd w:id="52"/>
      <w:r/>
      <w:bookmarkEnd w:id="53"/>
      <w:r/>
      <w:bookmarkEnd w:id="54"/>
      <w:r/>
      <w:bookmarkEnd w:id="55"/>
      <w:r/>
      <w:bookmarkEnd w:id="56"/>
      <w:r/>
      <w:bookmarkEnd w:id="57"/>
      <w:r/>
      <w:bookmarkEnd w:id="58"/>
      <w:r/>
      <w:bookmarkEnd w:id="59"/>
      <w:r/>
      <w:bookmarkEnd w:id="60"/>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1、磋商仪式</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1.1采购代理机构将在采购邀请中规定的时间和</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地址</w:t>
      </w:r>
      <w:r>
        <w:rPr>
          <w:rFonts w:hint="eastAsia" w:ascii="仿宋" w:hAnsi="仿宋" w:eastAsia="仿宋" w:cs="仿宋"/>
          <w:b w:val="0"/>
          <w:bCs w:val="0"/>
          <w:color w:val="000000" w:themeColor="text1"/>
          <w:sz w:val="24"/>
          <w:highlight w:val="none"/>
          <w14:textFill>
            <w14:solidFill>
              <w14:schemeClr w14:val="tx1"/>
            </w14:solidFill>
          </w14:textFill>
        </w:rPr>
        <w:t xml:space="preserve">组织磋商开始仪式，仪式由采购代理机构主持，供应商应委派携带有效证件的代表准时参加，参加仪式的代表需签名以证明其出席。</w:t>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2、磋商小组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2.1 磋商开始仪式结束后，采购代理机构将立即组织磋商小组进行评审。</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2.2 磋商小组由政府采购评审专家、采购人代表组成，且人员构成符合政府采购有关规定。</w:t>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3、磋商评审过程的保密与公正</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3.1磋商小组、采购人和采购代理机构工作人员、相关监督人员等与评审工作有关的人员，对评审情况以及在评审过程中获悉的国家秘密、商业秘密负有保密责任。</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3.2在磋商评审过程中，供应商不得以任何行为影响磋商评审过程，否则其响应文件将被作为无效响应文件。</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3.3</w:t>
      </w:r>
      <w:r>
        <w:rPr>
          <w:rFonts w:hint="eastAsia" w:ascii="仿宋" w:hAnsi="仿宋" w:eastAsia="仿宋" w:cs="仿宋"/>
          <w:bCs/>
          <w:sz w:val="24"/>
        </w:rPr>
        <w:t xml:space="preserve">磋商小组成员应当按照客观、公正、审慎的原则，根据磋商文件规定的评审程序、评审方法和评审标准进行独立评审</w:t>
      </w:r>
      <w:r>
        <w:rPr>
          <w:rFonts w:hint="eastAsia" w:ascii="仿宋" w:hAnsi="仿宋" w:eastAsia="仿宋" w:cs="仿宋"/>
          <w:bCs/>
          <w:sz w:val="24"/>
          <w:highlight w:val="none"/>
        </w:rPr>
        <w:t xml:space="preserve">。未响应磋商文件的实质性</w:t>
      </w:r>
      <w:r>
        <w:rPr>
          <w:rFonts w:hint="eastAsia" w:ascii="仿宋" w:hAnsi="仿宋" w:eastAsia="仿宋" w:cs="仿宋"/>
          <w:bCs/>
          <w:sz w:val="24"/>
          <w:highlight w:val="none"/>
          <w:lang w:eastAsia="zh-CN"/>
        </w:rPr>
        <w:t xml:space="preserve">要求的或存在违反政府采购相关法律、法规情形的</w:t>
      </w:r>
      <w:r>
        <w:rPr>
          <w:rFonts w:hint="eastAsia" w:ascii="仿宋" w:hAnsi="仿宋" w:eastAsia="仿宋" w:cs="仿宋"/>
          <w:bCs/>
          <w:sz w:val="24"/>
          <w:highlight w:val="none"/>
        </w:rPr>
        <w:t xml:space="preserve">按无效响应处理，磋商小组</w:t>
      </w:r>
      <w:r>
        <w:rPr>
          <w:rFonts w:hint="eastAsia" w:ascii="仿宋" w:hAnsi="仿宋" w:eastAsia="仿宋" w:cs="仿宋"/>
          <w:b/>
          <w:bCs/>
          <w:sz w:val="24"/>
          <w:highlight w:val="none"/>
        </w:rPr>
        <w:t xml:space="preserve">应当</w:t>
      </w:r>
      <w:r>
        <w:rPr>
          <w:rFonts w:hint="eastAsia" w:ascii="仿宋" w:hAnsi="仿宋" w:eastAsia="仿宋" w:cs="仿宋"/>
          <w:b/>
          <w:bCs/>
          <w:sz w:val="24"/>
          <w:highlight w:val="none"/>
          <w:lang w:eastAsia="zh-CN"/>
        </w:rPr>
        <w:t xml:space="preserve">现场</w:t>
      </w:r>
      <w:r>
        <w:rPr>
          <w:rFonts w:hint="eastAsia" w:ascii="仿宋" w:hAnsi="仿宋" w:eastAsia="仿宋" w:cs="仿宋"/>
          <w:b/>
          <w:bCs/>
          <w:sz w:val="24"/>
          <w:highlight w:val="none"/>
        </w:rPr>
        <w:t xml:space="preserve">告知</w:t>
      </w:r>
      <w:r>
        <w:rPr>
          <w:rFonts w:hint="eastAsia" w:ascii="仿宋" w:hAnsi="仿宋" w:eastAsia="仿宋" w:cs="仿宋"/>
          <w:b/>
          <w:bCs/>
          <w:sz w:val="24"/>
          <w:highlight w:val="none"/>
          <w:lang w:eastAsia="zh-CN"/>
        </w:rPr>
        <w:t xml:space="preserve">该</w:t>
      </w:r>
      <w:r>
        <w:rPr>
          <w:rFonts w:hint="eastAsia" w:ascii="仿宋" w:hAnsi="仿宋" w:eastAsia="仿宋" w:cs="仿宋"/>
          <w:b/>
          <w:bCs/>
          <w:sz w:val="24"/>
          <w:highlight w:val="none"/>
        </w:rPr>
        <w:t xml:space="preserve">供应商</w:t>
      </w:r>
      <w:r>
        <w:rPr>
          <w:rFonts w:hint="eastAsia" w:ascii="仿宋" w:hAnsi="仿宋" w:eastAsia="仿宋" w:cs="仿宋"/>
          <w:b/>
          <w:bCs/>
          <w:sz w:val="24"/>
          <w:highlight w:val="none"/>
          <w:lang w:eastAsia="zh-CN"/>
        </w:rPr>
        <w:t xml:space="preserve">无效响应的原因</w:t>
      </w:r>
      <w:r>
        <w:rPr>
          <w:rFonts w:hint="eastAsia" w:ascii="仿宋" w:hAnsi="仿宋" w:eastAsia="仿宋" w:cs="仿宋"/>
          <w:b w:val="0"/>
          <w:bCs w:val="0"/>
          <w:color w:val="000000" w:themeColor="text1"/>
          <w:sz w:val="24"/>
          <w:highlight w:val="none"/>
          <w14:textFill>
            <w14:solidFill>
              <w14:schemeClr w14:val="tx1"/>
            </w14:solidFill>
          </w14:textFill>
        </w:rPr>
        <w:t xml:space="preserve">。</w:t>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4、评审过程的澄清、说明和更正</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4.2接到磋商小组要求的供应商应派人按磋商小组通知的时间和</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地址</w:t>
      </w:r>
      <w:r>
        <w:rPr>
          <w:rFonts w:hint="eastAsia" w:ascii="仿宋" w:hAnsi="仿宋" w:eastAsia="仿宋" w:cs="仿宋"/>
          <w:b w:val="0"/>
          <w:bCs w:val="0"/>
          <w:color w:val="000000" w:themeColor="text1"/>
          <w:sz w:val="24"/>
          <w:highlight w:val="none"/>
          <w14:textFill>
            <w14:solidFill>
              <w14:schemeClr w14:val="tx1"/>
            </w14:solidFill>
          </w14:textFill>
        </w:rPr>
        <w:t xml:space="preserve">做出书面澄清、说明或更正。供应商的澄清、说明或者更正应当由法定代表人或授权代表签字或者加盖公章。由授权代表签字的，应当附法人授权书。供应商为自然人的，应当由本人签字并附身份证明。</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4.3 接到磋商小组澄清要求的供应商如未按规定做出澄清，其风险由供应商自行承担。</w:t>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5、对响应文件的初审</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5.1响应文件初审分为资格性检查和符合性检查。</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资格性检查：依据法律法规和磋商文件的规定，对响应文件中的资格证明文件</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Cs/>
          <w:sz w:val="24"/>
          <w:highlight w:val="none"/>
          <w:lang w:eastAsia="zh-CN"/>
        </w:rPr>
        <w:t xml:space="preserve">响应文件的合规性</w:t>
      </w:r>
      <w:r>
        <w:rPr>
          <w:rFonts w:hint="eastAsia" w:ascii="仿宋" w:hAnsi="仿宋" w:eastAsia="仿宋" w:cs="仿宋"/>
          <w:b w:val="0"/>
          <w:bCs w:val="0"/>
          <w:color w:val="000000" w:themeColor="text1"/>
          <w:sz w:val="24"/>
          <w:highlight w:val="none"/>
          <w14:textFill>
            <w14:solidFill>
              <w14:schemeClr w14:val="tx1"/>
            </w14:solidFill>
          </w14:textFill>
        </w:rPr>
        <w:t xml:space="preserve">等进行审查，以确定供应商是否具备参加磋商的资格。</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磋商小组在进行资格性审查的同时，将在“信用中国”网站（www.creditchina.gov.cn）对供应商是否被列入失信被执行人、重大税收违法案件当事人名单、政府采购严重失信行为记录名单情况进行查询，以确定供应商是否具备参加磋商的资格。查询结果将以网页打印的形式留存并归档。</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符合性检查：依据磋商文件的规定，从响应文件的有效性、完整性和对磋商文件的响应程度进行审查，以确定是否对磋商文件的实质性要求作出响应。</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5.3 被认定为未实质性响应磋商文件的响应文件的情形</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b w:val="0"/>
          <w:bCs w:val="0"/>
          <w:color w:val="000000" w:themeColor="text1"/>
          <w:sz w:val="24"/>
          <w:highlight w:val="none"/>
          <w14:textFill>
            <w14:solidFill>
              <w14:schemeClr w14:val="tx1"/>
            </w14:solidFill>
          </w14:textFill>
        </w:rPr>
        <w:t xml:space="preserve">）未按照</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b w:val="0"/>
          <w:bCs w:val="0"/>
          <w:color w:val="000000" w:themeColor="text1"/>
          <w:sz w:val="24"/>
          <w:highlight w:val="none"/>
          <w14:textFill>
            <w14:solidFill>
              <w14:schemeClr w14:val="tx1"/>
            </w14:solidFill>
          </w14:textFill>
        </w:rPr>
        <w:t xml:space="preserve">文件要求密封、签署、盖章的；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在报价时采用选择性报价的；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不具备</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b w:val="0"/>
          <w:bCs w:val="0"/>
          <w:color w:val="000000" w:themeColor="text1"/>
          <w:sz w:val="24"/>
          <w:highlight w:val="none"/>
          <w14:textFill>
            <w14:solidFill>
              <w14:schemeClr w14:val="tx1"/>
            </w14:solidFill>
          </w14:textFill>
        </w:rPr>
        <w:t xml:space="preserve">文件中规定资格要求及不符合财政部财库（2016）125号文件规定的；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的报价超过了采购预算的；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14:textFill>
            <w14:solidFill>
              <w14:schemeClr w14:val="tx1"/>
            </w14:solidFill>
          </w14:textFill>
        </w:rPr>
        <w:t xml:space="preserve">未通过符合性检查的；</w:t>
      </w:r>
      <w:r/>
    </w:p>
    <w:p>
      <w:pPr>
        <w:ind w:firstLine="480"/>
        <w:spacing w:line="360" w:lineRule="auto"/>
        <w:shd w:val="clear" w:color="auto"/>
        <w:rPr>
          <w:rFonts w:hint="eastAsia" w:ascii="仿宋" w:hAnsi="仿宋" w:eastAsia="仿宋" w:cs="仿宋"/>
          <w:b w:val="0"/>
          <w:bCs w:val="0"/>
          <w:color w:val="000000" w:themeColor="text1"/>
          <w:sz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14:textFill>
            <w14:solidFill>
              <w14:schemeClr w14:val="tx1"/>
            </w14:solidFill>
          </w14:textFill>
        </w:rPr>
        <w:t xml:space="preserve">不符合</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b w:val="0"/>
          <w:bCs w:val="0"/>
          <w:color w:val="000000" w:themeColor="text1"/>
          <w:sz w:val="24"/>
          <w:highlight w:val="none"/>
          <w14:textFill>
            <w14:solidFill>
              <w14:schemeClr w14:val="tx1"/>
            </w14:solidFill>
          </w14:textFill>
        </w:rPr>
        <w:t xml:space="preserve">文件中规定的其他实质性要求和条件的（本</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b w:val="0"/>
          <w:bCs w:val="0"/>
          <w:color w:val="000000" w:themeColor="text1"/>
          <w:sz w:val="24"/>
          <w:highlight w:val="none"/>
          <w14:textFill>
            <w14:solidFill>
              <w14:schemeClr w14:val="tx1"/>
            </w14:solidFill>
          </w14:textFill>
        </w:rPr>
        <w:t xml:space="preserve">文件中标注为实质性要求的条款或斜体且有下划线部分为实质性要求和条件）</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5.4 未响应磋商文件实质性</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要求</w:t>
      </w:r>
      <w:r>
        <w:rPr>
          <w:rFonts w:hint="eastAsia" w:ascii="仿宋" w:hAnsi="仿宋" w:eastAsia="仿宋" w:cs="仿宋"/>
          <w:b w:val="0"/>
          <w:bCs w:val="0"/>
          <w:color w:val="000000" w:themeColor="text1"/>
          <w:sz w:val="24"/>
          <w:highlight w:val="none"/>
          <w14:textFill>
            <w14:solidFill>
              <w14:schemeClr w14:val="tx1"/>
            </w14:solidFill>
          </w14:textFill>
        </w:rPr>
        <w:t xml:space="preserve">的</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或违反政府采购相关法律法规的</w:t>
      </w:r>
      <w:r>
        <w:rPr>
          <w:rFonts w:hint="eastAsia" w:ascii="仿宋" w:hAnsi="仿宋" w:eastAsia="仿宋" w:cs="仿宋"/>
          <w:b w:val="0"/>
          <w:bCs w:val="0"/>
          <w:color w:val="000000" w:themeColor="text1"/>
          <w:sz w:val="24"/>
          <w:highlight w:val="none"/>
          <w14:textFill>
            <w14:solidFill>
              <w14:schemeClr w14:val="tx1"/>
            </w14:solidFill>
          </w14:textFill>
        </w:rPr>
        <w:t xml:space="preserve">响应文件按无效响应处理，磋商小组将予以拒绝，供应商不得通过修改或撤销不合要求的偏离或保留而使其响应文件成为实质性响应</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或合规</w:t>
      </w:r>
      <w:r>
        <w:rPr>
          <w:rFonts w:hint="eastAsia" w:ascii="仿宋" w:hAnsi="仿宋" w:eastAsia="仿宋" w:cs="仿宋"/>
          <w:b w:val="0"/>
          <w:bCs w:val="0"/>
          <w:color w:val="000000" w:themeColor="text1"/>
          <w:sz w:val="24"/>
          <w:highlight w:val="none"/>
          <w14:textFill>
            <w14:solidFill>
              <w14:schemeClr w14:val="tx1"/>
            </w14:solidFill>
          </w14:textFill>
        </w:rPr>
        <w:t xml:space="preserve">的文件。</w:t>
      </w:r>
      <w:r/>
    </w:p>
    <w:p>
      <w:pPr>
        <w:ind w:firstLine="480"/>
        <w:spacing w:line="360" w:lineRule="auto"/>
        <w:shd w:val="clear" w:color="auto"/>
        <w:rPr>
          <w:rFonts w:hint="eastAsia" w:ascii="仿宋" w:hAnsi="仿宋" w:eastAsia="仿宋" w:cs="仿宋"/>
          <w:b w:val="0"/>
          <w:bCs w:val="0"/>
          <w:color w:val="000000" w:themeColor="text1"/>
          <w:sz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5.</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5磋商小组将允许修正响应文件中不构成重大负偏离的微小错误、书写不规范的、前后表达不一致的或不规范的地方，这些修改对响应文件不会产生实质性的改变且不影响任何供应商的竞争地位或相应的名次排列</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5.6供应商</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被认定为有下列违法</w:t>
      </w:r>
      <w:r>
        <w:rPr>
          <w:rFonts w:hint="eastAsia" w:ascii="仿宋" w:hAnsi="仿宋" w:eastAsia="仿宋" w:cs="仿宋"/>
          <w:b w:val="0"/>
          <w:bCs w:val="0"/>
          <w:color w:val="000000" w:themeColor="text1"/>
          <w:sz w:val="24"/>
          <w:highlight w:val="none"/>
          <w14:textFill>
            <w14:solidFill>
              <w14:schemeClr w14:val="tx1"/>
            </w14:solidFill>
          </w14:textFill>
        </w:rPr>
        <w:t xml:space="preserve">情形之一的，属于恶意串通</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，其响应文件将被拒绝</w:t>
      </w:r>
      <w:r>
        <w:rPr>
          <w:rFonts w:hint="eastAsia" w:ascii="仿宋" w:hAnsi="仿宋" w:eastAsia="仿宋" w:cs="仿宋"/>
          <w:b w:val="0"/>
          <w:bCs w:val="0"/>
          <w:color w:val="000000" w:themeColor="text1"/>
          <w:sz w:val="24"/>
          <w:highlight w:val="none"/>
          <w14:textFill>
            <w14:solidFill>
              <w14:schemeClr w14:val="tx1"/>
            </w14:solidFill>
          </w14:textFill>
        </w:rPr>
        <w:t xml:space="preserve">：</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直接或者间接从采购人或者采购代理机构处获得其他</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的相关情况并修改其投标文件或者响应文件；</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（2）供应商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按照采购人或者采购代理机构的授意撤换、修改投标文件或者响应文件；</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之间协商报价、技术方案等投标文件或者响应文件的实质性内容；</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14:textFill>
            <w14:solidFill>
              <w14:schemeClr w14:val="tx1"/>
            </w14:solidFill>
          </w14:textFill>
        </w:rPr>
        <w:t xml:space="preserve">属于同一集团、协会、商会等组织成员的</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按照该组织要求协同参加政府采购活动；</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之间事先约定由某一特定</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中标、成交；</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之间商定部分</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放弃参加政府采购活动或者放弃中标、成交；</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与采购人或者采购代理机构之间、</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相互之间，为谋求特定</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中标、成交或者排斥其他</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的其他串通行为。</w:t>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6、磋商程序及评审方法和标准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6.1磋商程序</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6.1.1 对于通过资格性和符合性审查的供应商，磋商小组所有成员将集中与单一供应商分别进行磋商。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 6.1.2 磋商文件能够详细列明采购标的的技术、服务要求的，磋商结束后，磋商小组将要求所有实质性响应的供应商在规定时间内提交最后报价。</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两</w:t>
      </w:r>
      <w:r>
        <w:rPr>
          <w:rFonts w:hint="eastAsia" w:ascii="仿宋" w:hAnsi="仿宋" w:eastAsia="仿宋" w:cs="仿宋"/>
          <w:b w:val="0"/>
          <w:bCs w:val="0"/>
          <w:color w:val="000000" w:themeColor="text1"/>
          <w:sz w:val="24"/>
          <w:highlight w:val="none"/>
          <w14:textFill>
            <w14:solidFill>
              <w14:schemeClr w14:val="tx1"/>
            </w14:solidFill>
          </w14:textFill>
        </w:rPr>
        <w:t xml:space="preserve">家。</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6.1.3 供应商未在磋商小组规定的时间内完成最</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终</w:t>
      </w:r>
      <w:r>
        <w:rPr>
          <w:rFonts w:hint="eastAsia" w:ascii="仿宋" w:hAnsi="仿宋" w:eastAsia="仿宋" w:cs="仿宋"/>
          <w:b w:val="0"/>
          <w:bCs w:val="0"/>
          <w:color w:val="000000" w:themeColor="text1"/>
          <w:sz w:val="24"/>
          <w:highlight w:val="none"/>
          <w14:textFill>
            <w14:solidFill>
              <w14:schemeClr w14:val="tx1"/>
            </w14:solidFill>
          </w14:textFill>
        </w:rPr>
        <w:t xml:space="preserve">报价的视为放弃磋商，其磋商响应按无效响应处理。磋商小组根据磋商情况可以要求供应商进行两次或两次以上的磋商报价。磋商小组最后一轮谈判结束后，参加磋商的供应商应当对磋商的承诺和最</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终</w:t>
      </w:r>
      <w:r>
        <w:rPr>
          <w:rFonts w:hint="eastAsia" w:ascii="仿宋" w:hAnsi="仿宋" w:eastAsia="仿宋" w:cs="仿宋"/>
          <w:b w:val="0"/>
          <w:bCs w:val="0"/>
          <w:color w:val="000000" w:themeColor="text1"/>
          <w:sz w:val="24"/>
          <w:highlight w:val="none"/>
          <w14:textFill>
            <w14:solidFill>
              <w14:schemeClr w14:val="tx1"/>
            </w14:solidFill>
          </w14:textFill>
        </w:rPr>
        <w:t xml:space="preserve">报价以书面形式确认，并由法定代表人或其授权人签字或者加盖公章签字或者加盖公章（最终报价将作为评审的依据）。已提交响应文件的供应商，在提交最</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终</w:t>
      </w:r>
      <w:r>
        <w:rPr>
          <w:rFonts w:hint="eastAsia" w:ascii="仿宋" w:hAnsi="仿宋" w:eastAsia="仿宋" w:cs="仿宋"/>
          <w:b w:val="0"/>
          <w:bCs w:val="0"/>
          <w:color w:val="000000" w:themeColor="text1"/>
          <w:sz w:val="24"/>
          <w:highlight w:val="none"/>
          <w14:textFill>
            <w14:solidFill>
              <w14:schemeClr w14:val="tx1"/>
            </w14:solidFill>
          </w14:textFill>
        </w:rPr>
        <w:t xml:space="preserve">报价之前，可以根据磋商情况退出磋商。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6.2 评审方法和标准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6.2.2评审标准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见本磋商文件第五章规定。</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6.3采购活动终止的情况</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出现下列情形之一的，本次竞争性磋商采购活动将被终止：</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（2）出现影响采购公正的违法、违规行为的； </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（3）除本磋商文件第6.1.2条第三款规定的情形外，在采购过程中符合要求的供应商或者报价未超过采购预算的供应商不足3家的。</w:t>
      </w:r>
      <w:r/>
    </w:p>
    <w:p>
      <w:pPr>
        <w:pStyle w:val="808"/>
        <w:jc w:val="both"/>
        <w:spacing w:line="360" w:lineRule="auto"/>
        <w:rPr>
          <w:rFonts w:hint="eastAsia" w:ascii="仿宋" w:hAnsi="仿宋" w:eastAsia="仿宋" w:cs="仿宋"/>
          <w:highlight w:val="none"/>
        </w:rPr>
      </w:pPr>
      <w:r/>
      <w:bookmarkStart w:id="61" w:name="_Toc12581"/>
      <w:r/>
      <w:bookmarkStart w:id="62" w:name="_Toc29509"/>
      <w:r/>
      <w:bookmarkStart w:id="63" w:name="_Toc9556"/>
      <w:r/>
      <w:bookmarkStart w:id="64" w:name="_Toc6080"/>
      <w:r/>
      <w:bookmarkStart w:id="65" w:name="_Toc16259"/>
      <w:r/>
      <w:bookmarkStart w:id="66" w:name="_Toc16823"/>
      <w:r/>
      <w:bookmarkStart w:id="67" w:name="_Toc2821"/>
      <w:r/>
      <w:bookmarkStart w:id="68" w:name="_Toc12099"/>
      <w:r/>
      <w:bookmarkStart w:id="69" w:name="_Toc23949"/>
      <w:r/>
      <w:bookmarkStart w:id="70" w:name="_Toc19641"/>
      <w:r>
        <w:rPr>
          <w:rFonts w:hint="eastAsia" w:ascii="仿宋" w:hAnsi="仿宋" w:eastAsia="仿宋" w:cs="仿宋"/>
          <w:highlight w:val="none"/>
        </w:rPr>
        <w:t xml:space="preserve">五、成交</w:t>
      </w:r>
      <w:bookmarkEnd w:id="61"/>
      <w:r/>
      <w:bookmarkEnd w:id="62"/>
      <w:r/>
      <w:bookmarkEnd w:id="63"/>
      <w:r/>
      <w:bookmarkEnd w:id="64"/>
      <w:r/>
      <w:bookmarkEnd w:id="65"/>
      <w:r/>
      <w:bookmarkEnd w:id="66"/>
      <w:r/>
      <w:bookmarkEnd w:id="67"/>
      <w:r/>
      <w:bookmarkEnd w:id="68"/>
      <w:r/>
      <w:bookmarkEnd w:id="69"/>
      <w:r/>
      <w:bookmarkEnd w:id="70"/>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1、确定成交单位</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bookmarkStart w:id="71" w:name="_Toc9008"/>
      <w:r/>
      <w:bookmarkStart w:id="72" w:name="_Toc4646"/>
      <w:r/>
      <w:bookmarkStart w:id="73" w:name="_Toc6447"/>
      <w:r/>
      <w:bookmarkStart w:id="74" w:name="_Toc47"/>
      <w:r/>
      <w:bookmarkStart w:id="75" w:name="_Toc29054"/>
      <w:r/>
      <w:bookmarkStart w:id="76" w:name="_Toc25998"/>
      <w:r/>
      <w:bookmarkStart w:id="77" w:name="_Toc12270"/>
      <w:r/>
      <w:bookmarkStart w:id="78" w:name="_Toc27170"/>
      <w:r/>
      <w:bookmarkStart w:id="79" w:name="_Toc24037"/>
      <w:r/>
      <w:bookmarkStart w:id="80" w:name="_Toc185"/>
      <w:r>
        <w:rPr>
          <w:rFonts w:hint="eastAsia" w:ascii="仿宋" w:hAnsi="仿宋" w:eastAsia="仿宋" w:cs="仿宋"/>
          <w:b w:val="0"/>
          <w:bCs w:val="0"/>
          <w:color w:val="000000" w:themeColor="text1"/>
          <w:sz w:val="24"/>
          <w:highlight w:val="none"/>
          <w14:textFill>
            <w14:solidFill>
              <w14:schemeClr w14:val="tx1"/>
            </w14:solidFill>
          </w14:textFill>
        </w:rPr>
        <w:t xml:space="preserve">1.1 磋商小组根据综合评分情况，按照评审得分由高到低顺序推荐3名成交候选供应商，并编写评审报告。符合本文件第6.1.2条情形的，可以推荐2家成交候选供应商。评审得分相同的，按照最后报价由低到高的顺序推荐。评审得分且最后报价相同的，按照技术指标优劣顺序推荐。如合格磋商响应供应商数量等于拟确定成交的供应商数量，所有合格磋商响应供应商均为成交候选供应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1.2采购人根据磋商小组推荐的成交候选人确定成交供应商。采购人确定成交供应商后，采购代理机构将在“</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江苏政府采购网</w:t>
      </w:r>
      <w:r>
        <w:rPr>
          <w:rFonts w:hint="eastAsia" w:ascii="仿宋" w:hAnsi="仿宋" w:eastAsia="仿宋" w:cs="仿宋"/>
          <w:b w:val="0"/>
          <w:bCs w:val="0"/>
          <w:color w:val="000000" w:themeColor="text1"/>
          <w:sz w:val="24"/>
          <w:highlight w:val="none"/>
          <w14:textFill>
            <w14:solidFill>
              <w14:schemeClr w14:val="tx1"/>
            </w14:solidFill>
          </w14:textFill>
        </w:rPr>
        <w:t xml:space="preserve">”发布成交结果公告，公告期限为1个工作日。供应商享受中小企业扶持政策的，随中标、成交结果公开中标、成交供应商的《中小企业声明函》。</w:t>
      </w:r>
      <w:r/>
    </w:p>
    <w:p>
      <w:pPr>
        <w:ind w:firstLine="480"/>
        <w:spacing w:line="360" w:lineRule="auto"/>
        <w:rPr>
          <w:rFonts w:hint="eastAsia" w:ascii="仿宋" w:hAnsi="仿宋" w:eastAsia="仿宋" w:cs="仿宋"/>
          <w:bCs/>
          <w:sz w:val="24"/>
        </w:rPr>
      </w:pPr>
      <w:r>
        <w:rPr>
          <w:rFonts w:hint="eastAsia" w:ascii="仿宋" w:hAnsi="仿宋" w:eastAsia="仿宋" w:cs="仿宋"/>
          <w:b w:val="0"/>
          <w:bCs w:val="0"/>
          <w:color w:val="000000" w:themeColor="text1"/>
          <w:sz w:val="24"/>
          <w:highlight w:val="none"/>
          <w14:textFill>
            <w14:solidFill>
              <w14:schemeClr w14:val="tx1"/>
            </w14:solidFill>
          </w14:textFill>
        </w:rPr>
        <w:t xml:space="preserve">1.3</w:t>
      </w:r>
      <w:r>
        <w:rPr>
          <w:rFonts w:hint="eastAsia" w:ascii="仿宋" w:hAnsi="仿宋" w:eastAsia="仿宋" w:cs="仿宋"/>
          <w:bCs/>
          <w:sz w:val="24"/>
        </w:rPr>
        <w:t xml:space="preserve">若有充分证据证明，成交供应商出现下列情况之一的，一经查实，将被取消成交资格：</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（1）提供虚假材料谋取成交的；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供应商存在</w:t>
      </w:r>
      <w:r>
        <w:rPr>
          <w:rFonts w:hint="eastAsia" w:ascii="仿宋" w:hAnsi="仿宋" w:eastAsia="仿宋" w:cs="仿宋"/>
          <w:b w:val="0"/>
          <w:bCs w:val="0"/>
          <w:color w:val="000000" w:themeColor="text1"/>
          <w:sz w:val="24"/>
          <w:highlight w:val="none"/>
          <w14:textFill>
            <w14:solidFill>
              <w14:schemeClr w14:val="tx1"/>
            </w14:solidFill>
          </w14:textFill>
        </w:rPr>
        <w:t xml:space="preserve">恶意串通</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情形</w:t>
      </w:r>
      <w:r>
        <w:rPr>
          <w:rFonts w:hint="eastAsia" w:ascii="仿宋" w:hAnsi="仿宋" w:eastAsia="仿宋" w:cs="仿宋"/>
          <w:b w:val="0"/>
          <w:bCs w:val="0"/>
          <w:color w:val="000000" w:themeColor="text1"/>
          <w:sz w:val="24"/>
          <w:highlight w:val="none"/>
          <w14:textFill>
            <w14:solidFill>
              <w14:schemeClr w14:val="tx1"/>
            </w14:solidFill>
          </w14:textFill>
        </w:rPr>
        <w:t xml:space="preserve">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（3）向评审专家、采购人或采购代理机构工作人员行贿或者提供其他不正当利益的；</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（4）成交后无正当理由拒不与采购人签订政府采购合同或者未按照磋商文件确定的事项签订政府采购合同；</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）供应商</w:t>
      </w:r>
      <w:r>
        <w:rPr>
          <w:rFonts w:hint="eastAsia" w:ascii="仿宋" w:hAnsi="仿宋" w:eastAsia="仿宋" w:cs="仿宋"/>
          <w:b w:val="0"/>
          <w:bCs w:val="0"/>
          <w:color w:val="000000" w:themeColor="text1"/>
          <w:sz w:val="24"/>
          <w:highlight w:val="none"/>
          <w14:textFill>
            <w14:solidFill>
              <w14:schemeClr w14:val="tx1"/>
            </w14:solidFill>
          </w14:textFill>
        </w:rPr>
        <w:t xml:space="preserve">将政府采购合同</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违法分包</w:t>
      </w:r>
      <w:r>
        <w:rPr>
          <w:rFonts w:hint="eastAsia" w:ascii="仿宋" w:hAnsi="仿宋" w:eastAsia="仿宋" w:cs="仿宋"/>
          <w:b w:val="0"/>
          <w:bCs w:val="0"/>
          <w:color w:val="000000" w:themeColor="text1"/>
          <w:sz w:val="24"/>
          <w:highlight w:val="none"/>
          <w14:textFill>
            <w14:solidFill>
              <w14:schemeClr w14:val="tx1"/>
            </w14:solidFill>
          </w14:textFill>
        </w:rPr>
        <w:t xml:space="preserve">转包</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的</w:t>
      </w:r>
      <w:r>
        <w:rPr>
          <w:rFonts w:hint="eastAsia" w:ascii="仿宋" w:hAnsi="仿宋" w:eastAsia="仿宋" w:cs="仿宋"/>
          <w:b w:val="0"/>
          <w:bCs w:val="0"/>
          <w:color w:val="000000" w:themeColor="text1"/>
          <w:sz w:val="24"/>
          <w:highlight w:val="none"/>
          <w14:textFill>
            <w14:solidFill>
              <w14:schemeClr w14:val="tx1"/>
            </w14:solidFill>
          </w14:textFill>
        </w:rPr>
        <w:t xml:space="preserve">。</w:t>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2、质疑处理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2.1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（1）对可以质疑的磋商文件提出质疑的，为收到磋商文件之日或者磋商文件公告期限届满之日；</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（2）对采购过程提出质疑的，为各采购程序环节结束之日；</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（3）对成交结果提出质疑的，为成交结果公告期限届满之日。</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2.2质疑必须按《政府采购法》、《政府采购法实施条例》、中华人民共和国财政部令第94号令《政府采购质疑和投诉办法》的相关规定提交，未按上述要求提交的质疑函（含传真、电子邮件等）</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采购代理机构有权要求质疑供应商按规定予以修正</w:t>
      </w:r>
      <w:r>
        <w:rPr>
          <w:rFonts w:hint="eastAsia" w:ascii="仿宋" w:hAnsi="仿宋" w:eastAsia="仿宋" w:cs="仿宋"/>
          <w:b w:val="0"/>
          <w:bCs w:val="0"/>
          <w:color w:val="000000" w:themeColor="text1"/>
          <w:sz w:val="24"/>
          <w:highlight w:val="none"/>
          <w14:textFill>
            <w14:solidFill>
              <w14:schemeClr w14:val="tx1"/>
            </w14:solidFill>
          </w14:textFill>
        </w:rPr>
        <w:t xml:space="preserve">。</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2.3未参加磋商采购活动的供应商或在磋商采购活动中自身权益未受到损害的供应商所提出的质疑不予受理。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2.4供应商提出质疑应当提交质疑函和必要的证明材料。质疑函应当包括下列内容：</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（1）供应商的姓名或者名称、地址、邮编、联系人及联系电话；</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（2）质疑项目的名称、编号；</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（3）具体、明确的质疑事项和与质疑事项相关的请求；</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（4）事实依据；</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（5）必要的法律依据；</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（6）提出质疑的日期。</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质疑人委托代理质疑的，应当向采购代理机构提交授权委托书，并载明委托代理的具体权限和事项。</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2.5采购代理机构收到质疑函后，将对质疑的形式和内容进行审查，如质疑函内容、格式不符合规定，采购代理机构将告知质疑人进行补正。</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2.6</w:t>
      </w:r>
      <w:r>
        <w:rPr>
          <w:rFonts w:hint="eastAsia" w:ascii="仿宋" w:hAnsi="仿宋" w:eastAsia="仿宋" w:cs="仿宋"/>
          <w:sz w:val="24"/>
        </w:rPr>
        <w:t xml:space="preserve">质疑人应当在法定质疑期限内进行补正并重新提交质疑函</w:t>
      </w:r>
      <w:r>
        <w:rPr>
          <w:rFonts w:hint="eastAsia" w:ascii="仿宋" w:hAnsi="仿宋" w:eastAsia="仿宋" w:cs="仿宋"/>
          <w:b w:val="0"/>
          <w:bCs w:val="0"/>
          <w:color w:val="000000" w:themeColor="text1"/>
          <w:sz w:val="24"/>
          <w:highlight w:val="none"/>
          <w14:textFill>
            <w14:solidFill>
              <w14:schemeClr w14:val="tx1"/>
            </w14:solidFill>
          </w14:textFill>
        </w:rPr>
        <w:t xml:space="preserve">。</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2.7采购代理机构应当在收到供应商的书面质疑后七个工作日内作出答复，并以书面形式通知质疑供应商和其他有关供应商，并告知质疑供应商具有投诉的权利。质疑答复的内容不得涉及评审情况与所获知的供应商的商业秘密。</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2.8供应商提出书面质疑必须有理、有据，不得恶意质疑或提交虚假质疑。</w:t>
      </w:r>
      <w:r/>
    </w:p>
    <w:p>
      <w:pPr>
        <w:pStyle w:val="808"/>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六、合同签订相关事项</w:t>
      </w:r>
      <w:bookmarkEnd w:id="71"/>
      <w:r/>
      <w:bookmarkEnd w:id="72"/>
      <w:r/>
      <w:bookmarkEnd w:id="73"/>
      <w:r/>
      <w:bookmarkEnd w:id="74"/>
      <w:r/>
      <w:bookmarkEnd w:id="75"/>
      <w:r/>
      <w:bookmarkEnd w:id="76"/>
      <w:r/>
      <w:bookmarkEnd w:id="77"/>
      <w:r/>
      <w:bookmarkEnd w:id="78"/>
      <w:r/>
      <w:bookmarkEnd w:id="79"/>
      <w:r/>
      <w:bookmarkEnd w:id="80"/>
      <w:r/>
      <w:r/>
    </w:p>
    <w:p>
      <w:pPr>
        <w:ind w:firstLine="482"/>
        <w:spacing w:line="360" w:lineRule="auto"/>
        <w:shd w:val="clear" w:color="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1、签订合同</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1.l成交供应商确定后，采购代理机构将向成交供应商发出成交通知书。成交供应商应按成交通知书规定的时间、</w:t>
      </w:r>
      <w:r>
        <w:rPr>
          <w:rFonts w:hint="eastAsia" w:ascii="仿宋" w:hAnsi="仿宋" w:eastAsia="仿宋" w:cs="仿宋"/>
          <w:b w:val="0"/>
          <w:bCs w:val="0"/>
          <w:color w:val="000000" w:themeColor="text1"/>
          <w:sz w:val="24"/>
          <w:highlight w:val="none"/>
          <w:lang w:eastAsia="zh-CN"/>
          <w14:textFill>
            <w14:solidFill>
              <w14:schemeClr w14:val="tx1"/>
            </w14:solidFill>
          </w14:textFill>
        </w:rPr>
        <w:t xml:space="preserve">地址</w:t>
      </w:r>
      <w:r>
        <w:rPr>
          <w:rFonts w:hint="eastAsia" w:ascii="仿宋" w:hAnsi="仿宋" w:eastAsia="仿宋" w:cs="仿宋"/>
          <w:b w:val="0"/>
          <w:bCs w:val="0"/>
          <w:color w:val="000000" w:themeColor="text1"/>
          <w:sz w:val="24"/>
          <w:highlight w:val="none"/>
          <w14:textFill>
            <w14:solidFill>
              <w14:schemeClr w14:val="tx1"/>
            </w14:solidFill>
          </w14:textFill>
        </w:rPr>
        <w:t xml:space="preserve">,按照磋商文件确定的事项与采购人签订政府采购合同，且不得迟于成交通知书发出之日起三十日内，由此给采购人造成损失的，成交供应商还应承担赔偿责任。</w:t>
      </w:r>
      <w:r/>
    </w:p>
    <w:p>
      <w:pPr>
        <w:ind w:firstLine="480"/>
        <w:spacing w:line="360" w:lineRule="auto"/>
        <w:shd w:val="clear" w:color="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1.2 磋商文件、成交供应商的响应文件及磋商采购过程中有关澄清、承诺文件均应作为合同附件。</w:t>
      </w:r>
      <w:r/>
    </w:p>
    <w:p>
      <w:pPr>
        <w:ind w:firstLine="480"/>
        <w:jc w:val="both"/>
        <w:spacing w:before="0" w:beforeAutospacing="0" w:after="0" w:afterAutospacing="0" w:line="360" w:lineRule="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2"/>
        <w:jc w:val="both"/>
        <w:spacing w:before="0" w:beforeAutospacing="0" w:after="0" w:afterAutospacing="0" w:line="360" w:lineRule="auto"/>
        <w:rPr>
          <w:rFonts w:hint="eastAsia" w:ascii="仿宋" w:hAnsi="仿宋" w:eastAsia="仿宋" w:cs="仿宋"/>
          <w:b/>
          <w:bCs/>
          <w:i w:val="0"/>
          <w:caps w:val="0"/>
          <w:spacing w:val="0"/>
          <w:sz w:val="24"/>
          <w:lang w:val="en-US" w:eastAsia="zh-CN"/>
        </w:rPr>
      </w:pPr>
      <w:r>
        <w:rPr>
          <w:rFonts w:hint="eastAsia" w:ascii="仿宋" w:hAnsi="仿宋" w:eastAsia="仿宋" w:cs="仿宋"/>
          <w:b/>
          <w:bCs/>
          <w:i w:val="0"/>
          <w:caps w:val="0"/>
          <w:spacing w:val="0"/>
          <w:sz w:val="24"/>
          <w:lang w:val="en-US" w:eastAsia="zh-CN"/>
        </w:rPr>
        <w:t xml:space="preserve">2、货物和服务的追加、减少和添购</w:t>
      </w:r>
      <w:r/>
    </w:p>
    <w:p>
      <w:pPr>
        <w:ind w:firstLine="480"/>
        <w:jc w:val="both"/>
        <w:spacing w:before="0" w:beforeAutospacing="0" w:after="0" w:afterAutospacing="0" w:line="360" w:lineRule="auto"/>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2.1政府采购合同履行中，采购人需追加与合同标的相同的货物或服务的，在不改变合同其他条款的前提下，可以与中标人协商签订补充合同，但所有补充合同的采购金额不超过原合同金额10%。</w:t>
      </w:r>
      <w:r/>
    </w:p>
    <w:p>
      <w:pPr>
        <w:ind w:firstLine="480"/>
        <w:jc w:val="both"/>
        <w:spacing w:before="0" w:beforeAutospacing="0" w:after="0" w:afterAutospacing="0" w:line="360" w:lineRule="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 xml:space="preserve">2.2采购结束后，采购人若由于各种客观原因，必须对采购项目所牵涉的货物或服务进行适当的减少时，在双方协商一致的前提下，可以按照招标采购时的价格水平做相应的调减，并据此签订补充合同。</w:t>
      </w:r>
      <w:r/>
    </w:p>
    <w:p>
      <w:pPr>
        <w:ind w:firstLine="0"/>
        <w:spacing w:line="360" w:lineRule="auto"/>
        <w:rPr>
          <w:rFonts w:hint="eastAsia" w:ascii="仿宋" w:hAnsi="仿宋" w:eastAsia="仿宋" w:cs="仿宋"/>
          <w:b/>
          <w:bCs/>
          <w:iCs/>
          <w:sz w:val="24"/>
          <w:highlight w:val="none"/>
        </w:rPr>
      </w:pPr>
      <w:r>
        <w:rPr>
          <w:rFonts w:hint="eastAsia" w:ascii="仿宋" w:hAnsi="仿宋" w:eastAsia="仿宋" w:cs="仿宋"/>
          <w:b/>
          <w:bCs/>
          <w:iCs/>
          <w:sz w:val="24"/>
          <w:highlight w:val="none"/>
        </w:rPr>
      </w:r>
      <w:r/>
    </w:p>
    <w:p>
      <w:pPr>
        <w:ind w:firstLine="467"/>
        <w:spacing w:line="360" w:lineRule="auto"/>
        <w:rPr>
          <w:rFonts w:hint="eastAsia" w:ascii="仿宋" w:hAnsi="仿宋" w:eastAsia="仿宋" w:cs="仿宋"/>
          <w:b/>
          <w:bCs/>
          <w:iCs/>
          <w:sz w:val="24"/>
          <w:highlight w:val="none"/>
        </w:rPr>
      </w:pPr>
      <w:r>
        <w:rPr>
          <w:rFonts w:hint="eastAsia" w:ascii="仿宋" w:hAnsi="仿宋" w:eastAsia="仿宋" w:cs="仿宋"/>
          <w:b/>
          <w:bCs/>
          <w:iCs/>
          <w:sz w:val="24"/>
          <w:highlight w:val="none"/>
        </w:rPr>
      </w:r>
      <w:r/>
    </w:p>
    <w:p>
      <w:pPr>
        <w:ind w:firstLine="467"/>
        <w:spacing w:line="360" w:lineRule="auto"/>
        <w:rPr>
          <w:rFonts w:hint="eastAsia" w:ascii="仿宋" w:hAnsi="仿宋" w:eastAsia="仿宋" w:cs="仿宋"/>
          <w:b/>
          <w:bCs/>
          <w:iCs/>
          <w:sz w:val="24"/>
          <w:highlight w:val="none"/>
        </w:rPr>
      </w:pPr>
      <w:r>
        <w:rPr>
          <w:rFonts w:hint="eastAsia" w:ascii="仿宋" w:hAnsi="仿宋" w:eastAsia="仿宋" w:cs="仿宋"/>
          <w:b/>
          <w:bCs/>
          <w:iCs/>
          <w:sz w:val="24"/>
          <w:highlight w:val="none"/>
        </w:rPr>
      </w:r>
      <w:r/>
    </w:p>
    <w:p>
      <w:pPr>
        <w:ind w:firstLine="467"/>
        <w:spacing w:line="360" w:lineRule="auto"/>
        <w:rPr>
          <w:rFonts w:hint="eastAsia" w:ascii="仿宋" w:hAnsi="仿宋" w:eastAsia="仿宋" w:cs="仿宋"/>
          <w:b/>
          <w:bCs/>
          <w:iCs/>
          <w:sz w:val="24"/>
          <w:highlight w:val="none"/>
        </w:rPr>
      </w:pPr>
      <w:r>
        <w:rPr>
          <w:rFonts w:hint="eastAsia" w:ascii="仿宋" w:hAnsi="仿宋" w:eastAsia="仿宋" w:cs="仿宋"/>
          <w:b/>
          <w:bCs/>
          <w:iCs/>
          <w:sz w:val="24"/>
          <w:highlight w:val="none"/>
        </w:rPr>
      </w:r>
      <w:r/>
    </w:p>
    <w:p>
      <w:pPr>
        <w:spacing w:line="360" w:lineRule="auto"/>
        <w:rPr>
          <w:rFonts w:hint="eastAsia" w:ascii="仿宋" w:hAnsi="仿宋" w:eastAsia="仿宋" w:cs="仿宋"/>
          <w:b/>
          <w:bCs/>
          <w:iCs/>
          <w:sz w:val="24"/>
          <w:highlight w:val="none"/>
        </w:rPr>
      </w:pPr>
      <w:r>
        <w:rPr>
          <w:rFonts w:hint="eastAsia" w:ascii="仿宋" w:hAnsi="仿宋" w:eastAsia="仿宋" w:cs="仿宋"/>
          <w:b/>
          <w:bCs/>
          <w:iCs/>
          <w:sz w:val="24"/>
          <w:highlight w:val="none"/>
        </w:rPr>
      </w:r>
      <w:r/>
    </w:p>
    <w:p>
      <w:pPr>
        <w:pStyle w:val="807"/>
        <w:pageBreakBefore/>
        <w:spacing w:line="360" w:lineRule="auto"/>
        <w:rPr>
          <w:rFonts w:hint="eastAsia" w:ascii="仿宋" w:hAnsi="仿宋" w:eastAsia="仿宋" w:cs="仿宋"/>
          <w:sz w:val="40"/>
          <w:highlight w:val="none"/>
        </w:rPr>
      </w:pPr>
      <w:r/>
      <w:bookmarkStart w:id="81" w:name="_Toc16945"/>
      <w:r/>
      <w:bookmarkStart w:id="82" w:name="_Toc11813"/>
      <w:r/>
      <w:bookmarkStart w:id="83" w:name="_Toc26345"/>
      <w:r/>
      <w:bookmarkStart w:id="84" w:name="_Toc14741"/>
      <w:r/>
      <w:bookmarkStart w:id="85" w:name="_Toc12283"/>
      <w:r/>
      <w:bookmarkStart w:id="86" w:name="_Toc11440"/>
      <w:r/>
      <w:bookmarkStart w:id="87" w:name="_Toc28209"/>
      <w:r/>
      <w:bookmarkStart w:id="88" w:name="_Toc18399"/>
      <w:r/>
      <w:bookmarkStart w:id="89" w:name="_Toc22543"/>
      <w:r/>
      <w:bookmarkStart w:id="90" w:name="_Toc22544"/>
      <w:r/>
      <w:bookmarkStart w:id="91" w:name="_Toc17473"/>
      <w:r/>
      <w:bookmarkStart w:id="92" w:name="_Toc22226"/>
      <w:r/>
      <w:bookmarkStart w:id="93" w:name="_Toc14481"/>
      <w:r/>
      <w:bookmarkStart w:id="94" w:name="_Toc32263"/>
      <w:r/>
      <w:bookmarkStart w:id="95" w:name="_Toc324237148"/>
      <w:r/>
      <w:bookmarkStart w:id="96" w:name="_Toc324237156"/>
      <w:r/>
      <w:bookmarkStart w:id="97" w:name="_Toc18960"/>
      <w:r>
        <w:rPr>
          <w:rFonts w:hint="eastAsia" w:ascii="仿宋" w:hAnsi="仿宋" w:eastAsia="仿宋" w:cs="仿宋"/>
          <w:sz w:val="40"/>
          <w:highlight w:val="none"/>
        </w:rPr>
        <w:t xml:space="preserve">第三章  合同条款及格式</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spacing w:line="360" w:lineRule="auto"/>
        <w:rPr>
          <w:rFonts w:hint="eastAsia" w:ascii="仿宋" w:hAnsi="仿宋" w:eastAsia="仿宋" w:cs="仿宋"/>
          <w:sz w:val="24"/>
        </w:rPr>
      </w:pPr>
      <w:r/>
      <w:bookmarkStart w:id="98" w:name="_Toc7771"/>
      <w:r/>
      <w:bookmarkStart w:id="99" w:name="_Toc4309"/>
      <w:r/>
      <w:bookmarkStart w:id="100" w:name="_Toc10506"/>
      <w:r/>
      <w:bookmarkStart w:id="101" w:name="_Toc3329"/>
      <w:r/>
      <w:bookmarkStart w:id="102" w:name="_Toc14854"/>
      <w:r/>
      <w:bookmarkStart w:id="103" w:name="_Toc9647"/>
      <w:r/>
      <w:bookmarkStart w:id="104" w:name="_Toc21090"/>
      <w:r/>
      <w:bookmarkStart w:id="105" w:name="_Toc12199"/>
      <w:r/>
      <w:bookmarkStart w:id="106" w:name="_Toc16569"/>
      <w:r/>
      <w:bookmarkStart w:id="107" w:name="_Toc12525"/>
      <w:r/>
      <w:bookmarkStart w:id="108" w:name="_Toc20024"/>
      <w:r/>
      <w:bookmarkStart w:id="109" w:name="_Toc8481"/>
      <w:r/>
      <w:bookmarkStart w:id="110" w:name="_Toc19757"/>
      <w:r/>
      <w:bookmarkStart w:id="111" w:name="_Toc4412"/>
      <w:r/>
      <w:bookmarkStart w:id="112" w:name="_Toc24491"/>
      <w:r/>
      <w:bookmarkStart w:id="113" w:name="_Toc26827"/>
      <w:r/>
      <w:bookmarkStart w:id="114" w:name="_Toc13407"/>
      <w:r>
        <w:rPr>
          <w:rFonts w:hint="eastAsia" w:ascii="仿宋" w:hAnsi="仿宋" w:eastAsia="仿宋" w:cs="仿宋"/>
          <w:sz w:val="24"/>
        </w:rPr>
        <w:t xml:space="preserve">委托方（甲方）：[  ]</w:t>
      </w:r>
      <w:r/>
    </w:p>
    <w:p>
      <w:pPr>
        <w:spacing w:line="360" w:lineRule="auto"/>
        <w:rPr>
          <w:rFonts w:hint="eastAsia" w:ascii="仿宋" w:hAnsi="仿宋" w:eastAsia="仿宋" w:cs="仿宋"/>
          <w:sz w:val="24"/>
        </w:rPr>
      </w:pPr>
      <w:r>
        <w:rPr>
          <w:rFonts w:hint="eastAsia" w:ascii="仿宋" w:hAnsi="仿宋" w:eastAsia="仿宋" w:cs="仿宋"/>
          <w:sz w:val="24"/>
        </w:rPr>
        <w:t xml:space="preserve">地址：[  ]     </w:t>
      </w:r>
      <w:r/>
    </w:p>
    <w:p>
      <w:pPr>
        <w:spacing w:line="360" w:lineRule="auto"/>
        <w:rPr>
          <w:rFonts w:hint="eastAsia" w:ascii="仿宋" w:hAnsi="仿宋" w:eastAsia="仿宋" w:cs="仿宋"/>
          <w:sz w:val="24"/>
        </w:rPr>
      </w:pPr>
      <w:r>
        <w:rPr>
          <w:rFonts w:hint="eastAsia" w:ascii="仿宋" w:hAnsi="仿宋" w:eastAsia="仿宋" w:cs="仿宋"/>
          <w:sz w:val="24"/>
        </w:rPr>
        <w:t xml:space="preserve">法定代表人/负责人：[  ]        </w:t>
      </w:r>
      <w:r/>
    </w:p>
    <w:p>
      <w:pPr>
        <w:spacing w:line="360" w:lineRule="auto"/>
        <w:rPr>
          <w:rFonts w:hint="eastAsia" w:ascii="仿宋" w:hAnsi="仿宋" w:eastAsia="仿宋" w:cs="仿宋"/>
          <w:sz w:val="24"/>
        </w:rPr>
      </w:pPr>
      <w:r>
        <w:rPr>
          <w:rFonts w:hint="eastAsia" w:ascii="仿宋" w:hAnsi="仿宋" w:eastAsia="仿宋" w:cs="仿宋"/>
          <w:sz w:val="24"/>
        </w:rPr>
        <w:t xml:space="preserve">项目联系人：[  ]           </w:t>
      </w:r>
      <w:r/>
    </w:p>
    <w:p>
      <w:pPr>
        <w:spacing w:line="360" w:lineRule="auto"/>
        <w:rPr>
          <w:rFonts w:hint="eastAsia" w:ascii="仿宋" w:hAnsi="仿宋" w:eastAsia="仿宋" w:cs="仿宋"/>
          <w:sz w:val="24"/>
        </w:rPr>
      </w:pPr>
      <w:r>
        <w:rPr>
          <w:rFonts w:hint="eastAsia" w:ascii="仿宋" w:hAnsi="仿宋" w:eastAsia="仿宋" w:cs="仿宋"/>
          <w:sz w:val="24"/>
        </w:rPr>
        <w:t xml:space="preserve">联系电话：[  ]                      </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受托方（乙方）：[  ]                        </w:t>
      </w:r>
      <w:r/>
    </w:p>
    <w:p>
      <w:pPr>
        <w:spacing w:line="360" w:lineRule="auto"/>
        <w:rPr>
          <w:rFonts w:hint="eastAsia" w:ascii="仿宋" w:hAnsi="仿宋" w:eastAsia="仿宋" w:cs="仿宋"/>
          <w:sz w:val="24"/>
        </w:rPr>
      </w:pPr>
      <w:r>
        <w:rPr>
          <w:rFonts w:hint="eastAsia" w:ascii="仿宋" w:hAnsi="仿宋" w:eastAsia="仿宋" w:cs="仿宋"/>
          <w:sz w:val="24"/>
        </w:rPr>
        <w:t xml:space="preserve">地址：[  ]     </w:t>
      </w:r>
      <w:r/>
    </w:p>
    <w:p>
      <w:pPr>
        <w:spacing w:line="360" w:lineRule="auto"/>
        <w:rPr>
          <w:rFonts w:hint="eastAsia" w:ascii="仿宋" w:hAnsi="仿宋" w:eastAsia="仿宋" w:cs="仿宋"/>
          <w:sz w:val="24"/>
        </w:rPr>
      </w:pPr>
      <w:r>
        <w:rPr>
          <w:rFonts w:hint="eastAsia" w:ascii="仿宋" w:hAnsi="仿宋" w:eastAsia="仿宋" w:cs="仿宋"/>
          <w:sz w:val="24"/>
        </w:rPr>
        <w:t xml:space="preserve">法定代表人/负责人：[  ]        </w:t>
      </w:r>
      <w:r/>
    </w:p>
    <w:p>
      <w:pPr>
        <w:spacing w:line="360" w:lineRule="auto"/>
        <w:rPr>
          <w:rFonts w:hint="eastAsia" w:ascii="仿宋" w:hAnsi="仿宋" w:eastAsia="仿宋" w:cs="仿宋"/>
          <w:sz w:val="24"/>
        </w:rPr>
      </w:pPr>
      <w:r>
        <w:rPr>
          <w:rFonts w:hint="eastAsia" w:ascii="仿宋" w:hAnsi="仿宋" w:eastAsia="仿宋" w:cs="仿宋"/>
          <w:sz w:val="24"/>
        </w:rPr>
        <w:t xml:space="preserve">项目联系人：[  ]                                             </w:t>
      </w:r>
      <w:r/>
    </w:p>
    <w:p>
      <w:pPr>
        <w:spacing w:line="360" w:lineRule="auto"/>
        <w:rPr>
          <w:rFonts w:hint="eastAsia" w:ascii="仿宋" w:hAnsi="仿宋" w:eastAsia="仿宋" w:cs="仿宋"/>
          <w:sz w:val="24"/>
        </w:rPr>
      </w:pPr>
      <w:r>
        <w:rPr>
          <w:rFonts w:hint="eastAsia" w:ascii="仿宋" w:hAnsi="仿宋" w:eastAsia="仿宋" w:cs="仿宋"/>
          <w:sz w:val="24"/>
        </w:rPr>
        <w:t xml:space="preserve">联系电话：[  ]                   </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第一条 甲方委托乙方进行服务的内容如下：</w:t>
      </w:r>
      <w:r/>
    </w:p>
    <w:p>
      <w:pPr>
        <w:spacing w:line="360" w:lineRule="auto"/>
        <w:rPr>
          <w:rFonts w:hint="eastAsia" w:ascii="仿宋" w:hAnsi="仿宋" w:eastAsia="仿宋" w:cs="仿宋"/>
          <w:sz w:val="24"/>
        </w:rPr>
      </w:pPr>
      <w:r>
        <w:rPr>
          <w:rFonts w:hint="eastAsia" w:ascii="仿宋" w:hAnsi="仿宋" w:eastAsia="仿宋" w:cs="仿宋"/>
          <w:sz w:val="24"/>
        </w:rPr>
        <w:t xml:space="preserve">1.1服务的目标：[  ]。</w:t>
      </w:r>
      <w:r/>
    </w:p>
    <w:p>
      <w:pPr>
        <w:spacing w:line="360" w:lineRule="auto"/>
        <w:rPr>
          <w:rFonts w:hint="eastAsia" w:ascii="仿宋" w:hAnsi="仿宋" w:eastAsia="仿宋" w:cs="仿宋"/>
          <w:sz w:val="24"/>
        </w:rPr>
      </w:pPr>
      <w:r>
        <w:rPr>
          <w:rFonts w:hint="eastAsia" w:ascii="仿宋" w:hAnsi="仿宋" w:eastAsia="仿宋" w:cs="仿宋"/>
          <w:sz w:val="24"/>
        </w:rPr>
        <w:t xml:space="preserve">1.2服务的内容：[  ]。</w:t>
      </w:r>
      <w:r/>
    </w:p>
    <w:p>
      <w:pPr>
        <w:spacing w:line="360" w:lineRule="auto"/>
        <w:rPr>
          <w:rFonts w:hint="eastAsia" w:ascii="仿宋" w:hAnsi="仿宋" w:eastAsia="仿宋" w:cs="仿宋"/>
          <w:sz w:val="24"/>
        </w:rPr>
      </w:pPr>
      <w:r>
        <w:rPr>
          <w:rFonts w:hint="eastAsia" w:ascii="仿宋" w:hAnsi="仿宋" w:eastAsia="仿宋" w:cs="仿宋"/>
          <w:sz w:val="24"/>
        </w:rPr>
        <w:t xml:space="preserve">1.3服务的方式：[  ]。</w:t>
      </w:r>
      <w:r/>
    </w:p>
    <w:p>
      <w:pPr>
        <w:spacing w:line="360" w:lineRule="auto"/>
        <w:rPr>
          <w:rFonts w:hint="eastAsia" w:ascii="仿宋" w:hAnsi="仿宋" w:eastAsia="仿宋" w:cs="仿宋"/>
          <w:sz w:val="24"/>
        </w:rPr>
      </w:pPr>
      <w:r>
        <w:rPr>
          <w:rFonts w:hint="eastAsia" w:ascii="仿宋" w:hAnsi="仿宋" w:eastAsia="仿宋" w:cs="仿宋"/>
          <w:sz w:val="24"/>
        </w:rPr>
        <w:t xml:space="preserve">第二条 乙方应按下列要求完成服务工作：</w:t>
      </w:r>
      <w:r/>
    </w:p>
    <w:p>
      <w:pPr>
        <w:spacing w:line="360" w:lineRule="auto"/>
        <w:rPr>
          <w:rFonts w:hint="eastAsia" w:ascii="仿宋" w:hAnsi="仿宋" w:eastAsia="仿宋" w:cs="仿宋"/>
          <w:sz w:val="24"/>
        </w:rPr>
      </w:pPr>
      <w:r>
        <w:rPr>
          <w:rFonts w:hint="eastAsia" w:ascii="仿宋" w:hAnsi="仿宋" w:eastAsia="仿宋" w:cs="仿宋"/>
          <w:sz w:val="24"/>
        </w:rPr>
        <w:t xml:space="preserve">2.1服务地点：[  ]。</w:t>
      </w:r>
      <w:r/>
    </w:p>
    <w:p>
      <w:pPr>
        <w:spacing w:line="360" w:lineRule="auto"/>
        <w:rPr>
          <w:rFonts w:hint="eastAsia" w:ascii="仿宋" w:hAnsi="仿宋" w:eastAsia="仿宋" w:cs="仿宋"/>
          <w:sz w:val="24"/>
        </w:rPr>
      </w:pPr>
      <w:r>
        <w:rPr>
          <w:rFonts w:hint="eastAsia" w:ascii="仿宋" w:hAnsi="仿宋" w:eastAsia="仿宋" w:cs="仿宋"/>
          <w:sz w:val="24"/>
        </w:rPr>
        <w:t xml:space="preserve">2.2服务期限：[  ]。</w:t>
      </w:r>
      <w:r/>
    </w:p>
    <w:p>
      <w:pPr>
        <w:spacing w:line="360" w:lineRule="auto"/>
        <w:rPr>
          <w:rFonts w:hint="eastAsia" w:ascii="仿宋" w:hAnsi="仿宋" w:eastAsia="仿宋" w:cs="仿宋"/>
          <w:sz w:val="24"/>
        </w:rPr>
      </w:pPr>
      <w:r>
        <w:rPr>
          <w:rFonts w:hint="eastAsia" w:ascii="仿宋" w:hAnsi="仿宋" w:eastAsia="仿宋" w:cs="仿宋"/>
          <w:sz w:val="24"/>
        </w:rPr>
        <w:t xml:space="preserve">2.3服务进度：[  ]。</w:t>
      </w:r>
      <w:r/>
    </w:p>
    <w:p>
      <w:pPr>
        <w:spacing w:line="360" w:lineRule="auto"/>
        <w:rPr>
          <w:rFonts w:hint="eastAsia" w:ascii="仿宋" w:hAnsi="仿宋" w:eastAsia="仿宋" w:cs="仿宋"/>
          <w:sz w:val="24"/>
        </w:rPr>
      </w:pPr>
      <w:r>
        <w:rPr>
          <w:rFonts w:hint="eastAsia" w:ascii="仿宋" w:hAnsi="仿宋" w:eastAsia="仿宋" w:cs="仿宋"/>
          <w:sz w:val="24"/>
        </w:rPr>
        <w:t xml:space="preserve">2.4服务质量要求：[  ]。</w:t>
      </w:r>
      <w:r/>
    </w:p>
    <w:p>
      <w:pPr>
        <w:spacing w:line="360" w:lineRule="auto"/>
        <w:rPr>
          <w:rFonts w:hint="eastAsia" w:ascii="仿宋" w:hAnsi="仿宋" w:eastAsia="仿宋" w:cs="仿宋"/>
          <w:sz w:val="24"/>
        </w:rPr>
      </w:pPr>
      <w:r>
        <w:rPr>
          <w:rFonts w:hint="eastAsia" w:ascii="仿宋" w:hAnsi="仿宋" w:eastAsia="仿宋" w:cs="仿宋"/>
          <w:sz w:val="24"/>
        </w:rPr>
        <w:t xml:space="preserve">第三条 为保证乙方有效进行服务工作，甲方应当向乙方提供必要的资料及工作条件。</w:t>
      </w:r>
      <w:r/>
    </w:p>
    <w:p>
      <w:pPr>
        <w:spacing w:line="360" w:lineRule="auto"/>
        <w:rPr>
          <w:rFonts w:hint="eastAsia" w:ascii="仿宋" w:hAnsi="仿宋" w:eastAsia="仿宋" w:cs="仿宋"/>
          <w:sz w:val="24"/>
        </w:rPr>
      </w:pPr>
      <w:r>
        <w:rPr>
          <w:rFonts w:hint="eastAsia" w:ascii="仿宋" w:hAnsi="仿宋" w:eastAsia="仿宋" w:cs="仿宋"/>
          <w:sz w:val="24"/>
        </w:rPr>
        <w:t xml:space="preserve">第四条 甲方向乙方支付服务报酬及支付方式为：</w:t>
      </w:r>
      <w:r/>
    </w:p>
    <w:p>
      <w:pPr>
        <w:spacing w:line="360" w:lineRule="auto"/>
        <w:rPr>
          <w:rFonts w:hint="eastAsia" w:ascii="仿宋" w:hAnsi="仿宋" w:eastAsia="仿宋" w:cs="仿宋"/>
          <w:sz w:val="24"/>
        </w:rPr>
      </w:pPr>
      <w:r>
        <w:rPr>
          <w:rFonts w:hint="eastAsia" w:ascii="仿宋" w:hAnsi="仿宋" w:eastAsia="仿宋" w:cs="仿宋"/>
          <w:sz w:val="24"/>
        </w:rPr>
        <w:t xml:space="preserve">4.1本合同费用总额（含税价）：人民币大写[  ]元，小写[  ]元；其中价款为人民币大写[  ]元，小写[  ]元。</w:t>
      </w:r>
      <w:r/>
    </w:p>
    <w:p>
      <w:pPr>
        <w:spacing w:line="360" w:lineRule="auto"/>
        <w:rPr>
          <w:rFonts w:hint="eastAsia" w:ascii="仿宋" w:hAnsi="仿宋" w:eastAsia="仿宋" w:cs="仿宋"/>
          <w:sz w:val="24"/>
        </w:rPr>
      </w:pPr>
      <w:r>
        <w:rPr>
          <w:rFonts w:hint="eastAsia" w:ascii="仿宋" w:hAnsi="仿宋" w:eastAsia="仿宋" w:cs="仿宋"/>
          <w:sz w:val="24"/>
        </w:rPr>
        <w:t xml:space="preserve">本合同费用总额已包括甲方就乙方履行本合同所应支付的全部报酬、所需的全部费用及税费（包括但不限于营业税、增值税等）。</w:t>
      </w:r>
      <w:r/>
    </w:p>
    <w:p>
      <w:pPr>
        <w:spacing w:line="360" w:lineRule="auto"/>
        <w:rPr>
          <w:rFonts w:hint="eastAsia" w:ascii="仿宋" w:hAnsi="仿宋" w:eastAsia="仿宋" w:cs="仿宋"/>
          <w:sz w:val="24"/>
        </w:rPr>
      </w:pPr>
      <w:r>
        <w:rPr>
          <w:rFonts w:hint="eastAsia" w:ascii="仿宋" w:hAnsi="仿宋" w:eastAsia="仿宋" w:cs="仿宋"/>
          <w:sz w:val="24"/>
        </w:rPr>
        <w:t xml:space="preserve">除另有约定外，甲方无需就本合同项下委托事项向乙方支付上述费用之外的任何其他费用及税费（包括但不限于营业税、增值税等）。</w:t>
      </w:r>
      <w:r/>
    </w:p>
    <w:p>
      <w:pPr>
        <w:spacing w:line="360" w:lineRule="auto"/>
        <w:rPr>
          <w:rFonts w:hint="eastAsia" w:ascii="仿宋" w:hAnsi="仿宋" w:eastAsia="仿宋" w:cs="仿宋"/>
          <w:sz w:val="24"/>
        </w:rPr>
      </w:pPr>
      <w:r>
        <w:rPr>
          <w:rFonts w:hint="eastAsia" w:ascii="仿宋" w:hAnsi="仿宋" w:eastAsia="仿宋" w:cs="仿宋"/>
          <w:sz w:val="24"/>
        </w:rPr>
        <w:t xml:space="preserve">4.2甲方凭乙方开具的相应金额的、符合国家规定的[增值税专用/增值税普通/营业税/其他]发票支付本合同费用总额，并按以下第[  ]种方式向乙方付款：</w:t>
      </w:r>
      <w:r/>
    </w:p>
    <w:p>
      <w:pPr>
        <w:spacing w:line="360" w:lineRule="auto"/>
        <w:rPr>
          <w:rFonts w:hint="eastAsia" w:ascii="仿宋" w:hAnsi="仿宋" w:eastAsia="仿宋" w:cs="仿宋"/>
          <w:sz w:val="24"/>
        </w:rPr>
      </w:pPr>
      <w:r>
        <w:rPr>
          <w:rFonts w:hint="eastAsia" w:ascii="仿宋" w:hAnsi="仿宋" w:eastAsia="仿宋" w:cs="仿宋"/>
          <w:sz w:val="24"/>
        </w:rPr>
        <w:t xml:space="preserve">（1）一次性支付</w:t>
      </w:r>
      <w:r/>
    </w:p>
    <w:p>
      <w:pPr>
        <w:spacing w:line="360" w:lineRule="auto"/>
        <w:rPr>
          <w:rFonts w:hint="eastAsia" w:ascii="仿宋" w:hAnsi="仿宋" w:eastAsia="仿宋" w:cs="仿宋"/>
          <w:sz w:val="24"/>
        </w:rPr>
      </w:pPr>
      <w:r>
        <w:rPr>
          <w:rFonts w:hint="eastAsia" w:ascii="仿宋" w:hAnsi="仿宋" w:eastAsia="仿宋" w:cs="仿宋"/>
          <w:sz w:val="24"/>
        </w:rPr>
        <w:t xml:space="preserve">乙方完成服务工作并经甲方验收合格后[  ]个工作日内，甲方向乙方支付本合同费用总额。</w:t>
      </w:r>
      <w:r/>
    </w:p>
    <w:p>
      <w:pPr>
        <w:spacing w:line="360" w:lineRule="auto"/>
        <w:rPr>
          <w:rFonts w:hint="eastAsia" w:ascii="仿宋" w:hAnsi="仿宋" w:eastAsia="仿宋" w:cs="仿宋"/>
          <w:sz w:val="24"/>
        </w:rPr>
      </w:pPr>
      <w:r>
        <w:rPr>
          <w:rFonts w:hint="eastAsia" w:ascii="仿宋" w:hAnsi="仿宋" w:eastAsia="仿宋" w:cs="仿宋"/>
          <w:sz w:val="24"/>
        </w:rPr>
        <w:t xml:space="preserve">（2）分期支付</w:t>
      </w:r>
      <w:r/>
    </w:p>
    <w:p>
      <w:pPr>
        <w:spacing w:line="360" w:lineRule="auto"/>
        <w:rPr>
          <w:rFonts w:hint="eastAsia" w:ascii="仿宋" w:hAnsi="仿宋" w:eastAsia="仿宋" w:cs="仿宋"/>
          <w:sz w:val="24"/>
        </w:rPr>
      </w:pPr>
      <w:r>
        <w:rPr>
          <w:rFonts w:hint="eastAsia" w:ascii="仿宋" w:hAnsi="仿宋" w:eastAsia="仿宋" w:cs="仿宋"/>
          <w:sz w:val="24"/>
        </w:rPr>
        <w:t xml:space="preserve">甲方分期向乙方支付本合同费用总额：[  ]。</w:t>
      </w:r>
      <w:r/>
    </w:p>
    <w:p>
      <w:pPr>
        <w:spacing w:line="360" w:lineRule="auto"/>
        <w:rPr>
          <w:rFonts w:hint="eastAsia" w:ascii="仿宋" w:hAnsi="仿宋" w:eastAsia="仿宋" w:cs="仿宋"/>
          <w:sz w:val="24"/>
        </w:rPr>
      </w:pPr>
      <w:r>
        <w:rPr>
          <w:rFonts w:hint="eastAsia" w:ascii="仿宋" w:hAnsi="仿宋" w:eastAsia="仿宋" w:cs="仿宋"/>
          <w:sz w:val="24"/>
        </w:rPr>
        <w:t xml:space="preserve">4.3因乙方未按甲方要求出具相应票据导致的延迟付款，甲方不承担违约责任。</w:t>
      </w:r>
      <w:r/>
    </w:p>
    <w:p>
      <w:pPr>
        <w:spacing w:line="360" w:lineRule="auto"/>
        <w:rPr>
          <w:rFonts w:hint="eastAsia" w:ascii="仿宋" w:hAnsi="仿宋" w:eastAsia="仿宋" w:cs="仿宋"/>
          <w:sz w:val="24"/>
        </w:rPr>
      </w:pPr>
      <w:r>
        <w:rPr>
          <w:rFonts w:hint="eastAsia" w:ascii="仿宋" w:hAnsi="仿宋" w:eastAsia="仿宋" w:cs="仿宋"/>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spacing w:line="360" w:lineRule="auto"/>
        <w:rPr>
          <w:rFonts w:hint="eastAsia" w:ascii="仿宋" w:hAnsi="仿宋" w:eastAsia="仿宋" w:cs="仿宋"/>
          <w:sz w:val="24"/>
        </w:rPr>
      </w:pPr>
      <w:r>
        <w:rPr>
          <w:rFonts w:hint="eastAsia" w:ascii="仿宋" w:hAnsi="仿宋" w:eastAsia="仿宋" w:cs="仿宋"/>
          <w:sz w:val="24"/>
        </w:rPr>
        <w:t xml:space="preserve">4.5本合同费用总额的所有支付由甲方以[   ]（银行转账或承兑期不超过六个月的汇票、电汇、支票等方式）付至乙方。甲乙双方银行账户信息和纳税人信息：</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甲方信息如下：                          乙方信息如下：</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开户行：[  ]                            开户行：[  ]      </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户名：[  ]                              户名：[  ]</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账号：[  ]                              账号：[  ]</w:t>
      </w:r>
      <w:r/>
    </w:p>
    <w:p>
      <w:pPr>
        <w:spacing w:line="360" w:lineRule="auto"/>
        <w:rPr>
          <w:rFonts w:hint="eastAsia" w:ascii="仿宋" w:hAnsi="仿宋" w:eastAsia="仿宋" w:cs="仿宋"/>
          <w:sz w:val="24"/>
        </w:rPr>
      </w:pPr>
      <w:r>
        <w:rPr>
          <w:rFonts w:hint="eastAsia" w:ascii="仿宋" w:hAnsi="仿宋" w:eastAsia="仿宋" w:cs="仿宋"/>
          <w:sz w:val="24"/>
        </w:rPr>
        <w:t xml:space="preserve">行号：[  ]                              行号：[  ]</w:t>
      </w:r>
      <w:r/>
    </w:p>
    <w:p>
      <w:pPr>
        <w:spacing w:line="360" w:lineRule="auto"/>
        <w:rPr>
          <w:rFonts w:hint="eastAsia" w:ascii="仿宋" w:hAnsi="仿宋" w:eastAsia="仿宋" w:cs="仿宋"/>
          <w:sz w:val="24"/>
        </w:rPr>
      </w:pPr>
      <w:r>
        <w:rPr>
          <w:rFonts w:hint="eastAsia" w:ascii="仿宋" w:hAnsi="仿宋" w:eastAsia="仿宋" w:cs="仿宋"/>
          <w:sz w:val="24"/>
        </w:rPr>
        <w:t xml:space="preserve">4.6若根据本合同约定乙方应当支付违约金和/或承担赔偿责任，则甲方有权从上述任何一笔付款中直接扣除相应金额。</w:t>
      </w:r>
      <w:r/>
    </w:p>
    <w:p>
      <w:pPr>
        <w:spacing w:line="360" w:lineRule="auto"/>
        <w:rPr>
          <w:rFonts w:hint="eastAsia" w:ascii="仿宋" w:hAnsi="仿宋" w:eastAsia="仿宋" w:cs="仿宋"/>
          <w:sz w:val="24"/>
        </w:rPr>
      </w:pPr>
      <w:r>
        <w:rPr>
          <w:rFonts w:hint="eastAsia" w:ascii="仿宋" w:hAnsi="仿宋" w:eastAsia="仿宋" w:cs="仿宋"/>
          <w:sz w:val="24"/>
        </w:rPr>
        <w:t xml:space="preserve">第五条 保密</w:t>
      </w:r>
      <w:r/>
    </w:p>
    <w:p>
      <w:pPr>
        <w:spacing w:line="360" w:lineRule="auto"/>
        <w:rPr>
          <w:rFonts w:hint="eastAsia" w:ascii="仿宋" w:hAnsi="仿宋" w:eastAsia="仿宋" w:cs="仿宋"/>
          <w:sz w:val="24"/>
        </w:rPr>
      </w:pPr>
      <w:r>
        <w:rPr>
          <w:rFonts w:hint="eastAsia" w:ascii="仿宋" w:hAnsi="仿宋" w:eastAsia="仿宋" w:cs="仿宋"/>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spacing w:line="360" w:lineRule="auto"/>
        <w:rPr>
          <w:rFonts w:hint="eastAsia" w:ascii="仿宋" w:hAnsi="仿宋" w:eastAsia="仿宋" w:cs="仿宋"/>
          <w:sz w:val="24"/>
        </w:rPr>
      </w:pPr>
      <w:r>
        <w:rPr>
          <w:rFonts w:hint="eastAsia" w:ascii="仿宋" w:hAnsi="仿宋" w:eastAsia="仿宋" w:cs="仿宋"/>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spacing w:line="360" w:lineRule="auto"/>
        <w:rPr>
          <w:rFonts w:hint="eastAsia" w:ascii="仿宋" w:hAnsi="仿宋" w:eastAsia="仿宋" w:cs="仿宋"/>
          <w:sz w:val="24"/>
        </w:rPr>
      </w:pPr>
      <w:r>
        <w:rPr>
          <w:rFonts w:hint="eastAsia" w:ascii="仿宋" w:hAnsi="仿宋" w:eastAsia="仿宋" w:cs="仿宋"/>
          <w:sz w:val="24"/>
        </w:rPr>
        <w:t xml:space="preserve">5.3 当出现下述情况时，本条对保密资料的限制不适用。当保密资料：</w:t>
      </w:r>
      <w:r/>
    </w:p>
    <w:p>
      <w:pPr>
        <w:spacing w:line="360" w:lineRule="auto"/>
        <w:rPr>
          <w:rFonts w:hint="eastAsia" w:ascii="仿宋" w:hAnsi="仿宋" w:eastAsia="仿宋" w:cs="仿宋"/>
          <w:sz w:val="24"/>
        </w:rPr>
      </w:pPr>
      <w:r>
        <w:rPr>
          <w:rFonts w:hint="eastAsia" w:ascii="仿宋" w:hAnsi="仿宋" w:eastAsia="仿宋" w:cs="仿宋"/>
          <w:sz w:val="24"/>
        </w:rPr>
        <w:t xml:space="preserve">（1）并非乙方的过错而已经进入公有领域的。</w:t>
      </w:r>
      <w:r/>
    </w:p>
    <w:p>
      <w:pPr>
        <w:spacing w:line="360" w:lineRule="auto"/>
        <w:rPr>
          <w:rFonts w:hint="eastAsia" w:ascii="仿宋" w:hAnsi="仿宋" w:eastAsia="仿宋" w:cs="仿宋"/>
          <w:sz w:val="24"/>
        </w:rPr>
      </w:pPr>
      <w:r>
        <w:rPr>
          <w:rFonts w:hint="eastAsia" w:ascii="仿宋" w:hAnsi="仿宋" w:eastAsia="仿宋" w:cs="仿宋"/>
          <w:sz w:val="24"/>
        </w:rPr>
        <w:t xml:space="preserve">（2）已通过该方的有关记录证明是由乙方独立开发的。</w:t>
      </w:r>
      <w:r/>
    </w:p>
    <w:p>
      <w:pPr>
        <w:spacing w:line="360" w:lineRule="auto"/>
        <w:rPr>
          <w:rFonts w:hint="eastAsia" w:ascii="仿宋" w:hAnsi="仿宋" w:eastAsia="仿宋" w:cs="仿宋"/>
          <w:sz w:val="24"/>
        </w:rPr>
      </w:pPr>
      <w:r>
        <w:rPr>
          <w:rFonts w:hint="eastAsia" w:ascii="仿宋" w:hAnsi="仿宋" w:eastAsia="仿宋" w:cs="仿宋"/>
          <w:sz w:val="24"/>
        </w:rPr>
        <w:t xml:space="preserve">（3）由乙方从没有违反对甲方的保密义务的人合法取得的。或</w:t>
      </w:r>
      <w:r/>
    </w:p>
    <w:p>
      <w:pPr>
        <w:spacing w:line="360" w:lineRule="auto"/>
        <w:rPr>
          <w:rFonts w:hint="eastAsia" w:ascii="仿宋" w:hAnsi="仿宋" w:eastAsia="仿宋" w:cs="仿宋"/>
          <w:sz w:val="24"/>
        </w:rPr>
      </w:pPr>
      <w:r>
        <w:rPr>
          <w:rFonts w:hint="eastAsia" w:ascii="仿宋" w:hAnsi="仿宋" w:eastAsia="仿宋" w:cs="仿宋"/>
          <w:sz w:val="24"/>
        </w:rPr>
        <w:t xml:space="preserve">（4）法律要求乙方披露的，但乙方应在合理的时间提前通知甲方，使其得以采取其认为必要的保护措施。</w:t>
      </w:r>
      <w:r/>
    </w:p>
    <w:p>
      <w:pPr>
        <w:spacing w:line="360" w:lineRule="auto"/>
        <w:rPr>
          <w:rFonts w:hint="eastAsia" w:ascii="仿宋" w:hAnsi="仿宋" w:eastAsia="仿宋" w:cs="仿宋"/>
          <w:sz w:val="24"/>
        </w:rPr>
      </w:pPr>
      <w:r>
        <w:rPr>
          <w:rFonts w:hint="eastAsia" w:ascii="仿宋" w:hAnsi="仿宋" w:eastAsia="仿宋" w:cs="仿宋"/>
          <w:sz w:val="24"/>
        </w:rPr>
        <w:t xml:space="preserve">5.4如乙方违反本合同关于保密的约定，乙方应赔偿因此而给甲方造成的一切损失。</w:t>
      </w:r>
      <w:r/>
    </w:p>
    <w:p>
      <w:pPr>
        <w:spacing w:line="360" w:lineRule="auto"/>
        <w:rPr>
          <w:rFonts w:hint="eastAsia" w:ascii="仿宋" w:hAnsi="仿宋" w:eastAsia="仿宋" w:cs="仿宋"/>
          <w:sz w:val="24"/>
        </w:rPr>
      </w:pPr>
      <w:r>
        <w:rPr>
          <w:rFonts w:hint="eastAsia" w:ascii="仿宋" w:hAnsi="仿宋" w:eastAsia="仿宋" w:cs="仿宋"/>
          <w:sz w:val="24"/>
        </w:rPr>
        <w:t xml:space="preserve">5.5本保密条款自保密资料提供或披露之日起至本合同终止或解除后[  ]年内持续有效。</w:t>
      </w:r>
      <w:r/>
    </w:p>
    <w:p>
      <w:pPr>
        <w:spacing w:line="360" w:lineRule="auto"/>
        <w:rPr>
          <w:rFonts w:hint="eastAsia" w:ascii="仿宋" w:hAnsi="仿宋" w:eastAsia="仿宋" w:cs="仿宋"/>
          <w:sz w:val="24"/>
        </w:rPr>
      </w:pPr>
      <w:r>
        <w:rPr>
          <w:rFonts w:hint="eastAsia" w:ascii="仿宋" w:hAnsi="仿宋" w:eastAsia="仿宋" w:cs="仿宋"/>
          <w:sz w:val="24"/>
        </w:rPr>
        <w:t xml:space="preserve">第六条 未经甲方事先书面同意，乙方不得将本合同项目部分或全部服务工作转由第三人承担。</w:t>
      </w:r>
      <w:r/>
    </w:p>
    <w:p>
      <w:pPr>
        <w:spacing w:line="360" w:lineRule="auto"/>
        <w:rPr>
          <w:rFonts w:hint="eastAsia" w:ascii="仿宋" w:hAnsi="仿宋" w:eastAsia="仿宋" w:cs="仿宋"/>
          <w:sz w:val="24"/>
        </w:rPr>
      </w:pPr>
      <w:r>
        <w:rPr>
          <w:rFonts w:hint="eastAsia" w:ascii="仿宋" w:hAnsi="仿宋" w:eastAsia="仿宋" w:cs="仿宋"/>
          <w:sz w:val="24"/>
        </w:rPr>
        <w:t xml:space="preserve">第七条  侵权处理</w:t>
      </w:r>
      <w:r/>
    </w:p>
    <w:p>
      <w:pPr>
        <w:spacing w:line="360" w:lineRule="auto"/>
        <w:rPr>
          <w:rFonts w:hint="eastAsia" w:ascii="仿宋" w:hAnsi="仿宋" w:eastAsia="仿宋" w:cs="仿宋"/>
          <w:sz w:val="24"/>
        </w:rPr>
      </w:pPr>
      <w:r>
        <w:rPr>
          <w:rFonts w:hint="eastAsia" w:ascii="仿宋" w:hAnsi="仿宋" w:eastAsia="仿宋" w:cs="仿宋"/>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spacing w:line="360" w:lineRule="auto"/>
        <w:rPr>
          <w:rFonts w:hint="eastAsia" w:ascii="仿宋" w:hAnsi="仿宋" w:eastAsia="仿宋" w:cs="仿宋"/>
          <w:sz w:val="24"/>
        </w:rPr>
      </w:pPr>
      <w:r>
        <w:rPr>
          <w:rFonts w:hint="eastAsia" w:ascii="仿宋" w:hAnsi="仿宋" w:eastAsia="仿宋" w:cs="仿宋"/>
          <w:sz w:val="24"/>
        </w:rPr>
        <w:t xml:space="preserve">7.2如果在侵权指控的审理过程中有关机关禁止甲方继续使用服务成果的部分或全部，乙方应当采取以下措施之一：</w:t>
      </w:r>
      <w:r/>
    </w:p>
    <w:p>
      <w:pPr>
        <w:spacing w:line="360" w:lineRule="auto"/>
        <w:rPr>
          <w:rFonts w:hint="eastAsia" w:ascii="仿宋" w:hAnsi="仿宋" w:eastAsia="仿宋" w:cs="仿宋"/>
          <w:sz w:val="24"/>
        </w:rPr>
      </w:pPr>
      <w:r>
        <w:rPr>
          <w:rFonts w:hint="eastAsia" w:ascii="仿宋" w:hAnsi="仿宋" w:eastAsia="仿宋" w:cs="仿宋"/>
          <w:sz w:val="24"/>
        </w:rPr>
        <w:t xml:space="preserve">（1）使甲方重新免费获得使用上述服务成果的权利，或</w:t>
      </w:r>
      <w:r/>
    </w:p>
    <w:p>
      <w:pPr>
        <w:spacing w:line="360" w:lineRule="auto"/>
        <w:rPr>
          <w:rFonts w:hint="eastAsia" w:ascii="仿宋" w:hAnsi="仿宋" w:eastAsia="仿宋" w:cs="仿宋"/>
          <w:sz w:val="24"/>
        </w:rPr>
      </w:pPr>
      <w:r>
        <w:rPr>
          <w:rFonts w:hint="eastAsia" w:ascii="仿宋" w:hAnsi="仿宋" w:eastAsia="仿宋" w:cs="仿宋"/>
          <w:sz w:val="24"/>
        </w:rPr>
        <w:t xml:space="preserve">（2）免费更换或改造上述服务成果，使甲方不受上述禁令限制继续使用服务成果。</w:t>
      </w:r>
      <w:r/>
    </w:p>
    <w:p>
      <w:pPr>
        <w:spacing w:line="360" w:lineRule="auto"/>
        <w:rPr>
          <w:rFonts w:hint="eastAsia" w:ascii="仿宋" w:hAnsi="仿宋" w:eastAsia="仿宋" w:cs="仿宋"/>
          <w:sz w:val="24"/>
        </w:rPr>
      </w:pPr>
      <w:r>
        <w:rPr>
          <w:rFonts w:hint="eastAsia" w:ascii="仿宋" w:hAnsi="仿宋" w:eastAsia="仿宋" w:cs="仿宋"/>
          <w:sz w:val="24"/>
        </w:rPr>
        <w:t xml:space="preserve">（3）其它使甲方对服务成果拥有合法使用权，或其它弥补甲方受损利益、实现合同目的的合理方式。</w:t>
      </w:r>
      <w:r/>
    </w:p>
    <w:p>
      <w:pPr>
        <w:spacing w:line="360" w:lineRule="auto"/>
        <w:rPr>
          <w:rFonts w:hint="eastAsia" w:ascii="仿宋" w:hAnsi="仿宋" w:eastAsia="仿宋" w:cs="仿宋"/>
          <w:sz w:val="24"/>
        </w:rPr>
      </w:pPr>
      <w:r>
        <w:rPr>
          <w:rFonts w:hint="eastAsia" w:ascii="仿宋" w:hAnsi="仿宋" w:eastAsia="仿宋" w:cs="仿宋"/>
          <w:sz w:val="24"/>
        </w:rPr>
        <w:t xml:space="preserve">乙方采取上述措施不能免除乙方就甲方因此遭受的损失进行赔偿的义务。</w:t>
      </w:r>
      <w:r/>
    </w:p>
    <w:p>
      <w:pPr>
        <w:spacing w:line="360" w:lineRule="auto"/>
        <w:rPr>
          <w:rFonts w:hint="eastAsia" w:ascii="仿宋" w:hAnsi="仿宋" w:eastAsia="仿宋" w:cs="仿宋"/>
          <w:sz w:val="24"/>
        </w:rPr>
      </w:pPr>
      <w:r>
        <w:rPr>
          <w:rFonts w:hint="eastAsia" w:ascii="仿宋" w:hAnsi="仿宋" w:eastAsia="仿宋" w:cs="仿宋"/>
          <w:sz w:val="24"/>
        </w:rPr>
        <w:t xml:space="preserve">第八条 项目服务成果的权利归属</w:t>
      </w:r>
      <w:r/>
    </w:p>
    <w:p>
      <w:pPr>
        <w:spacing w:line="360" w:lineRule="auto"/>
        <w:rPr>
          <w:rFonts w:hint="eastAsia" w:ascii="仿宋" w:hAnsi="仿宋" w:eastAsia="仿宋" w:cs="仿宋"/>
          <w:sz w:val="24"/>
        </w:rPr>
      </w:pPr>
      <w:r>
        <w:rPr>
          <w:rFonts w:hint="eastAsia" w:ascii="仿宋" w:hAnsi="仿宋" w:eastAsia="仿宋" w:cs="仿宋"/>
          <w:sz w:val="24"/>
        </w:rPr>
        <w:t xml:space="preserve">8.1双方确定，乙方所完成的服务成果的所有权利，包括但不限于知识产权、专利申请权和所有权，归甲方所有。</w:t>
      </w:r>
      <w:r/>
    </w:p>
    <w:p>
      <w:pPr>
        <w:spacing w:line="360" w:lineRule="auto"/>
        <w:rPr>
          <w:rFonts w:hint="eastAsia" w:ascii="仿宋" w:hAnsi="仿宋" w:eastAsia="仿宋" w:cs="仿宋"/>
          <w:sz w:val="24"/>
        </w:rPr>
      </w:pPr>
      <w:r>
        <w:rPr>
          <w:rFonts w:hint="eastAsia" w:ascii="仿宋" w:hAnsi="仿宋" w:eastAsia="仿宋" w:cs="仿宋"/>
          <w:sz w:val="24"/>
        </w:rPr>
        <w:t xml:space="preserve">8.2双方确定，甲方利用乙方的服务成果所完成的新的成果的所有权利，包括但不限于知识产权、专利申请权和所有权，归甲方所有。</w:t>
      </w:r>
      <w:r/>
    </w:p>
    <w:p>
      <w:pPr>
        <w:spacing w:line="360" w:lineRule="auto"/>
        <w:rPr>
          <w:rFonts w:hint="eastAsia" w:ascii="仿宋" w:hAnsi="仿宋" w:eastAsia="仿宋" w:cs="仿宋"/>
          <w:sz w:val="24"/>
        </w:rPr>
      </w:pPr>
      <w:r>
        <w:rPr>
          <w:rFonts w:hint="eastAsia" w:ascii="仿宋" w:hAnsi="仿宋" w:eastAsia="仿宋" w:cs="仿宋"/>
          <w:sz w:val="24"/>
        </w:rPr>
        <w:t xml:space="preserve">8.3乙方未经甲方书面同意，不得使用本合同中涉及的内容与信息做任何形式的推广。</w:t>
      </w:r>
      <w:r/>
    </w:p>
    <w:p>
      <w:pPr>
        <w:spacing w:line="360" w:lineRule="auto"/>
        <w:rPr>
          <w:rFonts w:hint="eastAsia" w:ascii="仿宋" w:hAnsi="仿宋" w:eastAsia="仿宋" w:cs="仿宋"/>
          <w:sz w:val="24"/>
        </w:rPr>
      </w:pPr>
      <w:r>
        <w:rPr>
          <w:rFonts w:hint="eastAsia" w:ascii="仿宋" w:hAnsi="仿宋" w:eastAsia="仿宋" w:cs="仿宋"/>
          <w:sz w:val="24"/>
        </w:rPr>
        <w:t xml:space="preserve">第九条 违约责任</w:t>
      </w:r>
      <w:r/>
    </w:p>
    <w:p>
      <w:pPr>
        <w:spacing w:line="360" w:lineRule="auto"/>
        <w:rPr>
          <w:rFonts w:hint="eastAsia" w:ascii="仿宋" w:hAnsi="仿宋" w:eastAsia="仿宋" w:cs="仿宋"/>
          <w:sz w:val="24"/>
        </w:rPr>
      </w:pPr>
      <w:r>
        <w:rPr>
          <w:rFonts w:hint="eastAsia" w:ascii="仿宋" w:hAnsi="仿宋" w:eastAsia="仿宋" w:cs="仿宋"/>
          <w:sz w:val="24"/>
        </w:rPr>
        <w:t xml:space="preserve">9.1双方确定，任何一方未履行或未完全履行本合同项下的义务，均构成违约。违约方应赔偿因违约给对方造成的一切损失。</w:t>
      </w:r>
      <w:r/>
    </w:p>
    <w:p>
      <w:pPr>
        <w:spacing w:line="360" w:lineRule="auto"/>
        <w:rPr>
          <w:rFonts w:hint="eastAsia" w:ascii="仿宋" w:hAnsi="仿宋" w:eastAsia="仿宋" w:cs="仿宋"/>
          <w:sz w:val="24"/>
        </w:rPr>
      </w:pPr>
      <w:r>
        <w:rPr>
          <w:rFonts w:hint="eastAsia" w:ascii="仿宋" w:hAnsi="仿宋" w:eastAsia="仿宋" w:cs="仿宋"/>
          <w:sz w:val="24"/>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spacing w:line="360" w:lineRule="auto"/>
        <w:rPr>
          <w:rFonts w:hint="eastAsia" w:ascii="仿宋" w:hAnsi="仿宋" w:eastAsia="仿宋" w:cs="仿宋"/>
          <w:sz w:val="24"/>
        </w:rPr>
      </w:pPr>
      <w:r>
        <w:rPr>
          <w:rFonts w:hint="eastAsia" w:ascii="仿宋" w:hAnsi="仿宋" w:eastAsia="仿宋" w:cs="仿宋"/>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spacing w:line="360" w:lineRule="auto"/>
        <w:rPr>
          <w:rFonts w:hint="eastAsia" w:ascii="仿宋" w:hAnsi="仿宋" w:eastAsia="仿宋" w:cs="仿宋"/>
          <w:sz w:val="24"/>
        </w:rPr>
      </w:pPr>
      <w:r>
        <w:rPr>
          <w:rFonts w:hint="eastAsia" w:ascii="仿宋" w:hAnsi="仿宋" w:eastAsia="仿宋" w:cs="仿宋"/>
          <w:sz w:val="24"/>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spacing w:line="360" w:lineRule="auto"/>
        <w:rPr>
          <w:rFonts w:hint="eastAsia" w:ascii="仿宋" w:hAnsi="仿宋" w:eastAsia="仿宋" w:cs="仿宋"/>
          <w:sz w:val="24"/>
        </w:rPr>
      </w:pPr>
      <w:r>
        <w:rPr>
          <w:rFonts w:hint="eastAsia" w:ascii="仿宋" w:hAnsi="仿宋" w:eastAsia="仿宋" w:cs="仿宋"/>
          <w:sz w:val="24"/>
        </w:rPr>
        <w:t xml:space="preserve">第十一条 双方确定，出现下列情形之一，致使本合同的履行成为不必要或不可能的，可以解除本合同：</w:t>
      </w:r>
      <w:r/>
    </w:p>
    <w:p>
      <w:pPr>
        <w:spacing w:line="360" w:lineRule="auto"/>
        <w:rPr>
          <w:rFonts w:hint="eastAsia" w:ascii="仿宋" w:hAnsi="仿宋" w:eastAsia="仿宋" w:cs="仿宋"/>
          <w:sz w:val="24"/>
        </w:rPr>
      </w:pPr>
      <w:r>
        <w:rPr>
          <w:rFonts w:hint="eastAsia" w:ascii="仿宋" w:hAnsi="仿宋" w:eastAsia="仿宋" w:cs="仿宋"/>
          <w:sz w:val="24"/>
        </w:rPr>
        <w:t xml:space="preserve">11.1发生不可抗力。</w:t>
      </w:r>
      <w:r/>
    </w:p>
    <w:p>
      <w:pPr>
        <w:spacing w:line="360" w:lineRule="auto"/>
        <w:rPr>
          <w:rFonts w:hint="eastAsia" w:ascii="仿宋" w:hAnsi="仿宋" w:eastAsia="仿宋" w:cs="仿宋"/>
          <w:sz w:val="24"/>
        </w:rPr>
      </w:pPr>
      <w:r>
        <w:rPr>
          <w:rFonts w:hint="eastAsia" w:ascii="仿宋" w:hAnsi="仿宋" w:eastAsia="仿宋" w:cs="仿宋"/>
          <w:sz w:val="24"/>
        </w:rPr>
        <w:t xml:space="preserve">11.2[  ]。</w:t>
      </w:r>
      <w:r/>
    </w:p>
    <w:p>
      <w:pPr>
        <w:spacing w:line="360" w:lineRule="auto"/>
        <w:rPr>
          <w:rFonts w:hint="eastAsia" w:ascii="仿宋" w:hAnsi="仿宋" w:eastAsia="仿宋" w:cs="仿宋"/>
          <w:sz w:val="24"/>
        </w:rPr>
      </w:pPr>
      <w:r>
        <w:rPr>
          <w:rFonts w:hint="eastAsia" w:ascii="仿宋" w:hAnsi="仿宋" w:eastAsia="仿宋" w:cs="仿宋"/>
          <w:sz w:val="24"/>
        </w:rPr>
        <w:t xml:space="preserve">第十二条 法律适用和争议解决</w:t>
      </w:r>
      <w:r/>
    </w:p>
    <w:p>
      <w:pPr>
        <w:spacing w:line="360" w:lineRule="auto"/>
        <w:rPr>
          <w:rFonts w:hint="eastAsia" w:ascii="仿宋" w:hAnsi="仿宋" w:eastAsia="仿宋" w:cs="仿宋"/>
          <w:sz w:val="24"/>
        </w:rPr>
      </w:pPr>
      <w:r>
        <w:rPr>
          <w:rFonts w:hint="eastAsia" w:ascii="仿宋" w:hAnsi="仿宋" w:eastAsia="仿宋" w:cs="仿宋"/>
          <w:sz w:val="24"/>
        </w:rPr>
        <w:t xml:space="preserve">12.1本合同适用中华人民共和国法律。</w:t>
      </w:r>
      <w:r/>
    </w:p>
    <w:p>
      <w:pPr>
        <w:spacing w:line="360" w:lineRule="auto"/>
        <w:rPr>
          <w:rFonts w:hint="eastAsia" w:ascii="仿宋" w:hAnsi="仿宋" w:eastAsia="仿宋" w:cs="仿宋"/>
          <w:sz w:val="24"/>
        </w:rPr>
      </w:pPr>
      <w:r>
        <w:rPr>
          <w:rFonts w:hint="eastAsia" w:ascii="仿宋" w:hAnsi="仿宋" w:eastAsia="仿宋" w:cs="仿宋"/>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spacing w:line="360" w:lineRule="auto"/>
        <w:rPr>
          <w:rFonts w:hint="eastAsia" w:ascii="仿宋" w:hAnsi="仿宋" w:eastAsia="仿宋" w:cs="仿宋"/>
          <w:sz w:val="24"/>
        </w:rPr>
      </w:pPr>
      <w:r>
        <w:rPr>
          <w:rFonts w:hint="eastAsia" w:ascii="仿宋" w:hAnsi="仿宋" w:eastAsia="仿宋" w:cs="仿宋"/>
          <w:sz w:val="24"/>
        </w:rPr>
        <w:t xml:space="preserve">第十三条 双方确定，本合同及相关附件中所涉及的有关名词和技术术语，其定义和解释如下：</w:t>
      </w:r>
      <w:r/>
    </w:p>
    <w:p>
      <w:pPr>
        <w:spacing w:line="360" w:lineRule="auto"/>
        <w:rPr>
          <w:rFonts w:hint="eastAsia" w:ascii="仿宋" w:hAnsi="仿宋" w:eastAsia="仿宋" w:cs="仿宋"/>
          <w:sz w:val="24"/>
        </w:rPr>
      </w:pPr>
      <w:r>
        <w:rPr>
          <w:rFonts w:hint="eastAsia" w:ascii="仿宋" w:hAnsi="仿宋" w:eastAsia="仿宋" w:cs="仿宋"/>
          <w:sz w:val="24"/>
        </w:rPr>
        <w:t xml:space="preserve">13.1“不可抗力”：地震、台风、水灾、火灾、战争以及其它本合同各方不能预见，并且对其发生和后果不能防止或不能避免且不可克服的客观情况。 </w:t>
      </w:r>
      <w:r/>
    </w:p>
    <w:p>
      <w:pPr>
        <w:spacing w:line="360" w:lineRule="auto"/>
        <w:rPr>
          <w:rFonts w:hint="eastAsia" w:ascii="仿宋" w:hAnsi="仿宋" w:eastAsia="仿宋" w:cs="仿宋"/>
          <w:sz w:val="24"/>
        </w:rPr>
      </w:pPr>
      <w:r>
        <w:rPr>
          <w:rFonts w:hint="eastAsia" w:ascii="仿宋" w:hAnsi="仿宋" w:eastAsia="仿宋" w:cs="仿宋"/>
          <w:sz w:val="24"/>
        </w:rPr>
        <w:t xml:space="preserve">13.2[  ]。</w:t>
      </w:r>
      <w:r/>
    </w:p>
    <w:p>
      <w:pPr>
        <w:spacing w:line="360" w:lineRule="auto"/>
        <w:rPr>
          <w:rFonts w:hint="eastAsia" w:ascii="仿宋" w:hAnsi="仿宋" w:eastAsia="仿宋" w:cs="仿宋"/>
          <w:sz w:val="24"/>
        </w:rPr>
      </w:pPr>
      <w:r>
        <w:rPr>
          <w:rFonts w:hint="eastAsia" w:ascii="仿宋" w:hAnsi="仿宋" w:eastAsia="仿宋" w:cs="仿宋"/>
          <w:sz w:val="24"/>
        </w:rPr>
        <w:t xml:space="preserve">第十四条  双方约定本合同其他相关事项为：</w:t>
      </w:r>
      <w:r/>
    </w:p>
    <w:p>
      <w:pPr>
        <w:spacing w:line="360" w:lineRule="auto"/>
        <w:rPr>
          <w:rFonts w:hint="eastAsia" w:ascii="仿宋" w:hAnsi="仿宋" w:eastAsia="仿宋" w:cs="仿宋"/>
          <w:sz w:val="24"/>
        </w:rPr>
      </w:pPr>
      <w:r>
        <w:rPr>
          <w:rFonts w:hint="eastAsia" w:ascii="仿宋" w:hAnsi="仿宋" w:eastAsia="仿宋" w:cs="仿宋"/>
          <w:sz w:val="24"/>
        </w:rPr>
        <w:t xml:space="preserve">14.1任何一方未经另一方同意，不得向任何第三方透露本合同的签订及其内容。甲方向其关联公司透露的，不在此限。</w:t>
      </w:r>
      <w:r/>
    </w:p>
    <w:p>
      <w:pPr>
        <w:spacing w:line="360" w:lineRule="auto"/>
        <w:rPr>
          <w:rFonts w:hint="eastAsia" w:ascii="仿宋" w:hAnsi="仿宋" w:eastAsia="仿宋" w:cs="仿宋"/>
          <w:sz w:val="24"/>
        </w:rPr>
      </w:pPr>
      <w:r>
        <w:rPr>
          <w:rFonts w:hint="eastAsia" w:ascii="仿宋" w:hAnsi="仿宋" w:eastAsia="仿宋" w:cs="仿宋"/>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spacing w:line="360" w:lineRule="auto"/>
        <w:rPr>
          <w:rFonts w:hint="eastAsia" w:ascii="仿宋" w:hAnsi="仿宋" w:eastAsia="仿宋" w:cs="仿宋"/>
          <w:sz w:val="24"/>
        </w:rPr>
      </w:pPr>
      <w:r>
        <w:rPr>
          <w:rFonts w:hint="eastAsia" w:ascii="仿宋" w:hAnsi="仿宋" w:eastAsia="仿宋" w:cs="仿宋"/>
          <w:sz w:val="24"/>
        </w:rPr>
        <w:t xml:space="preserve">14.3本合同替代此前双方所有关于本合同事项的口头或书面的纪要、备忘录、合同和协议。</w:t>
      </w:r>
      <w:r/>
    </w:p>
    <w:p>
      <w:pPr>
        <w:spacing w:line="360" w:lineRule="auto"/>
        <w:rPr>
          <w:rFonts w:hint="eastAsia" w:ascii="仿宋" w:hAnsi="仿宋" w:eastAsia="仿宋" w:cs="仿宋"/>
          <w:sz w:val="24"/>
        </w:rPr>
      </w:pPr>
      <w:r>
        <w:rPr>
          <w:rFonts w:hint="eastAsia" w:ascii="仿宋" w:hAnsi="仿宋" w:eastAsia="仿宋" w:cs="仿宋"/>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spacing w:line="360" w:lineRule="auto"/>
        <w:rPr>
          <w:rFonts w:hint="eastAsia" w:ascii="仿宋" w:hAnsi="仿宋" w:eastAsia="仿宋" w:cs="仿宋"/>
          <w:sz w:val="24"/>
        </w:rPr>
      </w:pPr>
      <w:r>
        <w:rPr>
          <w:rFonts w:hint="eastAsia" w:ascii="仿宋" w:hAnsi="仿宋" w:eastAsia="仿宋" w:cs="仿宋"/>
          <w:sz w:val="24"/>
        </w:rPr>
        <w:t xml:space="preserve">第十五条 本合同自双方法定代表人或授权代表签字并加盖单位公章或合同专用章之日起生效。本合同一式[  ]份，甲方执[  ]份，乙方执[  ]份，具有同等法律效力。</w:t>
      </w:r>
      <w:r/>
    </w:p>
    <w:p>
      <w:pPr>
        <w:spacing w:line="360" w:lineRule="auto"/>
        <w:rPr>
          <w:rFonts w:hint="eastAsia" w:ascii="仿宋" w:hAnsi="仿宋" w:eastAsia="仿宋" w:cs="仿宋"/>
          <w:sz w:val="24"/>
        </w:rPr>
      </w:pPr>
      <w:r>
        <w:rPr>
          <w:rFonts w:hint="eastAsia" w:ascii="仿宋" w:hAnsi="仿宋" w:eastAsia="仿宋" w:cs="仿宋"/>
          <w:sz w:val="24"/>
        </w:rPr>
        <w:t xml:space="preserve">第十六条 附件为本合同不可分割的部分。若附件与合同正文有任何冲突，以合同正文为准。</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补充附页</w:t>
      </w:r>
      <w:r/>
    </w:p>
    <w:p>
      <w:pPr>
        <w:spacing w:line="360" w:lineRule="auto"/>
        <w:rPr>
          <w:rFonts w:hint="eastAsia" w:ascii="仿宋" w:hAnsi="仿宋" w:eastAsia="仿宋" w:cs="仿宋"/>
          <w:sz w:val="24"/>
        </w:rPr>
      </w:pPr>
      <w:r>
        <w:rPr>
          <w:rFonts w:hint="eastAsia" w:ascii="仿宋" w:hAnsi="仿宋" w:eastAsia="仿宋" w:cs="仿宋"/>
          <w:sz w:val="24"/>
        </w:rPr>
        <w:t xml:space="preserve">经友好协商，对本合同条款补充、修改如下，本补充附页为合同正文的一部分，与合同正文冲突时，以本补充附页为准：</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甲方：[  ]         </w:t>
      </w:r>
      <w:r/>
    </w:p>
    <w:p>
      <w:pPr>
        <w:spacing w:line="360" w:lineRule="auto"/>
        <w:rPr>
          <w:rFonts w:hint="eastAsia" w:ascii="仿宋" w:hAnsi="仿宋" w:eastAsia="仿宋" w:cs="仿宋"/>
          <w:sz w:val="24"/>
        </w:rPr>
      </w:pPr>
      <w:r>
        <w:rPr>
          <w:rFonts w:hint="eastAsia" w:ascii="仿宋" w:hAnsi="仿宋" w:eastAsia="仿宋" w:cs="仿宋"/>
          <w:sz w:val="24"/>
        </w:rPr>
        <w:t xml:space="preserve">法定代表人/负责人</w:t>
      </w:r>
      <w:r/>
    </w:p>
    <w:p>
      <w:pPr>
        <w:spacing w:line="360" w:lineRule="auto"/>
        <w:rPr>
          <w:rFonts w:hint="eastAsia" w:ascii="仿宋" w:hAnsi="仿宋" w:eastAsia="仿宋" w:cs="仿宋"/>
          <w:sz w:val="24"/>
        </w:rPr>
      </w:pPr>
      <w:r>
        <w:rPr>
          <w:rFonts w:hint="eastAsia" w:ascii="仿宋" w:hAnsi="仿宋" w:eastAsia="仿宋" w:cs="仿宋"/>
          <w:sz w:val="24"/>
        </w:rPr>
        <w:t xml:space="preserve">或授权代表：（签字）         </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  ]年[  ]月[  ]日</w:t>
      </w:r>
      <w:r/>
    </w:p>
    <w:p>
      <w:pPr>
        <w:spacing w:line="360" w:lineRule="auto"/>
        <w:rPr>
          <w:rFonts w:hint="eastAsia" w:ascii="仿宋" w:hAnsi="仿宋" w:eastAsia="仿宋" w:cs="仿宋"/>
          <w:sz w:val="24"/>
        </w:rPr>
      </w:pPr>
      <w:r>
        <w:rPr>
          <w:rFonts w:hint="eastAsia" w:ascii="仿宋" w:hAnsi="仿宋" w:eastAsia="仿宋" w:cs="仿宋"/>
          <w:sz w:val="24"/>
        </w:rPr>
        <w:t xml:space="preserve">乙方：[  ] </w:t>
      </w:r>
      <w:r/>
    </w:p>
    <w:p>
      <w:pPr>
        <w:spacing w:line="360" w:lineRule="auto"/>
        <w:rPr>
          <w:rFonts w:hint="eastAsia" w:ascii="仿宋" w:hAnsi="仿宋" w:eastAsia="仿宋" w:cs="仿宋"/>
          <w:sz w:val="24"/>
        </w:rPr>
      </w:pPr>
      <w:r>
        <w:rPr>
          <w:rFonts w:hint="eastAsia" w:ascii="仿宋" w:hAnsi="仿宋" w:eastAsia="仿宋" w:cs="仿宋"/>
          <w:sz w:val="24"/>
        </w:rPr>
        <w:t xml:space="preserve">法定代表人/负责人                     </w:t>
      </w:r>
      <w:r/>
    </w:p>
    <w:p>
      <w:pPr>
        <w:spacing w:line="360" w:lineRule="auto"/>
        <w:rPr>
          <w:rFonts w:hint="eastAsia" w:ascii="仿宋" w:hAnsi="仿宋" w:eastAsia="仿宋" w:cs="仿宋"/>
          <w:sz w:val="24"/>
        </w:rPr>
      </w:pPr>
      <w:r>
        <w:rPr>
          <w:rFonts w:hint="eastAsia" w:ascii="仿宋" w:hAnsi="仿宋" w:eastAsia="仿宋" w:cs="仿宋"/>
          <w:sz w:val="24"/>
        </w:rPr>
        <w:t xml:space="preserve">或授权代表：（签字）</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  ]年[  ]月[  ]日</w:t>
      </w:r>
      <w:r/>
    </w:p>
    <w:p>
      <w:pPr>
        <w:spacing w:line="360" w:lineRule="auto"/>
        <w:rPr>
          <w:rFonts w:hint="eastAsia" w:ascii="仿宋" w:hAnsi="仿宋" w:eastAsia="仿宋" w:cs="仿宋"/>
          <w:sz w:val="24"/>
        </w:rPr>
      </w:pPr>
      <w:r>
        <w:rPr>
          <w:rFonts w:hint="eastAsia" w:ascii="仿宋" w:hAnsi="仿宋" w:eastAsia="仿宋" w:cs="仿宋"/>
          <w:sz w:val="24"/>
        </w:rPr>
      </w:r>
      <w:r/>
    </w:p>
    <w:p>
      <w:pPr>
        <w:pStyle w:val="783"/>
        <w:numPr>
          <w:ilvl w:val="0"/>
          <w:numId w:val="0"/>
        </w:numPr>
        <w:ind w:firstLine="883"/>
        <w:keepLines w:val="0"/>
        <w:keepNext w:val="0"/>
        <w:pageBreakBefore/>
        <w:spacing w:after="312"/>
        <w:widowControl w:val="off"/>
        <w:rPr>
          <w:rFonts w:hint="eastAsia" w:ascii="仿宋" w:hAnsi="仿宋" w:eastAsia="仿宋" w:cs="仿宋"/>
          <w:b/>
          <w:bCs/>
          <w:sz w:val="44"/>
          <w:szCs w:val="44"/>
          <w:highlight w:val="none"/>
        </w:rPr>
      </w:pPr>
      <w:r/>
      <w:bookmarkStart w:id="115" w:name="_Toc12202"/>
      <w:r>
        <w:rPr>
          <w:rFonts w:hint="eastAsia" w:ascii="仿宋" w:hAnsi="仿宋" w:eastAsia="仿宋" w:cs="仿宋"/>
          <w:b/>
          <w:bCs/>
          <w:sz w:val="44"/>
          <w:szCs w:val="44"/>
          <w:highlight w:val="none"/>
        </w:rPr>
        <w:t xml:space="preserve">第四章 项目需求</w:t>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pStyle w:val="808"/>
        <w:numPr>
          <w:ilvl w:val="0"/>
          <w:numId w:val="7"/>
        </w:numPr>
        <w:ind w:left="-199" w:firstLine="0"/>
        <w:spacing w:line="360" w:lineRule="auto"/>
        <w:rPr>
          <w:rFonts w:hint="eastAsia" w:ascii="仿宋" w:hAnsi="仿宋" w:eastAsia="仿宋" w:cs="仿宋"/>
          <w:highlight w:val="none"/>
          <w:lang w:val="zh-CN"/>
        </w:rPr>
      </w:pPr>
      <w:r/>
      <w:bookmarkStart w:id="116" w:name="_Toc15806"/>
      <w:r/>
      <w:bookmarkStart w:id="117" w:name="_Toc8217"/>
      <w:r/>
      <w:bookmarkStart w:id="118" w:name="_Toc17095"/>
      <w:r/>
      <w:bookmarkStart w:id="119" w:name="_Toc16326"/>
      <w:r/>
      <w:bookmarkStart w:id="120" w:name="_Toc31247"/>
      <w:r/>
      <w:bookmarkStart w:id="121" w:name="_Toc6599"/>
      <w:r/>
      <w:bookmarkStart w:id="122" w:name="_Toc29781"/>
      <w:r/>
      <w:bookmarkStart w:id="123" w:name="_Toc7112"/>
      <w:r/>
      <w:bookmarkStart w:id="124" w:name="_Toc10141"/>
      <w:r/>
      <w:bookmarkStart w:id="125" w:name="_Toc17145"/>
      <w:r/>
      <w:bookmarkStart w:id="126" w:name="_Toc23308"/>
      <w:r/>
      <w:bookmarkStart w:id="127" w:name="_Toc26584"/>
      <w:r/>
      <w:bookmarkStart w:id="128" w:name="_Toc19017"/>
      <w:r/>
      <w:bookmarkStart w:id="129" w:name="_Toc20735"/>
      <w:r/>
      <w:bookmarkStart w:id="130" w:name="_Toc20222"/>
      <w:r/>
      <w:bookmarkStart w:id="131" w:name="_Toc4121"/>
      <w:r/>
      <w:bookmarkStart w:id="132" w:name="_Toc21448"/>
      <w:r/>
      <w:bookmarkStart w:id="133" w:name="_Toc20907"/>
      <w:r>
        <w:rPr>
          <w:rFonts w:hint="eastAsia" w:ascii="仿宋" w:hAnsi="仿宋" w:eastAsia="仿宋" w:cs="仿宋"/>
          <w:highlight w:val="none"/>
          <w:lang w:val="zh-CN"/>
        </w:rPr>
        <w:t xml:space="preserve">项目</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仿宋" w:hAnsi="仿宋" w:eastAsia="仿宋" w:cs="仿宋"/>
          <w:highlight w:val="none"/>
          <w:lang w:val="en-US" w:eastAsia="zh-CN"/>
        </w:rPr>
        <w:t xml:space="preserve">概况</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为进一步加强专项资金政策管理，提高财政资源配置效率和使用效益，</w:t>
      </w:r>
      <w:r>
        <w:rPr>
          <w:rFonts w:hint="eastAsia" w:ascii="仿宋" w:hAnsi="仿宋" w:eastAsia="仿宋" w:cs="仿宋"/>
          <w:color w:val="auto"/>
          <w:sz w:val="24"/>
          <w:szCs w:val="24"/>
          <w:highlight w:val="none"/>
          <w:lang w:bidi="ar"/>
        </w:rPr>
        <w:t xml:space="preserve">根据省财政厅</w:t>
      </w:r>
      <w:r>
        <w:rPr>
          <w:rFonts w:hint="eastAsia" w:ascii="仿宋" w:hAnsi="仿宋" w:eastAsia="仿宋" w:cs="仿宋"/>
          <w:color w:val="auto"/>
          <w:sz w:val="24"/>
          <w:szCs w:val="24"/>
          <w:lang w:bidi="ar"/>
        </w:rPr>
        <w:t xml:space="preserve">《江苏省财政厅关于202</w:t>
      </w:r>
      <w:r>
        <w:rPr>
          <w:rFonts w:hint="eastAsia" w:ascii="仿宋" w:hAnsi="仿宋" w:eastAsia="仿宋" w:cs="仿宋"/>
          <w:color w:val="auto"/>
          <w:sz w:val="24"/>
          <w:szCs w:val="24"/>
          <w:lang w:val="en-US" w:eastAsia="zh-CN" w:bidi="ar"/>
        </w:rPr>
        <w:t xml:space="preserve">4</w:t>
      </w:r>
      <w:r>
        <w:rPr>
          <w:rFonts w:hint="eastAsia" w:ascii="仿宋" w:hAnsi="仿宋" w:eastAsia="仿宋" w:cs="仿宋"/>
          <w:color w:val="auto"/>
          <w:sz w:val="24"/>
          <w:szCs w:val="24"/>
          <w:lang w:bidi="ar"/>
        </w:rPr>
        <w:t xml:space="preserve">年省级</w:t>
      </w:r>
      <w:r>
        <w:rPr>
          <w:rFonts w:hint="eastAsia" w:ascii="仿宋" w:hAnsi="仿宋" w:eastAsia="仿宋" w:cs="仿宋"/>
          <w:color w:val="auto"/>
          <w:sz w:val="24"/>
          <w:szCs w:val="24"/>
          <w:lang w:eastAsia="zh-CN" w:bidi="ar"/>
        </w:rPr>
        <w:t xml:space="preserve">部门单位开展财政支出</w:t>
      </w:r>
      <w:r>
        <w:rPr>
          <w:rFonts w:hint="eastAsia" w:ascii="仿宋" w:hAnsi="仿宋" w:eastAsia="仿宋" w:cs="仿宋"/>
          <w:color w:val="auto"/>
          <w:sz w:val="24"/>
          <w:szCs w:val="24"/>
          <w:lang w:bidi="ar"/>
        </w:rPr>
        <w:t xml:space="preserve">绩效评价工作的通知》（苏财绩〔202</w:t>
      </w:r>
      <w:r>
        <w:rPr>
          <w:rFonts w:hint="eastAsia" w:ascii="仿宋" w:hAnsi="仿宋" w:eastAsia="仿宋" w:cs="仿宋"/>
          <w:color w:val="auto"/>
          <w:sz w:val="24"/>
          <w:szCs w:val="24"/>
          <w:lang w:val="en-US" w:eastAsia="zh-CN" w:bidi="ar"/>
        </w:rPr>
        <w:t xml:space="preserve">4</w:t>
      </w:r>
      <w:r>
        <w:rPr>
          <w:rFonts w:hint="eastAsia" w:ascii="仿宋" w:hAnsi="仿宋" w:eastAsia="仿宋" w:cs="仿宋"/>
          <w:color w:val="auto"/>
          <w:sz w:val="24"/>
          <w:szCs w:val="24"/>
          <w:lang w:bidi="ar"/>
        </w:rPr>
        <w:t xml:space="preserve">〕</w:t>
      </w:r>
      <w:r>
        <w:rPr>
          <w:rFonts w:hint="eastAsia" w:ascii="仿宋" w:hAnsi="仿宋" w:eastAsia="仿宋" w:cs="仿宋"/>
          <w:color w:val="auto"/>
          <w:sz w:val="24"/>
          <w:szCs w:val="24"/>
          <w:lang w:val="en-US" w:eastAsia="zh-CN" w:bidi="ar"/>
        </w:rPr>
        <w:t xml:space="preserve">2</w:t>
      </w:r>
      <w:r>
        <w:rPr>
          <w:rFonts w:hint="eastAsia" w:ascii="仿宋" w:hAnsi="仿宋" w:eastAsia="仿宋" w:cs="仿宋"/>
          <w:color w:val="auto"/>
          <w:sz w:val="24"/>
          <w:szCs w:val="24"/>
          <w:lang w:bidi="ar"/>
        </w:rPr>
        <w:t xml:space="preserve">号）</w:t>
      </w:r>
      <w:r>
        <w:rPr>
          <w:rFonts w:hint="eastAsia" w:ascii="仿宋" w:hAnsi="仿宋" w:eastAsia="仿宋" w:cs="仿宋"/>
          <w:color w:val="auto"/>
          <w:sz w:val="24"/>
          <w:szCs w:val="24"/>
          <w:lang w:eastAsia="zh-CN" w:bidi="ar"/>
        </w:rPr>
        <w:t xml:space="preserve">、</w:t>
      </w:r>
      <w:r>
        <w:rPr>
          <w:rFonts w:hint="eastAsia" w:ascii="仿宋" w:hAnsi="仿宋" w:eastAsia="仿宋" w:cs="仿宋"/>
          <w:color w:val="auto"/>
          <w:sz w:val="24"/>
          <w:szCs w:val="24"/>
          <w:lang w:bidi="ar"/>
        </w:rPr>
        <w:t xml:space="preserve">《关于开展202</w:t>
      </w:r>
      <w:r>
        <w:rPr>
          <w:rFonts w:hint="eastAsia" w:ascii="仿宋" w:hAnsi="仿宋" w:eastAsia="仿宋" w:cs="仿宋"/>
          <w:color w:val="auto"/>
          <w:sz w:val="24"/>
          <w:szCs w:val="24"/>
          <w:lang w:val="en-US" w:eastAsia="zh-CN" w:bidi="ar"/>
        </w:rPr>
        <w:t xml:space="preserve">3</w:t>
      </w:r>
      <w:r>
        <w:rPr>
          <w:rFonts w:hint="eastAsia" w:ascii="仿宋" w:hAnsi="仿宋" w:eastAsia="仿宋" w:cs="仿宋"/>
          <w:color w:val="auto"/>
          <w:sz w:val="24"/>
          <w:szCs w:val="24"/>
          <w:lang w:bidi="ar"/>
        </w:rPr>
        <w:t xml:space="preserve">年度省级财政农业专项转移支付资金绩效评价工作的通知</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rPr>
        <w:t xml:space="preserve">苏农便〔202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112</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aps w:val="0"/>
          <w:color w:val="auto"/>
          <w:spacing w:val="0"/>
          <w:sz w:val="24"/>
          <w:szCs w:val="24"/>
          <w:lang w:eastAsia="zh-CN"/>
        </w:rPr>
        <w:t xml:space="preserve">《关于全面落实财政专项资金预算绩效管理工作的通知》（苏农办计〔2022〕8号）《关于进一步加强财政支农专项资金管理的实施意见》（苏财农〔202</w:t>
      </w:r>
      <w:r>
        <w:rPr>
          <w:rFonts w:hint="eastAsia" w:ascii="仿宋" w:hAnsi="仿宋" w:eastAsia="仿宋" w:cs="仿宋"/>
          <w:i w:val="0"/>
          <w:iCs w:val="0"/>
          <w:caps w:val="0"/>
          <w:color w:val="auto"/>
          <w:spacing w:val="0"/>
          <w:sz w:val="24"/>
          <w:szCs w:val="24"/>
          <w:lang w:val="en-US" w:eastAsia="zh-CN"/>
        </w:rPr>
        <w:t xml:space="preserve">3</w:t>
      </w:r>
      <w:r>
        <w:rPr>
          <w:rFonts w:hint="eastAsia" w:ascii="仿宋" w:hAnsi="仿宋" w:eastAsia="仿宋" w:cs="仿宋"/>
          <w:i w:val="0"/>
          <w:iCs w:val="0"/>
          <w:caps w:val="0"/>
          <w:color w:val="auto"/>
          <w:spacing w:val="0"/>
          <w:sz w:val="24"/>
          <w:szCs w:val="24"/>
          <w:lang w:eastAsia="zh-CN"/>
        </w:rPr>
        <w:t xml:space="preserve">〕</w:t>
      </w:r>
      <w:r>
        <w:rPr>
          <w:rFonts w:hint="eastAsia" w:ascii="仿宋" w:hAnsi="仿宋" w:eastAsia="仿宋" w:cs="仿宋"/>
          <w:i w:val="0"/>
          <w:iCs w:val="0"/>
          <w:caps w:val="0"/>
          <w:color w:val="auto"/>
          <w:spacing w:val="0"/>
          <w:sz w:val="24"/>
          <w:szCs w:val="24"/>
          <w:lang w:val="en-US" w:eastAsia="zh-CN"/>
        </w:rPr>
        <w:t xml:space="preserve">81号</w:t>
      </w:r>
      <w:r>
        <w:rPr>
          <w:rFonts w:hint="eastAsia" w:ascii="仿宋" w:hAnsi="仿宋" w:eastAsia="仿宋" w:cs="仿宋"/>
          <w:i w:val="0"/>
          <w:iCs w:val="0"/>
          <w:caps w:val="0"/>
          <w:color w:val="auto"/>
          <w:spacing w:val="0"/>
          <w:sz w:val="24"/>
          <w:szCs w:val="24"/>
          <w:lang w:eastAsia="zh-CN"/>
        </w:rPr>
        <w:t xml:space="preserve">）《江苏省农业农村厅专项资金绩效管理工作规程》等文件精神</w:t>
      </w:r>
      <w:r>
        <w:rPr>
          <w:rFonts w:hint="eastAsia" w:ascii="仿宋" w:hAnsi="仿宋" w:eastAsia="仿宋" w:cs="仿宋"/>
          <w:color w:val="auto"/>
          <w:sz w:val="24"/>
          <w:szCs w:val="24"/>
          <w:highlight w:val="none"/>
          <w:lang w:val="en-US" w:eastAsia="zh-CN" w:bidi="ar"/>
        </w:rPr>
        <w:t xml:space="preserve">，拟开展2022、2023年度</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省级财政农业专项转移支付资金部门绩效评价进行省级复评</w:t>
      </w:r>
      <w:r>
        <w:rPr>
          <w:rFonts w:hint="eastAsia" w:ascii="仿宋" w:hAnsi="仿宋" w:eastAsia="仿宋" w:cs="仿宋"/>
          <w:color w:val="auto"/>
          <w:sz w:val="24"/>
          <w:szCs w:val="24"/>
          <w:highlight w:val="none"/>
          <w:lang w:val="en-US" w:eastAsia="zh-CN" w:bidi="ar"/>
        </w:rPr>
        <w:t xml:space="preserve">和2022、2023年度省级专项资金政策绩效评价工作。</w:t>
      </w:r>
      <w:r/>
    </w:p>
    <w:p>
      <w:pPr>
        <w:pStyle w:val="808"/>
        <w:numPr>
          <w:ilvl w:val="0"/>
          <w:numId w:val="7"/>
        </w:numPr>
        <w:ind w:left="-199" w:firstLine="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工作目的、服务内容及要求</w:t>
      </w:r>
      <w:r/>
    </w:p>
    <w:p>
      <w:pPr>
        <w:numPr>
          <w:ilvl w:val="-1"/>
          <w:numId w:val="0"/>
        </w:numPr>
        <w:ind w:firstLine="482"/>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（一）2022、2023年度省级专项转移支付资金部门绩效评价省级复评</w:t>
      </w:r>
      <w:r/>
    </w:p>
    <w:p>
      <w:pPr>
        <w:numPr>
          <w:ilvl w:val="-1"/>
          <w:numId w:val="0"/>
        </w:num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2022、2023年度省级财政农业专项转移支付资金部门绩效评价省级复评。包括省级财政专项资金执行进度、工作任务完成情况和绩效目标实现等资金绩效情况、专项资金政策制定、分配立项、方案批复、项目验收、检查监管以及信息公开等部门监管情况。</w:t>
      </w:r>
      <w:r/>
    </w:p>
    <w:p>
      <w:pPr>
        <w:pStyle w:val="801"/>
        <w:numPr>
          <w:ilvl w:val="0"/>
          <w:numId w:val="8"/>
        </w:numP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复评工作目的</w:t>
      </w:r>
      <w:r/>
    </w:p>
    <w:p>
      <w:pPr>
        <w:numPr>
          <w:ilvl w:val="-1"/>
          <w:numId w:val="0"/>
        </w:numPr>
        <w:ind w:firstLine="480"/>
        <w:spacing w:line="360" w:lineRule="auto"/>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default" w:ascii="仿宋" w:hAnsi="仿宋" w:eastAsia="仿宋" w:cs="仿宋"/>
          <w:color w:val="000000" w:themeColor="text1"/>
          <w:sz w:val="24"/>
          <w:szCs w:val="24"/>
          <w:highlight w:val="none"/>
          <w:lang w:val="en-US" w:eastAsia="zh-CN" w:bidi="ar-SA"/>
          <w14:textFill>
            <w14:solidFill>
              <w14:schemeClr w14:val="tx1"/>
            </w14:solidFill>
          </w14:textFill>
        </w:rPr>
        <w:t xml:space="preserve">科学全面、客观真实地掌握市县专项资金使用情况，摸清专项资金使用规律，有针对性地优化专项资金管理配套政策，提高专项资金使用质效。</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采购人利用</w:t>
      </w:r>
      <w:r>
        <w:rPr>
          <w:rFonts w:hint="default" w:ascii="仿宋" w:hAnsi="仿宋" w:eastAsia="仿宋" w:cs="仿宋"/>
          <w:color w:val="000000" w:themeColor="text1"/>
          <w:sz w:val="24"/>
          <w:szCs w:val="24"/>
          <w:highlight w:val="none"/>
          <w:lang w:val="en-US" w:eastAsia="zh-CN" w:bidi="ar-SA"/>
          <w14:textFill>
            <w14:solidFill>
              <w14:schemeClr w14:val="tx1"/>
            </w14:solidFill>
          </w14:textFill>
        </w:rPr>
        <w:t xml:space="preserve">各地绩效复评结果作为2025年度资金分配测算、政策调整的重要依据，</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制定与</w:t>
      </w:r>
      <w:r>
        <w:rPr>
          <w:rFonts w:hint="default" w:ascii="仿宋" w:hAnsi="仿宋" w:eastAsia="仿宋" w:cs="仿宋"/>
          <w:color w:val="000000" w:themeColor="text1"/>
          <w:sz w:val="24"/>
          <w:szCs w:val="24"/>
          <w:highlight w:val="none"/>
          <w:lang w:val="en-US" w:eastAsia="zh-CN" w:bidi="ar-SA"/>
          <w14:textFill>
            <w14:solidFill>
              <w14:schemeClr w14:val="tx1"/>
            </w14:solidFill>
          </w14:textFill>
        </w:rPr>
        <w:t xml:space="preserve">绩效挂钩</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的</w:t>
      </w:r>
      <w:r>
        <w:rPr>
          <w:rFonts w:hint="default" w:ascii="仿宋" w:hAnsi="仿宋" w:eastAsia="仿宋" w:cs="仿宋"/>
          <w:color w:val="000000" w:themeColor="text1"/>
          <w:sz w:val="24"/>
          <w:szCs w:val="24"/>
          <w:highlight w:val="none"/>
          <w:lang w:val="en-US" w:eastAsia="zh-CN" w:bidi="ar-SA"/>
          <w14:textFill>
            <w14:solidFill>
              <w14:schemeClr w14:val="tx1"/>
            </w14:solidFill>
          </w14:textFill>
        </w:rPr>
        <w:t xml:space="preserve">资金分配和政策调整方案，应用于2025年省级专项转移支付资金分配。</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2、</w:t>
      </w:r>
      <w:r>
        <w:rPr>
          <w:rFonts w:hint="eastAsia" w:ascii="仿宋" w:hAnsi="仿宋" w:eastAsia="仿宋" w:cs="仿宋"/>
          <w:sz w:val="24"/>
          <w:szCs w:val="24"/>
          <w:highlight w:val="none"/>
          <w:lang w:bidi="ar"/>
        </w:rPr>
        <w:t xml:space="preserve">复评范围</w:t>
      </w:r>
      <w:r/>
    </w:p>
    <w:p>
      <w:pPr>
        <w:ind w:left="0" w:right="0"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bidi="ar"/>
        </w:rPr>
        <w:t xml:space="preserve">列入</w:t>
      </w:r>
      <w:r>
        <w:rPr>
          <w:rFonts w:hint="eastAsia" w:ascii="仿宋" w:hAnsi="仿宋" w:eastAsia="仿宋" w:cs="仿宋"/>
          <w:sz w:val="24"/>
          <w:szCs w:val="24"/>
          <w:highlight w:val="none"/>
          <w:lang w:eastAsia="zh-CN" w:bidi="ar"/>
        </w:rPr>
        <w:t xml:space="preserve">2022、2023</w:t>
      </w:r>
      <w:r>
        <w:rPr>
          <w:rFonts w:hint="eastAsia" w:ascii="仿宋" w:hAnsi="仿宋" w:eastAsia="仿宋" w:cs="仿宋"/>
          <w:sz w:val="24"/>
          <w:szCs w:val="24"/>
          <w:highlight w:val="none"/>
          <w:lang w:bidi="ar"/>
        </w:rPr>
        <w:t xml:space="preserve">年度预算并下达的省级现代农业发展专项资金、农业科技创新与推广补助专项资金、农业公共服务补助专项资金、农业生态保护与资源利用补助专项资金</w:t>
      </w:r>
      <w:r>
        <w:rPr>
          <w:rFonts w:hint="eastAsia" w:ascii="仿宋" w:hAnsi="仿宋" w:eastAsia="仿宋" w:cs="仿宋"/>
          <w:sz w:val="24"/>
          <w:szCs w:val="24"/>
          <w:highlight w:val="none"/>
          <w:lang w:eastAsia="zh-CN" w:bidi="ar"/>
        </w:rPr>
        <w:t xml:space="preserve">、乡村振兴衔接资金。</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3、</w:t>
      </w:r>
      <w:r>
        <w:rPr>
          <w:rFonts w:hint="eastAsia" w:ascii="仿宋" w:hAnsi="仿宋" w:eastAsia="仿宋" w:cs="仿宋"/>
          <w:sz w:val="24"/>
          <w:szCs w:val="24"/>
          <w:highlight w:val="none"/>
          <w:lang w:eastAsia="zh-CN" w:bidi="ar"/>
        </w:rPr>
        <w:t xml:space="preserve">评价</w:t>
      </w:r>
      <w:r>
        <w:rPr>
          <w:rFonts w:hint="eastAsia" w:ascii="仿宋" w:hAnsi="仿宋" w:eastAsia="仿宋" w:cs="仿宋"/>
          <w:sz w:val="24"/>
          <w:szCs w:val="24"/>
          <w:highlight w:val="none"/>
          <w:lang w:bidi="ar"/>
        </w:rPr>
        <w:t xml:space="preserve">内容</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bidi="ar"/>
        </w:rPr>
      </w:pPr>
      <w:r>
        <w:rPr>
          <w:rFonts w:hint="eastAsia" w:ascii="仿宋" w:hAnsi="仿宋" w:eastAsia="仿宋" w:cs="仿宋"/>
          <w:b w:val="0"/>
          <w:bCs w:val="0"/>
          <w:sz w:val="24"/>
          <w:szCs w:val="24"/>
          <w:highlight w:val="none"/>
          <w:lang w:eastAsia="zh-CN" w:bidi="ar"/>
        </w:rPr>
        <w:t xml:space="preserve">（</w:t>
      </w:r>
      <w:r>
        <w:rPr>
          <w:rFonts w:hint="eastAsia" w:ascii="仿宋" w:hAnsi="仿宋" w:eastAsia="仿宋" w:cs="仿宋"/>
          <w:b w:val="0"/>
          <w:bCs w:val="0"/>
          <w:sz w:val="24"/>
          <w:szCs w:val="24"/>
          <w:highlight w:val="none"/>
          <w:lang w:val="en-US" w:eastAsia="zh-CN" w:bidi="ar"/>
        </w:rPr>
        <w:t xml:space="preserve">1</w:t>
      </w:r>
      <w:r>
        <w:rPr>
          <w:rFonts w:hint="eastAsia" w:ascii="仿宋" w:hAnsi="仿宋" w:eastAsia="仿宋" w:cs="仿宋"/>
          <w:b w:val="0"/>
          <w:bCs w:val="0"/>
          <w:sz w:val="24"/>
          <w:szCs w:val="24"/>
          <w:highlight w:val="none"/>
          <w:lang w:eastAsia="zh-CN" w:bidi="ar"/>
        </w:rPr>
        <w:t xml:space="preserve">）</w:t>
      </w:r>
      <w:r>
        <w:rPr>
          <w:rFonts w:hint="eastAsia" w:ascii="仿宋" w:hAnsi="仿宋" w:eastAsia="仿宋" w:cs="仿宋"/>
          <w:b w:val="0"/>
          <w:bCs w:val="0"/>
          <w:sz w:val="24"/>
          <w:szCs w:val="24"/>
          <w:highlight w:val="none"/>
          <w:lang w:bidi="ar"/>
        </w:rPr>
        <w:t xml:space="preserve">资金绩效情况</w:t>
      </w:r>
      <w:r>
        <w:rPr>
          <w:rFonts w:hint="eastAsia" w:ascii="仿宋" w:hAnsi="仿宋" w:eastAsia="仿宋" w:cs="仿宋"/>
          <w:sz w:val="24"/>
          <w:szCs w:val="24"/>
          <w:highlight w:val="none"/>
          <w:lang w:bidi="ar"/>
        </w:rPr>
        <w:t xml:space="preserve">。省级财政专项资金执行进度、工作任务完成情况和绩效目标实现情况。</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bidi="ar"/>
        </w:rPr>
      </w:pPr>
      <w:r>
        <w:rPr>
          <w:rFonts w:hint="eastAsia" w:ascii="仿宋" w:hAnsi="仿宋" w:eastAsia="仿宋" w:cs="仿宋"/>
          <w:b w:val="0"/>
          <w:bCs w:val="0"/>
          <w:sz w:val="24"/>
          <w:szCs w:val="24"/>
          <w:highlight w:val="none"/>
          <w:lang w:val="en-US" w:eastAsia="zh-CN" w:bidi="ar"/>
        </w:rPr>
        <w:t xml:space="preserve">（2）</w:t>
      </w:r>
      <w:r>
        <w:rPr>
          <w:rFonts w:hint="eastAsia" w:ascii="仿宋" w:hAnsi="仿宋" w:eastAsia="仿宋" w:cs="仿宋"/>
          <w:b w:val="0"/>
          <w:bCs w:val="0"/>
          <w:sz w:val="24"/>
          <w:szCs w:val="24"/>
          <w:highlight w:val="none"/>
          <w:lang w:bidi="ar"/>
        </w:rPr>
        <w:t xml:space="preserve">部门监管情况</w:t>
      </w:r>
      <w:r>
        <w:rPr>
          <w:rFonts w:hint="eastAsia" w:ascii="仿宋" w:hAnsi="仿宋" w:eastAsia="仿宋" w:cs="仿宋"/>
          <w:sz w:val="24"/>
          <w:szCs w:val="24"/>
          <w:highlight w:val="none"/>
          <w:lang w:bidi="ar"/>
        </w:rPr>
        <w:t xml:space="preserve">。专项资金政策制定、分配立项、方案批复、项目验收、检查监管以及信息公开等情况。</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4、工作方法</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w:t>
      </w:r>
      <w:r>
        <w:rPr>
          <w:rFonts w:hint="eastAsia" w:ascii="仿宋" w:hAnsi="仿宋" w:eastAsia="仿宋" w:cs="仿宋"/>
          <w:sz w:val="24"/>
          <w:szCs w:val="24"/>
          <w:highlight w:val="none"/>
          <w:lang w:val="en-US" w:eastAsia="zh-CN" w:bidi="ar"/>
        </w:rPr>
        <w:t xml:space="preserve">1</w:t>
      </w:r>
      <w:r>
        <w:rPr>
          <w:rFonts w:hint="eastAsia" w:ascii="仿宋" w:hAnsi="仿宋" w:eastAsia="仿宋" w:cs="仿宋"/>
          <w:sz w:val="24"/>
          <w:szCs w:val="24"/>
          <w:highlight w:val="none"/>
          <w:lang w:bidi="ar"/>
        </w:rPr>
        <w:t xml:space="preserve">）现场复评</w:t>
      </w:r>
      <w:r>
        <w:rPr>
          <w:rFonts w:hint="eastAsia" w:ascii="仿宋" w:hAnsi="仿宋" w:eastAsia="仿宋" w:cs="仿宋"/>
          <w:sz w:val="24"/>
          <w:szCs w:val="24"/>
          <w:highlight w:val="none"/>
          <w:lang w:bidi="ar"/>
        </w:rPr>
        <w:t xml:space="preserve">。</w:t>
      </w:r>
      <w:r>
        <w:rPr>
          <w:rFonts w:hint="eastAsia" w:ascii="仿宋" w:hAnsi="仿宋" w:eastAsia="仿宋" w:cs="仿宋"/>
          <w:sz w:val="24"/>
          <w:szCs w:val="24"/>
          <w:highlight w:val="none"/>
          <w:lang w:eastAsia="zh-CN" w:bidi="ar"/>
        </w:rPr>
        <w:t xml:space="preserve">在省厅提供</w:t>
      </w:r>
      <w:r>
        <w:rPr>
          <w:rFonts w:hint="eastAsia" w:ascii="仿宋" w:hAnsi="仿宋" w:eastAsia="仿宋" w:cs="仿宋"/>
          <w:sz w:val="24"/>
          <w:szCs w:val="24"/>
          <w:highlight w:val="none"/>
          <w:lang w:bidi="ar"/>
        </w:rPr>
        <w:t xml:space="preserve">省级专项管理平台审核2022、2023年度市县填报的自评数据、归口处室自评数据、上报的书面佐证材料等资料</w:t>
      </w:r>
      <w:r>
        <w:rPr>
          <w:rFonts w:hint="eastAsia" w:ascii="仿宋" w:hAnsi="仿宋" w:eastAsia="仿宋" w:cs="仿宋"/>
          <w:sz w:val="24"/>
          <w:szCs w:val="24"/>
          <w:highlight w:val="none"/>
          <w:lang w:eastAsia="zh-CN" w:bidi="ar"/>
        </w:rPr>
        <w:t xml:space="preserve">的基础上，</w:t>
      </w:r>
      <w:r>
        <w:rPr>
          <w:rFonts w:hint="eastAsia" w:ascii="仿宋" w:hAnsi="仿宋" w:eastAsia="仿宋" w:cs="仿宋"/>
          <w:sz w:val="24"/>
          <w:szCs w:val="24"/>
          <w:highlight w:val="none"/>
          <w:lang w:bidi="ar"/>
        </w:rPr>
        <w:t xml:space="preserve">省级复评组分赴13个设区市，每个设区市随机抽取2个区县</w:t>
      </w:r>
      <w:r>
        <w:rPr>
          <w:rFonts w:hint="eastAsia" w:ascii="仿宋" w:hAnsi="仿宋" w:eastAsia="仿宋" w:cs="仿宋"/>
          <w:sz w:val="24"/>
          <w:szCs w:val="24"/>
          <w:highlight w:val="none"/>
          <w:lang w:eastAsia="zh-CN" w:bidi="ar"/>
        </w:rPr>
        <w:t xml:space="preserve">，选择部分项目</w:t>
      </w:r>
      <w:r>
        <w:rPr>
          <w:rFonts w:hint="eastAsia" w:ascii="仿宋" w:hAnsi="仿宋" w:eastAsia="仿宋" w:cs="仿宋"/>
          <w:sz w:val="24"/>
          <w:szCs w:val="24"/>
          <w:highlight w:val="none"/>
          <w:lang w:bidi="ar"/>
        </w:rPr>
        <w:t xml:space="preserve">对相关数据进行比对、核实。复评组依据项目现场核查情况，准确填写项目现场抽查工作底稿。</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w:t>
      </w:r>
      <w:r>
        <w:rPr>
          <w:rFonts w:hint="eastAsia" w:ascii="仿宋" w:hAnsi="仿宋" w:eastAsia="仿宋" w:cs="仿宋"/>
          <w:sz w:val="24"/>
          <w:szCs w:val="24"/>
          <w:highlight w:val="none"/>
          <w:lang w:val="en-US" w:eastAsia="zh-CN" w:bidi="ar"/>
        </w:rPr>
        <w:t xml:space="preserve">2</w:t>
      </w:r>
      <w:r>
        <w:rPr>
          <w:rFonts w:hint="eastAsia" w:ascii="仿宋" w:hAnsi="仿宋" w:eastAsia="仿宋" w:cs="仿宋"/>
          <w:sz w:val="24"/>
          <w:szCs w:val="24"/>
          <w:highlight w:val="none"/>
          <w:lang w:bidi="ar"/>
        </w:rPr>
        <w:t xml:space="preserve">）撰写报告</w:t>
      </w:r>
      <w:r>
        <w:rPr>
          <w:rFonts w:hint="eastAsia" w:ascii="仿宋" w:hAnsi="仿宋" w:eastAsia="仿宋" w:cs="仿宋"/>
          <w:sz w:val="24"/>
          <w:szCs w:val="24"/>
          <w:highlight w:val="none"/>
          <w:lang w:bidi="ar"/>
        </w:rPr>
        <w:t xml:space="preserve">。省级复评组在综合项目</w:t>
      </w:r>
      <w:r>
        <w:rPr>
          <w:rFonts w:hint="eastAsia" w:ascii="仿宋" w:hAnsi="仿宋" w:eastAsia="仿宋" w:cs="仿宋"/>
          <w:sz w:val="24"/>
          <w:szCs w:val="24"/>
          <w:highlight w:val="none"/>
          <w:lang w:eastAsia="zh-CN" w:bidi="ar"/>
        </w:rPr>
        <w:t xml:space="preserve">市县</w:t>
      </w:r>
      <w:r>
        <w:rPr>
          <w:rFonts w:hint="eastAsia" w:ascii="仿宋" w:hAnsi="仿宋" w:eastAsia="仿宋" w:cs="仿宋"/>
          <w:sz w:val="24"/>
          <w:szCs w:val="24"/>
          <w:highlight w:val="none"/>
          <w:lang w:bidi="ar"/>
        </w:rPr>
        <w:t xml:space="preserve">自评、现场</w:t>
      </w:r>
      <w:r>
        <w:rPr>
          <w:rFonts w:hint="eastAsia" w:ascii="仿宋" w:hAnsi="仿宋" w:eastAsia="仿宋" w:cs="仿宋"/>
          <w:sz w:val="24"/>
          <w:szCs w:val="24"/>
          <w:highlight w:val="none"/>
          <w:lang w:eastAsia="zh-CN" w:bidi="ar"/>
        </w:rPr>
        <w:t xml:space="preserve">复评、核查</w:t>
      </w:r>
      <w:r>
        <w:rPr>
          <w:rFonts w:hint="eastAsia" w:ascii="仿宋" w:hAnsi="仿宋" w:eastAsia="仿宋" w:cs="仿宋"/>
          <w:sz w:val="24"/>
          <w:szCs w:val="24"/>
          <w:highlight w:val="none"/>
          <w:lang w:bidi="ar"/>
        </w:rPr>
        <w:t xml:space="preserve">过程中发现问题</w:t>
      </w:r>
      <w:r>
        <w:rPr>
          <w:rFonts w:hint="eastAsia" w:ascii="仿宋" w:hAnsi="仿宋" w:eastAsia="仿宋" w:cs="仿宋"/>
          <w:sz w:val="24"/>
          <w:szCs w:val="24"/>
          <w:highlight w:val="none"/>
          <w:lang w:eastAsia="zh-CN" w:bidi="ar"/>
        </w:rPr>
        <w:t xml:space="preserve">和</w:t>
      </w:r>
      <w:r>
        <w:rPr>
          <w:rFonts w:hint="eastAsia" w:ascii="仿宋" w:hAnsi="仿宋" w:eastAsia="仿宋" w:cs="仿宋"/>
          <w:sz w:val="24"/>
          <w:szCs w:val="24"/>
          <w:highlight w:val="none"/>
          <w:lang w:bidi="ar"/>
        </w:rPr>
        <w:t xml:space="preserve">日常</w:t>
      </w:r>
      <w:r>
        <w:rPr>
          <w:rFonts w:hint="eastAsia" w:ascii="仿宋" w:hAnsi="仿宋" w:eastAsia="仿宋" w:cs="仿宋"/>
          <w:sz w:val="24"/>
          <w:szCs w:val="24"/>
          <w:highlight w:val="none"/>
          <w:lang w:eastAsia="zh-CN" w:bidi="ar"/>
        </w:rPr>
        <w:t xml:space="preserve">绩效监控数据</w:t>
      </w:r>
      <w:r>
        <w:rPr>
          <w:rFonts w:hint="eastAsia" w:ascii="仿宋" w:hAnsi="仿宋" w:eastAsia="仿宋" w:cs="仿宋"/>
          <w:sz w:val="24"/>
          <w:szCs w:val="24"/>
          <w:highlight w:val="none"/>
          <w:lang w:bidi="ar"/>
        </w:rPr>
        <w:t xml:space="preserve">的基础上，</w:t>
      </w:r>
      <w:r>
        <w:rPr>
          <w:rFonts w:hint="eastAsia" w:ascii="仿宋" w:hAnsi="仿宋" w:eastAsia="仿宋" w:cs="仿宋"/>
          <w:sz w:val="24"/>
          <w:szCs w:val="24"/>
          <w:highlight w:val="none"/>
          <w:lang w:eastAsia="zh-CN" w:bidi="ar"/>
        </w:rPr>
        <w:t xml:space="preserve">对绩效数据</w:t>
      </w:r>
      <w:r>
        <w:rPr>
          <w:rFonts w:hint="eastAsia" w:ascii="仿宋" w:hAnsi="仿宋" w:eastAsia="仿宋" w:cs="仿宋"/>
          <w:sz w:val="24"/>
          <w:szCs w:val="24"/>
        </w:rPr>
        <w:t xml:space="preserve">进行全面的定量、定性分析</w:t>
      </w:r>
      <w:r>
        <w:rPr>
          <w:rFonts w:hint="eastAsia" w:ascii="仿宋" w:hAnsi="仿宋" w:eastAsia="仿宋" w:cs="仿宋"/>
          <w:sz w:val="24"/>
          <w:szCs w:val="24"/>
          <w:lang w:eastAsia="zh-CN"/>
        </w:rPr>
        <w:t xml:space="preserve">，并</w:t>
      </w:r>
      <w:r>
        <w:rPr>
          <w:rFonts w:hint="eastAsia" w:ascii="仿宋" w:hAnsi="仿宋" w:eastAsia="仿宋" w:cs="仿宋"/>
          <w:sz w:val="24"/>
          <w:szCs w:val="24"/>
          <w:highlight w:val="none"/>
          <w:lang w:bidi="ar"/>
        </w:rPr>
        <w:t xml:space="preserve">进行复评打分</w:t>
      </w:r>
      <w:r>
        <w:rPr>
          <w:rFonts w:hint="eastAsia" w:ascii="仿宋" w:hAnsi="仿宋" w:eastAsia="仿宋" w:cs="仿宋"/>
          <w:sz w:val="24"/>
          <w:szCs w:val="24"/>
          <w:highlight w:val="none"/>
          <w:lang w:eastAsia="zh-CN" w:bidi="ar"/>
        </w:rPr>
        <w:t xml:space="preserve">，按年度分专项形成评价报告</w:t>
      </w:r>
      <w:r>
        <w:rPr>
          <w:rFonts w:hint="eastAsia" w:ascii="仿宋" w:hAnsi="仿宋" w:eastAsia="仿宋" w:cs="仿宋"/>
          <w:sz w:val="24"/>
          <w:szCs w:val="24"/>
          <w:highlight w:val="none"/>
          <w:lang w:bidi="ar"/>
        </w:rPr>
        <w:t xml:space="preserve">。</w:t>
      </w:r>
      <w:r/>
    </w:p>
    <w:p>
      <w:pPr>
        <w:pStyle w:val="801"/>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5、组织形式及安排</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（1）组织方式 由第三方服务机构与采购人相关业务处室组成省复评工作组，开展省级复评相关工作。</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（2）人员安排 每个复评组由采购人业务处室和第三方务机构人员组成。每组负责若干个设区市（含所辖区县）的复评工作。</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（3）时间安排。各地项目现场、各省级单位核查具体时间由复评组联络人与各地、各省级单位联系确定。 </w:t>
      </w:r>
      <w:r/>
    </w:p>
    <w:p>
      <w:pPr>
        <w:pStyle w:val="801"/>
        <w:spacing w:line="36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6、服务要求</w:t>
      </w:r>
      <w:r/>
    </w:p>
    <w:p>
      <w:pPr>
        <w:ind w:firstLine="480"/>
        <w:jc w:val="left"/>
        <w:keepLines w:val="0"/>
        <w:keepNext w:val="0"/>
        <w:pageBreakBefore w:val="0"/>
        <w:spacing w:line="560" w:lineRule="exact"/>
        <w:widowControl w:val="off"/>
        <w:rPr>
          <w:rFonts w:hint="default" w:ascii="仿宋" w:hAnsi="仿宋" w:eastAsia="仿宋" w:cs="仿宋"/>
          <w:sz w:val="24"/>
          <w:szCs w:val="24"/>
          <w:highlight w:val="none"/>
          <w:lang w:val="en-US" w:eastAsia="zh-CN" w:bidi="ar"/>
        </w:rPr>
      </w:pPr>
      <w:r>
        <w:rPr>
          <w:rFonts w:hint="default" w:ascii="仿宋" w:hAnsi="仿宋" w:eastAsia="仿宋" w:cs="仿宋"/>
          <w:sz w:val="24"/>
          <w:szCs w:val="24"/>
          <w:highlight w:val="none"/>
          <w:lang w:val="en-US" w:eastAsia="zh-CN" w:bidi="ar"/>
        </w:rPr>
        <w:t xml:space="preserve">省级复评工作要认真严谨、客观公正，现场核查要做到轻车简从，严格遵守各项廉洁纪律。评价机构离开核查现场前，确保所有工作完成、所有材料收齐。</w:t>
      </w:r>
      <w:r/>
    </w:p>
    <w:p>
      <w:pPr>
        <w:numPr>
          <w:ilvl w:val="-1"/>
          <w:numId w:val="0"/>
        </w:numPr>
        <w:ind w:firstLine="482"/>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(二) 2022、2023年度省级专项资金政策绩效评价</w:t>
      </w:r>
      <w:r/>
    </w:p>
    <w:p>
      <w:pPr>
        <w:pStyle w:val="801"/>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1、绩效评价目的</w:t>
      </w:r>
      <w:r/>
    </w:p>
    <w:p>
      <w:pPr>
        <w:ind w:firstLine="480"/>
        <w:jc w:val="left"/>
        <w:keepLines w:val="0"/>
        <w:keepNext w:val="0"/>
        <w:pageBreakBefore w:val="0"/>
        <w:spacing w:line="560" w:lineRule="exact"/>
        <w:widowControl w:val="off"/>
        <w:rPr>
          <w:rFonts w:hint="default" w:ascii="仿宋" w:hAnsi="仿宋" w:eastAsia="仿宋" w:cs="仿宋"/>
          <w:sz w:val="24"/>
          <w:szCs w:val="24"/>
          <w:highlight w:val="none"/>
          <w:lang w:val="en-US" w:eastAsia="zh-CN" w:bidi="ar"/>
        </w:rPr>
      </w:pPr>
      <w:r>
        <w:rPr>
          <w:rFonts w:hint="default" w:ascii="仿宋" w:hAnsi="仿宋" w:eastAsia="仿宋" w:cs="仿宋"/>
          <w:sz w:val="24"/>
          <w:szCs w:val="24"/>
          <w:highlight w:val="none"/>
          <w:lang w:val="en-US" w:eastAsia="zh-CN" w:bidi="ar"/>
        </w:rPr>
        <w:t xml:space="preserve">以绩效评价促进专项资金政策设置的优化。评价结果将与下一年度专项资金预算编制挂钩，作为资金安排和政策调整的重要依据。</w:t>
      </w:r>
      <w:r/>
    </w:p>
    <w:p>
      <w:pPr>
        <w:pStyle w:val="801"/>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2、绩效评价范围  2022、2023年度实施的新增或延续的政策项目</w:t>
      </w:r>
      <w:r/>
    </w:p>
    <w:p>
      <w:pPr>
        <w:pStyle w:val="801"/>
        <w:spacing w:line="360" w:lineRule="auto"/>
        <w:rPr>
          <w:rFonts w:hint="default"/>
          <w:lang w:val="en-US" w:eastAsia="zh-CN"/>
        </w:rPr>
      </w:pPr>
      <w:r>
        <w:rPr>
          <w:rFonts w:hint="eastAsia" w:ascii="仿宋" w:hAnsi="仿宋" w:eastAsia="仿宋" w:cs="仿宋"/>
          <w:color w:val="auto"/>
          <w:sz w:val="24"/>
          <w:szCs w:val="24"/>
          <w:highlight w:val="none"/>
          <w:lang w:val="en-US" w:eastAsia="zh-CN" w:bidi="ar"/>
        </w:rPr>
        <w:t xml:space="preserve">3、全面绩效评价服务的具体内容如下</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（1）政策设立的决策情况。政策立项是否经过可行性研究、事前绩效评估等；是否制定预期绩效目标。</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（2）资金的分配和使用情况。资金分配是否合理、绩效因素有无纳入资金分配因素、是否存在超标准、超范围安排资金等。</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（3）监管制度完善和执行情况。是否制定合理有效的监管制度并组织实施、是否及时完成市县绩效自评审核、是否完成年度政策资金绩效评价并按时报送。</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（4）绩效目标的产出情况。是否实现预期绩效目标，反映数量、质量、时效、成本等情况。</w:t>
      </w:r>
      <w:r/>
    </w:p>
    <w:p>
      <w:p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（5）绩效目标的效益情况。是否实现良好的社会效益、经济效益、生态效益、可持续影响效益等；群众对项目实施是否满意等相关内容。</w:t>
      </w:r>
      <w:r/>
    </w:p>
    <w:p>
      <w:pPr>
        <w:pStyle w:val="801"/>
        <w:spacing w:line="36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4、工作方法</w:t>
      </w:r>
      <w:r/>
    </w:p>
    <w:p>
      <w:pPr>
        <w:pStyle w:val="801"/>
        <w:spacing w:line="36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由第三方服务机构与采购人成立联合</w:t>
      </w:r>
      <w:r>
        <w:rPr>
          <w:rFonts w:hint="default" w:ascii="仿宋" w:hAnsi="仿宋" w:eastAsia="仿宋" w:cs="仿宋"/>
          <w:sz w:val="24"/>
          <w:szCs w:val="24"/>
          <w:highlight w:val="none"/>
          <w:lang w:val="en-US" w:eastAsia="zh-CN" w:bidi="ar"/>
        </w:rPr>
        <w:t xml:space="preserve">绩效评价工作组</w:t>
      </w:r>
      <w:r>
        <w:rPr>
          <w:rFonts w:hint="eastAsia" w:ascii="仿宋" w:hAnsi="仿宋" w:eastAsia="仿宋" w:cs="仿宋"/>
          <w:sz w:val="24"/>
          <w:szCs w:val="24"/>
          <w:highlight w:val="none"/>
          <w:lang w:val="en-US" w:eastAsia="zh-CN" w:bidi="ar"/>
        </w:rPr>
        <w:t xml:space="preserve">，通过资料审核、现场核查、问卷调查等方式，综合运用成本效益分析、因素分析、对比分析、专家评议等方法进行评价。绩效等级设置为优秀（成效显著）、良好（成效明显）、合格（成效一般）、不合格（成效较差）四级，按百分制进行评分：90分（含）以上为优秀；80分（含）-89分为良好；60分（含）-79分为合格；低于60分为不合格。</w:t>
      </w:r>
      <w:r/>
    </w:p>
    <w:p>
      <w:pPr>
        <w:numPr>
          <w:ilvl w:val="0"/>
          <w:numId w:val="9"/>
        </w:numPr>
        <w:ind w:firstLine="480"/>
        <w:jc w:val="left"/>
        <w:keepLines w:val="0"/>
        <w:keepNext w:val="0"/>
        <w:pageBreakBefore w:val="0"/>
        <w:spacing w:line="56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依据采购人归口处室梳理政策设置以来的相关资料（绩效自评表、自评报告、资料清单等），对照绩效评价指标体系审核归口处室报送数据，根据审核情况，结合2022、2023年度省级绩效复评选择部分市县进行延伸核查，通过查阅市县相关项目资料，项目实地勘察、组织问卷调查等方式，查实有关情况。</w:t>
      </w:r>
      <w:r/>
    </w:p>
    <w:p>
      <w:pPr>
        <w:numPr>
          <w:ilvl w:val="0"/>
          <w:numId w:val="9"/>
        </w:numPr>
        <w:ind w:firstLine="480"/>
        <w:jc w:val="left"/>
        <w:keepLines w:val="0"/>
        <w:keepNext w:val="0"/>
        <w:pageBreakBefore w:val="0"/>
        <w:spacing w:line="560" w:lineRule="exact"/>
        <w:widowControl w:val="off"/>
        <w:rPr>
          <w:rFonts w:hint="default" w:ascii="仿宋" w:hAnsi="仿宋" w:eastAsia="仿宋" w:cs="仿宋"/>
          <w:sz w:val="24"/>
          <w:szCs w:val="24"/>
          <w:highlight w:val="none"/>
          <w:lang w:val="en-US" w:eastAsia="zh-CN" w:bidi="ar"/>
        </w:rPr>
      </w:pPr>
      <w:r>
        <w:rPr>
          <w:rFonts w:hint="default" w:ascii="仿宋" w:hAnsi="仿宋" w:eastAsia="仿宋" w:cs="仿宋"/>
          <w:sz w:val="24"/>
          <w:szCs w:val="24"/>
          <w:highlight w:val="none"/>
          <w:lang w:val="en-US" w:eastAsia="zh-CN" w:bidi="ar"/>
        </w:rPr>
        <w:t xml:space="preserve">绩效评价工作结束后，绩效评价工作组对评价情况进行整理汇总，综合分析，形成初步结论，以书面形式征求意见。归口处室对绩效评价结论有意见的，应提交书面说明。工作组根据工作底稿等资料，综合各方面意见，形成最终结论，并反馈相关评价结果，提出整改措施，限期整改。</w:t>
      </w:r>
      <w:r/>
    </w:p>
    <w:p>
      <w:pPr>
        <w:pStyle w:val="801"/>
        <w:spacing w:line="36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5、工作要求</w:t>
      </w:r>
      <w:r/>
    </w:p>
    <w:p>
      <w:pPr>
        <w:numPr>
          <w:ilvl w:val="0"/>
          <w:numId w:val="0"/>
        </w:numPr>
        <w:ind w:firstLine="480"/>
        <w:spacing w:line="360" w:lineRule="auto"/>
        <w:rPr>
          <w:rFonts w:hint="default"/>
          <w:lang w:val="en-US" w:eastAsia="zh-CN"/>
        </w:rPr>
      </w:pPr>
      <w:r>
        <w:rPr>
          <w:rFonts w:hint="default" w:ascii="仿宋" w:hAnsi="仿宋" w:eastAsia="仿宋" w:cs="仿宋"/>
          <w:sz w:val="24"/>
          <w:szCs w:val="24"/>
          <w:highlight w:val="none"/>
          <w:lang w:val="en-US" w:eastAsia="zh-CN" w:bidi="ar"/>
        </w:rPr>
        <w:t xml:space="preserve">绩效评价工作组要严格遵守保密、回避、廉洁自律等有关制度规定，确保评价结果的独立、客观和公正，不得在规定的程序之外对评价工作施加倾向性影响，不得干预和影响项目实施单位的正常工作秩序。</w:t>
      </w:r>
      <w:r/>
    </w:p>
    <w:p>
      <w:pPr>
        <w:pStyle w:val="808"/>
        <w:numPr>
          <w:ilvl w:val="-1"/>
          <w:numId w:val="0"/>
        </w:numPr>
        <w:ind w:left="-199" w:firstLine="0"/>
        <w:spacing w:line="360" w:lineRule="auto"/>
        <w:rPr>
          <w:rFonts w:hint="eastAsia" w:ascii="仿宋" w:hAnsi="仿宋" w:eastAsia="仿宋" w:cs="仿宋"/>
          <w:highlight w:val="none"/>
          <w:lang w:val="zh-CN"/>
        </w:rPr>
      </w:pPr>
      <w:r/>
      <w:bookmarkStart w:id="134" w:name="_Toc26169"/>
      <w:r/>
      <w:bookmarkStart w:id="135" w:name="_Toc14557"/>
      <w:r/>
      <w:bookmarkStart w:id="136" w:name="_Toc27805"/>
      <w:r/>
      <w:bookmarkStart w:id="137" w:name="_Toc19488"/>
      <w:r/>
      <w:bookmarkStart w:id="138" w:name="_Toc15598"/>
      <w:r/>
      <w:bookmarkStart w:id="139" w:name="_Toc1110"/>
      <w:r/>
      <w:bookmarkStart w:id="140" w:name="_Toc4950"/>
      <w:r/>
      <w:bookmarkStart w:id="141" w:name="_Toc13566"/>
      <w:r/>
      <w:bookmarkStart w:id="142" w:name="_Toc2066"/>
      <w:r/>
      <w:bookmarkStart w:id="143" w:name="_Toc3953"/>
      <w:r>
        <w:rPr>
          <w:rFonts w:hint="eastAsia" w:ascii="仿宋" w:hAnsi="仿宋" w:eastAsia="仿宋" w:cs="仿宋"/>
          <w:highlight w:val="none"/>
          <w:lang w:val="en-US" w:eastAsia="zh-CN"/>
        </w:rPr>
        <w:t xml:space="preserve">三、质量标准</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质量标准：按照绩效评价程序要求及时、真实、准确、全面反映资金使用及项目实施情况，评价工作要认真严谨、客观公正，严格遵守各项廉洁纪律，确保所有工作完成、所有资料收齐。</w:t>
      </w:r>
      <w:bookmarkEnd w:id="134"/>
      <w:bookmarkEnd w:id="135"/>
      <w:bookmarkEnd w:id="136"/>
      <w:bookmarkEnd w:id="137"/>
      <w:bookmarkEnd w:id="138"/>
      <w:bookmarkEnd w:id="139"/>
      <w:bookmarkEnd w:id="140"/>
      <w:bookmarkEnd w:id="141"/>
      <w:bookmarkEnd w:id="142"/>
      <w:bookmarkEnd w:id="143"/>
      <w:r/>
    </w:p>
    <w:p>
      <w:pPr>
        <w:pStyle w:val="808"/>
        <w:numPr>
          <w:ilvl w:val="-1"/>
          <w:numId w:val="0"/>
        </w:numPr>
        <w:ind w:left="-199" w:firstLine="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四、商务要求</w:t>
      </w:r>
      <w:r/>
    </w:p>
    <w:p>
      <w:pPr>
        <w:numPr>
          <w:ilvl w:val="0"/>
          <w:numId w:val="0"/>
        </w:numPr>
        <w:ind w:firstLine="2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1、服务期限：合同签订后90天完成。</w:t>
      </w:r>
      <w:r/>
    </w:p>
    <w:p>
      <w:pPr>
        <w:numPr>
          <w:ilvl w:val="0"/>
          <w:numId w:val="0"/>
        </w:numPr>
        <w:ind w:firstLine="2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2、服务地点:采购人指定。</w:t>
      </w:r>
      <w:r/>
    </w:p>
    <w:p>
      <w:pPr>
        <w:numPr>
          <w:ilvl w:val="0"/>
          <w:numId w:val="0"/>
        </w:numPr>
        <w:ind w:firstLine="24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3、成果要求：第三方机构完成省级复评并报送绩效评价工作报告。</w:t>
      </w:r>
      <w:r/>
    </w:p>
    <w:p>
      <w:pPr>
        <w:numPr>
          <w:ilvl w:val="0"/>
          <w:numId w:val="0"/>
        </w:numPr>
        <w:ind w:firstLine="24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4、付款方式：合同签定后支付合同总金额的30%；完成绩效评价工作并交付成果报告后，支付合同总金额的70%。</w:t>
      </w:r>
      <w:r/>
    </w:p>
    <w:p>
      <w:pPr>
        <w:numPr>
          <w:ilvl w:val="0"/>
          <w:numId w:val="0"/>
        </w:numPr>
        <w:ind w:firstLine="24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
          <w:bCs w:val="0"/>
          <w:i/>
          <w:iCs/>
          <w:sz w:val="24"/>
          <w:szCs w:val="24"/>
          <w:highlight w:val="none"/>
          <w:u w:val="single"/>
          <w:lang w:val="en-US" w:eastAsia="zh-CN"/>
        </w:rPr>
        <w:t xml:space="preserve">其他要求：</w:t>
      </w:r>
      <w:r>
        <w:rPr>
          <w:rFonts w:hint="eastAsia" w:ascii="仿宋" w:hAnsi="仿宋" w:eastAsia="仿宋" w:cs="仿宋"/>
          <w:b/>
          <w:i/>
          <w:iCs/>
          <w:sz w:val="24"/>
          <w:szCs w:val="24"/>
          <w:highlight w:val="none"/>
          <w:u w:val="single"/>
          <w:lang w:val="en-US" w:eastAsia="zh-CN"/>
        </w:rPr>
        <w:t xml:space="preserve">所有报价、承诺事项及</w:t>
      </w:r>
      <w:r>
        <w:rPr>
          <w:rFonts w:hint="eastAsia" w:ascii="仿宋" w:hAnsi="仿宋" w:eastAsia="仿宋" w:cs="仿宋"/>
          <w:b/>
          <w:i/>
          <w:iCs/>
          <w:sz w:val="24"/>
          <w:szCs w:val="24"/>
          <w:u w:val="single"/>
          <w:lang w:val="en-US" w:eastAsia="zh-CN"/>
        </w:rPr>
        <w:t xml:space="preserve">重要证明文件均须加盖公司公章。</w:t>
      </w:r>
      <w:r/>
    </w:p>
    <w:p>
      <w:pPr>
        <w:rPr>
          <w:rFonts w:hint="eastAsia" w:ascii="仿宋" w:hAnsi="仿宋" w:eastAsia="仿宋" w:cs="仿宋"/>
          <w:sz w:val="21"/>
        </w:rPr>
      </w:pPr>
      <w:r>
        <w:rPr>
          <w:rFonts w:hint="eastAsia" w:ascii="仿宋" w:hAnsi="仿宋" w:eastAsia="仿宋" w:cs="仿宋"/>
          <w:b w:val="0"/>
          <w:bCs/>
          <w:color w:val="000000"/>
          <w:sz w:val="21"/>
          <w:szCs w:val="21"/>
          <w:lang w:val="en-US" w:eastAsia="zh-CN" w:bidi="ar-SA"/>
        </w:rPr>
        <w:br w:type="page" w:clear="all"/>
      </w:r>
      <w:r/>
    </w:p>
    <w:p>
      <w:pPr>
        <w:pStyle w:val="807"/>
        <w:pageBreakBefore/>
        <w:spacing w:after="312" w:line="360" w:lineRule="auto"/>
        <w:rPr>
          <w:rFonts w:hint="eastAsia" w:ascii="仿宋" w:hAnsi="仿宋" w:eastAsia="仿宋" w:cs="仿宋"/>
          <w:color w:val="000000"/>
          <w:sz w:val="40"/>
          <w:highlight w:val="none"/>
        </w:rPr>
      </w:pPr>
      <w:r/>
      <w:bookmarkStart w:id="144" w:name="_Toc25710"/>
      <w:r/>
      <w:bookmarkStart w:id="145" w:name="_Toc4369"/>
      <w:r/>
      <w:bookmarkStart w:id="146" w:name="_Toc12740"/>
      <w:r/>
      <w:bookmarkStart w:id="147" w:name="_Toc10125"/>
      <w:r/>
      <w:bookmarkStart w:id="148" w:name="_Toc26188"/>
      <w:r/>
      <w:bookmarkStart w:id="149" w:name="_Toc20507"/>
      <w:r/>
      <w:bookmarkStart w:id="150" w:name="_Toc2013"/>
      <w:r/>
      <w:bookmarkStart w:id="151" w:name="_Toc30554"/>
      <w:r/>
      <w:bookmarkStart w:id="152" w:name="_Toc6651"/>
      <w:r/>
      <w:bookmarkStart w:id="153" w:name="_Toc8215"/>
      <w:r/>
      <w:bookmarkStart w:id="154" w:name="_Toc11206"/>
      <w:r/>
      <w:bookmarkStart w:id="155" w:name="_Toc14747"/>
      <w:r>
        <w:rPr>
          <w:rFonts w:hint="eastAsia" w:ascii="仿宋" w:hAnsi="仿宋" w:eastAsia="仿宋" w:cs="仿宋"/>
          <w:color w:val="000000"/>
          <w:sz w:val="40"/>
          <w:highlight w:val="none"/>
        </w:rPr>
        <w:t xml:space="preserve">第五章 评审方法与评审标准</w:t>
      </w:r>
      <w:bookmarkEnd w:id="96"/>
      <w:r/>
      <w:bookmarkEnd w:id="97"/>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pStyle w:val="808"/>
        <w:jc w:val="both"/>
        <w:spacing w:line="360" w:lineRule="auto"/>
        <w:rPr>
          <w:rFonts w:hint="eastAsia" w:ascii="仿宋" w:hAnsi="仿宋" w:eastAsia="仿宋" w:cs="仿宋"/>
          <w:highlight w:val="none"/>
        </w:rPr>
      </w:pPr>
      <w:r/>
      <w:bookmarkStart w:id="156" w:name="_Toc27014"/>
      <w:r/>
      <w:bookmarkStart w:id="157" w:name="_Toc20057"/>
      <w:r/>
      <w:bookmarkStart w:id="158" w:name="_Toc10921"/>
      <w:r/>
      <w:bookmarkStart w:id="159" w:name="_Toc19406"/>
      <w:r/>
      <w:bookmarkStart w:id="160" w:name="_Toc28602"/>
      <w:r/>
      <w:bookmarkStart w:id="161" w:name="_Toc24443"/>
      <w:r/>
      <w:bookmarkStart w:id="162" w:name="_Toc29596"/>
      <w:r/>
      <w:bookmarkStart w:id="163" w:name="_Toc28173"/>
      <w:r/>
      <w:bookmarkStart w:id="164" w:name="_Toc29851"/>
      <w:r/>
      <w:bookmarkStart w:id="165" w:name="_Toc8431"/>
      <w:r>
        <w:rPr>
          <w:rFonts w:hint="eastAsia" w:ascii="仿宋" w:hAnsi="仿宋" w:eastAsia="仿宋" w:cs="仿宋"/>
          <w:highlight w:val="none"/>
        </w:rPr>
        <w:t xml:space="preserve">一、评审方法与评审原则</w:t>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磋商小组将对确定为实质性响应采购文件要求的响应文件进行评价和比较，评审采用综合评分法。采用综合评分法的，评审结果按评审后得分由高到低顺序排列。得分相同的，按磋商</w:t>
      </w:r>
      <w:r>
        <w:rPr>
          <w:rFonts w:hint="eastAsia" w:ascii="仿宋" w:hAnsi="仿宋" w:eastAsia="仿宋" w:cs="仿宋"/>
          <w:sz w:val="24"/>
          <w:szCs w:val="24"/>
          <w:highlight w:val="none"/>
        </w:rPr>
        <w:t xml:space="preserve">最终</w:t>
      </w:r>
      <w:r>
        <w:rPr>
          <w:rFonts w:hint="eastAsia" w:ascii="仿宋" w:hAnsi="仿宋" w:eastAsia="仿宋" w:cs="仿宋"/>
          <w:sz w:val="24"/>
          <w:szCs w:val="24"/>
          <w:highlight w:val="none"/>
          <w:lang w:val="zh-CN"/>
        </w:rPr>
        <w:t xml:space="preserve">报价由低到高顺序排列。得分且磋商</w:t>
      </w:r>
      <w:r>
        <w:rPr>
          <w:rFonts w:hint="eastAsia" w:ascii="仿宋" w:hAnsi="仿宋" w:eastAsia="仿宋" w:cs="仿宋"/>
          <w:sz w:val="24"/>
          <w:szCs w:val="24"/>
          <w:highlight w:val="none"/>
        </w:rPr>
        <w:t xml:space="preserve">最终</w:t>
      </w:r>
      <w:r>
        <w:rPr>
          <w:rFonts w:hint="eastAsia" w:ascii="仿宋" w:hAnsi="仿宋" w:eastAsia="仿宋" w:cs="仿宋"/>
          <w:sz w:val="24"/>
          <w:szCs w:val="24"/>
          <w:highlight w:val="none"/>
          <w:lang w:val="zh-CN"/>
        </w:rPr>
        <w:t xml:space="preserve">报价相同的并列。响应文件满足磋商文件全部实质性要求，且按照评审因素的量化指标评审得分由高到低按顺序推荐3名成交候选人，由采购人确定1名成交供应商。具体打分办法如下：</w:t>
      </w:r>
      <w:r/>
    </w:p>
    <w:p>
      <w:pPr>
        <w:pStyle w:val="808"/>
        <w:numPr>
          <w:ilvl w:val="0"/>
          <w:numId w:val="10"/>
        </w:numPr>
        <w:spacing w:line="360" w:lineRule="auto"/>
        <w:rPr>
          <w:rFonts w:hint="eastAsia" w:ascii="仿宋" w:hAnsi="仿宋" w:eastAsia="仿宋" w:cs="仿宋"/>
          <w:highlight w:val="none"/>
        </w:rPr>
      </w:pPr>
      <w:r/>
      <w:bookmarkStart w:id="166" w:name="_Toc15724"/>
      <w:r/>
      <w:bookmarkStart w:id="167" w:name="_Toc9689"/>
      <w:r/>
      <w:bookmarkStart w:id="168" w:name="_Toc20964"/>
      <w:r/>
      <w:bookmarkStart w:id="169" w:name="_Toc9896"/>
      <w:r/>
      <w:bookmarkStart w:id="170" w:name="_Toc19408"/>
      <w:r/>
      <w:bookmarkStart w:id="171" w:name="_Toc12011"/>
      <w:r/>
      <w:bookmarkStart w:id="172" w:name="_Toc32460"/>
      <w:r/>
      <w:bookmarkStart w:id="173" w:name="_Toc30006"/>
      <w:r/>
      <w:bookmarkStart w:id="174" w:name="_Toc21820"/>
      <w:r/>
      <w:bookmarkStart w:id="175" w:name="_Toc31111"/>
      <w:r>
        <w:rPr>
          <w:rFonts w:hint="eastAsia" w:ascii="仿宋" w:hAnsi="仿宋" w:eastAsia="仿宋" w:cs="仿宋"/>
          <w:highlight w:val="none"/>
        </w:rPr>
        <w:t xml:space="preserve">评审标准</w:t>
      </w:r>
      <w:bookmarkEnd w:id="166"/>
      <w:r/>
      <w:bookmarkEnd w:id="167"/>
      <w:r/>
      <w:bookmarkEnd w:id="168"/>
      <w:r/>
      <w:bookmarkEnd w:id="169"/>
      <w:r/>
      <w:bookmarkEnd w:id="170"/>
      <w:r/>
      <w:bookmarkEnd w:id="171"/>
      <w:r/>
      <w:bookmarkEnd w:id="172"/>
      <w:r/>
      <w:bookmarkEnd w:id="173"/>
      <w:r/>
      <w:bookmarkEnd w:id="174"/>
      <w:r/>
      <w:bookmarkEnd w:id="175"/>
      <w:r/>
      <w:r/>
    </w:p>
    <w:tbl>
      <w:tblPr>
        <w:tblStyle w:val="787"/>
        <w:tblW w:w="9557" w:type="dxa"/>
        <w:tblInd w:w="105"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1245"/>
        <w:gridCol w:w="7303"/>
        <w:gridCol w:w="1009"/>
      </w:tblGrid>
      <w:tr>
        <w:trPr>
          <w:trHeight w:val="671"/>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评分</w:t>
            </w:r>
            <w:r/>
          </w:p>
          <w:p>
            <w:pPr>
              <w:ind w:left="0" w:right="0"/>
              <w:jc w:val="center"/>
              <w:keepLines w:val="0"/>
              <w:keepNext w:val="0"/>
              <w:pageBreakBefore w:val="0"/>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303"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得分</w:t>
            </w:r>
            <w:r/>
          </w:p>
        </w:tc>
      </w:tr>
      <w:tr>
        <w:trPr>
          <w:trHeight w:val="1409"/>
        </w:trPr>
        <w:tc>
          <w:tcPr>
            <w:tcBorders>
              <w:top w:val="none" w:color="000000"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w:t>
            </w:r>
            <w:r/>
          </w:p>
        </w:tc>
        <w:tc>
          <w:tcPr>
            <w:tcBorders>
              <w:top w:val="none" w:color="000000" w:sz="4" w:space="0"/>
              <w:left w:val="none" w:color="000000" w:sz="4" w:space="0"/>
              <w:bottom w:val="single" w:color="auto" w:sz="4" w:space="0"/>
              <w:right w:val="single" w:color="auto" w:sz="4" w:space="0"/>
            </w:tcBorders>
            <w:tcW w:w="7303" w:type="dxa"/>
            <w:vAlign w:val="center"/>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价格分采用低价优先法计算，满足磋商文件要求，进入详细评审的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最终</w:t>
            </w:r>
            <w:r>
              <w:rPr>
                <w:rFonts w:hint="eastAsia" w:ascii="仿宋" w:hAnsi="仿宋" w:eastAsia="仿宋" w:cs="仿宋"/>
                <w:color w:val="auto"/>
                <w:sz w:val="24"/>
                <w:szCs w:val="24"/>
                <w:highlight w:val="none"/>
              </w:rPr>
              <w:t xml:space="preserve">报价的最低值为评</w:t>
            </w:r>
            <w:r>
              <w:rPr>
                <w:rFonts w:hint="eastAsia" w:ascii="仿宋" w:hAnsi="仿宋" w:eastAsia="仿宋" w:cs="仿宋"/>
                <w:color w:val="auto"/>
                <w:sz w:val="24"/>
                <w:szCs w:val="24"/>
                <w:highlight w:val="none"/>
                <w:lang w:eastAsia="zh-CN"/>
              </w:rPr>
              <w:t xml:space="preserve">审</w:t>
            </w:r>
            <w:r>
              <w:rPr>
                <w:rFonts w:hint="eastAsia" w:ascii="仿宋" w:hAnsi="仿宋" w:eastAsia="仿宋" w:cs="仿宋"/>
                <w:color w:val="auto"/>
                <w:sz w:val="24"/>
                <w:szCs w:val="24"/>
                <w:highlight w:val="none"/>
              </w:rPr>
              <w:t xml:space="preserve">基准价A值，A值为价格分的满分，即</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分。其他</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的价格分统一按照以下公式计算：</w:t>
            </w:r>
            <w:r>
              <w:rPr>
                <w:rFonts w:hint="eastAsia" w:ascii="仿宋" w:hAnsi="仿宋" w:eastAsia="仿宋" w:cs="仿宋"/>
                <w:color w:val="auto"/>
                <w:sz w:val="24"/>
                <w:szCs w:val="24"/>
                <w:highlight w:val="none"/>
                <w:lang w:val="en-US" w:eastAsia="zh-CN"/>
              </w:rPr>
              <w:t xml:space="preserve">报价得分=（</w:t>
            </w:r>
            <w:r>
              <w:rPr>
                <w:rFonts w:hint="eastAsia" w:ascii="仿宋" w:hAnsi="仿宋" w:eastAsia="仿宋" w:cs="仿宋"/>
                <w:color w:val="auto"/>
                <w:sz w:val="24"/>
                <w:szCs w:val="24"/>
                <w:highlight w:val="none"/>
              </w:rPr>
              <w:t xml:space="preserve">A值</w:t>
            </w:r>
            <w:r>
              <w:rPr>
                <w:rFonts w:hint="eastAsia" w:ascii="仿宋" w:hAnsi="仿宋" w:eastAsia="仿宋" w:cs="仿宋"/>
                <w:color w:val="auto"/>
                <w:sz w:val="24"/>
                <w:szCs w:val="24"/>
                <w:highlight w:val="none"/>
                <w:lang w:val="en-US" w:eastAsia="zh-CN"/>
              </w:rPr>
              <w:t xml:space="preserve">/该供应商的最终报价）×10分。分值保留小数点后2位。</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分</w:t>
            </w:r>
            <w:r/>
          </w:p>
        </w:tc>
      </w:tr>
      <w:tr>
        <w:trPr>
          <w:trHeight w:val="1468"/>
        </w:trPr>
        <w:tc>
          <w:tcPr>
            <w:tcBorders>
              <w:top w:val="none" w:color="000000"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实施方案</w:t>
            </w:r>
            <w:r/>
          </w:p>
        </w:tc>
        <w:tc>
          <w:tcPr>
            <w:tcBorders>
              <w:top w:val="none" w:color="000000" w:sz="4" w:space="0"/>
              <w:left w:val="none" w:color="000000" w:sz="4" w:space="0"/>
              <w:bottom w:val="single" w:color="auto" w:sz="4" w:space="0"/>
              <w:right w:val="single" w:color="auto" w:sz="4" w:space="0"/>
            </w:tcBorders>
            <w:tcW w:w="7303" w:type="dxa"/>
            <w:vAlign w:val="top"/>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供应商根据本项目的工作范围、项目特点制定详细</w:t>
            </w:r>
            <w:r>
              <w:rPr>
                <w:rFonts w:hint="eastAsia" w:ascii="仿宋" w:hAnsi="仿宋" w:eastAsia="仿宋" w:cs="仿宋"/>
                <w:color w:val="auto"/>
                <w:sz w:val="24"/>
                <w:szCs w:val="24"/>
                <w:highlight w:val="none"/>
                <w:lang w:eastAsia="zh-CN"/>
              </w:rPr>
              <w:t xml:space="preserve">实施</w:t>
            </w:r>
            <w:r>
              <w:rPr>
                <w:rFonts w:hint="eastAsia" w:ascii="仿宋" w:hAnsi="仿宋" w:eastAsia="仿宋" w:cs="仿宋"/>
                <w:color w:val="auto"/>
                <w:sz w:val="24"/>
                <w:szCs w:val="24"/>
                <w:highlight w:val="none"/>
              </w:rPr>
              <w:t xml:space="preserve">方案。</w:t>
            </w:r>
            <w:r/>
          </w:p>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实施</w:t>
            </w:r>
            <w:r>
              <w:rPr>
                <w:rFonts w:hint="eastAsia" w:ascii="仿宋" w:hAnsi="仿宋" w:eastAsia="仿宋" w:cs="仿宋"/>
                <w:color w:val="auto"/>
                <w:sz w:val="24"/>
                <w:szCs w:val="24"/>
                <w:highlight w:val="none"/>
              </w:rPr>
              <w:t xml:space="preserve">方案具备较强的操作性、可行性，完全满足项目需求，得1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实施</w:t>
            </w:r>
            <w:r>
              <w:rPr>
                <w:rFonts w:hint="eastAsia" w:ascii="仿宋" w:hAnsi="仿宋" w:eastAsia="仿宋" w:cs="仿宋"/>
                <w:color w:val="auto"/>
                <w:sz w:val="24"/>
                <w:szCs w:val="24"/>
                <w:highlight w:val="none"/>
              </w:rPr>
              <w:t xml:space="preserve">方案具备一定的操作性、可行性，基本满足项目需求，得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实施</w:t>
            </w:r>
            <w:r>
              <w:rPr>
                <w:rFonts w:hint="eastAsia" w:ascii="仿宋" w:hAnsi="仿宋" w:eastAsia="仿宋" w:cs="仿宋"/>
                <w:color w:val="auto"/>
                <w:sz w:val="24"/>
                <w:szCs w:val="24"/>
                <w:highlight w:val="none"/>
              </w:rPr>
              <w:t xml:space="preserve">方案操作性、可行性一般，部分满足项目需求，得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实施</w:t>
            </w:r>
            <w:r>
              <w:rPr>
                <w:rFonts w:hint="eastAsia" w:ascii="仿宋" w:hAnsi="仿宋" w:eastAsia="仿宋" w:cs="仿宋"/>
                <w:color w:val="auto"/>
                <w:sz w:val="24"/>
                <w:szCs w:val="24"/>
                <w:highlight w:val="none"/>
              </w:rPr>
              <w:t xml:space="preserve">方案不具有操作性、可行性，不能满足项目需求，本项不得分。</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r>
      <w:tr>
        <w:trPr>
          <w:trHeight w:val="1232"/>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rPr>
              <w:t xml:space="preserve">内控制度</w:t>
            </w:r>
            <w:r/>
          </w:p>
        </w:tc>
        <w:tc>
          <w:tcPr>
            <w:tcBorders>
              <w:top w:val="single" w:color="auto" w:sz="4" w:space="0"/>
              <w:left w:val="none" w:color="000000" w:sz="4" w:space="0"/>
              <w:bottom w:val="single" w:color="auto" w:sz="4" w:space="0"/>
              <w:right w:val="single" w:color="auto" w:sz="4" w:space="0"/>
            </w:tcBorders>
            <w:tcW w:w="7303" w:type="dxa"/>
            <w:vAlign w:val="top"/>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根据供应商</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eastAsia="zh-CN"/>
              </w:rPr>
              <w:t xml:space="preserve">采购要求</w:t>
            </w:r>
            <w:r>
              <w:rPr>
                <w:rFonts w:hint="eastAsia" w:ascii="仿宋" w:hAnsi="仿宋" w:eastAsia="仿宋" w:cs="仿宋"/>
                <w:color w:val="auto"/>
                <w:sz w:val="24"/>
                <w:szCs w:val="24"/>
                <w:highlight w:val="none"/>
              </w:rPr>
              <w:t xml:space="preserve">建立的组织机构图、工作流程图、档案管理制度等方面进行评审，组织到位，有利于提高服务的得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分，基本能适应本项目要求的得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内控制度</w:t>
            </w:r>
            <w:r>
              <w:rPr>
                <w:rFonts w:hint="eastAsia" w:ascii="仿宋" w:hAnsi="仿宋" w:eastAsia="仿宋" w:cs="仿宋"/>
                <w:color w:val="auto"/>
                <w:sz w:val="24"/>
                <w:szCs w:val="24"/>
                <w:highlight w:val="none"/>
              </w:rPr>
              <w:t xml:space="preserve">一般的得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不完善</w:t>
            </w:r>
            <w:r>
              <w:rPr>
                <w:rFonts w:hint="eastAsia" w:ascii="仿宋" w:hAnsi="仿宋" w:eastAsia="仿宋" w:cs="仿宋"/>
                <w:color w:val="auto"/>
                <w:sz w:val="24"/>
                <w:szCs w:val="24"/>
                <w:highlight w:val="none"/>
              </w:rPr>
              <w:t xml:space="preserve">的不得分。</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r>
      <w:tr>
        <w:trPr>
          <w:trHeight w:val="1284"/>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rPr>
              <w:t xml:space="preserve">服务方案</w:t>
            </w:r>
            <w:r/>
          </w:p>
        </w:tc>
        <w:tc>
          <w:tcPr>
            <w:tcBorders>
              <w:top w:val="single" w:color="auto" w:sz="4" w:space="0"/>
              <w:left w:val="none" w:color="000000" w:sz="4" w:space="0"/>
              <w:bottom w:val="single" w:color="auto" w:sz="4" w:space="0"/>
              <w:right w:val="single" w:color="auto" w:sz="4" w:space="0"/>
            </w:tcBorders>
            <w:tcW w:w="7303" w:type="dxa"/>
            <w:vAlign w:val="top"/>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根据供应商提供的</w:t>
            </w:r>
            <w:r>
              <w:rPr>
                <w:rFonts w:hint="eastAsia" w:ascii="仿宋" w:hAnsi="仿宋" w:eastAsia="仿宋" w:cs="仿宋"/>
                <w:color w:val="auto"/>
                <w:sz w:val="24"/>
                <w:szCs w:val="24"/>
                <w:highlight w:val="none"/>
              </w:rPr>
              <w:t xml:space="preserve">服务方案内容</w:t>
            </w:r>
            <w:r>
              <w:rPr>
                <w:rFonts w:hint="eastAsia" w:ascii="仿宋" w:hAnsi="仿宋" w:eastAsia="仿宋" w:cs="仿宋"/>
                <w:color w:val="auto"/>
                <w:sz w:val="24"/>
                <w:szCs w:val="24"/>
                <w:highlight w:val="none"/>
                <w:lang w:eastAsia="zh-CN"/>
              </w:rPr>
              <w:t xml:space="preserve">完整</w:t>
            </w:r>
            <w:r>
              <w:rPr>
                <w:rFonts w:hint="eastAsia" w:ascii="仿宋" w:hAnsi="仿宋" w:eastAsia="仿宋" w:cs="仿宋"/>
                <w:color w:val="auto"/>
                <w:sz w:val="24"/>
                <w:szCs w:val="24"/>
                <w:highlight w:val="none"/>
              </w:rPr>
              <w:t xml:space="preserve">性，包括人员分工、责任划定、服务的难点、要点阐述、服务质量保证措施等方面进行综合评价。服务方案详细，可操作性强</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分，服务方案较详细，可操作性一般的得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分，方案有所欠缺的得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分，较差的不得分。</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r>
      <w:tr>
        <w:trPr>
          <w:trHeight w:val="1110"/>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重难点</w:t>
            </w:r>
            <w:r/>
          </w:p>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分析</w:t>
            </w:r>
            <w:r/>
          </w:p>
        </w:tc>
        <w:tc>
          <w:tcPr>
            <w:tcBorders>
              <w:top w:val="single" w:color="auto" w:sz="4" w:space="0"/>
              <w:left w:val="none" w:color="000000" w:sz="4" w:space="0"/>
              <w:bottom w:val="single" w:color="auto" w:sz="4" w:space="0"/>
              <w:right w:val="single" w:color="auto" w:sz="4" w:space="0"/>
            </w:tcBorders>
            <w:tcW w:w="730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供应商针对本项目</w:t>
            </w:r>
            <w:r>
              <w:rPr>
                <w:rFonts w:hint="eastAsia" w:ascii="仿宋" w:hAnsi="仿宋" w:eastAsia="仿宋" w:cs="仿宋"/>
                <w:color w:val="auto"/>
                <w:sz w:val="24"/>
                <w:szCs w:val="24"/>
                <w:lang w:eastAsia="zh-CN"/>
              </w:rPr>
              <w:t xml:space="preserve">实施</w:t>
            </w:r>
            <w:r>
              <w:rPr>
                <w:rFonts w:hint="eastAsia" w:ascii="仿宋" w:hAnsi="仿宋" w:eastAsia="仿宋" w:cs="仿宋"/>
                <w:color w:val="auto"/>
                <w:sz w:val="24"/>
                <w:szCs w:val="24"/>
              </w:rPr>
              <w:t xml:space="preserve">过程中的重难点进行分析，并提出切实有效的措施。对关键重难点分析准确性及措施的合理性和有效性进行综合评</w:t>
            </w:r>
            <w:r/>
          </w:p>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措施有效、全面合理的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措施基本合理的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措施</w:t>
            </w:r>
            <w:r>
              <w:rPr>
                <w:rFonts w:hint="eastAsia" w:ascii="仿宋" w:hAnsi="仿宋" w:eastAsia="仿宋" w:cs="仿宋"/>
                <w:color w:val="auto"/>
                <w:sz w:val="24"/>
                <w:szCs w:val="24"/>
              </w:rPr>
              <w:t xml:space="preserve">一般得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分，不阐述不得分</w:t>
            </w:r>
            <w:r>
              <w:rPr>
                <w:rFonts w:hint="eastAsia" w:ascii="仿宋" w:hAnsi="仿宋" w:eastAsia="仿宋" w:cs="仿宋"/>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r>
      <w:tr>
        <w:trPr>
          <w:trHeight w:val="1110"/>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履约能力</w:t>
            </w:r>
            <w:r/>
          </w:p>
        </w:tc>
        <w:tc>
          <w:tcPr>
            <w:tcBorders>
              <w:top w:val="single" w:color="auto" w:sz="4" w:space="0"/>
              <w:left w:val="none" w:color="000000" w:sz="4" w:space="0"/>
              <w:bottom w:val="single" w:color="auto" w:sz="4" w:space="0"/>
              <w:right w:val="single" w:color="auto" w:sz="4" w:space="0"/>
            </w:tcBorders>
            <w:tcW w:w="7303" w:type="dxa"/>
            <w:vAlign w:val="center"/>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拟投入本项目</w:t>
            </w:r>
            <w:r>
              <w:rPr>
                <w:rFonts w:hint="eastAsia" w:ascii="仿宋" w:hAnsi="仿宋" w:eastAsia="仿宋" w:cs="仿宋"/>
                <w:color w:val="auto"/>
                <w:sz w:val="24"/>
                <w:szCs w:val="24"/>
                <w:highlight w:val="none"/>
              </w:rPr>
              <w:t xml:space="preserve">注册会计师人数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在1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名执业注册会计师基础上得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分，每增加1人得2分，满分1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分。（响应文件中提供上述人员的注册会计师执业资格证书的复印件,及在职期间由社会保险机构出具的</w:t>
            </w:r>
            <w:r>
              <w:rPr>
                <w:rFonts w:hint="eastAsia" w:ascii="仿宋" w:hAnsi="仿宋" w:eastAsia="仿宋" w:cs="仿宋"/>
                <w:color w:val="auto"/>
                <w:sz w:val="24"/>
                <w:szCs w:val="24"/>
                <w:highlight w:val="none"/>
                <w:lang w:eastAsia="zh-CN"/>
              </w:rPr>
              <w:t xml:space="preserve">近</w:t>
            </w:r>
            <w:r>
              <w:rPr>
                <w:rFonts w:hint="eastAsia" w:ascii="仿宋" w:hAnsi="仿宋" w:eastAsia="仿宋" w:cs="仿宋"/>
                <w:color w:val="auto"/>
                <w:sz w:val="24"/>
                <w:szCs w:val="24"/>
                <w:highlight w:val="none"/>
                <w:lang w:val="en-US" w:eastAsia="zh-CN"/>
              </w:rPr>
              <w:t xml:space="preserve">六个月内任意一个月</w:t>
            </w:r>
            <w:r>
              <w:rPr>
                <w:rFonts w:hint="eastAsia" w:ascii="仿宋" w:hAnsi="仿宋" w:eastAsia="仿宋" w:cs="仿宋"/>
                <w:color w:val="auto"/>
                <w:sz w:val="24"/>
                <w:szCs w:val="24"/>
                <w:highlight w:val="none"/>
              </w:rPr>
              <w:t xml:space="preserve">社保缴</w:t>
            </w:r>
            <w:r>
              <w:rPr>
                <w:rFonts w:hint="eastAsia" w:ascii="仿宋" w:hAnsi="仿宋" w:eastAsia="仿宋" w:cs="仿宋"/>
                <w:color w:val="auto"/>
                <w:sz w:val="24"/>
                <w:szCs w:val="24"/>
                <w:highlight w:val="none"/>
                <w:lang w:eastAsia="zh-CN"/>
              </w:rPr>
              <w:t xml:space="preserve">纳</w:t>
            </w:r>
            <w:r>
              <w:rPr>
                <w:rFonts w:hint="eastAsia" w:ascii="仿宋" w:hAnsi="仿宋" w:eastAsia="仿宋" w:cs="仿宋"/>
                <w:color w:val="auto"/>
                <w:sz w:val="24"/>
                <w:szCs w:val="24"/>
                <w:highlight w:val="none"/>
              </w:rPr>
              <w:t xml:space="preserve">证明）</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r>
      <w:tr>
        <w:trPr>
          <w:trHeight w:val="827"/>
        </w:trPr>
        <w:tc>
          <w:tcPr>
            <w:tcBorders>
              <w:top w:val="single" w:color="auto" w:sz="4" w:space="0"/>
              <w:left w:val="single" w:color="auto" w:sz="4" w:space="0"/>
              <w:right w:val="single" w:color="auto" w:sz="4" w:space="0"/>
            </w:tcBorders>
            <w:tcW w:w="1245" w:type="dxa"/>
            <w:vAlign w:val="center"/>
            <w:vMerge w:val="restart"/>
            <w:textDirection w:val="lrTb"/>
            <w:noWrap w:val="false"/>
          </w:tcPr>
          <w:p>
            <w:pPr>
              <w:ind w:left="0" w:right="0"/>
              <w:jc w:val="both"/>
              <w:keepLines w:val="0"/>
              <w:keepNext w:val="0"/>
              <w:pageBreakBefore w:val="0"/>
              <w:spacing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团队人员</w:t>
            </w:r>
            <w:r/>
          </w:p>
        </w:tc>
        <w:tc>
          <w:tcPr>
            <w:tcBorders>
              <w:top w:val="single" w:color="auto" w:sz="4" w:space="0"/>
              <w:left w:val="single" w:color="auto" w:sz="4" w:space="0"/>
              <w:bottom w:val="single" w:color="auto" w:sz="4" w:space="0"/>
              <w:right w:val="single" w:color="auto" w:sz="4" w:space="0"/>
            </w:tcBorders>
            <w:tcW w:w="7303" w:type="dxa"/>
            <w:vAlign w:val="center"/>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（1）拟委派的项目负责人具有高级职称得2分，具有正高级职称得4分。</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tc>
      </w:tr>
      <w:tr>
        <w:trPr>
          <w:trHeight w:val="1050"/>
        </w:trPr>
        <w:tc>
          <w:tcPr>
            <w:tcBorders>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both"/>
              <w:keepLines w:val="0"/>
              <w:keepNext w:val="0"/>
              <w:pageBreakBefore w:val="0"/>
              <w:spacing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auto" w:sz="4" w:space="0"/>
              <w:left w:val="none" w:color="000000" w:sz="4" w:space="0"/>
              <w:bottom w:val="single" w:color="auto" w:sz="4" w:space="0"/>
              <w:right w:val="single" w:color="auto" w:sz="4" w:space="0"/>
            </w:tcBorders>
            <w:tcW w:w="7303" w:type="dxa"/>
            <w:vAlign w:val="center"/>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（2）拟投入团队人员除项目负责人外，每提供一名具有高级职称的人员得2分，每提供一名具有中级职称的人员得1分，本项最多得6分。（以上均需提供相关证明文件加盖公章，原件备查。）</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r>
      <w:tr>
        <w:trPr>
          <w:trHeight w:val="461"/>
        </w:trPr>
        <w:tc>
          <w:tcPr>
            <w:tcBorders>
              <w:top w:val="single" w:color="auto" w:sz="4" w:space="0"/>
              <w:left w:val="single" w:color="auto" w:sz="4" w:space="0"/>
              <w:right w:val="single" w:color="auto" w:sz="4" w:space="0"/>
            </w:tcBorders>
            <w:tcW w:w="1245" w:type="dxa"/>
            <w:vAlign w:val="center"/>
            <w:vMerge w:val="restart"/>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业绩</w:t>
            </w:r>
            <w:r/>
          </w:p>
        </w:tc>
        <w:tc>
          <w:tcPr>
            <w:tcBorders>
              <w:top w:val="single" w:color="auto" w:sz="4" w:space="0"/>
              <w:left w:val="none" w:color="000000" w:sz="4" w:space="0"/>
              <w:bottom w:val="single" w:color="auto" w:sz="4" w:space="0"/>
              <w:right w:val="single" w:color="auto" w:sz="4" w:space="0"/>
            </w:tcBorders>
            <w:tcW w:w="7303" w:type="dxa"/>
            <w:vAlign w:val="center"/>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根据供应商近三年(</w:t>
            </w:r>
            <w:r>
              <w:rPr>
                <w:rFonts w:hint="eastAsia" w:ascii="仿宋" w:hAnsi="仿宋" w:eastAsia="仿宋" w:cs="仿宋"/>
                <w:color w:val="auto"/>
                <w:sz w:val="24"/>
                <w:szCs w:val="24"/>
                <w:highlight w:val="none"/>
                <w:lang w:val="en-US" w:eastAsia="zh-CN"/>
              </w:rPr>
              <w:t xml:space="preserve">2021年7月1日至今</w:t>
            </w:r>
            <w:r>
              <w:rPr>
                <w:rFonts w:hint="eastAsia" w:ascii="仿宋" w:hAnsi="仿宋" w:eastAsia="仿宋" w:cs="仿宋"/>
                <w:color w:val="auto"/>
                <w:sz w:val="24"/>
                <w:szCs w:val="24"/>
                <w:highlight w:val="none"/>
              </w:rPr>
              <w:t xml:space="preserve">)以来完成的类似</w:t>
            </w:r>
            <w:r>
              <w:rPr>
                <w:rFonts w:hint="eastAsia" w:ascii="仿宋" w:hAnsi="仿宋" w:eastAsia="仿宋" w:cs="仿宋"/>
                <w:color w:val="auto"/>
                <w:sz w:val="24"/>
                <w:szCs w:val="24"/>
                <w:highlight w:val="none"/>
                <w:lang w:val="en-US" w:eastAsia="zh-CN"/>
              </w:rPr>
              <w:t xml:space="preserve">绩效评价项目案例，每提供一个得2分，最高得12分</w:t>
            </w:r>
            <w:r>
              <w:rPr>
                <w:rFonts w:hint="eastAsia" w:ascii="仿宋" w:hAnsi="仿宋" w:eastAsia="仿宋" w:cs="仿宋"/>
                <w:color w:val="auto"/>
                <w:sz w:val="24"/>
                <w:szCs w:val="24"/>
                <w:highlight w:val="none"/>
              </w:rPr>
              <w:t xml:space="preserve">（响应文件中提供合同复印件，原件备查，合同应能反映相关信息）。</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分</w:t>
            </w:r>
            <w:r/>
          </w:p>
        </w:tc>
      </w:tr>
      <w:tr>
        <w:trPr>
          <w:trHeight w:val="649"/>
        </w:trPr>
        <w:tc>
          <w:tcPr>
            <w:tcBorders>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7303" w:type="dxa"/>
            <w:vAlign w:val="center"/>
            <w:textDirection w:val="lrTb"/>
            <w:noWrap w:val="false"/>
          </w:tcPr>
          <w:p>
            <w:pPr>
              <w:ind w:left="0" w:right="0"/>
              <w:jc w:val="left"/>
              <w:keepLines w:val="0"/>
              <w:keepNext w:val="0"/>
              <w:pageBreakBefore w:val="0"/>
              <w:spacing w:line="0" w:lineRule="atLeast"/>
              <w:tabs>
                <w:tab w:val="left" w:pos="25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拟委派的项目负责人</w:t>
            </w:r>
            <w:r>
              <w:rPr>
                <w:rFonts w:hint="eastAsia" w:ascii="仿宋" w:hAnsi="仿宋" w:eastAsia="仿宋" w:cs="仿宋"/>
                <w:color w:val="auto"/>
                <w:sz w:val="24"/>
                <w:szCs w:val="24"/>
                <w:highlight w:val="none"/>
              </w:rPr>
              <w:t xml:space="preserve">近三年(</w:t>
            </w:r>
            <w:r>
              <w:rPr>
                <w:rFonts w:hint="eastAsia" w:ascii="仿宋" w:hAnsi="仿宋" w:eastAsia="仿宋" w:cs="仿宋"/>
                <w:color w:val="auto"/>
                <w:sz w:val="24"/>
                <w:szCs w:val="24"/>
                <w:highlight w:val="none"/>
                <w:lang w:val="en-US" w:eastAsia="zh-CN"/>
              </w:rPr>
              <w:t xml:space="preserve">2021年7月1日至今</w:t>
            </w:r>
            <w:r>
              <w:rPr>
                <w:rFonts w:hint="eastAsia" w:ascii="仿宋" w:hAnsi="仿宋" w:eastAsia="仿宋" w:cs="仿宋"/>
                <w:color w:val="auto"/>
                <w:sz w:val="24"/>
                <w:szCs w:val="24"/>
                <w:highlight w:val="none"/>
              </w:rPr>
              <w:t xml:space="preserve">)以来完成的</w:t>
            </w:r>
            <w:r>
              <w:rPr>
                <w:rFonts w:hint="eastAsia" w:ascii="仿宋" w:hAnsi="仿宋" w:eastAsia="仿宋" w:cs="仿宋"/>
                <w:color w:val="auto"/>
                <w:sz w:val="24"/>
                <w:szCs w:val="24"/>
                <w:highlight w:val="none"/>
                <w:lang w:val="en-US" w:eastAsia="zh-CN"/>
              </w:rPr>
              <w:t xml:space="preserve">具有</w:t>
            </w:r>
            <w:r>
              <w:rPr>
                <w:rFonts w:hint="eastAsia" w:ascii="仿宋" w:hAnsi="仿宋" w:eastAsia="仿宋" w:cs="仿宋"/>
                <w:color w:val="auto"/>
                <w:sz w:val="24"/>
                <w:szCs w:val="24"/>
                <w:highlight w:val="none"/>
              </w:rPr>
              <w:t xml:space="preserve">类似</w:t>
            </w:r>
            <w:r>
              <w:rPr>
                <w:rFonts w:hint="eastAsia" w:ascii="仿宋" w:hAnsi="仿宋" w:eastAsia="仿宋" w:cs="仿宋"/>
                <w:color w:val="auto"/>
                <w:sz w:val="24"/>
                <w:szCs w:val="24"/>
                <w:highlight w:val="none"/>
                <w:lang w:val="en-US" w:eastAsia="zh-CN"/>
              </w:rPr>
              <w:t xml:space="preserve">绩效评价经验（须提供相关证明文件加盖公章），每提供一份得2分，不提供不得分，最多得8分。</w:t>
            </w:r>
            <w:r/>
          </w:p>
          <w:p>
            <w:pPr>
              <w:pStyle w:val="785"/>
              <w:rPr>
                <w:rFonts w:hint="eastAsia" w:ascii="仿宋" w:hAnsi="仿宋" w:eastAsia="仿宋" w:cs="仿宋"/>
              </w:rPr>
            </w:pPr>
            <w:r>
              <w:rPr>
                <w:rFonts w:hint="eastAsia" w:ascii="仿宋" w:hAnsi="仿宋" w:eastAsia="仿宋" w:cs="仿宋"/>
                <w:b/>
                <w:bCs/>
                <w:color w:val="auto"/>
                <w:sz w:val="24"/>
                <w:szCs w:val="24"/>
                <w:highlight w:val="none"/>
                <w:lang w:val="en-US" w:eastAsia="zh-CN" w:bidi="ar-SA"/>
              </w:rPr>
              <w:t xml:space="preserve">（注：企业业绩和项目负责人业绩不可兼得。）</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r>
      <w:tr>
        <w:trPr>
          <w:trHeight w:val="425"/>
        </w:trPr>
        <w:tc>
          <w:tcPr>
            <w:gridSpan w:val="3"/>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left="0" w:right="0"/>
              <w:jc w:val="center"/>
              <w:keepLines w:val="0"/>
              <w:keepNext w:val="0"/>
              <w:pageBreakBefore w:val="0"/>
              <w:spacing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100</w:t>
            </w:r>
            <w:r>
              <w:rPr>
                <w:rFonts w:hint="eastAsia" w:ascii="仿宋" w:hAnsi="仿宋" w:eastAsia="仿宋" w:cs="仿宋"/>
                <w:color w:val="auto"/>
                <w:sz w:val="24"/>
                <w:szCs w:val="24"/>
                <w:highlight w:val="none"/>
                <w:lang w:eastAsia="zh-CN"/>
              </w:rPr>
              <w:t xml:space="preserve">分</w:t>
            </w:r>
            <w:r/>
          </w:p>
        </w:tc>
      </w:tr>
    </w:tbl>
    <w:p>
      <w:pPr>
        <w:rPr>
          <w:rFonts w:hint="eastAsia" w:ascii="仿宋" w:hAnsi="仿宋" w:eastAsia="仿宋" w:cs="仿宋"/>
          <w:b/>
          <w:bCs/>
          <w:sz w:val="20"/>
          <w:highlight w:val="none"/>
        </w:rPr>
      </w:pPr>
      <w:r>
        <w:rPr>
          <w:rFonts w:hint="eastAsia" w:ascii="仿宋" w:hAnsi="仿宋" w:eastAsia="仿宋" w:cs="仿宋"/>
          <w:b/>
          <w:bCs/>
          <w:highlight w:val="none"/>
        </w:rPr>
        <w:t xml:space="preserve">说明：</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（1）对于专门面向中小企业或小型、微型企业的项目，只面向中小企业或小型、微型企业采购。对于非专门面向中小企业的项目，对小型和微型企业产品的价格给予</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%的扣除，用扣除后的价格参与评审。</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供应商提供的货物、工程或者服务符合下列情形的，享受本办法规定的中小企业扶持政策：</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（一）在货物采购项目中，货物由中小企业制造，即货物由中小企业生产且使用该中小企业商号或者注册商标；</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（二）在工程采购项目中，工程由中小企业承建，即工程施工单位为中小企业；</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（三）在服务采购项目中，服务由中小企业承接，即提供服务的人员为中小企业依照《中华人民共和国劳动合同法》订立劳动合同的从业人员。</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在货物采购项目中，供应商提供的货物既有中小企业制造货物，也有大型企业制造货物的，不享受本办法规定的中小企业扶持政策。</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以联合体形式参加政府采购活动，联合体各方均为中小企业的，联合体视同中小企业。其中，联合体各方均为小微企业的，联合体视同小微企业。</w:t>
      </w:r>
      <w:r/>
    </w:p>
    <w:p>
      <w:pPr>
        <w:spacing w:line="240" w:lineRule="exact"/>
        <w:rPr>
          <w:rFonts w:hint="eastAsia" w:ascii="仿宋" w:hAnsi="仿宋" w:eastAsia="仿宋" w:cs="仿宋"/>
          <w:sz w:val="21"/>
          <w:szCs w:val="21"/>
        </w:rPr>
      </w:pPr>
      <w:r>
        <w:rPr>
          <w:rFonts w:hint="eastAsia" w:ascii="仿宋" w:hAnsi="仿宋" w:eastAsia="仿宋" w:cs="仿宋"/>
          <w:sz w:val="21"/>
          <w:szCs w:val="21"/>
        </w:rPr>
        <w:t xml:space="preserve">（2）参加政府采购活动的中小企业应当提供《中小企业声明函》、由省级以上监狱管理局戒毒管理局(含新疆生产建设兵团)出具的属于监狱企业的证明文件或《残疾人福利性单位声明函》。</w:t>
      </w:r>
      <w:r/>
    </w:p>
    <w:p>
      <w:pPr>
        <w:spacing w:line="240" w:lineRule="exact"/>
        <w:rPr>
          <w:rFonts w:hint="eastAsia" w:ascii="仿宋" w:hAnsi="仿宋" w:eastAsia="仿宋" w:cs="仿宋"/>
          <w:sz w:val="20"/>
          <w:highlight w:val="none"/>
        </w:rPr>
      </w:pPr>
      <w:r>
        <w:rPr>
          <w:rFonts w:hint="eastAsia" w:ascii="仿宋" w:hAnsi="仿宋" w:eastAsia="仿宋" w:cs="仿宋"/>
          <w:sz w:val="21"/>
          <w:szCs w:val="21"/>
        </w:rPr>
        <w:t xml:space="preserve">（3）根据46号文第九条，接受大中型企业与小微企业组成联合体或者允许大中型企业向一家或者多家小微企业分包的采购项目，对于联合协议或者分包意向协议约定小微企业的合同份额占到合同总金额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pStyle w:val="807"/>
        <w:pageBreakBefore/>
        <w:spacing w:after="312" w:line="360" w:lineRule="auto"/>
        <w:rPr>
          <w:rFonts w:hint="eastAsia" w:ascii="仿宋" w:hAnsi="仿宋" w:eastAsia="仿宋" w:cs="仿宋"/>
          <w:highlight w:val="none"/>
        </w:rPr>
      </w:pPr>
      <w:r/>
      <w:bookmarkStart w:id="176" w:name="_Toc6348"/>
      <w:r/>
      <w:bookmarkStart w:id="177" w:name="_Toc31260"/>
      <w:r/>
      <w:bookmarkStart w:id="178" w:name="_Toc525"/>
      <w:r/>
      <w:bookmarkStart w:id="179" w:name="_Toc30094"/>
      <w:r/>
      <w:bookmarkStart w:id="180" w:name="_Toc22523"/>
      <w:r/>
      <w:bookmarkStart w:id="181" w:name="_Toc21249"/>
      <w:r/>
      <w:bookmarkStart w:id="182" w:name="_Toc15428"/>
      <w:r/>
      <w:bookmarkStart w:id="183" w:name="_Toc19520"/>
      <w:r/>
      <w:bookmarkStart w:id="184" w:name="_Toc11427"/>
      <w:r/>
      <w:bookmarkStart w:id="185" w:name="_Toc13300"/>
      <w:r/>
      <w:bookmarkStart w:id="186" w:name="_Toc3647"/>
      <w:r/>
      <w:bookmarkStart w:id="187" w:name="_Toc9244"/>
      <w:r>
        <w:rPr>
          <w:rFonts w:hint="eastAsia" w:ascii="仿宋" w:hAnsi="仿宋" w:eastAsia="仿宋" w:cs="仿宋"/>
          <w:highlight w:val="none"/>
        </w:rPr>
        <w:t xml:space="preserve">第六章 响应文件格式</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806"/>
        <w:ind w:firstLine="0"/>
        <w:jc w:val="center"/>
        <w:spacing w:before="0" w:after="0"/>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r>
      <w:r/>
    </w:p>
    <w:p>
      <w:pPr>
        <w:pStyle w:val="806"/>
        <w:ind w:firstLine="0"/>
        <w:jc w:val="center"/>
        <w:spacing w:before="0" w:after="0"/>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 xml:space="preserve">竞争性磋商响应文件</w:t>
      </w:r>
      <w:r/>
    </w:p>
    <w:p>
      <w:pPr>
        <w:pStyle w:val="806"/>
        <w:ind w:firstLine="0"/>
        <w:jc w:val="center"/>
        <w:spacing w:before="0" w:after="0"/>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r>
      <w:r/>
    </w:p>
    <w:p>
      <w:pPr>
        <w:pStyle w:val="806"/>
        <w:ind w:firstLine="0"/>
        <w:jc w:val="center"/>
        <w:spacing w:before="0" w:after="0"/>
        <w:rPr>
          <w:rFonts w:hint="eastAsia" w:ascii="仿宋" w:hAnsi="仿宋" w:eastAsia="仿宋" w:cs="仿宋"/>
          <w:b/>
          <w:bCs/>
          <w:sz w:val="32"/>
          <w:szCs w:val="32"/>
          <w:highlight w:val="none"/>
        </w:rPr>
      </w:pPr>
      <w:r>
        <w:rPr>
          <w:rFonts w:hint="eastAsia" w:ascii="仿宋" w:hAnsi="仿宋" w:eastAsia="仿宋" w:cs="仿宋"/>
          <w:b/>
          <w:bCs/>
          <w:sz w:val="52"/>
          <w:szCs w:val="52"/>
          <w:highlight w:val="none"/>
        </w:rPr>
        <w:t xml:space="preserve">（正本或副本）</w:t>
      </w:r>
      <w:r/>
    </w:p>
    <w:p>
      <w:pPr>
        <w:pStyle w:val="806"/>
        <w:ind w:firstLine="0"/>
        <w:spacing w:before="0" w:after="0"/>
        <w:rPr>
          <w:rFonts w:hint="eastAsia" w:ascii="仿宋" w:hAnsi="仿宋" w:eastAsia="仿宋" w:cs="仿宋"/>
          <w:highlight w:val="none"/>
        </w:rPr>
      </w:pPr>
      <w:r>
        <w:rPr>
          <w:rFonts w:hint="eastAsia" w:ascii="仿宋" w:hAnsi="仿宋" w:eastAsia="仿宋" w:cs="仿宋"/>
          <w:highlight w:val="none"/>
        </w:rPr>
      </w:r>
      <w:r/>
    </w:p>
    <w:p>
      <w:pPr>
        <w:pStyle w:val="806"/>
        <w:ind w:firstLine="0"/>
        <w:spacing w:before="0" w:after="0"/>
        <w:rPr>
          <w:rFonts w:hint="eastAsia" w:ascii="仿宋" w:hAnsi="仿宋" w:eastAsia="仿宋" w:cs="仿宋"/>
          <w:highlight w:val="none"/>
        </w:rPr>
      </w:pPr>
      <w:r>
        <w:rPr>
          <w:rFonts w:hint="eastAsia" w:ascii="仿宋" w:hAnsi="仿宋" w:eastAsia="仿宋" w:cs="仿宋"/>
          <w:highlight w:val="none"/>
        </w:rPr>
      </w:r>
      <w:r/>
    </w:p>
    <w:p>
      <w:pPr>
        <w:pStyle w:val="806"/>
        <w:ind w:firstLine="0"/>
        <w:spacing w:before="0" w:after="0"/>
        <w:rPr>
          <w:rFonts w:hint="eastAsia" w:ascii="仿宋" w:hAnsi="仿宋" w:eastAsia="仿宋" w:cs="仿宋"/>
          <w:highlight w:val="none"/>
        </w:rPr>
      </w:pPr>
      <w:r>
        <w:rPr>
          <w:rFonts w:hint="eastAsia" w:ascii="仿宋" w:hAnsi="仿宋" w:eastAsia="仿宋" w:cs="仿宋"/>
          <w:highlight w:val="none"/>
        </w:rPr>
      </w:r>
      <w:r/>
    </w:p>
    <w:p>
      <w:pPr>
        <w:pStyle w:val="806"/>
        <w:spacing w:before="0" w:after="0"/>
        <w:rPr>
          <w:rFonts w:hint="eastAsia" w:ascii="仿宋" w:hAnsi="仿宋" w:eastAsia="仿宋" w:cs="仿宋"/>
          <w:highlight w:val="none"/>
        </w:rPr>
      </w:pPr>
      <w:r>
        <w:rPr>
          <w:rFonts w:hint="eastAsia" w:ascii="仿宋" w:hAnsi="仿宋" w:eastAsia="仿宋" w:cs="仿宋"/>
          <w:highlight w:val="none"/>
        </w:rPr>
      </w:r>
      <w:r/>
    </w:p>
    <w:p>
      <w:pPr>
        <w:pStyle w:val="806"/>
        <w:ind w:left="2530" w:hanging="2530"/>
        <w:jc w:val="center"/>
        <w:spacing w:before="0" w:after="0"/>
        <w:rPr>
          <w:rFonts w:hint="eastAsia" w:ascii="仿宋" w:hAnsi="仿宋" w:eastAsia="仿宋" w:cs="仿宋"/>
          <w:b/>
          <w:bCs/>
          <w:sz w:val="36"/>
          <w:szCs w:val="36"/>
          <w:highlight w:val="none"/>
          <w:u w:val="none"/>
          <w:lang w:val="en-US" w:eastAsia="zh-CN"/>
        </w:rPr>
      </w:pPr>
      <w:r>
        <w:rPr>
          <w:rFonts w:hint="eastAsia" w:ascii="仿宋" w:hAnsi="仿宋" w:eastAsia="仿宋" w:cs="仿宋"/>
          <w:b/>
          <w:bCs/>
          <w:sz w:val="36"/>
          <w:szCs w:val="36"/>
          <w:highlight w:val="none"/>
        </w:rPr>
        <w:t xml:space="preserve">项目名称：</w:t>
      </w:r>
      <w:r>
        <w:rPr>
          <w:rFonts w:hint="eastAsia" w:ascii="仿宋" w:hAnsi="仿宋" w:eastAsia="仿宋" w:cs="仿宋"/>
          <w:b/>
          <w:bCs/>
          <w:sz w:val="36"/>
          <w:szCs w:val="36"/>
          <w:highlight w:val="none"/>
          <w:lang w:eastAsia="zh-CN"/>
        </w:rPr>
        <w:t xml:space="preserve">2022、2023年度省级专项转移支付资金部门绩效评价省级复评和省级专项资金政策绩效评价</w:t>
      </w:r>
      <w:r/>
    </w:p>
    <w:p>
      <w:pPr>
        <w:pStyle w:val="806"/>
        <w:ind w:left="0" w:firstLine="361"/>
        <w:jc w:val="center"/>
        <w:spacing w:before="0" w:after="0"/>
        <w:rPr>
          <w:rFonts w:hint="eastAsia" w:ascii="仿宋" w:hAnsi="仿宋" w:eastAsia="仿宋" w:cs="仿宋"/>
          <w:b/>
          <w:bCs/>
          <w:sz w:val="36"/>
          <w:szCs w:val="36"/>
          <w:highlight w:val="none"/>
          <w:u w:val="none"/>
          <w:lang w:val="en-US" w:eastAsia="zh-CN"/>
        </w:rPr>
      </w:pPr>
      <w:r>
        <w:rPr>
          <w:rFonts w:hint="eastAsia" w:ascii="仿宋" w:hAnsi="仿宋" w:eastAsia="仿宋" w:cs="仿宋"/>
          <w:b/>
          <w:bCs/>
          <w:sz w:val="36"/>
          <w:szCs w:val="36"/>
          <w:highlight w:val="none"/>
          <w:u w:val="none"/>
        </w:rPr>
        <w:t xml:space="preserve">项目编号：</w:t>
      </w:r>
      <w:r>
        <w:rPr>
          <w:rFonts w:hint="eastAsia" w:ascii="仿宋" w:hAnsi="仿宋" w:eastAsia="仿宋" w:cs="仿宋"/>
          <w:b/>
          <w:bCs/>
          <w:sz w:val="36"/>
          <w:szCs w:val="36"/>
          <w:highlight w:val="none"/>
          <w:u w:val="none"/>
          <w:lang w:eastAsia="zh-CN"/>
        </w:rPr>
        <w:t xml:space="preserve">JSZC-320000-ZCZB-C2024-0008</w:t>
      </w:r>
      <w:r/>
    </w:p>
    <w:p>
      <w:pPr>
        <w:pStyle w:val="806"/>
        <w:spacing w:before="0" w:after="0"/>
        <w:rPr>
          <w:rFonts w:hint="eastAsia" w:ascii="仿宋" w:hAnsi="仿宋" w:eastAsia="仿宋" w:cs="仿宋"/>
          <w:highlight w:val="none"/>
        </w:rPr>
      </w:pPr>
      <w:r>
        <w:rPr>
          <w:rFonts w:hint="eastAsia" w:ascii="仿宋" w:hAnsi="仿宋" w:eastAsia="仿宋" w:cs="仿宋"/>
          <w:highlight w:val="none"/>
        </w:rPr>
      </w:r>
      <w:r/>
    </w:p>
    <w:p>
      <w:pPr>
        <w:pStyle w:val="806"/>
        <w:spacing w:before="0" w:after="0"/>
        <w:rPr>
          <w:rFonts w:hint="eastAsia" w:ascii="仿宋" w:hAnsi="仿宋" w:eastAsia="仿宋" w:cs="仿宋"/>
          <w:highlight w:val="none"/>
        </w:rPr>
      </w:pPr>
      <w:r>
        <w:rPr>
          <w:rFonts w:hint="eastAsia" w:ascii="仿宋" w:hAnsi="仿宋" w:eastAsia="仿宋" w:cs="仿宋"/>
          <w:highlight w:val="none"/>
        </w:rPr>
      </w:r>
      <w:r/>
    </w:p>
    <w:p>
      <w:pPr>
        <w:pStyle w:val="806"/>
        <w:ind w:firstLine="0"/>
        <w:spacing w:before="0" w:after="0"/>
        <w:rPr>
          <w:rFonts w:hint="eastAsia" w:ascii="仿宋" w:hAnsi="仿宋" w:eastAsia="仿宋" w:cs="仿宋"/>
          <w:highlight w:val="none"/>
        </w:rPr>
      </w:pPr>
      <w:r>
        <w:rPr>
          <w:rFonts w:hint="eastAsia" w:ascii="仿宋" w:hAnsi="仿宋" w:eastAsia="仿宋" w:cs="仿宋"/>
          <w:highlight w:val="none"/>
        </w:rPr>
      </w:r>
      <w:r/>
    </w:p>
    <w:p>
      <w:pPr>
        <w:pStyle w:val="806"/>
        <w:spacing w:before="0" w:after="0"/>
        <w:rPr>
          <w:rFonts w:hint="eastAsia" w:ascii="仿宋" w:hAnsi="仿宋" w:eastAsia="仿宋" w:cs="仿宋"/>
          <w:highlight w:val="none"/>
        </w:rPr>
      </w:pPr>
      <w:r>
        <w:rPr>
          <w:rFonts w:hint="eastAsia" w:ascii="仿宋" w:hAnsi="仿宋" w:eastAsia="仿宋" w:cs="仿宋"/>
          <w:highlight w:val="none"/>
        </w:rPr>
      </w:r>
      <w:r/>
    </w:p>
    <w:p>
      <w:pPr>
        <w:pStyle w:val="806"/>
        <w:ind w:firstLine="843"/>
        <w:spacing w:before="0"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供应商名称：</w:t>
      </w:r>
      <w:r/>
    </w:p>
    <w:p>
      <w:pPr>
        <w:pStyle w:val="806"/>
        <w:ind w:firstLine="843"/>
        <w:spacing w:before="0"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授权代表：</w:t>
      </w:r>
      <w:r/>
    </w:p>
    <w:p>
      <w:pPr>
        <w:pStyle w:val="806"/>
        <w:ind w:firstLine="843"/>
        <w:spacing w:before="0" w:after="0"/>
        <w:rPr>
          <w:rFonts w:hint="eastAsia" w:ascii="仿宋" w:hAnsi="仿宋" w:eastAsia="仿宋" w:cs="仿宋"/>
          <w:highlight w:val="none"/>
        </w:rPr>
      </w:pPr>
      <w:r>
        <w:rPr>
          <w:rFonts w:hint="eastAsia" w:ascii="仿宋" w:hAnsi="仿宋" w:eastAsia="仿宋" w:cs="仿宋"/>
          <w:b/>
          <w:bCs/>
          <w:sz w:val="28"/>
          <w:szCs w:val="28"/>
          <w:highlight w:val="none"/>
        </w:rPr>
        <w:t xml:space="preserve">日期：</w:t>
      </w:r>
      <w:r/>
    </w:p>
    <w:p>
      <w:pPr>
        <w:jc w:val="center"/>
        <w:spacing w:line="360" w:lineRule="auto"/>
        <w:rPr>
          <w:rFonts w:hint="eastAsia" w:ascii="仿宋" w:hAnsi="仿宋" w:eastAsia="仿宋" w:cs="仿宋"/>
          <w:b/>
          <w:bCs/>
          <w:sz w:val="36"/>
          <w:szCs w:val="36"/>
          <w:highlight w:val="none"/>
          <w:u w:val="single"/>
        </w:rPr>
      </w:pPr>
      <w:r>
        <w:rPr>
          <w:rFonts w:hint="eastAsia" w:ascii="仿宋" w:hAnsi="仿宋" w:eastAsia="仿宋" w:cs="仿宋"/>
          <w:sz w:val="20"/>
          <w:highlight w:val="none"/>
        </w:rPr>
        <w:br w:type="page" w:clear="all"/>
      </w:r>
      <w:r/>
    </w:p>
    <w:p>
      <w:pPr>
        <w:jc w:val="center"/>
        <w:spacing w:before="312" w:after="312" w:line="360" w:lineRule="auto"/>
        <w:rPr>
          <w:rFonts w:hint="eastAsia" w:ascii="仿宋" w:hAnsi="仿宋" w:eastAsia="仿宋" w:cs="仿宋"/>
          <w:b/>
          <w:bCs/>
          <w:sz w:val="28"/>
          <w:szCs w:val="28"/>
          <w:highlight w:val="none"/>
        </w:rPr>
      </w:pPr>
      <w:r/>
      <w:bookmarkStart w:id="188" w:name="_Toc27163"/>
      <w:r/>
      <w:bookmarkStart w:id="189" w:name="_Toc9798"/>
      <w:r>
        <w:rPr>
          <w:rFonts w:hint="eastAsia" w:ascii="仿宋" w:hAnsi="仿宋" w:eastAsia="仿宋" w:cs="仿宋"/>
          <w:b/>
          <w:bCs/>
          <w:sz w:val="28"/>
          <w:szCs w:val="28"/>
          <w:highlight w:val="none"/>
        </w:rPr>
        <w:t xml:space="preserve">资格性和符合性检查响应对照表</w:t>
      </w:r>
      <w:bookmarkEnd w:id="188"/>
      <w:r/>
      <w:bookmarkEnd w:id="189"/>
      <w:r/>
      <w:r/>
    </w:p>
    <w:tbl>
      <w:tblPr>
        <w:tblStyle w:val="787"/>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5730"/>
        <w:gridCol w:w="1410"/>
        <w:gridCol w:w="1453"/>
      </w:tblGrid>
      <w:tr>
        <w:trPr>
          <w:jc w:val="center"/>
          <w:trHeight w:val="803"/>
        </w:trPr>
        <w:tc>
          <w:tcPr>
            <w:tcW w:w="750" w:type="dxa"/>
            <w:vAlign w:val="center"/>
            <w:textDirection w:val="lrTb"/>
            <w:noWrap w:val="false"/>
          </w:tcPr>
          <w:p>
            <w:pPr>
              <w:jc w:val="center"/>
              <w:spacing w:line="240" w:lineRule="atLeast"/>
              <w:rPr>
                <w:rFonts w:hint="eastAsia" w:ascii="仿宋" w:hAnsi="仿宋" w:eastAsia="仿宋" w:cs="仿宋"/>
                <w:b/>
                <w:bCs/>
                <w:sz w:val="21"/>
                <w:szCs w:val="21"/>
              </w:rPr>
            </w:pPr>
            <w:r>
              <w:rPr>
                <w:rFonts w:hint="eastAsia" w:ascii="仿宋" w:hAnsi="仿宋" w:eastAsia="仿宋" w:cs="仿宋"/>
                <w:b/>
                <w:bCs/>
                <w:sz w:val="21"/>
                <w:szCs w:val="21"/>
              </w:rPr>
              <w:t xml:space="preserve">序号</w:t>
            </w:r>
            <w:r/>
          </w:p>
        </w:tc>
        <w:tc>
          <w:tcPr>
            <w:tcW w:w="5730" w:type="dxa"/>
            <w:vAlign w:val="center"/>
            <w:textDirection w:val="lrTb"/>
            <w:noWrap w:val="false"/>
          </w:tcPr>
          <w:p>
            <w:pPr>
              <w:jc w:val="center"/>
              <w:spacing w:line="240" w:lineRule="atLeast"/>
              <w:rPr>
                <w:rFonts w:hint="eastAsia" w:ascii="仿宋" w:hAnsi="仿宋" w:eastAsia="仿宋" w:cs="仿宋"/>
                <w:b/>
                <w:bCs/>
                <w:sz w:val="21"/>
                <w:szCs w:val="21"/>
              </w:rPr>
            </w:pPr>
            <w:r>
              <w:rPr>
                <w:rFonts w:hint="eastAsia" w:ascii="仿宋" w:hAnsi="仿宋" w:eastAsia="仿宋" w:cs="仿宋"/>
                <w:b/>
                <w:bCs/>
                <w:sz w:val="21"/>
                <w:szCs w:val="21"/>
              </w:rPr>
              <w:t xml:space="preserve">资格和符合性检查响应内容</w:t>
            </w:r>
            <w:r/>
          </w:p>
        </w:tc>
        <w:tc>
          <w:tcPr>
            <w:tcW w:w="1410" w:type="dxa"/>
            <w:vAlign w:val="center"/>
            <w:textDirection w:val="lrTb"/>
            <w:noWrap w:val="false"/>
          </w:tcPr>
          <w:p>
            <w:pPr>
              <w:jc w:val="center"/>
              <w:spacing w:line="240" w:lineRule="atLeast"/>
              <w:rPr>
                <w:rFonts w:hint="eastAsia" w:ascii="仿宋" w:hAnsi="仿宋" w:eastAsia="仿宋" w:cs="仿宋"/>
                <w:b/>
                <w:bCs/>
                <w:sz w:val="21"/>
                <w:szCs w:val="21"/>
              </w:rPr>
            </w:pPr>
            <w:r>
              <w:rPr>
                <w:rFonts w:hint="eastAsia" w:ascii="仿宋" w:hAnsi="仿宋" w:eastAsia="仿宋" w:cs="仿宋"/>
                <w:b/>
                <w:bCs/>
                <w:sz w:val="21"/>
                <w:szCs w:val="21"/>
              </w:rPr>
              <w:t xml:space="preserve">是否响应</w:t>
            </w:r>
            <w:r/>
          </w:p>
          <w:p>
            <w:pPr>
              <w:jc w:val="center"/>
              <w:spacing w:line="240" w:lineRule="atLeast"/>
              <w:rPr>
                <w:rFonts w:hint="eastAsia" w:ascii="仿宋" w:hAnsi="仿宋" w:eastAsia="仿宋" w:cs="仿宋"/>
                <w:b/>
                <w:bCs/>
                <w:sz w:val="21"/>
                <w:szCs w:val="21"/>
              </w:rPr>
            </w:pPr>
            <w:r>
              <w:rPr>
                <w:rFonts w:hint="eastAsia" w:ascii="仿宋" w:hAnsi="仿宋" w:eastAsia="仿宋" w:cs="仿宋"/>
                <w:b/>
                <w:bCs/>
                <w:sz w:val="21"/>
                <w:szCs w:val="21"/>
              </w:rPr>
              <w:t xml:space="preserve">（填是或者否）</w:t>
            </w:r>
            <w:r/>
          </w:p>
        </w:tc>
        <w:tc>
          <w:tcPr>
            <w:tcW w:w="1453" w:type="dxa"/>
            <w:vAlign w:val="center"/>
            <w:textDirection w:val="lrTb"/>
            <w:noWrap w:val="false"/>
          </w:tcPr>
          <w:p>
            <w:pPr>
              <w:jc w:val="center"/>
              <w:spacing w:line="240" w:lineRule="atLeast"/>
              <w:rPr>
                <w:rFonts w:hint="eastAsia" w:ascii="仿宋" w:hAnsi="仿宋" w:eastAsia="仿宋" w:cs="仿宋"/>
                <w:b/>
                <w:bCs/>
                <w:sz w:val="21"/>
                <w:szCs w:val="21"/>
              </w:rPr>
            </w:pPr>
            <w:r>
              <w:rPr>
                <w:rFonts w:hint="eastAsia" w:ascii="仿宋" w:hAnsi="仿宋" w:eastAsia="仿宋" w:cs="仿宋"/>
                <w:b/>
                <w:bCs/>
                <w:sz w:val="21"/>
                <w:szCs w:val="21"/>
              </w:rPr>
              <w:t xml:space="preserve">在投标文件中的页码位置</w:t>
            </w:r>
            <w:r/>
          </w:p>
        </w:tc>
      </w:tr>
      <w:tr>
        <w:trPr>
          <w:jc w:val="center"/>
          <w:trHeight w:val="320"/>
        </w:trPr>
        <w:tc>
          <w:tcPr>
            <w:gridSpan w:val="4"/>
            <w:tcW w:w="9343"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b/>
                <w:bCs/>
                <w:color w:val="000000"/>
                <w:sz w:val="21"/>
                <w:szCs w:val="21"/>
              </w:rPr>
              <w:t xml:space="preserve">资格性检查</w:t>
            </w:r>
            <w:r/>
          </w:p>
        </w:tc>
      </w:tr>
      <w:tr>
        <w:trPr>
          <w:jc w:val="center"/>
          <w:trHeight w:val="585"/>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5730" w:type="dxa"/>
            <w:vAlign w:val="center"/>
            <w:textDirection w:val="lrTb"/>
            <w:noWrap w:val="false"/>
          </w:tcPr>
          <w:p>
            <w:pPr>
              <w:ind w:firstLine="422"/>
              <w:rPr>
                <w:rFonts w:hint="eastAsia" w:ascii="仿宋" w:hAnsi="仿宋" w:eastAsia="仿宋" w:cs="仿宋"/>
                <w:b/>
                <w:bCs/>
                <w:i/>
                <w:sz w:val="21"/>
                <w:szCs w:val="21"/>
                <w:u w:val="single"/>
              </w:rPr>
            </w:pPr>
            <w:r>
              <w:rPr>
                <w:rFonts w:hint="eastAsia" w:ascii="仿宋" w:hAnsi="仿宋" w:eastAsia="仿宋" w:cs="仿宋"/>
                <w:b/>
                <w:bCs/>
                <w:i/>
                <w:sz w:val="21"/>
                <w:szCs w:val="21"/>
                <w:u w:val="single"/>
              </w:rPr>
              <w:t xml:space="preserve">具有独立承担民事责任的能力（提供法人或者其他组织的营业执照复印件并加盖公章，或者自然人的身份证明）；</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85"/>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5730" w:type="dxa"/>
            <w:vAlign w:val="center"/>
            <w:textDirection w:val="lrTb"/>
            <w:noWrap w:val="false"/>
          </w:tcPr>
          <w:p>
            <w:pPr>
              <w:ind w:firstLine="422"/>
              <w:rPr>
                <w:rFonts w:hint="eastAsia" w:ascii="仿宋" w:hAnsi="仿宋" w:eastAsia="仿宋" w:cs="仿宋"/>
                <w:b/>
                <w:bCs/>
                <w:i/>
                <w:sz w:val="21"/>
                <w:szCs w:val="21"/>
                <w:u w:val="single"/>
                <w:lang w:val="en-US" w:eastAsia="zh-CN"/>
              </w:rPr>
            </w:pPr>
            <w:r>
              <w:rPr>
                <w:rFonts w:hint="eastAsia" w:ascii="仿宋" w:hAnsi="仿宋" w:eastAsia="仿宋" w:cs="仿宋"/>
                <w:b/>
                <w:bCs/>
                <w:i/>
                <w:sz w:val="21"/>
                <w:szCs w:val="21"/>
                <w:u w:val="single"/>
              </w:rPr>
              <w:t xml:space="preserve">具有良好的商业信誉和健全的财务会计制度（提供2023年度财务报表或银行出具的企业资信证明，法人或者其他组织成立未满一年的可提供近半年内任一月的资产负债和利润表）；</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85"/>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5730" w:type="dxa"/>
            <w:vAlign w:val="center"/>
            <w:textDirection w:val="lrTb"/>
            <w:noWrap w:val="false"/>
          </w:tcPr>
          <w:p>
            <w:pPr>
              <w:ind w:firstLine="422"/>
              <w:rPr>
                <w:rFonts w:hint="eastAsia" w:ascii="仿宋" w:hAnsi="仿宋" w:eastAsia="仿宋" w:cs="仿宋"/>
                <w:b/>
                <w:i/>
                <w:sz w:val="21"/>
                <w:szCs w:val="21"/>
                <w:u w:val="single"/>
              </w:rPr>
            </w:pPr>
            <w:r>
              <w:rPr>
                <w:rFonts w:hint="eastAsia" w:ascii="仿宋" w:hAnsi="仿宋" w:eastAsia="仿宋" w:cs="仿宋"/>
                <w:b/>
                <w:i/>
                <w:sz w:val="21"/>
                <w:szCs w:val="21"/>
                <w:u w:val="single"/>
              </w:rPr>
              <w:t xml:space="preserve">具有履行合同所必需的设备和专业技术能力（根据项目需求提供履行合同所必需的设备和专业技术能力的证明材料或声明函）；</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025"/>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5730" w:type="dxa"/>
            <w:vAlign w:val="center"/>
            <w:textDirection w:val="lrTb"/>
            <w:noWrap w:val="false"/>
          </w:tcPr>
          <w:p>
            <w:pPr>
              <w:ind w:firstLine="422"/>
              <w:jc w:val="left"/>
              <w:spacing w:before="50" w:after="159"/>
              <w:rPr>
                <w:rFonts w:hint="eastAsia" w:ascii="仿宋" w:hAnsi="仿宋" w:eastAsia="仿宋" w:cs="仿宋"/>
                <w:b/>
                <w:bCs/>
                <w:i/>
                <w:sz w:val="21"/>
                <w:szCs w:val="21"/>
                <w:u w:val="single"/>
              </w:rPr>
            </w:pPr>
            <w:r>
              <w:rPr>
                <w:rFonts w:hint="eastAsia" w:ascii="仿宋" w:hAnsi="仿宋" w:eastAsia="仿宋" w:cs="仿宋"/>
                <w:b/>
                <w:bCs/>
                <w:i/>
                <w:sz w:val="21"/>
                <w:szCs w:val="21"/>
                <w:u w:val="single"/>
              </w:rPr>
              <w:t xml:space="preserve">有依法缴纳税收和社会保障资金的良好记录（提供参加本次采购活动前近六个月内任一月份依法缴纳税收及社会保险的凭据。依法免缴、迟缴的应提供相应文件证明）；</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01"/>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5730" w:type="dxa"/>
            <w:vAlign w:val="center"/>
            <w:textDirection w:val="lrTb"/>
            <w:noWrap w:val="false"/>
          </w:tcPr>
          <w:p>
            <w:pPr>
              <w:ind w:firstLine="422"/>
              <w:rPr>
                <w:rFonts w:hint="eastAsia" w:ascii="仿宋" w:hAnsi="仿宋" w:eastAsia="仿宋" w:cs="仿宋"/>
                <w:b/>
                <w:bCs/>
                <w:i/>
                <w:sz w:val="21"/>
                <w:szCs w:val="21"/>
                <w:u w:val="single"/>
              </w:rPr>
            </w:pPr>
            <w:r>
              <w:rPr>
                <w:rFonts w:hint="eastAsia" w:ascii="仿宋" w:hAnsi="仿宋" w:eastAsia="仿宋" w:cs="仿宋"/>
                <w:b/>
                <w:bCs/>
                <w:i/>
                <w:sz w:val="21"/>
                <w:szCs w:val="21"/>
                <w:u w:val="single"/>
              </w:rPr>
              <w:t xml:space="preserve">参加本次采购活动前3年内在经营活动中没有重大违法记录（提供参加本次采购活动前3年内在经营活动中没有重大违法记录的书面声明；</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90"/>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5730" w:type="dxa"/>
            <w:vAlign w:val="center"/>
            <w:textDirection w:val="lrTb"/>
            <w:noWrap w:val="false"/>
          </w:tcPr>
          <w:p>
            <w:pPr>
              <w:ind w:firstLine="422"/>
              <w:rPr>
                <w:rFonts w:hint="eastAsia" w:ascii="仿宋" w:hAnsi="仿宋" w:eastAsia="仿宋" w:cs="仿宋"/>
                <w:b/>
                <w:i/>
                <w:sz w:val="21"/>
                <w:szCs w:val="21"/>
                <w:u w:val="single"/>
                <w:lang w:eastAsia="zh-CN"/>
              </w:rPr>
            </w:pPr>
            <w:r>
              <w:rPr>
                <w:rFonts w:hint="eastAsia" w:ascii="仿宋" w:hAnsi="仿宋" w:eastAsia="仿宋" w:cs="仿宋"/>
                <w:b/>
                <w:i/>
                <w:sz w:val="21"/>
                <w:szCs w:val="21"/>
                <w:u w:val="single"/>
              </w:rPr>
              <w:t xml:space="preserve">供应商未被“信用中国”网站（www.creditchina.gov.cn）、“</w:t>
            </w:r>
            <w:r>
              <w:rPr>
                <w:rFonts w:hint="eastAsia" w:ascii="仿宋" w:hAnsi="仿宋" w:eastAsia="仿宋" w:cs="仿宋"/>
                <w:b/>
                <w:i/>
                <w:sz w:val="21"/>
                <w:szCs w:val="21"/>
                <w:u w:val="single"/>
                <w:lang w:val="en-US" w:eastAsia="zh-CN"/>
              </w:rPr>
              <w:t xml:space="preserve">中国</w:t>
            </w:r>
            <w:r>
              <w:rPr>
                <w:rFonts w:hint="eastAsia" w:ascii="仿宋" w:hAnsi="仿宋" w:eastAsia="仿宋" w:cs="仿宋"/>
                <w:b/>
                <w:i/>
                <w:sz w:val="21"/>
                <w:szCs w:val="21"/>
                <w:u w:val="single"/>
                <w:lang w:eastAsia="zh-CN"/>
              </w:rPr>
              <w:t xml:space="preserve">政府采购网</w:t>
            </w:r>
            <w:r>
              <w:rPr>
                <w:rFonts w:hint="eastAsia" w:ascii="仿宋" w:hAnsi="仿宋" w:eastAsia="仿宋" w:cs="仿宋"/>
                <w:b/>
                <w:i/>
                <w:sz w:val="21"/>
                <w:szCs w:val="21"/>
                <w:u w:val="single"/>
              </w:rPr>
              <w:t xml:space="preserve">”(www.ccgp.gov.cn)列入失信被执行人、重大税收违法案件当事人名单、政府采购严重违法失信行为记录名单</w:t>
            </w:r>
            <w:r>
              <w:rPr>
                <w:rFonts w:hint="eastAsia" w:ascii="仿宋" w:hAnsi="仿宋" w:eastAsia="仿宋" w:cs="仿宋"/>
                <w:b/>
                <w:i/>
                <w:sz w:val="21"/>
                <w:szCs w:val="21"/>
                <w:u w:val="single"/>
                <w:lang w:val="en-US" w:eastAsia="zh-CN"/>
              </w:rPr>
              <w:t xml:space="preserve">（须提供网页截图</w:t>
            </w:r>
            <w:r>
              <w:rPr>
                <w:rFonts w:hint="eastAsia" w:ascii="仿宋" w:hAnsi="仿宋" w:eastAsia="仿宋" w:cs="仿宋"/>
                <w:b/>
                <w:i/>
                <w:sz w:val="21"/>
                <w:szCs w:val="21"/>
                <w:u w:val="single"/>
                <w:lang w:eastAsia="zh-CN"/>
              </w:rPr>
              <w:t xml:space="preserve">）。</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72"/>
        </w:trPr>
        <w:tc>
          <w:tcPr>
            <w:gridSpan w:val="4"/>
            <w:tcW w:w="9343" w:type="dxa"/>
            <w:vAlign w:val="center"/>
            <w:textDirection w:val="lrTb"/>
            <w:noWrap w:val="false"/>
          </w:tcPr>
          <w:p>
            <w:pPr>
              <w:tabs>
                <w:tab w:val="left" w:pos="4002" w:leader="none"/>
              </w:tabs>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b/>
                <w:bCs/>
                <w:color w:val="000000"/>
                <w:sz w:val="21"/>
                <w:szCs w:val="21"/>
              </w:rPr>
              <w:t xml:space="preserve">符合性检查</w:t>
            </w:r>
            <w:r/>
          </w:p>
        </w:tc>
      </w:tr>
      <w:tr>
        <w:trPr>
          <w:jc w:val="center"/>
          <w:trHeight w:val="357"/>
        </w:trPr>
        <w:tc>
          <w:tcPr>
            <w:tcW w:w="75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5730" w:type="dxa"/>
            <w:vAlign w:val="center"/>
            <w:textDirection w:val="lrTb"/>
            <w:noWrap w:val="false"/>
          </w:tcPr>
          <w:p>
            <w:pPr>
              <w:ind w:firstLine="422"/>
              <w:rPr>
                <w:rFonts w:hint="eastAsia" w:ascii="仿宋" w:hAnsi="仿宋" w:eastAsia="仿宋" w:cs="仿宋"/>
                <w:b/>
                <w:i/>
                <w:sz w:val="21"/>
                <w:szCs w:val="21"/>
                <w:u w:val="single"/>
              </w:rPr>
            </w:pPr>
            <w:r>
              <w:rPr>
                <w:rFonts w:hint="eastAsia" w:ascii="仿宋" w:hAnsi="仿宋" w:eastAsia="仿宋" w:cs="仿宋"/>
                <w:b/>
                <w:i/>
                <w:sz w:val="21"/>
                <w:szCs w:val="21"/>
                <w:u w:val="single"/>
                <w:lang w:val="en-US" w:eastAsia="zh-CN"/>
              </w:rPr>
              <w:t xml:space="preserve">磋商</w:t>
            </w:r>
            <w:r>
              <w:rPr>
                <w:rFonts w:hint="eastAsia" w:ascii="仿宋" w:hAnsi="仿宋" w:eastAsia="仿宋" w:cs="仿宋"/>
                <w:b/>
                <w:i/>
                <w:sz w:val="21"/>
                <w:szCs w:val="21"/>
                <w:u w:val="single"/>
              </w:rPr>
              <w:t xml:space="preserve">函、法人授权委托书</w:t>
            </w:r>
            <w:r>
              <w:rPr>
                <w:rFonts w:hint="eastAsia" w:ascii="仿宋" w:hAnsi="仿宋" w:eastAsia="仿宋" w:cs="仿宋"/>
                <w:b/>
                <w:i/>
                <w:sz w:val="21"/>
                <w:szCs w:val="21"/>
                <w:u w:val="single"/>
                <w:lang w:eastAsia="zh-CN"/>
              </w:rPr>
              <w:t xml:space="preserve">；</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57"/>
        </w:trPr>
        <w:tc>
          <w:tcPr>
            <w:tcW w:w="75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5730" w:type="dxa"/>
            <w:vAlign w:val="center"/>
            <w:textDirection w:val="lrTb"/>
            <w:noWrap w:val="false"/>
          </w:tcPr>
          <w:p>
            <w:pPr>
              <w:ind w:firstLine="422"/>
              <w:jc w:val="left"/>
              <w:spacing w:line="0" w:lineRule="atLeast"/>
              <w:rPr>
                <w:rFonts w:hint="eastAsia" w:ascii="仿宋" w:hAnsi="仿宋" w:eastAsia="仿宋" w:cs="仿宋"/>
                <w:b/>
                <w:i/>
                <w:sz w:val="21"/>
                <w:szCs w:val="21"/>
                <w:u w:val="single"/>
              </w:rPr>
            </w:pPr>
            <w:r>
              <w:rPr>
                <w:rFonts w:hint="eastAsia" w:ascii="仿宋" w:hAnsi="仿宋" w:eastAsia="仿宋" w:cs="仿宋"/>
                <w:b/>
                <w:i/>
                <w:sz w:val="21"/>
                <w:szCs w:val="21"/>
                <w:u w:val="single"/>
                <w:lang w:val="en-US" w:eastAsia="zh-CN"/>
              </w:rPr>
              <w:t xml:space="preserve">响应</w:t>
            </w:r>
            <w:r>
              <w:rPr>
                <w:rFonts w:hint="eastAsia" w:ascii="仿宋" w:hAnsi="仿宋" w:eastAsia="仿宋" w:cs="仿宋"/>
                <w:b/>
                <w:i/>
                <w:sz w:val="21"/>
                <w:szCs w:val="21"/>
                <w:u w:val="single"/>
              </w:rPr>
              <w:t xml:space="preserve">文件份数</w:t>
            </w:r>
            <w:r>
              <w:rPr>
                <w:rFonts w:hint="eastAsia" w:ascii="仿宋" w:hAnsi="仿宋" w:eastAsia="仿宋" w:cs="仿宋"/>
                <w:b/>
                <w:i/>
                <w:sz w:val="21"/>
                <w:szCs w:val="21"/>
                <w:u w:val="single"/>
                <w:lang w:eastAsia="zh-CN"/>
              </w:rPr>
              <w:t xml:space="preserve">；</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7"/>
        </w:trPr>
        <w:tc>
          <w:tcPr>
            <w:tcW w:w="75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5730" w:type="dxa"/>
            <w:vAlign w:val="center"/>
            <w:textDirection w:val="lrTb"/>
            <w:noWrap w:val="false"/>
          </w:tcPr>
          <w:p>
            <w:pPr>
              <w:ind w:firstLine="422"/>
              <w:jc w:val="left"/>
              <w:spacing w:line="0" w:lineRule="atLeast"/>
              <w:rPr>
                <w:rFonts w:hint="eastAsia" w:ascii="仿宋" w:hAnsi="仿宋" w:eastAsia="仿宋" w:cs="仿宋"/>
                <w:b/>
                <w:i/>
                <w:sz w:val="21"/>
                <w:szCs w:val="21"/>
                <w:u w:val="single"/>
              </w:rPr>
            </w:pPr>
            <w:r>
              <w:rPr>
                <w:rFonts w:hint="eastAsia" w:ascii="仿宋" w:hAnsi="仿宋" w:eastAsia="仿宋" w:cs="仿宋"/>
                <w:b/>
                <w:i/>
                <w:sz w:val="21"/>
                <w:szCs w:val="21"/>
                <w:u w:val="single"/>
              </w:rPr>
              <w:t xml:space="preserve">商务条款偏离表</w:t>
            </w:r>
            <w:r>
              <w:rPr>
                <w:rFonts w:hint="eastAsia" w:ascii="仿宋" w:hAnsi="仿宋" w:eastAsia="仿宋" w:cs="仿宋"/>
                <w:b/>
                <w:i/>
                <w:sz w:val="21"/>
                <w:szCs w:val="21"/>
                <w:u w:val="single"/>
                <w:lang w:eastAsia="zh-CN"/>
              </w:rPr>
              <w:t xml:space="preserve">；</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62"/>
        </w:trPr>
        <w:tc>
          <w:tcPr>
            <w:tcW w:w="75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5730" w:type="dxa"/>
            <w:vAlign w:val="center"/>
            <w:textDirection w:val="lrTb"/>
            <w:noWrap w:val="false"/>
          </w:tcPr>
          <w:p>
            <w:pPr>
              <w:ind w:firstLine="422"/>
              <w:rPr>
                <w:rFonts w:hint="eastAsia" w:ascii="仿宋" w:hAnsi="仿宋" w:eastAsia="仿宋" w:cs="仿宋"/>
                <w:color w:val="000000"/>
                <w:sz w:val="24"/>
                <w:szCs w:val="24"/>
                <w:lang w:val="en-US" w:eastAsia="zh-CN"/>
              </w:rPr>
            </w:pPr>
            <w:r>
              <w:rPr>
                <w:rFonts w:hint="eastAsia" w:ascii="仿宋" w:hAnsi="仿宋" w:eastAsia="仿宋" w:cs="仿宋"/>
                <w:b/>
                <w:i/>
                <w:sz w:val="21"/>
                <w:szCs w:val="21"/>
                <w:u w:val="single"/>
                <w:lang w:val="en-US" w:eastAsia="zh-CN"/>
              </w:rPr>
              <w:t xml:space="preserve">服务条款偏离表。</w:t>
            </w:r>
            <w:r/>
          </w:p>
        </w:tc>
        <w:tc>
          <w:tcPr>
            <w:tcW w:w="141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pStyle w:val="801"/>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说明：上述所列资格证明文件为必须提供内容，未提供或未提供有效材料的，将不能通过符合性审查。</w:t>
      </w:r>
      <w:r/>
    </w:p>
    <w:p>
      <w:pPr>
        <w:ind w:firstLine="400"/>
        <w:spacing w:line="360" w:lineRule="auto"/>
        <w:rPr>
          <w:rFonts w:hint="eastAsia" w:ascii="仿宋" w:hAnsi="仿宋" w:eastAsia="仿宋" w:cs="仿宋"/>
          <w:sz w:val="20"/>
          <w:highlight w:val="none"/>
        </w:rPr>
      </w:pPr>
      <w:r>
        <w:rPr>
          <w:rFonts w:hint="eastAsia" w:ascii="仿宋" w:hAnsi="仿宋" w:eastAsia="仿宋" w:cs="仿宋"/>
          <w:sz w:val="20"/>
          <w:highlight w:val="none"/>
        </w:rPr>
        <w:br w:type="page" w:clear="all"/>
      </w:r>
      <w:r/>
    </w:p>
    <w:p>
      <w:pPr>
        <w:pStyle w:val="806"/>
        <w:ind w:firstLine="562"/>
        <w:jc w:val="center"/>
        <w:spacing w:before="156" w:after="156"/>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评分索引表</w:t>
      </w:r>
      <w:r/>
    </w:p>
    <w:tbl>
      <w:tblPr>
        <w:tblStyle w:val="78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11"/>
        <w:gridCol w:w="3849"/>
      </w:tblGrid>
      <w:tr>
        <w:trPr>
          <w:jc w:val="center"/>
          <w:trHeight w:val="530"/>
        </w:trPr>
        <w:tc>
          <w:tcPr>
            <w:tcW w:w="3068" w:type="pct"/>
            <w:textDirection w:val="lrTb"/>
            <w:noWrap w:val="false"/>
          </w:tcPr>
          <w:p>
            <w:pPr>
              <w:jc w:val="center"/>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评分项目</w:t>
            </w:r>
            <w:r/>
          </w:p>
        </w:tc>
        <w:tc>
          <w:tcPr>
            <w:tcW w:w="1931" w:type="pct"/>
            <w:textDirection w:val="lrTb"/>
            <w:noWrap w:val="false"/>
          </w:tcPr>
          <w:p>
            <w:pPr>
              <w:jc w:val="center"/>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在磋商文件中的页码位置</w:t>
            </w:r>
            <w:r/>
          </w:p>
        </w:tc>
      </w:tr>
      <w:tr>
        <w:trPr>
          <w:jc w:val="center"/>
          <w:trHeight w:val="515"/>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gridSpan w:val="2"/>
            <w:tcW w:w="5000"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75"/>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530"/>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530"/>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452"/>
        </w:trPr>
        <w:tc>
          <w:tcPr>
            <w:gridSpan w:val="2"/>
            <w:tcW w:w="5000"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68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530"/>
        </w:trPr>
        <w:tc>
          <w:tcPr>
            <w:gridSpan w:val="2"/>
            <w:tcW w:w="5000"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75"/>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75"/>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366"/>
        </w:trPr>
        <w:tc>
          <w:tcPr>
            <w:gridSpan w:val="2"/>
            <w:tcW w:w="5000"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575"/>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r>
        <w:trPr>
          <w:jc w:val="center"/>
          <w:trHeight w:val="529"/>
        </w:trPr>
        <w:tc>
          <w:tcPr>
            <w:tcW w:w="3068"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c>
          <w:tcPr>
            <w:tcW w:w="1931" w:type="pct"/>
            <w:textDirection w:val="lrTb"/>
            <w:noWrap w:val="false"/>
          </w:tcPr>
          <w:p>
            <w:pPr>
              <w:jc w:val="center"/>
              <w:spacing w:line="360" w:lineRule="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r>
            <w:r/>
          </w:p>
        </w:tc>
      </w:tr>
    </w:tbl>
    <w:p>
      <w:pP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sz w:val="20"/>
          <w:highlight w:val="none"/>
        </w:rPr>
        <w:br w:type="page" w:clear="all"/>
      </w:r>
      <w:r/>
    </w:p>
    <w:p>
      <w:pPr>
        <w:jc w:val="center"/>
        <w:spacing w:line="360" w:lineRule="auto"/>
        <w:rPr>
          <w:rFonts w:hint="eastAsia" w:ascii="仿宋" w:hAnsi="仿宋" w:eastAsia="仿宋" w:cs="仿宋"/>
          <w:b/>
          <w:sz w:val="28"/>
          <w:highlight w:val="none"/>
        </w:rPr>
      </w:pPr>
      <w:r/>
      <w:bookmarkStart w:id="190" w:name="_Toc5449"/>
      <w:r/>
      <w:bookmarkStart w:id="191" w:name="_Toc11631"/>
      <w:r>
        <w:rPr>
          <w:rFonts w:hint="eastAsia" w:ascii="仿宋" w:hAnsi="仿宋" w:eastAsia="仿宋" w:cs="仿宋"/>
          <w:b/>
          <w:bCs/>
          <w:sz w:val="28"/>
          <w:szCs w:val="28"/>
          <w:highlight w:val="none"/>
        </w:rPr>
        <w:t xml:space="preserve">主要文件目录</w:t>
      </w:r>
      <w:bookmarkEnd w:id="190"/>
      <w:r/>
      <w:bookmarkEnd w:id="191"/>
      <w:r/>
      <w:r/>
    </w:p>
    <w:p>
      <w:pPr>
        <w:ind w:firstLine="1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请供应商编制目录及页码，否则可能将影响对响应文件的评价。</w:t>
      </w:r>
      <w:r/>
    </w:p>
    <w:p>
      <w:pPr>
        <w:ind w:firstLine="1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jc w:val="center"/>
        <w:spacing w:line="360" w:lineRule="auto"/>
        <w:rPr>
          <w:rFonts w:hint="eastAsia" w:ascii="仿宋" w:hAnsi="仿宋" w:eastAsia="仿宋" w:cs="仿宋"/>
          <w:sz w:val="20"/>
          <w:highlight w:val="none"/>
        </w:rPr>
      </w:pPr>
      <w:r>
        <w:rPr>
          <w:rFonts w:hint="eastAsia" w:ascii="仿宋" w:hAnsi="仿宋" w:eastAsia="仿宋" w:cs="仿宋"/>
          <w:sz w:val="20"/>
          <w:highlight w:val="none"/>
        </w:rPr>
        <w:br w:type="page" w:clear="all"/>
      </w:r>
      <w:r/>
    </w:p>
    <w:p>
      <w:pPr>
        <w:jc w:val="cente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pStyle w:val="808"/>
        <w:jc w:val="center"/>
        <w:spacing w:line="360" w:lineRule="auto"/>
        <w:rPr>
          <w:rFonts w:hint="eastAsia" w:ascii="仿宋" w:hAnsi="仿宋" w:eastAsia="仿宋" w:cs="仿宋"/>
          <w:color w:val="000000"/>
          <w:sz w:val="32"/>
          <w:szCs w:val="32"/>
          <w:highlight w:val="none"/>
        </w:rPr>
      </w:pPr>
      <w:r/>
      <w:bookmarkStart w:id="192" w:name="_Toc23993"/>
      <w:r/>
      <w:bookmarkStart w:id="193" w:name="_Toc2101"/>
      <w:r/>
      <w:bookmarkStart w:id="194" w:name="_Toc26097"/>
      <w:r/>
      <w:bookmarkStart w:id="195" w:name="_Toc13161"/>
      <w:r/>
      <w:bookmarkStart w:id="196" w:name="_Toc24975"/>
      <w:r/>
      <w:bookmarkStart w:id="197" w:name="_Toc4105"/>
      <w:r/>
      <w:bookmarkStart w:id="198" w:name="_Toc10327"/>
      <w:r/>
      <w:bookmarkStart w:id="199" w:name="_Toc25243"/>
      <w:r/>
      <w:bookmarkStart w:id="200" w:name="_Toc16635"/>
      <w:r/>
      <w:bookmarkStart w:id="201" w:name="_Toc19614"/>
      <w:r>
        <w:rPr>
          <w:rFonts w:hint="eastAsia" w:ascii="仿宋" w:hAnsi="仿宋" w:eastAsia="仿宋" w:cs="仿宋"/>
          <w:color w:val="000000"/>
          <w:sz w:val="32"/>
          <w:szCs w:val="32"/>
          <w:highlight w:val="none"/>
        </w:rPr>
        <w:t xml:space="preserve">一、磋商函</w:t>
      </w:r>
      <w:bookmarkEnd w:id="192"/>
      <w:r/>
      <w:bookmarkEnd w:id="193"/>
      <w:r/>
      <w:bookmarkEnd w:id="194"/>
      <w:r/>
      <w:bookmarkEnd w:id="195"/>
      <w:r/>
      <w:bookmarkEnd w:id="196"/>
      <w:r/>
      <w:bookmarkEnd w:id="197"/>
      <w:r/>
      <w:bookmarkEnd w:id="198"/>
      <w:r/>
      <w:bookmarkEnd w:id="199"/>
      <w:r/>
      <w:bookmarkEnd w:id="200"/>
      <w:r/>
      <w:bookmarkEnd w:id="201"/>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 xml:space="preserve">江苏臻采招标代理有限公司</w:t>
      </w:r>
      <w:r>
        <w:rPr>
          <w:rFonts w:hint="eastAsia" w:ascii="仿宋" w:hAnsi="仿宋" w:eastAsia="仿宋" w:cs="仿宋"/>
          <w:sz w:val="24"/>
          <w:szCs w:val="24"/>
          <w:highlight w:val="none"/>
        </w:rPr>
        <w:t xml:space="preserve">：</w:t>
      </w:r>
      <w:r/>
    </w:p>
    <w:p>
      <w:pPr>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sz w:val="24"/>
          <w:szCs w:val="24"/>
          <w:highlight w:val="none"/>
          <w:lang w:eastAsia="zh-CN"/>
        </w:rPr>
        <w:t xml:space="preserve">2022、2023年度省级专项转移支付资金部门绩效评价省级复评和省级专项资金政策绩效评价</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highlight w:val="none"/>
          <w:lang w:eastAsia="zh-CN"/>
        </w:rPr>
        <w:t xml:space="preserve">JSZC-320000-ZCZB-C2024-0008</w:t>
      </w:r>
      <w:r>
        <w:rPr>
          <w:rFonts w:hint="eastAsia" w:ascii="仿宋" w:hAnsi="仿宋" w:eastAsia="仿宋" w:cs="仿宋"/>
          <w:sz w:val="24"/>
          <w:szCs w:val="24"/>
          <w:highlight w:val="none"/>
        </w:rPr>
        <w:t xml:space="preserve">）竞争性磋商文件（包括更正公告，如果有的话）收悉，我们经详细审阅和研究，现决定参加磋商。</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1、我们郑重承诺：我们是符合《政府采购法》第22条规定的供应商，并严格遵守《政府采购法》第77条的规定，本响应文件中提供的所有材料均是真实有效的。</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2、我们接受竞争性磋商文件的所有的条款和规定。</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4、我们同意提供采购人要求的有关本次采购的所有资料。</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5、我们理解，你们无义务必须接受磋商报价最低的磋商，并有权拒绝所有的磋商。同时也理解你们不承担我们本次磋商的费用。</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6、如果我们成交，为执行合同，我们将按供应商须知有关要求提供必要的履约保证。</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地址：邮编：</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电话：传真：</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授权代表（签字或盖章）：</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202" w:name="_Toc27417"/>
      <w:r/>
      <w:bookmarkStart w:id="203" w:name="_Toc2237"/>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sz w:val="20"/>
          <w:highlight w:val="none"/>
        </w:rPr>
        <w:br w:type="page" w:clear="all"/>
      </w:r>
      <w:r/>
    </w:p>
    <w:p>
      <w:pPr>
        <w:pStyle w:val="808"/>
        <w:jc w:val="center"/>
        <w:spacing w:before="312" w:after="312" w:line="360" w:lineRule="auto"/>
        <w:rPr>
          <w:rFonts w:hint="eastAsia" w:ascii="仿宋" w:hAnsi="仿宋" w:eastAsia="仿宋" w:cs="仿宋"/>
          <w:color w:val="000000"/>
          <w:sz w:val="32"/>
          <w:szCs w:val="32"/>
          <w:highlight w:val="none"/>
        </w:rPr>
      </w:pPr>
      <w:r/>
      <w:bookmarkStart w:id="204" w:name="_Toc5885"/>
      <w:r/>
      <w:bookmarkStart w:id="205" w:name="_Toc14617"/>
      <w:r/>
      <w:bookmarkStart w:id="206" w:name="_Toc6490"/>
      <w:r/>
      <w:bookmarkStart w:id="207" w:name="_Toc12217"/>
      <w:r/>
      <w:bookmarkStart w:id="208" w:name="_Toc31363"/>
      <w:r/>
      <w:bookmarkStart w:id="209" w:name="_Toc5254"/>
      <w:r/>
      <w:bookmarkStart w:id="210" w:name="_Toc16454"/>
      <w:r/>
      <w:bookmarkStart w:id="211" w:name="_Toc18401"/>
      <w:r/>
      <w:bookmarkStart w:id="212" w:name="_Toc4385"/>
      <w:r/>
      <w:bookmarkStart w:id="213" w:name="_Toc20265"/>
      <w:r>
        <w:rPr>
          <w:rFonts w:hint="eastAsia" w:ascii="仿宋" w:hAnsi="仿宋" w:eastAsia="仿宋" w:cs="仿宋"/>
          <w:color w:val="000000"/>
          <w:sz w:val="32"/>
          <w:szCs w:val="32"/>
          <w:highlight w:val="none"/>
        </w:rPr>
        <w:t xml:space="preserve">二、</w:t>
      </w:r>
      <w:bookmarkEnd w:id="202"/>
      <w:r/>
      <w:bookmarkEnd w:id="203"/>
      <w:r/>
      <w:bookmarkEnd w:id="204"/>
      <w:r>
        <w:rPr>
          <w:rFonts w:hint="eastAsia" w:ascii="仿宋" w:hAnsi="仿宋" w:eastAsia="仿宋" w:cs="仿宋"/>
          <w:color w:val="000000"/>
          <w:sz w:val="32"/>
          <w:szCs w:val="32"/>
          <w:highlight w:val="none"/>
        </w:rPr>
        <w:t xml:space="preserve">报价一览表</w:t>
      </w:r>
      <w:bookmarkEnd w:id="205"/>
      <w:r/>
      <w:bookmarkEnd w:id="206"/>
      <w:r/>
      <w:bookmarkEnd w:id="207"/>
      <w:r/>
      <w:bookmarkEnd w:id="208"/>
      <w:r/>
      <w:bookmarkEnd w:id="209"/>
      <w:r/>
      <w:bookmarkEnd w:id="210"/>
      <w:r/>
      <w:bookmarkEnd w:id="211"/>
      <w:r/>
      <w:bookmarkEnd w:id="212"/>
      <w:r/>
      <w:bookmarkEnd w:id="213"/>
      <w:r/>
      <w:r/>
    </w:p>
    <w:p>
      <w:pPr>
        <w:pStyle w:val="81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87"/>
        <w:tblpPr w:horzAnchor="text" w:tblpXSpec="left" w:vertAnchor="text" w:tblpY="1" w:leftFromText="45" w:topFromText="0" w:rightFromText="45" w:bottomFromText="0"/>
        <w:tblW w:w="9763" w:type="dxa"/>
        <w:tblCellSpacing w:w="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88"/>
        <w:gridCol w:w="7675"/>
      </w:tblGrid>
      <w:tr>
        <w:trPr>
          <w:tblCellSpacing w:w="0" w:type="dxa"/>
          <w:trHeight w:val="1534"/>
        </w:trPr>
        <w:tc>
          <w:tcPr>
            <w:tcBorders>
              <w:top w:val="single" w:color="auto" w:sz="4" w:space="0"/>
              <w:left w:val="single" w:color="000000" w:sz="6" w:space="0"/>
              <w:bottom w:val="single" w:color="auto" w:sz="4" w:space="0"/>
              <w:right w:val="single" w:color="auto" w:sz="4" w:space="0"/>
            </w:tcBorders>
            <w:tcW w:w="2088"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7675"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2022、2023年度省级专项转移支付资金部门绩效评价省级复评和省级专项资金政策绩效评价</w:t>
            </w:r>
            <w:r/>
          </w:p>
        </w:tc>
      </w:tr>
      <w:tr>
        <w:trPr>
          <w:tblCellSpacing w:w="0" w:type="dxa"/>
          <w:trHeight w:val="1066"/>
        </w:trPr>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ind w:firstLine="480"/>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项目编号</w:t>
            </w:r>
            <w:r/>
          </w:p>
        </w:tc>
        <w:tc>
          <w:tcPr>
            <w:tcBorders>
              <w:top w:val="single" w:color="auto" w:sz="4" w:space="0"/>
              <w:left w:val="single" w:color="auto" w:sz="4" w:space="0"/>
              <w:bottom w:val="single" w:color="auto" w:sz="4" w:space="0"/>
              <w:right w:val="single" w:color="auto" w:sz="4" w:space="0"/>
            </w:tcBorders>
            <w:tcW w:w="7675" w:type="dxa"/>
            <w:vAlign w:val="center"/>
            <w:textDirection w:val="lrTb"/>
            <w:noWrap w:val="false"/>
          </w:tcPr>
          <w:p>
            <w:pPr>
              <w:jc w:val="center"/>
              <w:spacing w:line="360" w:lineRule="auto"/>
              <w:tabs>
                <w:tab w:val="left" w:pos="142" w:leader="none"/>
              </w:tabs>
              <w:rPr>
                <w:rFonts w:hint="eastAsia" w:ascii="仿宋" w:hAnsi="仿宋" w:eastAsia="仿宋" w:cs="仿宋"/>
                <w:color w:val="000000"/>
                <w:sz w:val="24"/>
                <w:szCs w:val="24"/>
                <w:highlight w:val="none"/>
                <w:lang w:eastAsia="zh-CN"/>
              </w:rPr>
            </w:pPr>
            <w:r>
              <w:rPr>
                <w:rFonts w:hint="eastAsia" w:ascii="仿宋" w:hAnsi="仿宋" w:eastAsia="仿宋" w:cs="仿宋"/>
                <w:sz w:val="24"/>
                <w:szCs w:val="24"/>
                <w:highlight w:val="none"/>
                <w:lang w:eastAsia="zh-CN"/>
              </w:rPr>
              <w:t xml:space="preserve">JSZC-320000-ZCZB-C2024-0008</w:t>
            </w:r>
            <w:r/>
          </w:p>
        </w:tc>
      </w:tr>
      <w:tr>
        <w:trPr>
          <w:tblCellSpacing w:w="0" w:type="dxa"/>
          <w:trHeight w:val="1090"/>
        </w:trPr>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7675"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 (大写)：_______________</w:t>
            </w:r>
            <w:r/>
          </w:p>
        </w:tc>
      </w:tr>
      <w:tr>
        <w:trPr>
          <w:tblCellSpacing w:w="0" w:type="dxa"/>
          <w:trHeight w:val="1090"/>
        </w:trPr>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服务时间</w:t>
            </w:r>
            <w:r/>
          </w:p>
        </w:tc>
        <w:tc>
          <w:tcPr>
            <w:tcBorders>
              <w:top w:val="single" w:color="auto" w:sz="4" w:space="0"/>
              <w:left w:val="single" w:color="auto" w:sz="4" w:space="0"/>
              <w:bottom w:val="single" w:color="auto" w:sz="4" w:space="0"/>
              <w:right w:val="single" w:color="auto" w:sz="4" w:space="0"/>
            </w:tcBorders>
            <w:tcW w:w="76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800"/>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0"/>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0"/>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供应商全称（公章）：  </w:t>
      </w:r>
      <w:r/>
    </w:p>
    <w:p>
      <w:pPr>
        <w:pStyle w:val="800"/>
        <w:spacing w:before="0" w:beforeAutospacing="0" w:after="0" w:afterAutospacing="0" w:line="360" w:lineRule="auto"/>
        <w:rPr>
          <w:rFonts w:hint="eastAsia" w:ascii="仿宋" w:hAnsi="仿宋" w:eastAsia="仿宋" w:cs="仿宋"/>
          <w:color w:val="000000"/>
          <w:highlight w:val="none"/>
          <w:u w:val="singl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授权代表（签字或盖章）</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       </w:t>
      </w:r>
      <w:r/>
    </w:p>
    <w:p>
      <w:pPr>
        <w:pStyle w:val="800"/>
        <w:spacing w:before="0" w:beforeAutospacing="0" w:after="0" w:afterAutospacing="0" w:line="360" w:lineRule="auto"/>
        <w:rPr>
          <w:rFonts w:hint="eastAsia" w:ascii="仿宋" w:hAnsi="仿宋" w:eastAsia="仿宋" w:cs="仿宋"/>
          <w:color w:val="000000"/>
          <w:highlight w:val="none"/>
          <w:u w:val="none"/>
          <w:lang w:val="en-US" w:eastAsia="zh-CN"/>
        </w:rPr>
      </w:pPr>
      <w:r>
        <w:rPr>
          <w:rFonts w:hint="eastAsia" w:ascii="仿宋" w:hAnsi="仿宋" w:eastAsia="仿宋" w:cs="仿宋"/>
          <w:color w:val="000000"/>
          <w:highlight w:val="none"/>
          <w:u w:val="none"/>
          <w:lang w:val="en-US" w:eastAsia="zh-CN"/>
        </w:rPr>
        <w:t xml:space="preserve">日期：</w:t>
      </w:r>
      <w:r/>
    </w:p>
    <w:p>
      <w:pPr>
        <w:spacing w:line="360" w:lineRule="auto"/>
        <w:rPr>
          <w:rStyle w:val="803"/>
          <w:rFonts w:hint="eastAsia" w:ascii="仿宋" w:hAnsi="仿宋" w:eastAsia="仿宋" w:cs="仿宋"/>
          <w:color w:val="000000"/>
          <w:sz w:val="20"/>
          <w:highlight w:val="none"/>
        </w:rPr>
      </w:pPr>
      <w:r>
        <w:rPr>
          <w:rStyle w:val="803"/>
          <w:rFonts w:hint="eastAsia" w:ascii="仿宋" w:hAnsi="仿宋" w:eastAsia="仿宋" w:cs="仿宋"/>
          <w:color w:val="000000"/>
          <w:highlight w:val="none"/>
        </w:rPr>
        <w:t xml:space="preserve">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1.所有价格均以人民币表示；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2.项目报价应包括磋商文件所规定的全部内容（材料，各类人工、税费、管理费以及一切技术和服务费等）。供应商漏报的费用，视为此项费用已隐含在响应报价中，成交后不得再向采购人收取任何费用；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3.磋商文件未列明，而供应商认为必需的费用也需列入报价；</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4.供应商不得实质性改动报价一览表格式及内容。</w:t>
      </w:r>
      <w:r/>
    </w:p>
    <w:p>
      <w:pPr>
        <w:spacing w:line="360" w:lineRule="auto"/>
        <w:rPr>
          <w:rFonts w:hint="eastAsia" w:ascii="仿宋" w:hAnsi="仿宋" w:eastAsia="仿宋" w:cs="仿宋"/>
          <w:sz w:val="24"/>
          <w:highlight w:val="none"/>
        </w:rPr>
        <w:sectPr>
          <w:footerReference w:type="default" r:id="rId17"/>
          <w:footnotePr/>
          <w:endnotePr/>
          <w:type w:val="nextPage"/>
          <w:pgSz w:w="11906" w:h="16838" w:orient="portrait"/>
          <w:pgMar w:top="1814" w:right="1080" w:bottom="1440" w:left="1080" w:header="567" w:footer="567" w:gutter="0"/>
          <w:pgNumType w:start="1"/>
          <w:cols w:num="1" w:sep="0" w:space="0" w:equalWidth="1"/>
          <w:docGrid w:linePitch="360"/>
        </w:sectPr>
      </w:pPr>
      <w:r>
        <w:rPr>
          <w:rFonts w:hint="eastAsia" w:ascii="仿宋" w:hAnsi="仿宋" w:eastAsia="仿宋" w:cs="仿宋"/>
          <w:sz w:val="24"/>
          <w:highlight w:val="none"/>
        </w:rPr>
      </w:r>
      <w:r/>
    </w:p>
    <w:p>
      <w:pPr>
        <w:pStyle w:val="808"/>
        <w:numPr>
          <w:ilvl w:val="0"/>
          <w:numId w:val="10"/>
        </w:num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eastAsia="zh-CN"/>
        </w:rPr>
        <w:t xml:space="preserve">报价明细表</w:t>
      </w:r>
      <w:r/>
    </w:p>
    <w:p>
      <w:pPr>
        <w:pStyle w:val="801"/>
        <w:ind w:left="0" w:firstLine="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2022、2023年度省级专项转移支付资金部门绩效评价省级复评和省级专项资金政策绩效评价</w:t>
      </w:r>
      <w:r/>
    </w:p>
    <w:p>
      <w:pPr>
        <w:pStyle w:val="801"/>
        <w:ind w:left="0" w:firstLine="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szCs w:val="24"/>
          <w:highlight w:val="none"/>
          <w:lang w:eastAsia="zh-CN"/>
        </w:rPr>
        <w:t xml:space="preserve">JSZC-320000-ZCZB-C2024-0008</w:t>
      </w:r>
      <w:r/>
    </w:p>
    <w:p>
      <w:pPr>
        <w:rPr>
          <w:rFonts w:hint="eastAsia" w:ascii="仿宋" w:hAnsi="仿宋" w:eastAsia="仿宋" w:cs="仿宋"/>
          <w:sz w:val="24"/>
          <w:highlight w:val="none"/>
        </w:rPr>
      </w:pPr>
      <w:r>
        <w:rPr>
          <w:rFonts w:hint="eastAsia" w:ascii="仿宋" w:hAnsi="仿宋" w:eastAsia="仿宋" w:cs="仿宋"/>
          <w:sz w:val="24"/>
          <w:highlight w:val="none"/>
        </w:rPr>
      </w:r>
      <w:r/>
    </w:p>
    <w:tbl>
      <w:tblPr>
        <w:tblStyle w:val="787"/>
        <w:tblpPr w:horzAnchor="page" w:tblpXSpec="center" w:vertAnchor="text" w:tblpY="189" w:leftFromText="180" w:topFromText="0" w:rightFromText="180" w:bottomFromText="0"/>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1937"/>
        <w:gridCol w:w="1649"/>
        <w:gridCol w:w="1187"/>
        <w:gridCol w:w="1350"/>
        <w:gridCol w:w="2250"/>
      </w:tblGrid>
      <w:tr>
        <w:trPr>
          <w:cantSplit/>
          <w:jc w:val="center"/>
          <w:trHeight w:val="923"/>
        </w:trPr>
        <w:tc>
          <w:tcPr>
            <w:tcW w:w="1051"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序号</w:t>
            </w:r>
            <w:r/>
          </w:p>
        </w:tc>
        <w:tc>
          <w:tcPr>
            <w:tcW w:w="193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服务名称</w:t>
            </w:r>
            <w:r/>
          </w:p>
        </w:tc>
        <w:tc>
          <w:tcPr>
            <w:tcW w:w="164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服务内容</w:t>
            </w:r>
            <w:r/>
          </w:p>
        </w:tc>
        <w:tc>
          <w:tcPr>
            <w:tcW w:w="118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单位</w:t>
            </w:r>
            <w:r/>
          </w:p>
        </w:tc>
        <w:tc>
          <w:tcPr>
            <w:tcW w:w="13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数量</w:t>
            </w:r>
            <w:r/>
          </w:p>
        </w:tc>
        <w:tc>
          <w:tcPr>
            <w:tcW w:w="22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金额（人民币/元）</w:t>
            </w:r>
            <w:r/>
          </w:p>
        </w:tc>
      </w:tr>
      <w:tr>
        <w:trPr>
          <w:cantSplit/>
          <w:jc w:val="center"/>
          <w:trHeight w:val="923"/>
        </w:trPr>
        <w:tc>
          <w:tcPr>
            <w:tcW w:w="1051"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93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4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18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3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22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jc w:val="center"/>
          <w:trHeight w:val="923"/>
        </w:trPr>
        <w:tc>
          <w:tcPr>
            <w:tcW w:w="1051"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93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4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18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3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22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jc w:val="center"/>
          <w:trHeight w:val="923"/>
        </w:trPr>
        <w:tc>
          <w:tcPr>
            <w:tcW w:w="1051"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93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4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18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3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22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jc w:val="center"/>
          <w:trHeight w:val="923"/>
        </w:trPr>
        <w:tc>
          <w:tcPr>
            <w:tcW w:w="1051"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93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4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187"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3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2250"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jc w:val="center"/>
          <w:trHeight w:val="923"/>
        </w:trPr>
        <w:tc>
          <w:tcPr>
            <w:gridSpan w:val="6"/>
            <w:tcW w:w="9424" w:type="dxa"/>
            <w:vAlign w:val="center"/>
            <w:textDirection w:val="lrTb"/>
            <w:noWrap w:val="false"/>
          </w:tcPr>
          <w:p>
            <w:pPr>
              <w:jc w:val="left"/>
              <w:spacing w:line="0" w:lineRule="atLeast"/>
              <w:rPr>
                <w:rFonts w:hint="eastAsia" w:ascii="仿宋" w:hAnsi="仿宋" w:eastAsia="仿宋" w:cs="仿宋"/>
                <w:sz w:val="24"/>
              </w:rPr>
            </w:pPr>
            <w:r>
              <w:rPr>
                <w:rFonts w:hint="eastAsia" w:ascii="仿宋" w:hAnsi="仿宋" w:eastAsia="仿宋" w:cs="仿宋"/>
                <w:sz w:val="24"/>
              </w:rPr>
              <w:t xml:space="preserve">报价总计</w:t>
            </w:r>
            <w:r/>
          </w:p>
        </w:tc>
      </w:tr>
    </w:tbl>
    <w:p>
      <w:pPr>
        <w:pStyle w:val="801"/>
        <w:ind w:firstLine="0"/>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供应商全称（盖章）：</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法定代表人或者授权代表（签字或盖章）：</w:t>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日期：年月日</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价格构成或报价要求：</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1、此表为表样，行数可自行添加，但表式不变；</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2、所有费用、税金等由供应商自行计算填列；</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3、上表中的“</w:t>
      </w:r>
      <w:r>
        <w:rPr>
          <w:rFonts w:hint="eastAsia" w:ascii="仿宋" w:hAnsi="仿宋" w:eastAsia="仿宋" w:cs="仿宋"/>
          <w:sz w:val="24"/>
          <w:highlight w:val="none"/>
          <w:lang w:val="en-US" w:eastAsia="zh-CN"/>
        </w:rPr>
        <w:t xml:space="preserve">报价总计</w:t>
      </w:r>
      <w:r>
        <w:rPr>
          <w:rFonts w:hint="eastAsia" w:ascii="仿宋" w:hAnsi="仿宋" w:eastAsia="仿宋" w:cs="仿宋"/>
          <w:sz w:val="24"/>
          <w:highlight w:val="none"/>
        </w:rPr>
        <w:t xml:space="preserve">”应当等于“报价一览表”中“</w:t>
      </w:r>
      <w:r>
        <w:rPr>
          <w:rFonts w:hint="eastAsia" w:ascii="仿宋" w:hAnsi="仿宋" w:eastAsia="仿宋" w:cs="仿宋"/>
          <w:sz w:val="24"/>
          <w:highlight w:val="none"/>
          <w:lang w:val="en-US" w:eastAsia="zh-CN"/>
        </w:rPr>
        <w:t xml:space="preserve">磋商</w:t>
      </w:r>
      <w:r>
        <w:rPr>
          <w:rFonts w:hint="eastAsia" w:ascii="仿宋" w:hAnsi="仿宋" w:eastAsia="仿宋" w:cs="仿宋"/>
          <w:sz w:val="24"/>
          <w:highlight w:val="none"/>
        </w:rPr>
        <w:t xml:space="preserve">报价”。</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供应商根据方案添加的设备、材料等也请列出。</w:t>
      </w:r>
      <w:r/>
    </w:p>
    <w:p>
      <w:pPr>
        <w:pStyle w:val="808"/>
        <w:numPr>
          <w:ilvl w:val="0"/>
          <w:numId w:val="11"/>
        </w:numPr>
        <w:jc w:val="center"/>
        <w:pageBreakBefore/>
        <w:spacing w:line="360" w:lineRule="auto"/>
        <w:rPr>
          <w:rFonts w:hint="eastAsia" w:ascii="仿宋" w:hAnsi="仿宋" w:eastAsia="仿宋" w:cs="仿宋"/>
          <w:color w:val="000000"/>
          <w:sz w:val="32"/>
          <w:szCs w:val="32"/>
          <w:highlight w:val="none"/>
        </w:rPr>
      </w:pPr>
      <w:r/>
      <w:bookmarkStart w:id="214" w:name="_Toc21971"/>
      <w:r/>
      <w:bookmarkStart w:id="215" w:name="_Toc16529"/>
      <w:r/>
      <w:bookmarkStart w:id="216" w:name="_Toc5570"/>
      <w:r/>
      <w:bookmarkStart w:id="217" w:name="_Toc31683"/>
      <w:r/>
      <w:bookmarkStart w:id="218" w:name="_Toc5325"/>
      <w:r/>
      <w:bookmarkStart w:id="219" w:name="_Toc2498"/>
      <w:r/>
      <w:bookmarkStart w:id="220" w:name="_Toc10330"/>
      <w:r/>
      <w:bookmarkStart w:id="221" w:name="_Toc16262"/>
      <w:r/>
      <w:bookmarkStart w:id="222" w:name="_Toc29120"/>
      <w:r/>
      <w:bookmarkStart w:id="223" w:name="_Toc6507"/>
      <w:r>
        <w:rPr>
          <w:rFonts w:hint="eastAsia" w:ascii="仿宋" w:hAnsi="仿宋" w:eastAsia="仿宋" w:cs="仿宋"/>
          <w:color w:val="000000"/>
          <w:sz w:val="32"/>
          <w:szCs w:val="32"/>
          <w:highlight w:val="none"/>
        </w:rPr>
        <w:t xml:space="preserve">商务</w:t>
      </w:r>
      <w:r>
        <w:rPr>
          <w:rFonts w:hint="eastAsia" w:ascii="仿宋" w:hAnsi="仿宋" w:eastAsia="仿宋" w:cs="仿宋"/>
          <w:color w:val="000000"/>
          <w:sz w:val="32"/>
          <w:szCs w:val="32"/>
          <w:highlight w:val="none"/>
          <w:lang w:eastAsia="zh-CN"/>
        </w:rPr>
        <w:t xml:space="preserve">条款偏离</w:t>
      </w:r>
      <w:r>
        <w:rPr>
          <w:rFonts w:hint="eastAsia" w:ascii="仿宋" w:hAnsi="仿宋" w:eastAsia="仿宋" w:cs="仿宋"/>
          <w:color w:val="000000"/>
          <w:sz w:val="32"/>
          <w:szCs w:val="32"/>
          <w:highlight w:val="none"/>
        </w:rPr>
        <w:t xml:space="preserve">表</w:t>
      </w:r>
      <w:bookmarkEnd w:id="214"/>
      <w:r/>
      <w:bookmarkEnd w:id="215"/>
      <w:r/>
      <w:bookmarkEnd w:id="216"/>
      <w:r/>
      <w:bookmarkEnd w:id="217"/>
      <w:r/>
      <w:bookmarkEnd w:id="218"/>
      <w:r/>
      <w:bookmarkEnd w:id="219"/>
      <w:r/>
      <w:bookmarkEnd w:id="220"/>
      <w:r/>
      <w:bookmarkEnd w:id="221"/>
      <w:r/>
      <w:bookmarkEnd w:id="222"/>
      <w:r/>
      <w:bookmarkEnd w:id="223"/>
      <w:r/>
      <w:r/>
    </w:p>
    <w:p>
      <w:pPr>
        <w:rPr>
          <w:rFonts w:hint="eastAsia" w:ascii="仿宋" w:hAnsi="仿宋" w:eastAsia="仿宋" w:cs="仿宋"/>
          <w:sz w:val="20"/>
          <w:highlight w:val="none"/>
        </w:rPr>
      </w:pPr>
      <w:r>
        <w:rPr>
          <w:rFonts w:hint="eastAsia" w:ascii="仿宋" w:hAnsi="仿宋" w:eastAsia="仿宋" w:cs="仿宋"/>
          <w:sz w:val="20"/>
          <w:highlight w:val="none"/>
        </w:rPr>
      </w:r>
      <w:r/>
    </w:p>
    <w:tbl>
      <w:tblPr>
        <w:tblStyle w:val="787"/>
        <w:tblW w:w="96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595"/>
        <w:gridCol w:w="3150"/>
        <w:gridCol w:w="2211"/>
        <w:gridCol w:w="1962"/>
      </w:tblGrid>
      <w:tr>
        <w:trPr>
          <w:jc w:val="center"/>
          <w:trHeight w:val="643"/>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商务要求条目</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磋商文件中的商务要求</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偏离情况（正偏离+/无偏离=/负偏离-）</w:t>
            </w:r>
            <w:r/>
          </w:p>
        </w:tc>
      </w:tr>
      <w:tr>
        <w:trPr>
          <w:jc w:val="center"/>
          <w:trHeight w:val="447"/>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bl>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供应商名称（加盖公章）：</w:t>
      </w:r>
      <w:r/>
    </w:p>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授权代表（签字或盖章）</w:t>
      </w:r>
      <w:r>
        <w:rPr>
          <w:rFonts w:hint="eastAsia" w:ascii="仿宋" w:hAnsi="仿宋" w:eastAsia="仿宋" w:cs="仿宋"/>
          <w:sz w:val="24"/>
          <w:szCs w:val="24"/>
          <w:highlight w:val="none"/>
        </w:rPr>
        <w:t xml:space="preserve">：</w:t>
      </w:r>
      <w:r/>
    </w:p>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填写说明：</w:t>
      </w:r>
      <w:r/>
    </w:p>
    <w:p>
      <w:pPr>
        <w:spacing w:line="360" w:lineRule="auto"/>
        <w:rPr>
          <w:rFonts w:hint="eastAsia" w:ascii="仿宋" w:hAnsi="仿宋" w:eastAsia="仿宋" w:cs="仿宋"/>
          <w:sz w:val="24"/>
          <w:highlight w:val="none"/>
        </w:rPr>
      </w:pPr>
      <w:r>
        <w:rPr>
          <w:rFonts w:hint="eastAsia" w:ascii="仿宋" w:hAnsi="仿宋" w:eastAsia="仿宋" w:cs="仿宋"/>
          <w:sz w:val="20"/>
          <w:highlight w:val="none"/>
        </w:rPr>
        <w:fldChar w:fldCharType="begin"/>
      </w:r>
      <w:r>
        <w:rPr>
          <w:rFonts w:hint="eastAsia" w:ascii="仿宋" w:hAnsi="仿宋" w:eastAsia="仿宋" w:cs="仿宋"/>
          <w:sz w:val="20"/>
          <w:highlight w:val="none"/>
        </w:rPr>
        <w:instrText xml:space="preserve">= 1 \* GB3</w:instrText>
      </w:r>
      <w:r>
        <w:rPr>
          <w:rFonts w:hint="eastAsia" w:ascii="仿宋" w:hAnsi="仿宋" w:eastAsia="仿宋" w:cs="仿宋"/>
          <w:sz w:val="20"/>
          <w:highlight w:val="none"/>
        </w:rPr>
        <w:fldChar w:fldCharType="separate"/>
      </w:r>
      <w:r>
        <w:rPr>
          <w:rFonts w:hint="eastAsia" w:ascii="仿宋" w:hAnsi="仿宋" w:eastAsia="仿宋" w:cs="仿宋"/>
          <w:sz w:val="24"/>
          <w:highlight w:val="none"/>
        </w:rPr>
        <w:t xml:space="preserve">①</w:t>
      </w:r>
      <w:r>
        <w:rPr>
          <w:rFonts w:hint="eastAsia" w:ascii="仿宋" w:hAnsi="仿宋" w:eastAsia="仿宋" w:cs="仿宋"/>
          <w:sz w:val="20"/>
          <w:highlight w:val="none"/>
        </w:rPr>
        <w:fldChar w:fldCharType="end"/>
      </w:r>
      <w:r>
        <w:rPr>
          <w:rFonts w:hint="eastAsia" w:ascii="仿宋" w:hAnsi="仿宋" w:eastAsia="仿宋" w:cs="仿宋"/>
          <w:sz w:val="24"/>
          <w:highlight w:val="none"/>
        </w:rPr>
        <w:t xml:space="preserve">此表为表样，行数可自行添加，但表式不变。</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②是否偏离用符号“+、-"分别表示正偏离、负偏离。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③供应商必须仔细阅读本采购文件中所有</w:t>
      </w:r>
      <w:r>
        <w:rPr>
          <w:rFonts w:hint="eastAsia" w:ascii="仿宋" w:hAnsi="仿宋" w:eastAsia="仿宋" w:cs="仿宋"/>
          <w:sz w:val="24"/>
          <w:highlight w:val="none"/>
          <w:lang w:eastAsia="zh-CN"/>
        </w:rPr>
        <w:t xml:space="preserve">商务</w:t>
      </w:r>
      <w:r>
        <w:rPr>
          <w:rFonts w:hint="eastAsia" w:ascii="仿宋" w:hAnsi="仿宋" w:eastAsia="仿宋" w:cs="仿宋"/>
          <w:sz w:val="24"/>
          <w:highlight w:val="none"/>
        </w:rPr>
        <w:t xml:space="preserve">要求，并</w:t>
      </w:r>
      <w:bookmarkStart w:id="325" w:name="_GoBack"/>
      <w:r/>
      <w:bookmarkEnd w:id="325"/>
      <w:r>
        <w:rPr>
          <w:rFonts w:hint="eastAsia" w:ascii="仿宋" w:hAnsi="仿宋" w:eastAsia="仿宋" w:cs="仿宋"/>
          <w:sz w:val="24"/>
          <w:highlight w:val="none"/>
        </w:rPr>
        <w:t xml:space="preserve">列入上表，未列入上表的视为完全响应磋商文件要求。</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④若响应文件中出现与此表表述不一致的，以此表为准。</w:t>
      </w:r>
      <w:r/>
    </w:p>
    <w:p>
      <w:pPr>
        <w:ind w:firstLine="400"/>
        <w:spacing w:line="400" w:lineRule="exact"/>
        <w:rPr>
          <w:rFonts w:hint="eastAsia" w:ascii="仿宋" w:hAnsi="仿宋" w:eastAsia="仿宋" w:cs="仿宋"/>
          <w:sz w:val="24"/>
          <w:highlight w:val="none"/>
        </w:rPr>
      </w:pPr>
      <w:r>
        <w:rPr>
          <w:rFonts w:hint="eastAsia" w:ascii="仿宋" w:hAnsi="仿宋" w:eastAsia="仿宋" w:cs="仿宋"/>
          <w:sz w:val="20"/>
          <w:highlight w:val="none"/>
        </w:rPr>
        <w:br w:type="page" w:clear="all"/>
      </w:r>
      <w:r/>
    </w:p>
    <w:p>
      <w:pPr>
        <w:pStyle w:val="801"/>
        <w:ind w:left="0" w:firstLine="0"/>
        <w:rPr>
          <w:rFonts w:hint="eastAsia" w:ascii="仿宋" w:hAnsi="仿宋" w:eastAsia="仿宋" w:cs="仿宋"/>
          <w:sz w:val="24"/>
          <w:highlight w:val="none"/>
        </w:rPr>
      </w:pPr>
      <w:r>
        <w:rPr>
          <w:rFonts w:hint="eastAsia" w:ascii="仿宋" w:hAnsi="仿宋" w:eastAsia="仿宋" w:cs="仿宋"/>
          <w:sz w:val="24"/>
          <w:highlight w:val="none"/>
        </w:rPr>
      </w:r>
      <w:r/>
    </w:p>
    <w:p>
      <w:pPr>
        <w:pStyle w:val="808"/>
        <w:numPr>
          <w:ilvl w:val="0"/>
          <w:numId w:val="11"/>
        </w:numPr>
        <w:ind w:left="720" w:hanging="720"/>
        <w:jc w:val="center"/>
        <w:keepLines w:val="0"/>
        <w:keepNext w:val="0"/>
        <w:pageBreakBefore w:val="0"/>
        <w:spacing w:line="360" w:lineRule="auto"/>
        <w:widowControl w:val="off"/>
        <w:rPr>
          <w:rFonts w:hint="eastAsia" w:ascii="仿宋" w:hAnsi="仿宋" w:eastAsia="仿宋" w:cs="仿宋"/>
          <w:color w:val="000000" w:themeColor="text1"/>
          <w:sz w:val="32"/>
          <w:szCs w:val="32"/>
          <w:highlight w:val="none"/>
          <w14:textFill>
            <w14:solidFill>
              <w14:schemeClr w14:val="tx1"/>
            </w14:solidFill>
          </w14:textFill>
        </w:rPr>
      </w:pPr>
      <w:r/>
      <w:bookmarkStart w:id="224" w:name="_Toc26312"/>
      <w:r/>
      <w:bookmarkStart w:id="225" w:name="_Toc24080"/>
      <w:r/>
      <w:bookmarkStart w:id="226" w:name="_Toc16943"/>
      <w:r/>
      <w:bookmarkStart w:id="227" w:name="_Toc16972"/>
      <w:r/>
      <w:bookmarkStart w:id="228" w:name="_Toc22086"/>
      <w:r/>
      <w:bookmarkStart w:id="229" w:name="_Toc8646"/>
      <w:r/>
      <w:bookmarkStart w:id="230" w:name="_Toc17747"/>
      <w:r/>
      <w:bookmarkStart w:id="231" w:name="_Toc27442"/>
      <w:r/>
      <w:bookmarkStart w:id="232" w:name="_Toc7808"/>
      <w:r/>
      <w:bookmarkStart w:id="233" w:name="_Toc967"/>
      <w:r>
        <w:rPr>
          <w:rFonts w:hint="eastAsia" w:ascii="仿宋" w:hAnsi="仿宋" w:eastAsia="仿宋" w:cs="仿宋"/>
          <w:color w:val="000000" w:themeColor="text1"/>
          <w:sz w:val="32"/>
          <w:szCs w:val="32"/>
          <w:highlight w:val="none"/>
          <w:lang w:eastAsia="zh-CN"/>
          <w14:textFill>
            <w14:solidFill>
              <w14:schemeClr w14:val="tx1"/>
            </w14:solidFill>
          </w14:textFill>
        </w:rPr>
        <w:t xml:space="preserve">服务条款偏离表</w:t>
      </w:r>
      <w:r/>
    </w:p>
    <w:tbl>
      <w:tblPr>
        <w:tblStyle w:val="787"/>
        <w:tblW w:w="97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2385"/>
      </w:tblGrid>
      <w:tr>
        <w:trPr>
          <w:jc w:val="cente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40"/>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服务需求条目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采购文件中的</w:t>
            </w:r>
            <w:r/>
          </w:p>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服务要求</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供应商</w:t>
            </w:r>
            <w:r/>
          </w:p>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的承诺或说明</w:t>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center"/>
              <w:shd w:val="clear" w:color="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偏离情况</w:t>
            </w:r>
            <w:r/>
          </w:p>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jc w:val="cente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（本表可根据需要</w:t>
            </w:r>
            <w:r/>
          </w:p>
          <w:p>
            <w:pPr>
              <w:jc w:val="center"/>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自行添加行）</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jc w:val="left"/>
              <w:shd w:val="clear" w:color="auto"/>
              <w:widowControl/>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r>
            <w:r/>
          </w:p>
        </w:tc>
      </w:tr>
    </w:tbl>
    <w:p>
      <w:pPr>
        <w:ind w:firstLine="480"/>
        <w:jc w:val="left"/>
        <w:spacing w:line="500" w:lineRule="exact"/>
        <w:shd w:val="clear" w:color="auto"/>
        <w:tabs>
          <w:tab w:val="left" w:pos="142"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供应商名称（加盖公章）：</w:t>
      </w:r>
      <w:r/>
    </w:p>
    <w:p>
      <w:pPr>
        <w:ind w:firstLine="480"/>
        <w:jc w:val="left"/>
        <w:spacing w:line="500" w:lineRule="exact"/>
        <w:shd w:val="clear" w:color="auto"/>
        <w:tabs>
          <w:tab w:val="left" w:pos="142"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法定代表人（授权代表）签章：</w:t>
      </w:r>
      <w:r/>
    </w:p>
    <w:p>
      <w:pPr>
        <w:ind w:firstLine="480"/>
        <w:jc w:val="left"/>
        <w:spacing w:line="500" w:lineRule="exact"/>
        <w:shd w:val="clear" w:color="auto"/>
        <w:tabs>
          <w:tab w:val="left" w:pos="142"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r/>
    </w:p>
    <w:p>
      <w:pPr>
        <w:ind w:firstLine="480"/>
        <w:jc w:val="left"/>
        <w:spacing w:line="500" w:lineRule="exact"/>
        <w:shd w:val="clear" w:color="auto"/>
        <w:tabs>
          <w:tab w:val="left" w:pos="142"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spacing w:line="500" w:lineRule="exact"/>
        <w:shd w:val="clear" w:color="auto"/>
        <w:tabs>
          <w:tab w:val="left" w:pos="142"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spacing w:line="500" w:lineRule="exact"/>
        <w:shd w:val="clear" w:color="auto"/>
        <w:tabs>
          <w:tab w:val="left" w:pos="142"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400" w:lineRule="exact"/>
        <w:shd w:val="clear" w:color="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填写说明：</w:t>
      </w:r>
      <w:r/>
    </w:p>
    <w:p>
      <w:pPr>
        <w:spacing w:line="360" w:lineRule="auto"/>
        <w:rPr>
          <w:rFonts w:hint="eastAsia" w:ascii="仿宋" w:hAnsi="仿宋" w:eastAsia="仿宋" w:cs="仿宋"/>
          <w:sz w:val="24"/>
          <w:highlight w:val="none"/>
        </w:rPr>
      </w:pPr>
      <w:r>
        <w:rPr>
          <w:rFonts w:hint="eastAsia" w:ascii="仿宋" w:hAnsi="仿宋" w:eastAsia="仿宋" w:cs="仿宋"/>
          <w:sz w:val="20"/>
          <w:highlight w:val="none"/>
        </w:rPr>
        <w:fldChar w:fldCharType="begin"/>
      </w:r>
      <w:r>
        <w:rPr>
          <w:rFonts w:hint="eastAsia" w:ascii="仿宋" w:hAnsi="仿宋" w:eastAsia="仿宋" w:cs="仿宋"/>
          <w:sz w:val="20"/>
          <w:highlight w:val="none"/>
        </w:rPr>
        <w:instrText xml:space="preserve">= 1 \* GB3</w:instrText>
      </w:r>
      <w:r>
        <w:rPr>
          <w:rFonts w:hint="eastAsia" w:ascii="仿宋" w:hAnsi="仿宋" w:eastAsia="仿宋" w:cs="仿宋"/>
          <w:sz w:val="20"/>
          <w:highlight w:val="none"/>
        </w:rPr>
        <w:fldChar w:fldCharType="separate"/>
      </w:r>
      <w:r>
        <w:rPr>
          <w:rFonts w:hint="eastAsia" w:ascii="仿宋" w:hAnsi="仿宋" w:eastAsia="仿宋" w:cs="仿宋"/>
          <w:sz w:val="24"/>
          <w:highlight w:val="none"/>
        </w:rPr>
        <w:t xml:space="preserve">①</w:t>
      </w:r>
      <w:r>
        <w:rPr>
          <w:rFonts w:hint="eastAsia" w:ascii="仿宋" w:hAnsi="仿宋" w:eastAsia="仿宋" w:cs="仿宋"/>
          <w:sz w:val="20"/>
          <w:highlight w:val="none"/>
        </w:rPr>
        <w:fldChar w:fldCharType="end"/>
      </w:r>
      <w:r>
        <w:rPr>
          <w:rFonts w:hint="eastAsia" w:ascii="仿宋" w:hAnsi="仿宋" w:eastAsia="仿宋" w:cs="仿宋"/>
          <w:sz w:val="24"/>
          <w:highlight w:val="none"/>
        </w:rPr>
        <w:t xml:space="preserve">此表为表样，行数可自行添加，但表式不变。</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②是否偏离用符号“+、-"分别表示正偏离、负偏离。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③供应商必须仔细阅读本采购文件中所有技术或服务要求，并列入上表，未列入上表的视为完全响应磋商文件要求。</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④若响应文件中出现与此表表述不一致的，以此表为准。</w:t>
      </w:r>
      <w:r/>
    </w:p>
    <w:p>
      <w:pPr>
        <w:numPr>
          <w:ilvl w:val="0"/>
          <w:numId w:val="0"/>
        </w:numPr>
        <w:rPr>
          <w:rFonts w:hint="eastAsia" w:ascii="仿宋" w:hAnsi="仿宋" w:eastAsia="仿宋" w:cs="仿宋"/>
          <w:lang w:val="en-US" w:eastAsia="zh-CN"/>
        </w:rPr>
      </w:pPr>
      <w:r>
        <w:rPr>
          <w:rFonts w:hint="eastAsia" w:ascii="仿宋" w:hAnsi="仿宋" w:eastAsia="仿宋" w:cs="仿宋"/>
          <w:lang w:val="en-US" w:eastAsia="zh-CN"/>
        </w:rPr>
      </w:r>
      <w:r/>
    </w:p>
    <w:p>
      <w:pPr>
        <w:pStyle w:val="808"/>
        <w:jc w:val="center"/>
        <w:keepLines w:val="0"/>
        <w:keepNext w:val="0"/>
        <w:pageBreakBefore/>
        <w:spacing w:line="360" w:lineRule="auto"/>
        <w:widowControl w:val="off"/>
        <w:rPr>
          <w:rFonts w:hint="eastAsia" w:ascii="仿宋" w:hAnsi="仿宋" w:eastAsia="仿宋" w:cs="仿宋"/>
          <w:lang w:val="en-US" w:eastAsia="zh-CN"/>
        </w:rPr>
        <w:sectPr>
          <w:headerReference w:type="default" r:id="rId12"/>
          <w:footerReference w:type="default" r:id="rId18"/>
          <w:footnotePr/>
          <w:endnotePr/>
          <w:type w:val="nextPage"/>
          <w:pgSz w:w="11906" w:h="16838" w:orient="portrait"/>
          <w:pgMar w:top="1440" w:right="1080" w:bottom="1440" w:left="1080" w:header="851" w:footer="992" w:gutter="0"/>
          <w:cols w:num="1" w:sep="0" w:space="0" w:equalWidth="1"/>
          <w:docGrid w:linePitch="360"/>
        </w:sectPr>
      </w:pPr>
      <w:r>
        <w:rPr>
          <w:rFonts w:hint="eastAsia" w:ascii="仿宋" w:hAnsi="仿宋" w:eastAsia="仿宋" w:cs="仿宋"/>
          <w:color w:val="000000"/>
          <w:sz w:val="32"/>
          <w:szCs w:val="32"/>
          <w:highlight w:val="none"/>
          <w:lang w:val="en-US" w:eastAsia="zh-CN"/>
        </w:rPr>
        <w:t xml:space="preserve">六</w:t>
      </w:r>
      <w:bookmarkEnd w:id="224"/>
      <w:r>
        <w:rPr>
          <w:rFonts w:hint="eastAsia" w:ascii="仿宋" w:hAnsi="仿宋" w:eastAsia="仿宋" w:cs="仿宋"/>
          <w:color w:val="000000"/>
          <w:sz w:val="32"/>
          <w:szCs w:val="32"/>
          <w:highlight w:val="none"/>
          <w:lang w:val="en-US" w:eastAsia="zh-CN"/>
        </w:rPr>
        <w:t xml:space="preserve">、</w:t>
      </w:r>
      <w:r>
        <w:rPr>
          <w:rFonts w:hint="eastAsia" w:ascii="仿宋" w:hAnsi="仿宋" w:eastAsia="仿宋" w:cs="仿宋"/>
          <w:color w:val="000000"/>
          <w:sz w:val="32"/>
          <w:szCs w:val="32"/>
          <w:highlight w:val="none"/>
        </w:rPr>
        <w:t xml:space="preserve">项目实施方</w:t>
      </w:r>
      <w:bookmarkEnd w:id="225"/>
      <w:r/>
      <w:bookmarkEnd w:id="226"/>
      <w:r/>
      <w:bookmarkEnd w:id="227"/>
      <w:r/>
      <w:bookmarkEnd w:id="228"/>
      <w:r/>
      <w:bookmarkEnd w:id="229"/>
      <w:r/>
      <w:bookmarkEnd w:id="230"/>
      <w:r/>
      <w:bookmarkEnd w:id="231"/>
      <w:r/>
      <w:bookmarkEnd w:id="232"/>
      <w:r/>
      <w:bookmarkEnd w:id="233"/>
      <w:r>
        <w:rPr>
          <w:rFonts w:hint="eastAsia" w:ascii="仿宋" w:hAnsi="仿宋" w:eastAsia="仿宋" w:cs="仿宋"/>
          <w:color w:val="000000"/>
          <w:sz w:val="32"/>
          <w:szCs w:val="32"/>
          <w:highlight w:val="none"/>
          <w:lang w:val="en-US" w:eastAsia="zh-CN"/>
        </w:rPr>
        <w:t xml:space="preserve">案</w:t>
      </w:r>
      <w:bookmarkStart w:id="234" w:name="_Toc30665"/>
      <w:r/>
      <w:bookmarkStart w:id="235" w:name="_Toc83"/>
      <w:r/>
      <w:bookmarkStart w:id="236" w:name="_Toc8381"/>
      <w:r/>
      <w:bookmarkStart w:id="237" w:name="_Toc30051"/>
      <w:r/>
      <w:bookmarkStart w:id="238" w:name="_Toc8267"/>
      <w:r/>
      <w:bookmarkStart w:id="239" w:name="_Toc1254"/>
      <w:r/>
      <w:bookmarkStart w:id="240" w:name="_Toc11799"/>
      <w:r/>
      <w:bookmarkStart w:id="241" w:name="_Toc31680"/>
      <w:r/>
      <w:bookmarkStart w:id="242" w:name="_Toc27219"/>
      <w:r/>
      <w:bookmarkStart w:id="243" w:name="_Toc12091"/>
      <w:r>
        <w:rPr>
          <w:rFonts w:hint="eastAsia" w:ascii="仿宋" w:hAnsi="仿宋" w:eastAsia="仿宋" w:cs="仿宋"/>
          <w:color w:val="000000"/>
          <w:sz w:val="32"/>
          <w:szCs w:val="32"/>
          <w:highlight w:val="none"/>
          <w:lang w:val="en-US" w:eastAsia="zh-CN"/>
        </w:rPr>
        <w:t xml:space="preserve">、</w:t>
      </w:r>
      <w:r>
        <w:rPr>
          <w:rFonts w:hint="eastAsia" w:ascii="仿宋" w:hAnsi="仿宋" w:eastAsia="仿宋" w:cs="仿宋"/>
          <w:color w:val="000000"/>
          <w:sz w:val="32"/>
          <w:szCs w:val="32"/>
          <w:highlight w:val="none"/>
        </w:rPr>
        <w:t xml:space="preserve">服务方案与</w:t>
      </w:r>
      <w:bookmarkEnd w:id="234"/>
      <w:r/>
      <w:bookmarkEnd w:id="235"/>
      <w:r/>
      <w:bookmarkEnd w:id="236"/>
      <w:r/>
      <w:bookmarkEnd w:id="237"/>
      <w:r/>
      <w:bookmarkEnd w:id="238"/>
      <w:r/>
      <w:bookmarkEnd w:id="239"/>
      <w:r/>
      <w:bookmarkEnd w:id="240"/>
      <w:r/>
      <w:bookmarkEnd w:id="241"/>
      <w:r/>
      <w:bookmarkEnd w:id="242"/>
      <w:r/>
      <w:bookmarkEnd w:id="243"/>
      <w:r>
        <w:rPr>
          <w:rFonts w:hint="eastAsia" w:ascii="仿宋" w:hAnsi="仿宋" w:eastAsia="仿宋" w:cs="仿宋"/>
          <w:color w:val="000000"/>
          <w:sz w:val="32"/>
          <w:szCs w:val="32"/>
          <w:highlight w:val="none"/>
          <w:lang w:val="en-US" w:eastAsia="zh-CN"/>
        </w:rPr>
        <w:t xml:space="preserve">承诺</w:t>
      </w:r>
      <w:r/>
    </w:p>
    <w:p>
      <w:pPr>
        <w:pStyle w:val="808"/>
        <w:jc w:val="center"/>
        <w:keepLines w:val="0"/>
        <w:keepNext w:val="0"/>
        <w:pageBreakBefore w:val="0"/>
        <w:spacing w:line="360" w:lineRule="auto"/>
        <w:widowControl w:val="off"/>
        <w:rPr>
          <w:rFonts w:hint="eastAsia" w:ascii="仿宋" w:hAnsi="仿宋" w:eastAsia="仿宋" w:cs="仿宋"/>
          <w:color w:val="000000"/>
          <w:sz w:val="32"/>
          <w:szCs w:val="32"/>
          <w:highlight w:val="none"/>
          <w:lang w:val="en-US" w:eastAsia="zh-CN"/>
        </w:rPr>
      </w:pPr>
      <w:r/>
      <w:bookmarkStart w:id="244" w:name="_Toc30382"/>
      <w:r/>
      <w:bookmarkStart w:id="245" w:name="_Toc6388"/>
      <w:r/>
      <w:bookmarkStart w:id="246" w:name="_Toc17581"/>
      <w:r/>
      <w:bookmarkStart w:id="247" w:name="_Toc23619"/>
      <w:r/>
      <w:bookmarkStart w:id="248" w:name="_Toc3870"/>
      <w:r/>
      <w:bookmarkStart w:id="249" w:name="_Toc4110"/>
      <w:r/>
      <w:bookmarkStart w:id="250" w:name="_Toc27988"/>
      <w:r/>
      <w:bookmarkStart w:id="251" w:name="_Toc6064"/>
      <w:r/>
      <w:bookmarkStart w:id="252" w:name="_Toc8838"/>
      <w:r/>
      <w:bookmarkStart w:id="253" w:name="_Toc30725"/>
      <w:r>
        <w:rPr>
          <w:rFonts w:hint="eastAsia" w:ascii="仿宋" w:hAnsi="仿宋" w:eastAsia="仿宋" w:cs="仿宋"/>
          <w:color w:val="000000"/>
          <w:sz w:val="32"/>
          <w:szCs w:val="32"/>
          <w:highlight w:val="none"/>
          <w:lang w:val="en-US" w:eastAsia="zh-CN"/>
        </w:rPr>
        <w:t xml:space="preserve">七、拟投入项目人员一览表</w:t>
      </w:r>
      <w:bookmarkEnd w:id="244"/>
      <w:r/>
      <w:bookmarkEnd w:id="245"/>
      <w:r/>
      <w:bookmarkEnd w:id="246"/>
      <w:r/>
      <w:bookmarkEnd w:id="247"/>
      <w:r/>
      <w:bookmarkEnd w:id="248"/>
      <w:r/>
      <w:bookmarkEnd w:id="249"/>
      <w:r/>
      <w:bookmarkEnd w:id="250"/>
      <w:r/>
      <w:bookmarkEnd w:id="251"/>
      <w:r/>
      <w:bookmarkEnd w:id="252"/>
      <w:r/>
      <w:bookmarkEnd w:id="253"/>
      <w:r/>
      <w:r/>
    </w:p>
    <w:p>
      <w:pPr>
        <w:rPr>
          <w:rFonts w:hint="eastAsia" w:ascii="仿宋" w:hAnsi="仿宋" w:eastAsia="仿宋" w:cs="仿宋"/>
          <w:sz w:val="20"/>
          <w:highlight w:val="none"/>
        </w:rPr>
      </w:pPr>
      <w:r>
        <w:rPr>
          <w:rFonts w:hint="eastAsia" w:ascii="仿宋" w:hAnsi="仿宋" w:eastAsia="仿宋" w:cs="仿宋"/>
          <w:sz w:val="20"/>
          <w:highlight w:val="none"/>
        </w:rPr>
      </w:r>
      <w:r/>
    </w:p>
    <w:tbl>
      <w:tblPr>
        <w:tblStyle w:val="787"/>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1375"/>
        <w:gridCol w:w="2145"/>
        <w:gridCol w:w="1110"/>
        <w:gridCol w:w="3353"/>
      </w:tblGrid>
      <w:tr>
        <w:trPr>
          <w:jc w:val="center"/>
          <w:trHeight w:val="1158"/>
        </w:trPr>
        <w:tc>
          <w:tcPr>
            <w:tcW w:w="1147" w:type="dxa"/>
            <w:vAlign w:val="center"/>
            <w:textDirection w:val="lrTb"/>
            <w:noWrap w:val="false"/>
          </w:tcPr>
          <w:p>
            <w:pPr>
              <w:jc w:val="center"/>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序号</w:t>
            </w:r>
            <w:r/>
          </w:p>
        </w:tc>
        <w:tc>
          <w:tcPr>
            <w:tcW w:w="1375" w:type="dxa"/>
            <w:vAlign w:val="center"/>
            <w:textDirection w:val="lrTb"/>
            <w:noWrap w:val="false"/>
          </w:tcPr>
          <w:p>
            <w:pPr>
              <w:jc w:val="center"/>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姓名</w:t>
            </w:r>
            <w:r/>
          </w:p>
        </w:tc>
        <w:tc>
          <w:tcPr>
            <w:tcW w:w="2145" w:type="dxa"/>
            <w:vAlign w:val="center"/>
            <w:textDirection w:val="lrTb"/>
            <w:noWrap w:val="false"/>
          </w:tcPr>
          <w:p>
            <w:pPr>
              <w:jc w:val="center"/>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在本项目中担任的职务</w:t>
            </w:r>
            <w:r/>
          </w:p>
        </w:tc>
        <w:tc>
          <w:tcPr>
            <w:tcW w:w="1110" w:type="dxa"/>
            <w:vAlign w:val="center"/>
            <w:textDirection w:val="lrTb"/>
            <w:noWrap w:val="false"/>
          </w:tcPr>
          <w:p>
            <w:pPr>
              <w:jc w:val="center"/>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职称</w:t>
            </w:r>
            <w:r/>
          </w:p>
        </w:tc>
        <w:tc>
          <w:tcPr>
            <w:tcW w:w="3353" w:type="dxa"/>
            <w:vAlign w:val="center"/>
            <w:textDirection w:val="lrTb"/>
            <w:noWrap w:val="false"/>
          </w:tcPr>
          <w:p>
            <w:pPr>
              <w:ind w:firstLine="420"/>
              <w:jc w:val="center"/>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身份证号码</w:t>
            </w:r>
            <w:r/>
          </w:p>
        </w:tc>
      </w:tr>
      <w:tr>
        <w:trPr>
          <w:cantSplit/>
          <w:jc w:val="center"/>
          <w:trHeight w:val="584"/>
        </w:trPr>
        <w:tc>
          <w:tcPr>
            <w:tcW w:w="114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p>
        </w:tc>
        <w:tc>
          <w:tcPr>
            <w:tcW w:w="137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14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10"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3353"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jc w:val="center"/>
          <w:trHeight w:val="584"/>
        </w:trPr>
        <w:tc>
          <w:tcPr>
            <w:tcW w:w="1147" w:type="dxa"/>
            <w:vAlign w:val="center"/>
            <w:textDirection w:val="lrTb"/>
            <w:noWrap w:val="false"/>
          </w:tcPr>
          <w:p>
            <w:pPr>
              <w:ind w:firstLine="420"/>
              <w:jc w:val="both"/>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137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14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p>
        </w:tc>
        <w:tc>
          <w:tcPr>
            <w:tcW w:w="1110"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3353"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jc w:val="center"/>
          <w:trHeight w:val="584"/>
        </w:trPr>
        <w:tc>
          <w:tcPr>
            <w:tcW w:w="1147" w:type="dxa"/>
            <w:vAlign w:val="center"/>
            <w:textDirection w:val="lrTb"/>
            <w:noWrap w:val="false"/>
          </w:tcPr>
          <w:p>
            <w:pPr>
              <w:jc w:val="center"/>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3</w:t>
            </w:r>
            <w:r/>
          </w:p>
        </w:tc>
        <w:tc>
          <w:tcPr>
            <w:tcW w:w="137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14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10"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3353"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jc w:val="center"/>
          <w:trHeight w:val="584"/>
        </w:trPr>
        <w:tc>
          <w:tcPr>
            <w:tcW w:w="1147" w:type="dxa"/>
            <w:vAlign w:val="center"/>
            <w:textDirection w:val="lrTb"/>
            <w:noWrap w:val="false"/>
          </w:tcPr>
          <w:p>
            <w:pPr>
              <w:ind w:firstLine="420"/>
              <w:jc w:val="both"/>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tcW w:w="137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14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p>
        </w:tc>
        <w:tc>
          <w:tcPr>
            <w:tcW w:w="1110"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3353"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jc w:val="center"/>
          <w:trHeight w:val="584"/>
        </w:trPr>
        <w:tc>
          <w:tcPr>
            <w:tcW w:w="1147" w:type="dxa"/>
            <w:vAlign w:val="center"/>
            <w:textDirection w:val="lrTb"/>
            <w:noWrap w:val="false"/>
          </w:tcPr>
          <w:p>
            <w:pPr>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p>
        </w:tc>
        <w:tc>
          <w:tcPr>
            <w:tcW w:w="137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14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10"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3353"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jc w:val="center"/>
          <w:trHeight w:val="584"/>
        </w:trPr>
        <w:tc>
          <w:tcPr>
            <w:tcW w:w="1147" w:type="dxa"/>
            <w:vAlign w:val="center"/>
            <w:textDirection w:val="lrTb"/>
            <w:noWrap w:val="false"/>
          </w:tcPr>
          <w:p>
            <w:pPr>
              <w:ind w:firstLine="420"/>
              <w:jc w:val="both"/>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W w:w="137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145"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p>
        </w:tc>
        <w:tc>
          <w:tcPr>
            <w:tcW w:w="1110"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3353" w:type="dxa"/>
            <w:vAlign w:val="center"/>
            <w:textDirection w:val="lrTb"/>
            <w:noWrap w:val="false"/>
          </w:tcPr>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ind w:firstLine="480"/>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注：需提供公司为其缴纳社保的证明材料加盖公章</w:t>
      </w:r>
      <w:r/>
    </w:p>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磋商单位全称（公章):</w:t>
      </w:r>
      <w:r/>
    </w:p>
    <w:p>
      <w:pPr>
        <w:ind w:firstLine="480"/>
        <w:jc w:val="left"/>
        <w:spacing w:line="360" w:lineRule="auto"/>
        <w:tabs>
          <w:tab w:val="left" w:pos="142"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授权代表（签字或盖章）</w:t>
      </w:r>
      <w:r>
        <w:rPr>
          <w:rFonts w:hint="eastAsia" w:ascii="仿宋" w:hAnsi="仿宋" w:eastAsia="仿宋" w:cs="仿宋"/>
          <w:sz w:val="24"/>
          <w:szCs w:val="24"/>
          <w:highlight w:val="none"/>
        </w:rPr>
        <w:t xml:space="preserve">：</w:t>
      </w:r>
      <w:r/>
    </w:p>
    <w:p>
      <w:pPr>
        <w:ind w:firstLine="480"/>
        <w:jc w:val="left"/>
        <w:spacing w:line="360" w:lineRule="auto"/>
        <w:tabs>
          <w:tab w:val="left" w:pos="142" w:leader="none"/>
        </w:tabs>
        <w:rPr>
          <w:rFonts w:hint="eastAsia" w:ascii="仿宋" w:hAnsi="仿宋" w:eastAsia="仿宋" w:cs="仿宋"/>
          <w:b/>
          <w:bCs/>
          <w:color w:val="000000"/>
          <w:sz w:val="28"/>
          <w:szCs w:val="28"/>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0"/>
          <w:highlight w:val="none"/>
        </w:rPr>
        <w:br w:type="page" w:clear="all"/>
      </w:r>
      <w:r/>
    </w:p>
    <w:p>
      <w:pPr>
        <w:pStyle w:val="808"/>
        <w:jc w:val="center"/>
        <w:spacing w:line="360" w:lineRule="auto"/>
        <w:rPr>
          <w:rFonts w:hint="eastAsia" w:ascii="仿宋" w:hAnsi="仿宋" w:eastAsia="仿宋" w:cs="仿宋"/>
          <w:color w:val="000000"/>
          <w:sz w:val="32"/>
          <w:szCs w:val="32"/>
          <w:highlight w:val="none"/>
        </w:rPr>
      </w:pPr>
      <w:r/>
      <w:bookmarkStart w:id="254" w:name="_Toc22868"/>
      <w:r/>
      <w:bookmarkStart w:id="255" w:name="_Toc9618"/>
      <w:r/>
      <w:bookmarkStart w:id="256" w:name="_Toc23649"/>
      <w:r/>
      <w:bookmarkStart w:id="257" w:name="_Toc15790"/>
      <w:r/>
      <w:bookmarkStart w:id="258" w:name="_Toc15378"/>
      <w:r/>
      <w:bookmarkStart w:id="259" w:name="_Toc25565"/>
      <w:r/>
      <w:bookmarkStart w:id="260" w:name="_Toc17815"/>
      <w:r/>
      <w:bookmarkStart w:id="261" w:name="_Toc29994"/>
      <w:r/>
      <w:bookmarkStart w:id="262" w:name="_Toc22018"/>
      <w:r/>
      <w:bookmarkStart w:id="263" w:name="_Toc8905"/>
      <w:r>
        <w:rPr>
          <w:rFonts w:hint="eastAsia" w:ascii="仿宋" w:hAnsi="仿宋" w:eastAsia="仿宋" w:cs="仿宋"/>
          <w:color w:val="000000"/>
          <w:sz w:val="32"/>
          <w:szCs w:val="32"/>
          <w:highlight w:val="none"/>
          <w:lang w:val="en-US" w:eastAsia="zh-CN"/>
        </w:rPr>
        <w:t xml:space="preserve">八</w:t>
      </w:r>
      <w:r>
        <w:rPr>
          <w:rFonts w:hint="eastAsia" w:ascii="仿宋" w:hAnsi="仿宋" w:eastAsia="仿宋" w:cs="仿宋"/>
          <w:color w:val="000000"/>
          <w:sz w:val="32"/>
          <w:szCs w:val="32"/>
          <w:highlight w:val="none"/>
        </w:rPr>
        <w:t xml:space="preserve">、</w:t>
      </w:r>
      <w:bookmarkStart w:id="264" w:name="_Toc12366"/>
      <w:r/>
      <w:bookmarkStart w:id="265" w:name="_Toc5613"/>
      <w:r/>
      <w:bookmarkStart w:id="266" w:name="_Toc818"/>
      <w:r>
        <w:rPr>
          <w:rFonts w:hint="eastAsia" w:ascii="仿宋" w:hAnsi="仿宋" w:eastAsia="仿宋" w:cs="仿宋"/>
          <w:color w:val="000000"/>
          <w:sz w:val="32"/>
          <w:szCs w:val="32"/>
          <w:highlight w:val="none"/>
        </w:rPr>
        <w:t xml:space="preserve">相关附表格式</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jc w:val="center"/>
        <w:rPr>
          <w:rFonts w:hint="eastAsia" w:ascii="仿宋" w:hAnsi="仿宋" w:eastAsia="仿宋" w:cs="仿宋"/>
          <w:b/>
          <w:bCs/>
          <w:sz w:val="28"/>
          <w:szCs w:val="28"/>
        </w:rPr>
        <w:outlineLvl w:val="9"/>
      </w:pPr>
      <w:r/>
      <w:bookmarkStart w:id="267" w:name="_Toc7211"/>
      <w:r/>
      <w:bookmarkStart w:id="268" w:name="_Toc4622"/>
      <w:r/>
      <w:bookmarkStart w:id="269" w:name="_Toc32283"/>
      <w:r/>
      <w:bookmarkStart w:id="270" w:name="_Toc21640"/>
      <w:r/>
      <w:bookmarkStart w:id="271" w:name="_Toc18706"/>
      <w:r/>
      <w:bookmarkStart w:id="272" w:name="_Toc15319"/>
      <w:r/>
      <w:bookmarkStart w:id="273" w:name="_Toc7436"/>
      <w:r/>
      <w:bookmarkStart w:id="274" w:name="_Toc4885"/>
      <w:r/>
      <w:bookmarkStart w:id="275" w:name="_Toc31964"/>
      <w:r/>
      <w:bookmarkStart w:id="276" w:name="_Toc14049"/>
      <w:r/>
      <w:bookmarkStart w:id="277" w:name="_Toc21664"/>
      <w:r>
        <w:rPr>
          <w:rFonts w:hint="eastAsia" w:ascii="仿宋" w:hAnsi="仿宋" w:eastAsia="仿宋" w:cs="仿宋"/>
          <w:b/>
          <w:bCs/>
          <w:sz w:val="28"/>
          <w:szCs w:val="28"/>
        </w:rPr>
        <w:t xml:space="preserve">附件1: 法人授权委托书</w:t>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2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江苏臻采招标代理有限公司</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本授权书宣告：</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委托单位：</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地址：</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受托人：</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出生日期：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所在单位：</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职务：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联系方式: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兹委托受托人合法地代表我单位参加</w:t>
      </w:r>
      <w:r>
        <w:rPr>
          <w:rFonts w:hint="eastAsia" w:ascii="仿宋" w:hAnsi="仿宋" w:eastAsia="仿宋" w:cs="仿宋"/>
          <w:color w:val="000000"/>
          <w:sz w:val="24"/>
          <w:szCs w:val="24"/>
          <w:highlight w:val="none"/>
          <w:lang w:eastAsia="zh-CN"/>
        </w:rPr>
        <w:t xml:space="preserve">江苏臻采招标代理有限公司</w:t>
      </w:r>
      <w:r>
        <w:rPr>
          <w:rFonts w:hint="eastAsia" w:ascii="仿宋" w:hAnsi="仿宋" w:eastAsia="仿宋" w:cs="仿宋"/>
          <w:color w:val="000000"/>
          <w:sz w:val="24"/>
          <w:szCs w:val="24"/>
          <w:highlight w:val="none"/>
        </w:rPr>
        <w:t xml:space="preserve">组织的（采购编号为：</w:t>
      </w:r>
      <w:r>
        <w:rPr>
          <w:rFonts w:hint="eastAsia" w:ascii="仿宋" w:hAnsi="仿宋" w:eastAsia="仿宋" w:cs="仿宋"/>
          <w:color w:val="000000"/>
          <w:sz w:val="24"/>
          <w:szCs w:val="24"/>
          <w:highlight w:val="none"/>
          <w:lang w:eastAsia="zh-CN"/>
        </w:rPr>
        <w:t xml:space="preserve">JSZC-320000-ZCZB-C2024-0008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2022、2023年度省级专项转移支付资金部门绩效评价省级复评和省级专项资金政策绩效评价</w:t>
      </w:r>
      <w:r>
        <w:rPr>
          <w:rFonts w:hint="eastAsia" w:ascii="仿宋" w:hAnsi="仿宋" w:eastAsia="仿宋" w:cs="仿宋"/>
          <w:color w:val="000000"/>
          <w:sz w:val="24"/>
          <w:szCs w:val="24"/>
          <w:highlight w:val="none"/>
        </w:rPr>
        <w:t xml:space="preserve">的采购活动，受托人有权在该磋商活动中，以我单位的名义签署磋商函和磋商文件，与采购代理机构协商、澄清、解释，质疑，签订合同书并执行一切与此有关的事项。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受托人在办理上述事宜过程中以其自己的名义所签署的所有文件我均予以承认。受托人无转委托权。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委托期限：至上述事宜处理完毕止。</w:t>
      </w:r>
      <w:r/>
    </w:p>
    <w:p>
      <w:pPr>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委托单位（公章）</w:t>
      </w:r>
      <w:r/>
    </w:p>
    <w:p>
      <w:pPr>
        <w:jc w:val="right"/>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ind w:left="4080" w:hanging="4080"/>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t xml:space="preserve">年月日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①供应商授权代表须在磋商截止时间前持授权书原件及授权代表身份证件办理签名报到。（磋商文件中须附授权代表及法人的身份证复印件）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②非授权代表办理上述事宜，采购人及代理机构将拒绝。</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③供应商法定代表人直接参加磋商的，无须提供法人授权委托书，但须持本人身份证件及营业执照复印件办理相关手续。</w:t>
      </w:r>
      <w:r/>
    </w:p>
    <w:p>
      <w:pPr>
        <w:spacing w:line="360" w:lineRule="auto"/>
        <w:rPr>
          <w:rFonts w:hint="eastAsia" w:ascii="仿宋" w:hAnsi="仿宋" w:eastAsia="仿宋" w:cs="仿宋"/>
          <w:b/>
          <w:bCs/>
          <w:color w:val="000000"/>
          <w:sz w:val="28"/>
          <w:szCs w:val="28"/>
          <w:highlight w:val="none"/>
        </w:rPr>
      </w:pPr>
      <w:r>
        <w:rPr>
          <w:rFonts w:hint="eastAsia" w:ascii="仿宋" w:hAnsi="仿宋" w:eastAsia="仿宋" w:cs="仿宋"/>
          <w:sz w:val="20"/>
          <w:highlight w:val="none"/>
        </w:rPr>
        <w:br w:type="page" w:clear="all"/>
      </w:r>
      <w:r/>
    </w:p>
    <w:p>
      <w:pPr>
        <w:jc w:val="center"/>
        <w:rPr>
          <w:rFonts w:hint="eastAsia" w:ascii="仿宋" w:hAnsi="仿宋" w:eastAsia="仿宋" w:cs="仿宋"/>
          <w:b/>
          <w:bCs/>
          <w:sz w:val="28"/>
          <w:szCs w:val="28"/>
        </w:rPr>
        <w:outlineLvl w:val="9"/>
      </w:pPr>
      <w:r/>
      <w:bookmarkStart w:id="278" w:name="_Toc15761"/>
      <w:r/>
      <w:bookmarkStart w:id="279" w:name="_Toc19872"/>
      <w:r/>
      <w:bookmarkStart w:id="280" w:name="_Toc11519"/>
      <w:r/>
      <w:bookmarkStart w:id="281" w:name="_Toc13854"/>
      <w:r/>
      <w:bookmarkStart w:id="282" w:name="_Toc32731"/>
      <w:r/>
      <w:bookmarkStart w:id="283" w:name="_Toc19342"/>
      <w:r/>
      <w:bookmarkStart w:id="284" w:name="_Toc29171"/>
      <w:r/>
      <w:bookmarkStart w:id="285" w:name="_Toc3915"/>
      <w:r/>
      <w:bookmarkStart w:id="286" w:name="_Toc6809"/>
      <w:r/>
      <w:bookmarkStart w:id="287" w:name="_Toc31863"/>
      <w:r/>
      <w:bookmarkStart w:id="288" w:name="_Toc32432"/>
      <w:r>
        <w:rPr>
          <w:rFonts w:hint="eastAsia" w:ascii="仿宋" w:hAnsi="仿宋" w:eastAsia="仿宋" w:cs="仿宋"/>
          <w:b/>
          <w:bCs/>
          <w:sz w:val="28"/>
          <w:szCs w:val="28"/>
        </w:rPr>
        <w:t xml:space="preserve">附件2: 具备履行合同所必需的设备和专业技术能力的书面声明</w:t>
      </w:r>
      <w:bookmarkEnd w:id="278"/>
      <w:r/>
      <w:bookmarkEnd w:id="279"/>
      <w:r/>
      <w:bookmarkEnd w:id="280"/>
      <w:r/>
      <w:bookmarkEnd w:id="281"/>
      <w:r/>
      <w:bookmarkEnd w:id="282"/>
      <w:r/>
      <w:bookmarkEnd w:id="283"/>
      <w:r/>
      <w:bookmarkEnd w:id="284"/>
      <w:r/>
      <w:bookmarkEnd w:id="285"/>
      <w:r/>
      <w:bookmarkEnd w:id="286"/>
      <w:r/>
      <w:bookmarkEnd w:id="287"/>
      <w:r/>
      <w:bookmarkEnd w:id="288"/>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w:t>
      </w:r>
      <w:r/>
    </w:p>
    <w:p>
      <w:pPr>
        <w:pStyle w:val="801"/>
        <w:ind w:left="0" w:firstLine="0"/>
        <w:rPr>
          <w:rFonts w:hint="eastAsia" w:ascii="仿宋" w:hAnsi="仿宋" w:eastAsia="仿宋" w:cs="仿宋"/>
          <w:lang w:eastAsia="zh-CN"/>
        </w:rPr>
      </w:pPr>
      <w:r>
        <w:rPr>
          <w:rFonts w:hint="eastAsia" w:ascii="仿宋" w:hAnsi="仿宋" w:eastAsia="仿宋" w:cs="仿宋"/>
          <w:sz w:val="24"/>
          <w:szCs w:val="24"/>
          <w:highlight w:val="none"/>
        </w:rPr>
        <w:t xml:space="preserve">供应商全称（加盖公章）</w:t>
      </w:r>
      <w:r>
        <w:rPr>
          <w:rFonts w:hint="eastAsia" w:ascii="仿宋" w:hAnsi="仿宋" w:eastAsia="仿宋" w:cs="仿宋"/>
          <w:sz w:val="24"/>
          <w:szCs w:val="24"/>
          <w:highlight w:val="none"/>
          <w:lang w:eastAsia="zh-CN"/>
        </w:rPr>
        <w:t xml:space="preserve">：</w:t>
      </w:r>
      <w:r/>
    </w:p>
    <w:p>
      <w:pPr>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日期：年月日</w:t>
      </w:r>
      <w:r/>
    </w:p>
    <w:p>
      <w:pPr>
        <w:pStyle w:val="814"/>
        <w:ind w:firstLine="482"/>
        <w:spacing w:line="360" w:lineRule="auto"/>
        <w:rPr>
          <w:rFonts w:hint="eastAsia" w:ascii="仿宋" w:hAnsi="仿宋" w:eastAsia="仿宋" w:cs="仿宋"/>
          <w:color w:val="000000"/>
          <w:highlight w:val="none"/>
        </w:rPr>
      </w:pPr>
      <w:r>
        <w:rPr>
          <w:rFonts w:hint="eastAsia" w:ascii="仿宋" w:hAnsi="仿宋" w:eastAsia="仿宋" w:cs="仿宋"/>
          <w:sz w:val="20"/>
          <w:highlight w:val="none"/>
        </w:rPr>
        <w:br w:type="page" w:clear="all"/>
      </w:r>
      <w:r/>
    </w:p>
    <w:p>
      <w:pPr>
        <w:jc w:val="center"/>
        <w:rPr>
          <w:rFonts w:hint="eastAsia" w:ascii="仿宋" w:hAnsi="仿宋" w:eastAsia="仿宋" w:cs="仿宋"/>
          <w:b/>
          <w:bCs/>
          <w:sz w:val="28"/>
          <w:szCs w:val="28"/>
        </w:rPr>
        <w:outlineLvl w:val="9"/>
      </w:pPr>
      <w:r/>
      <w:bookmarkStart w:id="289" w:name="_Toc13306"/>
      <w:r/>
      <w:bookmarkStart w:id="290" w:name="_Toc19351"/>
      <w:r/>
      <w:bookmarkStart w:id="291" w:name="_Toc27675"/>
      <w:r/>
      <w:bookmarkStart w:id="292" w:name="_Toc30399"/>
      <w:r/>
      <w:bookmarkStart w:id="293" w:name="_Toc16756"/>
      <w:r/>
      <w:bookmarkStart w:id="294" w:name="_Toc28380"/>
      <w:r/>
      <w:bookmarkStart w:id="295" w:name="_Toc7347"/>
      <w:r/>
      <w:bookmarkStart w:id="296" w:name="_Toc3506"/>
      <w:r/>
      <w:bookmarkStart w:id="297" w:name="_Toc9269"/>
      <w:r/>
      <w:bookmarkStart w:id="298" w:name="_Toc9394"/>
      <w:r/>
      <w:bookmarkStart w:id="299" w:name="_Toc9995"/>
      <w:r>
        <w:rPr>
          <w:rFonts w:hint="eastAsia" w:ascii="仿宋" w:hAnsi="仿宋" w:eastAsia="仿宋" w:cs="仿宋"/>
          <w:b/>
          <w:bCs/>
          <w:sz w:val="28"/>
          <w:szCs w:val="28"/>
        </w:rPr>
        <w:t xml:space="preserve">附件3：三年内无重大违纪声明</w:t>
      </w:r>
      <w:bookmarkEnd w:id="289"/>
      <w:r/>
      <w:bookmarkEnd w:id="290"/>
      <w:r/>
      <w:bookmarkEnd w:id="291"/>
      <w:r/>
      <w:bookmarkEnd w:id="292"/>
      <w:r/>
      <w:bookmarkEnd w:id="293"/>
      <w:r/>
      <w:bookmarkEnd w:id="294"/>
      <w:r/>
      <w:bookmarkEnd w:id="295"/>
      <w:r/>
      <w:bookmarkEnd w:id="296"/>
      <w:r/>
      <w:bookmarkEnd w:id="297"/>
      <w:r/>
      <w:bookmarkEnd w:id="298"/>
      <w:r/>
      <w:bookmarkEnd w:id="299"/>
      <w:r/>
      <w:r/>
    </w:p>
    <w:p>
      <w:pPr>
        <w:jc w:val="center"/>
        <w:rPr>
          <w:rFonts w:hint="eastAsia" w:ascii="仿宋" w:hAnsi="仿宋" w:eastAsia="仿宋" w:cs="仿宋"/>
          <w:b/>
          <w:bCs/>
          <w:sz w:val="28"/>
          <w:szCs w:val="28"/>
        </w:rPr>
        <w:outlineLvl w:val="9"/>
      </w:pPr>
      <w:r/>
      <w:bookmarkStart w:id="300" w:name="_Toc13055"/>
      <w:r>
        <w:rPr>
          <w:rFonts w:hint="eastAsia" w:ascii="仿宋" w:hAnsi="仿宋" w:eastAsia="仿宋" w:cs="仿宋"/>
          <w:b/>
          <w:bCs/>
          <w:sz w:val="28"/>
          <w:szCs w:val="28"/>
        </w:rPr>
        <w:t xml:space="preserve">声明</w:t>
      </w:r>
      <w:bookmarkEnd w:id="300"/>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磋商采购，并承担因此引起的一切后果。</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授权代表（签字或盖章）：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sz w:val="20"/>
          <w:highlight w:val="none"/>
        </w:rPr>
        <w:br w:type="page" w:clear="all"/>
      </w:r>
      <w:r/>
    </w:p>
    <w:p>
      <w:pPr>
        <w:jc w:val="center"/>
        <w:rPr>
          <w:rFonts w:hint="eastAsia" w:ascii="仿宋" w:hAnsi="仿宋" w:eastAsia="仿宋" w:cs="仿宋"/>
          <w:b/>
          <w:bCs/>
          <w:sz w:val="28"/>
          <w:szCs w:val="28"/>
          <w:lang w:val="en-US" w:eastAsia="zh-CN"/>
        </w:rPr>
        <w:outlineLvl w:val="9"/>
      </w:pPr>
      <w:r/>
      <w:bookmarkStart w:id="301" w:name="_Toc30818"/>
      <w:r/>
      <w:bookmarkStart w:id="302" w:name="_Toc27351"/>
      <w:r/>
      <w:bookmarkStart w:id="303" w:name="_Toc22080"/>
      <w:r/>
      <w:bookmarkStart w:id="304" w:name="_Toc20842"/>
      <w:r/>
      <w:bookmarkStart w:id="305" w:name="_Toc3505"/>
      <w:r/>
      <w:bookmarkStart w:id="306" w:name="_Toc16384"/>
      <w:r/>
      <w:bookmarkStart w:id="307" w:name="_Toc15294"/>
      <w:r/>
      <w:bookmarkStart w:id="308" w:name="_Toc10165"/>
      <w:r/>
      <w:bookmarkStart w:id="309" w:name="_Toc22593"/>
      <w:r/>
      <w:bookmarkStart w:id="310" w:name="_Toc12629"/>
      <w:r/>
      <w:bookmarkStart w:id="311" w:name="_Toc21991"/>
      <w:r>
        <w:rPr>
          <w:rFonts w:hint="eastAsia" w:ascii="仿宋" w:hAnsi="仿宋" w:eastAsia="仿宋" w:cs="仿宋"/>
          <w:b/>
          <w:bCs/>
          <w:sz w:val="28"/>
          <w:szCs w:val="28"/>
        </w:rPr>
        <w:t xml:space="preserve">附件4：中小企业声明函格式</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如有）</w:t>
      </w:r>
      <w:r/>
    </w:p>
    <w:p>
      <w:pPr>
        <w:jc w:val="cente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中小企业声明函(</w:t>
      </w:r>
      <w:r>
        <w:rPr>
          <w:rFonts w:hint="eastAsia" w:ascii="仿宋" w:hAnsi="仿宋" w:eastAsia="仿宋" w:cs="仿宋"/>
          <w:b/>
          <w:bCs/>
          <w:color w:val="000000"/>
          <w:sz w:val="28"/>
          <w:szCs w:val="28"/>
          <w:lang w:eastAsia="zh-CN"/>
        </w:rPr>
        <w:t xml:space="preserve">工程、服务</w:t>
      </w:r>
      <w:r>
        <w:rPr>
          <w:rFonts w:hint="eastAsia" w:ascii="仿宋" w:hAnsi="仿宋" w:eastAsia="仿宋" w:cs="仿宋"/>
          <w:b/>
          <w:bCs/>
          <w:color w:val="000000"/>
          <w:sz w:val="28"/>
          <w:szCs w:val="28"/>
        </w:rPr>
        <w:t xml:space="preserve">)</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1.（标的名称），属于（采购文件中明确的所属行业）;承建(承接)为（企业名称），从业人员___人，营业收入为____万元，资产总额为___万元，属于（中型企业、小型企业、微型企业）;</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2.（标的名称），属于（采购文件中明确的所属行业）;承建(承接)为（企业名称），从业人员____人，营业收入为___万元，资产总额为___万元，属于（中型企业、小型企业、微型企业）;</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5160"/>
        <w:jc w:val="both"/>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供应商全称</w:t>
      </w:r>
      <w:r>
        <w:rPr>
          <w:rFonts w:hint="eastAsia" w:ascii="仿宋" w:hAnsi="仿宋" w:eastAsia="仿宋" w:cs="仿宋"/>
          <w:sz w:val="24"/>
          <w:szCs w:val="24"/>
        </w:rPr>
        <w:t xml:space="preserve">（加盖公章）：</w:t>
      </w:r>
      <w:r/>
    </w:p>
    <w:p>
      <w:pPr>
        <w:ind w:right="480" w:firstLine="50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240" w:lineRule="auto"/>
        <w:rPr>
          <w:rFonts w:hint="eastAsia" w:ascii="仿宋" w:hAnsi="仿宋" w:eastAsia="仿宋" w:cs="仿宋"/>
          <w:sz w:val="21"/>
          <w:szCs w:val="21"/>
        </w:rPr>
      </w:pPr>
      <w:r>
        <w:rPr>
          <w:rFonts w:hint="eastAsia" w:ascii="仿宋" w:hAnsi="仿宋" w:eastAsia="仿宋" w:cs="仿宋"/>
          <w:sz w:val="21"/>
          <w:szCs w:val="21"/>
        </w:rPr>
        <w:t xml:space="preserve">备注：从业人员、营业收入、资产总额填报上一年度数据，无上一年度数据的新成立企业可不填报。</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spacing w:line="240" w:lineRule="auto"/>
        <w:rPr>
          <w:rFonts w:hint="eastAsia" w:ascii="仿宋" w:hAnsi="仿宋" w:eastAsia="仿宋" w:cs="仿宋"/>
          <w:sz w:val="21"/>
          <w:szCs w:val="21"/>
        </w:rPr>
      </w:pPr>
      <w:r>
        <w:rPr>
          <w:rFonts w:hint="eastAsia" w:ascii="仿宋" w:hAnsi="仿宋" w:eastAsia="仿宋" w:cs="仿宋"/>
          <w:sz w:val="21"/>
          <w:szCs w:val="21"/>
        </w:rPr>
        <w:t xml:space="preserve">说明：</w:t>
      </w:r>
      <w:r/>
    </w:p>
    <w:p>
      <w:pPr>
        <w:spacing w:line="360" w:lineRule="auto"/>
        <w:rPr>
          <w:rFonts w:hint="eastAsia" w:ascii="仿宋" w:hAnsi="仿宋" w:eastAsia="仿宋" w:cs="仿宋"/>
          <w:sz w:val="24"/>
          <w:szCs w:val="24"/>
          <w:highlight w:val="none"/>
        </w:rPr>
      </w:pPr>
      <w:r>
        <w:rPr>
          <w:rFonts w:hint="eastAsia" w:ascii="仿宋" w:hAnsi="仿宋" w:eastAsia="仿宋" w:cs="仿宋"/>
          <w:sz w:val="21"/>
          <w:szCs w:val="21"/>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center"/>
        <w:keepLines w:val="0"/>
        <w:keepNext w:val="0"/>
        <w:pageBreakBefore/>
        <w:widowControl w:val="off"/>
        <w:rPr>
          <w:rFonts w:hint="eastAsia" w:ascii="仿宋" w:hAnsi="仿宋" w:eastAsia="仿宋" w:cs="仿宋"/>
          <w:b/>
          <w:bCs/>
          <w:sz w:val="28"/>
          <w:szCs w:val="28"/>
        </w:rPr>
        <w:outlineLvl w:val="9"/>
      </w:pPr>
      <w:r/>
      <w:bookmarkStart w:id="312" w:name="_Toc21780"/>
      <w:r/>
      <w:bookmarkStart w:id="313" w:name="_Toc10501"/>
      <w:r/>
      <w:bookmarkStart w:id="314" w:name="_Toc9349"/>
      <w:r/>
      <w:bookmarkStart w:id="315" w:name="_Toc2181"/>
      <w:r/>
      <w:bookmarkStart w:id="316" w:name="_Toc31275"/>
      <w:r/>
      <w:bookmarkStart w:id="317" w:name="_Toc11368"/>
      <w:r/>
      <w:bookmarkStart w:id="318" w:name="_Toc20454"/>
      <w:r/>
      <w:bookmarkStart w:id="319" w:name="_Toc28723"/>
      <w:r/>
      <w:bookmarkStart w:id="320" w:name="_Toc12370"/>
      <w:r/>
      <w:bookmarkStart w:id="321" w:name="_Toc6655"/>
      <w:r/>
      <w:bookmarkStart w:id="322" w:name="_Toc13241"/>
      <w:r/>
      <w:bookmarkStart w:id="323" w:name="_Toc4805"/>
      <w:r/>
      <w:bookmarkStart w:id="324" w:name="_Toc13641"/>
      <w:r>
        <w:rPr>
          <w:rFonts w:hint="eastAsia" w:ascii="仿宋" w:hAnsi="仿宋" w:eastAsia="仿宋" w:cs="仿宋"/>
          <w:b/>
          <w:bCs/>
          <w:sz w:val="28"/>
          <w:szCs w:val="28"/>
        </w:rPr>
        <w:t xml:space="preserve">附件5：残疾人福利性单位声明函</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firstLine="480"/>
        <w:spacing w:line="588"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588"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60" w:firstLine="480"/>
        <w:jc w:val="center"/>
        <w:spacing w:line="588"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供应商全称（加盖公章）：</w:t>
      </w:r>
      <w:r/>
    </w:p>
    <w:p>
      <w:pPr>
        <w:ind w:right="1560" w:firstLine="480"/>
        <w:jc w:val="center"/>
        <w:spacing w:line="588" w:lineRule="exact"/>
        <w:rPr>
          <w:rFonts w:hint="eastAsia" w:ascii="仿宋" w:hAnsi="仿宋" w:eastAsia="仿宋" w:cs="仿宋"/>
          <w:highlight w:val="none"/>
          <w:lang w:eastAsia="zh-CN"/>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p>
    <w:sectPr>
      <w:footnotePr/>
      <w:endnotePr/>
      <w:type w:val="nextPage"/>
      <w:pgSz w:w="11906" w:h="16838" w:orient="portrait"/>
      <w:pgMar w:top="1814"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ind w:firstLine="36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ind w:firstLine="36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ind w:firstLine="360"/>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ind w:firstLine="360"/>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left="0" w:firstLine="0"/>
      <w:jc w:val="both"/>
      <w:spacing w:line="240" w:lineRule="atLeast"/>
      <w:rPr>
        <w:rFonts w:hint="eastAsia" w:ascii="楷体" w:hAnsi="楷体" w:eastAsia="楷体" w:cs="楷体"/>
        <w:lang w:eastAsia="zh-CN"/>
      </w:rPr>
      <w:pBdr>
        <w:bottom w:val="single" w:color="auto" w:sz="4" w:space="1"/>
      </w:pBdr>
    </w:pPr>
    <w:r>
      <w:rPr>
        <w:rFonts w:hint="eastAsia" w:ascii="楷体" w:hAnsi="楷体" w:eastAsia="楷体" w:cs="楷体"/>
        <w:lang w:eastAsia="zh-CN"/>
      </w:rPr>
    </w:r>
    <w:r/>
  </w:p>
  <w:p>
    <w:pPr>
      <w:pStyle w:val="795"/>
      <w:ind w:left="0" w:firstLine="360"/>
      <w:jc w:val="both"/>
      <w:spacing w:line="240" w:lineRule="atLeast"/>
      <w:rPr>
        <w:rFonts w:hint="eastAsia" w:ascii="楷体" w:hAnsi="楷体" w:eastAsia="楷体" w:cs="楷体"/>
        <w:lang w:eastAsia="zh-CN"/>
      </w:rPr>
      <w:pBdr>
        <w:bottom w:val="single" w:color="auto" w:sz="4" w:space="1"/>
      </w:pBdr>
    </w:pPr>
    <w:r>
      <w:rPr>
        <w:rFonts w:hint="eastAsia" w:ascii="仿宋" w:hAnsi="仿宋" w:eastAsia="仿宋" w:cs="仿宋"/>
        <w:lang w:eastAsia="zh-CN"/>
      </w:rPr>
      <w:t xml:space="preserve">JSZC-320000-ZCZB-C2024-0008</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 xml:space="preserve">江苏臻采招标代理有限公司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0"/>
      <w:spacing w:line="240" w:lineRule="auto"/>
      <w:rPr>
        <w:rFonts w:hint="eastAsia" w:ascii="仿宋" w:hAnsi="仿宋" w:eastAsia="仿宋" w:cs="仿宋"/>
        <w:lang w:eastAsia="zh-CN"/>
      </w:rPr>
      <w:pBdr>
        <w:bottom w:val="single" w:color="auto" w:sz="4" w:space="1"/>
      </w:pBdr>
    </w:pPr>
    <w:r>
      <w:rPr>
        <w:rFonts w:hint="eastAsia" w:ascii="仿宋" w:hAnsi="仿宋" w:eastAsia="仿宋" w:cs="仿宋"/>
        <w:lang w:eastAsia="zh-CN"/>
      </w:rPr>
      <w:t xml:space="preserve">JSZC-320000-ZCZB-C2024-0008</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 xml:space="preserve">江苏臻采招标代理有限公司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83"/>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784"/>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10"/>
  </w:num>
  <w:num w:numId="4">
    <w:abstractNumId w:val="7"/>
  </w:num>
  <w:num w:numId="5">
    <w:abstractNumId w:val="2"/>
  </w:num>
  <w:num w:numId="6">
    <w:abstractNumId w:val="1"/>
  </w:num>
  <w:num w:numId="7">
    <w:abstractNumId w:val="8"/>
  </w:num>
  <w:num w:numId="8">
    <w:abstractNumId w:val="3"/>
  </w:num>
  <w:num w:numId="9">
    <w:abstractNumId w:val="9"/>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6"/>
    <w:link w:val="783"/>
    <w:uiPriority w:val="9"/>
    <w:rPr>
      <w:rFonts w:ascii="Arial" w:hAnsi="Arial" w:eastAsia="Arial" w:cs="Arial"/>
      <w:sz w:val="40"/>
      <w:szCs w:val="40"/>
    </w:rPr>
  </w:style>
  <w:style w:type="character" w:styleId="15">
    <w:name w:val="Heading 2 Char"/>
    <w:basedOn w:val="786"/>
    <w:link w:val="784"/>
    <w:uiPriority w:val="9"/>
    <w:rPr>
      <w:rFonts w:ascii="Arial" w:hAnsi="Arial" w:eastAsia="Arial" w:cs="Arial"/>
      <w:sz w:val="34"/>
    </w:rPr>
  </w:style>
  <w:style w:type="paragraph" w:styleId="16">
    <w:name w:val="Heading 3"/>
    <w:basedOn w:val="782"/>
    <w:next w:val="7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86"/>
    <w:link w:val="16"/>
    <w:uiPriority w:val="9"/>
    <w:rPr>
      <w:rFonts w:ascii="Arial" w:hAnsi="Arial" w:eastAsia="Arial" w:cs="Arial"/>
      <w:sz w:val="30"/>
      <w:szCs w:val="30"/>
    </w:rPr>
  </w:style>
  <w:style w:type="character" w:styleId="19">
    <w:name w:val="Heading 4 Char"/>
    <w:basedOn w:val="786"/>
    <w:link w:val="785"/>
    <w:uiPriority w:val="9"/>
    <w:rPr>
      <w:rFonts w:ascii="Arial" w:hAnsi="Arial" w:eastAsia="Arial" w:cs="Arial"/>
      <w:b/>
      <w:bCs/>
      <w:sz w:val="26"/>
      <w:szCs w:val="26"/>
    </w:rPr>
  </w:style>
  <w:style w:type="paragraph" w:styleId="20">
    <w:name w:val="Heading 5"/>
    <w:basedOn w:val="782"/>
    <w:next w:val="7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6"/>
    <w:link w:val="20"/>
    <w:uiPriority w:val="9"/>
    <w:rPr>
      <w:rFonts w:ascii="Arial" w:hAnsi="Arial" w:eastAsia="Arial" w:cs="Arial"/>
      <w:b/>
      <w:bCs/>
      <w:sz w:val="24"/>
      <w:szCs w:val="24"/>
    </w:rPr>
  </w:style>
  <w:style w:type="paragraph" w:styleId="22">
    <w:name w:val="Heading 6"/>
    <w:basedOn w:val="782"/>
    <w:next w:val="7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6"/>
    <w:link w:val="22"/>
    <w:uiPriority w:val="9"/>
    <w:rPr>
      <w:rFonts w:ascii="Arial" w:hAnsi="Arial" w:eastAsia="Arial" w:cs="Arial"/>
      <w:b/>
      <w:bCs/>
      <w:sz w:val="22"/>
      <w:szCs w:val="22"/>
    </w:rPr>
  </w:style>
  <w:style w:type="paragraph" w:styleId="24">
    <w:name w:val="Heading 7"/>
    <w:basedOn w:val="782"/>
    <w:next w:val="7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6"/>
    <w:link w:val="24"/>
    <w:uiPriority w:val="9"/>
    <w:rPr>
      <w:rFonts w:ascii="Arial" w:hAnsi="Arial" w:eastAsia="Arial" w:cs="Arial"/>
      <w:b/>
      <w:bCs/>
      <w:i/>
      <w:iCs/>
      <w:sz w:val="22"/>
      <w:szCs w:val="22"/>
    </w:rPr>
  </w:style>
  <w:style w:type="paragraph" w:styleId="26">
    <w:name w:val="Heading 8"/>
    <w:basedOn w:val="782"/>
    <w:next w:val="7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6"/>
    <w:link w:val="26"/>
    <w:uiPriority w:val="9"/>
    <w:rPr>
      <w:rFonts w:ascii="Arial" w:hAnsi="Arial" w:eastAsia="Arial" w:cs="Arial"/>
      <w:i/>
      <w:iCs/>
      <w:sz w:val="22"/>
      <w:szCs w:val="22"/>
    </w:rPr>
  </w:style>
  <w:style w:type="paragraph" w:styleId="28">
    <w:name w:val="Heading 9"/>
    <w:basedOn w:val="782"/>
    <w:next w:val="7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2"/>
    <w:next w:val="782"/>
    <w:link w:val="34"/>
    <w:uiPriority w:val="10"/>
    <w:qFormat/>
    <w:pPr>
      <w:contextualSpacing/>
      <w:spacing w:before="300" w:after="200"/>
    </w:pPr>
    <w:rPr>
      <w:sz w:val="48"/>
      <w:szCs w:val="48"/>
    </w:rPr>
  </w:style>
  <w:style w:type="character" w:styleId="34">
    <w:name w:val="Title Char"/>
    <w:basedOn w:val="786"/>
    <w:link w:val="33"/>
    <w:uiPriority w:val="10"/>
    <w:rPr>
      <w:sz w:val="48"/>
      <w:szCs w:val="48"/>
    </w:rPr>
  </w:style>
  <w:style w:type="paragraph" w:styleId="35">
    <w:name w:val="Subtitle"/>
    <w:basedOn w:val="782"/>
    <w:next w:val="782"/>
    <w:link w:val="36"/>
    <w:uiPriority w:val="11"/>
    <w:qFormat/>
    <w:pPr>
      <w:spacing w:before="200" w:after="200"/>
    </w:pPr>
    <w:rPr>
      <w:sz w:val="24"/>
      <w:szCs w:val="24"/>
    </w:rPr>
  </w:style>
  <w:style w:type="character" w:styleId="36">
    <w:name w:val="Subtitle Char"/>
    <w:basedOn w:val="786"/>
    <w:link w:val="35"/>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6"/>
    <w:link w:val="795"/>
    <w:uiPriority w:val="99"/>
  </w:style>
  <w:style w:type="character" w:styleId="44">
    <w:name w:val="Footer Char"/>
    <w:basedOn w:val="786"/>
    <w:link w:val="793"/>
    <w:uiPriority w:val="99"/>
  </w:style>
  <w:style w:type="paragraph" w:styleId="45">
    <w:name w:val="Caption"/>
    <w:basedOn w:val="782"/>
    <w:next w:val="782"/>
    <w:uiPriority w:val="35"/>
    <w:semiHidden/>
    <w:unhideWhenUsed/>
    <w:qFormat/>
    <w:pPr>
      <w:spacing w:line="276" w:lineRule="auto"/>
    </w:pPr>
    <w:rPr>
      <w:b/>
      <w:bCs/>
      <w:color w:val="4f81bd" w:themeColor="accent1"/>
      <w:sz w:val="18"/>
      <w:szCs w:val="18"/>
    </w:rPr>
  </w:style>
  <w:style w:type="character" w:styleId="46">
    <w:name w:val="Caption Char"/>
    <w:basedOn w:val="45"/>
    <w:link w:val="793"/>
    <w:uiPriority w:val="99"/>
  </w:style>
  <w:style w:type="table" w:styleId="48">
    <w:name w:val="Table Grid Light"/>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6"/>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6"/>
    <w:uiPriority w:val="99"/>
    <w:semiHidden/>
    <w:unhideWhenUsed/>
    <w:rPr>
      <w:vertAlign w:val="superscript"/>
    </w:rPr>
  </w:style>
  <w:style w:type="paragraph" w:styleId="182">
    <w:name w:val="toc 3"/>
    <w:basedOn w:val="782"/>
    <w:next w:val="782"/>
    <w:uiPriority w:val="39"/>
    <w:unhideWhenUsed/>
    <w:pPr>
      <w:ind w:left="567" w:right="0" w:firstLine="0"/>
      <w:spacing w:after="57"/>
    </w:pPr>
  </w:style>
  <w:style w:type="paragraph" w:styleId="183">
    <w:name w:val="toc 4"/>
    <w:basedOn w:val="782"/>
    <w:next w:val="782"/>
    <w:uiPriority w:val="39"/>
    <w:unhideWhenUsed/>
    <w:pPr>
      <w:ind w:left="850" w:right="0" w:firstLine="0"/>
      <w:spacing w:after="57"/>
    </w:pPr>
  </w:style>
  <w:style w:type="paragraph" w:styleId="184">
    <w:name w:val="toc 5"/>
    <w:basedOn w:val="782"/>
    <w:next w:val="782"/>
    <w:uiPriority w:val="39"/>
    <w:unhideWhenUsed/>
    <w:pPr>
      <w:ind w:left="1134" w:right="0" w:firstLine="0"/>
      <w:spacing w:after="57"/>
    </w:pPr>
  </w:style>
  <w:style w:type="paragraph" w:styleId="185">
    <w:name w:val="toc 6"/>
    <w:basedOn w:val="782"/>
    <w:next w:val="782"/>
    <w:uiPriority w:val="39"/>
    <w:unhideWhenUsed/>
    <w:pPr>
      <w:ind w:left="1417" w:right="0" w:firstLine="0"/>
      <w:spacing w:after="57"/>
    </w:pPr>
  </w:style>
  <w:style w:type="paragraph" w:styleId="186">
    <w:name w:val="toc 7"/>
    <w:basedOn w:val="782"/>
    <w:next w:val="782"/>
    <w:uiPriority w:val="39"/>
    <w:unhideWhenUsed/>
    <w:pPr>
      <w:ind w:left="1701" w:right="0" w:firstLine="0"/>
      <w:spacing w:after="57"/>
    </w:pPr>
  </w:style>
  <w:style w:type="paragraph" w:styleId="187">
    <w:name w:val="toc 8"/>
    <w:basedOn w:val="782"/>
    <w:next w:val="782"/>
    <w:uiPriority w:val="39"/>
    <w:unhideWhenUsed/>
    <w:pPr>
      <w:ind w:left="1984" w:right="0" w:firstLine="0"/>
      <w:spacing w:after="57"/>
    </w:pPr>
  </w:style>
  <w:style w:type="paragraph" w:styleId="188">
    <w:name w:val="toc 9"/>
    <w:basedOn w:val="782"/>
    <w:next w:val="7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uiPriority w:val="0"/>
    <w:qFormat/>
    <w:pPr>
      <w:jc w:val="both"/>
      <w:widowControl w:val="off"/>
    </w:pPr>
    <w:rPr>
      <w:rFonts w:ascii="Calibri" w:hAnsi="Calibri" w:eastAsia="宋体" w:cs="Calibri"/>
      <w:sz w:val="21"/>
      <w:szCs w:val="21"/>
      <w:lang w:val="en-US" w:eastAsia="zh-CN" w:bidi="ar-SA"/>
    </w:rPr>
  </w:style>
  <w:style w:type="paragraph" w:styleId="783">
    <w:name w:val="Heading 1"/>
    <w:basedOn w:val="782"/>
    <w:next w:val="782"/>
    <w:uiPriority w:val="0"/>
    <w:qFormat/>
    <w:pPr>
      <w:numPr>
        <w:ilvl w:val="0"/>
        <w:numId w:val="1"/>
      </w:numPr>
      <w:ind w:firstLine="200"/>
      <w:jc w:val="center"/>
      <w:keepNext/>
      <w:spacing w:line="360" w:lineRule="auto"/>
      <w:outlineLvl w:val="0"/>
    </w:pPr>
    <w:rPr>
      <w:rFonts w:ascii="楷体_GB2312" w:eastAsia="楷体_GB2312" w:cs="Times New Roman"/>
      <w:sz w:val="28"/>
      <w:szCs w:val="28"/>
    </w:rPr>
  </w:style>
  <w:style w:type="paragraph" w:styleId="784">
    <w:name w:val="Heading 2"/>
    <w:basedOn w:val="782"/>
    <w:next w:val="782"/>
    <w:uiPriority w:val="0"/>
    <w:qFormat/>
    <w:pPr>
      <w:numPr>
        <w:ilvl w:val="1"/>
        <w:numId w:val="1"/>
      </w:numPr>
      <w:ind w:firstLine="200"/>
      <w:jc w:val="center"/>
      <w:keepLines/>
      <w:keepNext/>
      <w:spacing w:before="260" w:after="260" w:line="415" w:lineRule="auto"/>
      <w:outlineLvl w:val="1"/>
    </w:pPr>
    <w:rPr>
      <w:rFonts w:ascii="Arial" w:hAnsi="Arial" w:eastAsia="幼圆" w:cs="Times New Roman"/>
      <w:b/>
      <w:bCs/>
      <w:sz w:val="44"/>
      <w:szCs w:val="44"/>
    </w:rPr>
  </w:style>
  <w:style w:type="paragraph" w:styleId="785">
    <w:name w:val="Heading 4"/>
    <w:basedOn w:val="782"/>
    <w:next w:val="782"/>
    <w:uiPriority w:val="9"/>
    <w:qFormat/>
    <w:pPr>
      <w:keepLines/>
      <w:keepNext/>
      <w:spacing w:line="376" w:lineRule="auto"/>
      <w:outlineLvl w:val="3"/>
    </w:pPr>
    <w:rPr>
      <w:rFonts w:ascii="Cambria" w:hAnsi="Cambria" w:cs="Times New Roman"/>
      <w:b/>
      <w:bCs/>
      <w:sz w:val="28"/>
      <w:szCs w:val="28"/>
    </w:rPr>
  </w:style>
  <w:style w:type="character" w:styleId="786" w:default="1">
    <w:name w:val="Default Paragraph Font"/>
    <w:uiPriority w:val="0"/>
    <w:semiHidden/>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Normal Indent"/>
    <w:basedOn w:val="782"/>
    <w:uiPriority w:val="0"/>
    <w:qFormat/>
    <w:pPr>
      <w:ind w:firstLine="420"/>
    </w:pPr>
    <w:rPr>
      <w:szCs w:val="20"/>
    </w:rPr>
  </w:style>
  <w:style w:type="paragraph" w:styleId="789">
    <w:name w:val="annotation text"/>
    <w:basedOn w:val="782"/>
    <w:uiPriority w:val="0"/>
    <w:qFormat/>
    <w:pPr>
      <w:jc w:val="left"/>
    </w:pPr>
  </w:style>
  <w:style w:type="paragraph" w:styleId="790">
    <w:name w:val="Body Text"/>
    <w:basedOn w:val="782"/>
    <w:uiPriority w:val="0"/>
    <w:qFormat/>
    <w:pPr>
      <w:jc w:val="left"/>
    </w:pPr>
    <w:rPr>
      <w:rFonts w:ascii="宋体" w:hAnsi="宋体" w:cs="宋体"/>
      <w:lang w:val="zh-CN" w:bidi="zh-CN"/>
    </w:rPr>
  </w:style>
  <w:style w:type="paragraph" w:styleId="791">
    <w:name w:val="Body Text Indent"/>
    <w:basedOn w:val="782"/>
    <w:uiPriority w:val="99"/>
    <w:qFormat/>
    <w:pPr>
      <w:ind w:firstLine="403"/>
      <w:spacing w:line="440" w:lineRule="exact"/>
    </w:pPr>
    <w:rPr>
      <w:rFonts w:ascii="宋体" w:hAnsi="宋体" w:cs="宋体"/>
    </w:rPr>
  </w:style>
  <w:style w:type="paragraph" w:styleId="792">
    <w:name w:val="index 4"/>
    <w:basedOn w:val="782"/>
    <w:next w:val="782"/>
    <w:uiPriority w:val="99"/>
    <w:qFormat/>
    <w:pPr>
      <w:ind w:left="600"/>
    </w:pPr>
    <w:rPr>
      <w:rFonts w:ascii="Verdana" w:hAnsi="Verdana"/>
      <w:szCs w:val="20"/>
    </w:rPr>
  </w:style>
  <w:style w:type="paragraph" w:styleId="793">
    <w:name w:val="Footer"/>
    <w:basedOn w:val="782"/>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794">
    <w:name w:val="envelope return"/>
    <w:basedOn w:val="782"/>
    <w:uiPriority w:val="0"/>
    <w:qFormat/>
    <w:rPr>
      <w:rFonts w:ascii="Arial" w:hAnsi="Arial"/>
    </w:rPr>
  </w:style>
  <w:style w:type="paragraph" w:styleId="795">
    <w:name w:val="Header"/>
    <w:basedOn w:val="782"/>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96">
    <w:name w:val="toc 1"/>
    <w:basedOn w:val="782"/>
    <w:next w:val="782"/>
    <w:uiPriority w:val="0"/>
    <w:qFormat/>
    <w:pPr>
      <w:jc w:val="left"/>
      <w:spacing w:before="120" w:after="120"/>
    </w:pPr>
    <w:rPr>
      <w:b/>
      <w:bCs/>
      <w:caps/>
      <w:sz w:val="20"/>
      <w:szCs w:val="20"/>
    </w:rPr>
  </w:style>
  <w:style w:type="paragraph" w:styleId="797">
    <w:name w:val="toc 2"/>
    <w:basedOn w:val="782"/>
    <w:next w:val="782"/>
    <w:uiPriority w:val="39"/>
    <w:qFormat/>
    <w:pPr>
      <w:ind w:left="210"/>
      <w:jc w:val="left"/>
    </w:pPr>
    <w:rPr>
      <w:smallCaps/>
      <w:sz w:val="20"/>
      <w:szCs w:val="20"/>
    </w:rPr>
  </w:style>
  <w:style w:type="paragraph" w:styleId="798">
    <w:name w:val="Body Text 2"/>
    <w:basedOn w:val="782"/>
    <w:uiPriority w:val="99"/>
    <w:unhideWhenUsed/>
    <w:qFormat/>
    <w:pPr>
      <w:spacing w:after="120" w:line="480" w:lineRule="auto"/>
    </w:pPr>
  </w:style>
  <w:style w:type="paragraph" w:styleId="799">
    <w:name w:val="Message Header"/>
    <w:basedOn w:val="78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0">
    <w:name w:val="Normal (Web)"/>
    <w:basedOn w:val="782"/>
    <w:uiPriority w:val="0"/>
    <w:qFormat/>
    <w:pPr>
      <w:jc w:val="left"/>
      <w:spacing w:before="100" w:beforeAutospacing="1" w:after="100" w:afterAutospacing="1"/>
      <w:widowControl/>
    </w:pPr>
    <w:rPr>
      <w:rFonts w:ascii="宋体" w:hAnsi="宋体" w:cs="宋体"/>
      <w:sz w:val="24"/>
      <w:szCs w:val="24"/>
    </w:rPr>
  </w:style>
  <w:style w:type="paragraph" w:styleId="801">
    <w:name w:val="Body Text First Indent 2"/>
    <w:basedOn w:val="782"/>
    <w:next w:val="782"/>
    <w:uiPriority w:val="99"/>
    <w:qFormat/>
    <w:pPr>
      <w:ind w:firstLine="420"/>
    </w:pPr>
  </w:style>
  <w:style w:type="table" w:styleId="802">
    <w:name w:val="Table Grid"/>
    <w:basedOn w:val="78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basedOn w:val="786"/>
    <w:uiPriority w:val="0"/>
    <w:qFormat/>
    <w:rPr>
      <w:b/>
      <w:bCs/>
    </w:rPr>
  </w:style>
  <w:style w:type="paragraph" w:styleId="804"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05" w:customStyle="1">
    <w:name w:val="报告正文"/>
    <w:basedOn w:val="782"/>
    <w:uiPriority w:val="0"/>
    <w:qFormat/>
    <w:pPr>
      <w:ind w:firstLine="560"/>
    </w:pPr>
    <w:rPr>
      <w:szCs w:val="20"/>
      <w:lang w:val="zh-CN"/>
    </w:rPr>
  </w:style>
  <w:style w:type="paragraph" w:styleId="806" w:customStyle="1">
    <w:name w:val="普通正文"/>
    <w:basedOn w:val="782"/>
    <w:uiPriority w:val="0"/>
    <w:qFormat/>
    <w:pPr>
      <w:ind w:firstLine="480"/>
      <w:jc w:val="left"/>
      <w:spacing w:before="120" w:after="120" w:line="360" w:lineRule="auto"/>
    </w:pPr>
    <w:rPr>
      <w:rFonts w:ascii="Arial" w:hAnsi="Arial" w:cs="Times New Roman"/>
      <w:sz w:val="24"/>
      <w:szCs w:val="24"/>
    </w:rPr>
  </w:style>
  <w:style w:type="paragraph" w:styleId="807" w:customStyle="1">
    <w:name w:val="一级目录"/>
    <w:next w:val="782"/>
    <w:uiPriority w:val="99"/>
    <w:qFormat/>
    <w:pPr>
      <w:jc w:val="center"/>
      <w:outlineLvl w:val="0"/>
    </w:pPr>
    <w:rPr>
      <w:rFonts w:ascii="黑体" w:hAnsi="Times New Roman" w:eastAsia="黑体" w:cs="Times New Roman"/>
      <w:b/>
      <w:bCs/>
      <w:sz w:val="44"/>
      <w:szCs w:val="44"/>
      <w:lang w:val="en-US" w:eastAsia="zh-CN" w:bidi="ar-SA"/>
    </w:rPr>
  </w:style>
  <w:style w:type="paragraph" w:styleId="808" w:customStyle="1">
    <w:name w:val="二级目录"/>
    <w:next w:val="782"/>
    <w:uiPriority w:val="99"/>
    <w:qFormat/>
    <w:pPr>
      <w:ind w:left="720" w:hanging="720"/>
      <w:tabs>
        <w:tab w:val="left" w:pos="720" w:leader="none"/>
      </w:tabs>
      <w:outlineLvl w:val="1"/>
    </w:pPr>
    <w:rPr>
      <w:rFonts w:ascii="Calibri" w:hAnsi="Calibri" w:eastAsia="宋体" w:cs="Times New Roman"/>
      <w:b/>
      <w:bCs/>
      <w:sz w:val="28"/>
      <w:szCs w:val="28"/>
      <w:lang w:val="en-US" w:eastAsia="zh-CN" w:bidi="ar-SA"/>
    </w:rPr>
  </w:style>
  <w:style w:type="paragraph" w:styleId="809">
    <w:name w:val="List Paragraph"/>
    <w:basedOn w:val="782"/>
    <w:uiPriority w:val="1"/>
    <w:qFormat/>
    <w:pPr>
      <w:ind w:firstLine="420"/>
    </w:pPr>
    <w:rPr>
      <w:rFonts w:cs="Times New Roman"/>
      <w:szCs w:val="22"/>
    </w:rPr>
  </w:style>
  <w:style w:type="paragraph" w:styleId="810" w:customStyle="1">
    <w:name w:val="正文缩进2格"/>
    <w:basedOn w:val="782"/>
    <w:uiPriority w:val="0"/>
    <w:qFormat/>
    <w:pPr>
      <w:ind w:firstLine="639"/>
      <w:spacing w:line="600" w:lineRule="exact"/>
    </w:pPr>
    <w:rPr>
      <w:rFonts w:ascii="仿宋_GB2312" w:hAnsi="宋体" w:eastAsia="仿宋_GB2312"/>
      <w:sz w:val="31"/>
      <w:szCs w:val="28"/>
    </w:rPr>
  </w:style>
  <w:style w:type="character" w:styleId="811" w:customStyle="1">
    <w:name w:val="NormalCharacter"/>
    <w:uiPriority w:val="0"/>
    <w:qFormat/>
  </w:style>
  <w:style w:type="paragraph" w:styleId="812" w:customStyle="1">
    <w:name w:val="列出段落1"/>
    <w:basedOn w:val="782"/>
    <w:uiPriority w:val="99"/>
    <w:qFormat/>
    <w:pPr>
      <w:ind w:firstLine="420"/>
    </w:pPr>
  </w:style>
  <w:style w:type="paragraph" w:styleId="813" w:customStyle="1">
    <w:name w:val="_Style 3"/>
    <w:basedOn w:val="782"/>
    <w:next w:val="782"/>
    <w:uiPriority w:val="99"/>
    <w:qFormat/>
    <w:pPr>
      <w:jc w:val="center"/>
      <w:widowControl/>
      <w:pBdr>
        <w:bottom w:val="single" w:color="auto" w:sz="6" w:space="1"/>
      </w:pBdr>
    </w:pPr>
    <w:rPr>
      <w:rFonts w:ascii="Arial" w:hAnsi="Arial" w:cs="Arial"/>
      <w:vanish/>
      <w:sz w:val="16"/>
      <w:szCs w:val="16"/>
    </w:rPr>
  </w:style>
  <w:style w:type="paragraph" w:styleId="814" w:customStyle="1">
    <w:name w:val="Char1"/>
    <w:basedOn w:val="782"/>
    <w:uiPriority w:val="99"/>
    <w:qFormat/>
    <w:rPr>
      <w:rFonts w:ascii="Tahoma" w:hAnsi="Tahoma" w:cs="Tahoma"/>
      <w:sz w:val="24"/>
      <w:szCs w:val="24"/>
    </w:rPr>
  </w:style>
  <w:style w:type="paragraph" w:styleId="815" w:customStyle="1">
    <w:name w:val="WPSOffice手动目录 1"/>
    <w:uiPriority w:val="0"/>
    <w:qFormat/>
    <w:rPr>
      <w:rFonts w:ascii="Times New Roman" w:hAnsi="Times New Roman" w:eastAsia="宋体" w:cs="Times New Roman"/>
      <w:sz w:val="20"/>
      <w:szCs w:val="20"/>
    </w:rPr>
  </w:style>
  <w:style w:type="paragraph" w:styleId="816" w:customStyle="1">
    <w:name w:val="Table Text"/>
    <w:basedOn w:val="782"/>
    <w:uiPriority w:val="0"/>
    <w:semiHidden/>
    <w:qFormat/>
    <w:rPr>
      <w:rFonts w:ascii="Arial" w:hAnsi="Arial" w:eastAsia="Arial" w:cs="Arial"/>
      <w:sz w:val="21"/>
      <w:szCs w:val="21"/>
      <w:lang w:val="en-US" w:eastAsia="en-US" w:bidi="ar-SA"/>
    </w:rPr>
  </w:style>
  <w:style w:type="table" w:styleId="817" w:customStyle="1">
    <w:name w:val="Table Normal"/>
    <w:uiPriority w:val="0"/>
    <w:semiHidden/>
    <w:unhideWhenUsed/>
    <w:qFormat/>
    <w:tblPr>
      <w:tblCellMar>
        <w:left w:w="0" w:type="dxa"/>
        <w:top w:w="0" w:type="dxa"/>
        <w:right w:w="0" w:type="dxa"/>
        <w:bottom w:w="0" w:type="dxa"/>
      </w:tblCellMar>
    </w:tblPr>
  </w:style>
  <w:style w:type="numbering" w:styleId="9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刘影</cp:lastModifiedBy>
  <cp:revision>2</cp:revision>
  <dcterms:created xsi:type="dcterms:W3CDTF">2021-10-22T01:50:00Z</dcterms:created>
  <dcterms:modified xsi:type="dcterms:W3CDTF">2024-09-03T08:57:31Z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2052-12.1.0.18196</vt:lpwstr>
  </property>
  <property fmtid="{D5CDD505-2E9C-101B-9397-08002B2CF9AE}" pid="3" name="ICV">
    <vt:lpwstr>DF43153EE93045E1966C893C02D5338F_13</vt:lpwstr>
  </property>
</Properties>
</file>