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F98A">
      <w:pPr>
        <w:adjustRightInd w:val="0"/>
        <w:snapToGrid w:val="0"/>
        <w:ind w:firstLine="0" w:firstLineChars="0"/>
        <w:jc w:val="center"/>
        <w:rPr>
          <w:rFonts w:hint="default" w:ascii="宋体" w:hAnsi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highlight w:val="none"/>
          <w:lang w:val="en-US" w:eastAsia="zh-CN"/>
        </w:rPr>
        <w:t>保险要求</w:t>
      </w:r>
    </w:p>
    <w:p w14:paraId="5BEBFC05">
      <w:pPr>
        <w:adjustRightInd w:val="0"/>
        <w:snapToGrid w:val="0"/>
        <w:ind w:firstLine="640" w:firstLineChars="200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为保障项目平稳实施，甲方对项目保险作出如下要求：</w:t>
      </w:r>
    </w:p>
    <w:p w14:paraId="372142EE">
      <w:pPr>
        <w:adjustRightInd w:val="0"/>
        <w:snapToGrid w:val="0"/>
        <w:ind w:firstLine="643" w:firstLineChars="200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一、投保</w:t>
      </w:r>
    </w:p>
    <w:p w14:paraId="51839C27">
      <w:pPr>
        <w:numPr>
          <w:ilvl w:val="-1"/>
          <w:numId w:val="0"/>
        </w:numPr>
        <w:adjustRightInd w:val="0"/>
        <w:snapToGrid w:val="0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乙方应投保团体意外险+公众责任险或建筑/安装工程一切险+建筑工程意外伤害险。</w:t>
      </w:r>
    </w:p>
    <w:p w14:paraId="17DB3F0B">
      <w:pPr>
        <w:numPr>
          <w:ilvl w:val="-1"/>
          <w:numId w:val="0"/>
        </w:numPr>
        <w:adjustRightInd w:val="0"/>
        <w:snapToGrid w:val="0"/>
        <w:ind w:leftChars="0" w:firstLine="643" w:firstLineChars="200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二、保险金额/赔偿限额</w:t>
      </w:r>
    </w:p>
    <w:p w14:paraId="6C3B06B2">
      <w:pPr>
        <w:numPr>
          <w:ilvl w:val="-1"/>
          <w:numId w:val="0"/>
        </w:numPr>
        <w:adjustRightInd w:val="0"/>
        <w:snapToGrid w:val="0"/>
        <w:ind w:left="0" w:leftChars="0" w:firstLine="640" w:firstLineChars="200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1.第三者人身伤害及财产损失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，每次事故赔偿额度不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得低于300万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，不得设立每人赔偿限额。</w:t>
      </w:r>
    </w:p>
    <w:p w14:paraId="0017EDA2">
      <w:pPr>
        <w:numPr>
          <w:ilvl w:val="-1"/>
          <w:numId w:val="0"/>
        </w:numPr>
        <w:adjustRightInd w:val="0"/>
        <w:snapToGrid w:val="0"/>
        <w:ind w:left="0" w:leftChars="0" w:firstLine="640" w:firstLineChars="200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2.项目人员，每人赔偿限额不得低于150万。</w:t>
      </w:r>
    </w:p>
    <w:p w14:paraId="0D1767FC">
      <w:pPr>
        <w:numPr>
          <w:ilvl w:val="-1"/>
          <w:numId w:val="0"/>
        </w:numPr>
        <w:adjustRightInd w:val="0"/>
        <w:snapToGrid w:val="0"/>
        <w:ind w:left="0" w:leftChars="0"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3.工程财产损失保险金额不得低于工程造价金额。</w:t>
      </w:r>
    </w:p>
    <w:p w14:paraId="5D60575A">
      <w:pPr>
        <w:numPr>
          <w:ilvl w:val="0"/>
          <w:numId w:val="0"/>
        </w:numPr>
        <w:adjustRightInd w:val="0"/>
        <w:snapToGrid w:val="0"/>
        <w:ind w:leftChars="200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三、其他</w:t>
      </w:r>
    </w:p>
    <w:p w14:paraId="228F7154">
      <w:pPr>
        <w:numPr>
          <w:ilvl w:val="0"/>
          <w:numId w:val="0"/>
        </w:numPr>
        <w:adjustRightInd w:val="0"/>
        <w:snapToGrid w:val="0"/>
        <w:ind w:firstLine="640" w:firstLineChars="200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.乙方应当在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中标通知书发出后，合同开始履行前完成项目保险的投保，乙方应选择具有良好信誉和资质的保险公司进行投保，保险期应覆盖整个项目周期，按年度购买的，后续服务期，乙方应当提前一个月完成下一年度的投保。</w:t>
      </w:r>
    </w:p>
    <w:p w14:paraId="72E71772">
      <w:pPr>
        <w:numPr>
          <w:ilvl w:val="0"/>
          <w:numId w:val="0"/>
        </w:numPr>
        <w:adjustRightInd w:val="0"/>
        <w:snapToGrid w:val="0"/>
        <w:ind w:firstLine="640" w:firstLineChars="200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2.乙方投保建筑/安装工程一切险、公众责任险时应同时将甲方及相关方作为共同被保险人。</w:t>
      </w:r>
    </w:p>
    <w:p w14:paraId="3A83074A">
      <w:pPr>
        <w:numPr>
          <w:ilvl w:val="-1"/>
          <w:numId w:val="0"/>
        </w:numPr>
        <w:adjustRightInd w:val="0"/>
        <w:snapToGrid w:val="0"/>
        <w:ind w:firstLine="640" w:firstLineChars="200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3.乙方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应及时向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提交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所购买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保险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凭证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保险单复印件，保险单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内容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必须与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甲方要求</w:t>
      </w:r>
      <w:r>
        <w:rPr>
          <w:rFonts w:hint="default" w:ascii="宋体" w:hAnsi="宋体" w:cs="宋体"/>
          <w:sz w:val="32"/>
          <w:szCs w:val="32"/>
          <w:highlight w:val="none"/>
          <w:lang w:val="en-US" w:eastAsia="zh-CN"/>
        </w:rPr>
        <w:t>保持一致。</w:t>
      </w:r>
    </w:p>
    <w:p w14:paraId="0220C8D0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7D50F8FC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6B5C9697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4F05D36F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7D44661C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00D51AB9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1D404573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3D74E294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5C6969B3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7FD7576E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439D7FFF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221502CD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06F965EB">
      <w:pPr>
        <w:numPr>
          <w:ilvl w:val="-1"/>
          <w:numId w:val="0"/>
        </w:numPr>
        <w:adjustRightInd w:val="0"/>
        <w:snapToGrid w:val="0"/>
        <w:ind w:leftChars="20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2827DD08">
      <w:pPr>
        <w:numPr>
          <w:ilvl w:val="0"/>
          <w:numId w:val="0"/>
        </w:numPr>
        <w:adjustRightInd w:val="0"/>
        <w:snapToGrid w:val="0"/>
        <w:rPr>
          <w:rFonts w:hint="eastAsia" w:ascii="system-ui" w:hAnsi="system-ui" w:eastAsia="宋体" w:cs="system-ui"/>
          <w:color w:val="00000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DQ4YWMxYjc2YTdkMzgzNmFmZDllODdhNWE3MWYifQ=="/>
  </w:docVars>
  <w:rsids>
    <w:rsidRoot w:val="00000000"/>
    <w:rsid w:val="0440348D"/>
    <w:rsid w:val="07C76827"/>
    <w:rsid w:val="1C4949FC"/>
    <w:rsid w:val="27C76F0E"/>
    <w:rsid w:val="2E4E5131"/>
    <w:rsid w:val="37EA4370"/>
    <w:rsid w:val="397D20EF"/>
    <w:rsid w:val="4BC468B1"/>
    <w:rsid w:val="57173EF9"/>
    <w:rsid w:val="58B00BE6"/>
    <w:rsid w:val="58E24461"/>
    <w:rsid w:val="5BB8384A"/>
    <w:rsid w:val="5D965375"/>
    <w:rsid w:val="63A12D1B"/>
    <w:rsid w:val="68D203B0"/>
    <w:rsid w:val="6F684056"/>
    <w:rsid w:val="752B75DD"/>
    <w:rsid w:val="F67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863</Characters>
  <Lines>0</Lines>
  <Paragraphs>0</Paragraphs>
  <TotalTime>57</TotalTime>
  <ScaleCrop>false</ScaleCrop>
  <LinksUpToDate>false</LinksUpToDate>
  <CharactersWithSpaces>863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2024-07-09T14:11:00Z</dcterms:created>
  <dc:creator>Lenovo</dc:creator>
  <cp:lastModifiedBy>濤聲依舊</cp:lastModifiedBy>
  <cp:lastPrinted>2024-07-31T02:55:00Z</cp:lastPrinted>
  <dcterms:modified xsi:type="dcterms:W3CDTF">2024-07-31T08:58:12Z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E6C3C3787C340A8893B99D6656C32CD2_43</vt:lpwstr>
  </property>
</Properties>
</file>