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left"/>
        <w:widowControl/>
        <w:rPr>
          <w:rFonts w:hint="eastAsia" w:ascii="宋体" w:hAnsi="宋体" w:eastAsia="宋体" w:cs="宋体"/>
          <w:b/>
          <w:bCs/>
          <w:color w:val="000000"/>
          <w:spacing w:val="80"/>
          <w:sz w:val="30"/>
          <w:szCs w:val="24"/>
          <w:highlight w:val="none"/>
        </w:rPr>
      </w:pPr>
      <w:r>
        <w:rPr>
          <w:rFonts w:hint="eastAsia" w:ascii="宋体" w:hAnsi="宋体" w:eastAsia="宋体" w:cs="宋体"/>
          <w:b/>
          <w:bCs/>
          <w:color w:val="000000"/>
          <w:spacing w:val="80"/>
          <w:sz w:val="30"/>
          <w:szCs w:val="24"/>
          <w:highlight w:val="none"/>
        </w:rPr>
      </w:r>
      <w:r/>
    </w:p>
    <w:p>
      <w:pPr>
        <w:pStyle w:val="960"/>
        <w:jc w:val="left"/>
        <w:widowControl/>
        <w:rPr>
          <w:rFonts w:hint="eastAsia" w:ascii="宋体" w:hAnsi="宋体" w:eastAsia="宋体" w:cs="宋体"/>
          <w:b/>
          <w:bCs/>
          <w:color w:val="000000"/>
          <w:spacing w:val="80"/>
          <w:sz w:val="30"/>
          <w:szCs w:val="24"/>
          <w:highlight w:val="none"/>
        </w:rPr>
      </w:pPr>
      <w:r>
        <w:rPr>
          <w:rFonts w:hint="eastAsia" w:ascii="宋体" w:hAnsi="宋体" w:eastAsia="宋体" w:cs="宋体"/>
          <w:b/>
          <w:bCs/>
          <w:color w:val="000000"/>
          <w:spacing w:val="80"/>
          <w:sz w:val="30"/>
          <w:szCs w:val="24"/>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bCs/>
          <w:color w:val="000000"/>
          <w:spacing w:val="80"/>
          <w:sz w:val="72"/>
          <w:szCs w:val="72"/>
          <w:highlight w:val="none"/>
        </w:rPr>
      </w:r>
      <w:r/>
    </w:p>
    <w:p>
      <w:pPr>
        <w:pStyle w:val="960"/>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960"/>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960"/>
        <w:jc w:val="center"/>
        <w:spacing w:line="360" w:lineRule="auto"/>
        <w:rPr>
          <w:rFonts w:hint="eastAsia" w:ascii="宋体" w:hAnsi="宋体" w:eastAsia="宋体" w:cs="宋体"/>
          <w:b/>
          <w:bCs/>
          <w:color w:val="000000"/>
          <w:spacing w:val="80"/>
          <w:sz w:val="56"/>
          <w:szCs w:val="56"/>
          <w:highlight w:val="none"/>
          <w:lang w:eastAsia="zh-CN"/>
        </w:rPr>
      </w:pPr>
      <w:r>
        <w:rPr>
          <w:rFonts w:hint="eastAsia" w:ascii="宋体" w:hAnsi="宋体" w:eastAsia="宋体" w:cs="宋体"/>
          <w:b/>
          <w:bCs/>
          <w:color w:val="000000"/>
          <w:spacing w:val="80"/>
          <w:sz w:val="56"/>
          <w:szCs w:val="56"/>
          <w:highlight w:val="none"/>
        </w:rPr>
        <w:t xml:space="preserve">招标文件</w:t>
      </w:r>
      <w:r>
        <w:rPr>
          <w:rFonts w:hint="eastAsia" w:ascii="宋体" w:hAnsi="宋体" w:eastAsia="宋体" w:cs="宋体"/>
          <w:b/>
          <w:bCs/>
          <w:color w:val="000000"/>
          <w:spacing w:val="80"/>
          <w:sz w:val="56"/>
          <w:szCs w:val="56"/>
          <w:highlight w:val="none"/>
          <w:lang w:eastAsia="zh-CN"/>
        </w:rPr>
        <w:t xml:space="preserve">（</w:t>
      </w:r>
      <w:r>
        <w:rPr>
          <w:rFonts w:hint="eastAsia" w:ascii="宋体" w:hAnsi="宋体" w:eastAsia="宋体" w:cs="宋体"/>
          <w:b/>
          <w:bCs/>
          <w:color w:val="000000"/>
          <w:spacing w:val="80"/>
          <w:sz w:val="56"/>
          <w:szCs w:val="56"/>
          <w:highlight w:val="none"/>
          <w:lang w:val="en-US" w:eastAsia="zh-CN"/>
        </w:rPr>
        <w:t xml:space="preserve">二次</w:t>
      </w:r>
      <w:r>
        <w:rPr>
          <w:rFonts w:hint="eastAsia" w:ascii="宋体" w:hAnsi="宋体" w:eastAsia="宋体" w:cs="宋体"/>
          <w:b/>
          <w:bCs/>
          <w:color w:val="000000"/>
          <w:spacing w:val="80"/>
          <w:sz w:val="56"/>
          <w:szCs w:val="56"/>
          <w:highlight w:val="none"/>
          <w:lang w:eastAsia="zh-CN"/>
        </w:rPr>
        <w:t xml:space="preserve">）</w:t>
      </w:r>
      <w:r>
        <w:rPr>
          <w:rFonts w:hint="eastAsia" w:ascii="宋体" w:hAnsi="宋体" w:eastAsia="宋体" w:cs="宋体"/>
          <w:b/>
          <w:bCs/>
          <w:color w:val="000000"/>
          <w:spacing w:val="80"/>
          <w:sz w:val="56"/>
          <w:szCs w:val="56"/>
          <w:highlight w:val="none"/>
          <w:lang w:eastAsia="zh-CN"/>
        </w:rPr>
      </w:r>
      <w:r/>
    </w:p>
    <w:p>
      <w:pPr>
        <w:pStyle w:val="960"/>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960"/>
        <w:spacing w:line="360" w:lineRule="auto"/>
        <w:rPr>
          <w:rFonts w:hint="eastAsia" w:ascii="宋体" w:hAnsi="宋体" w:eastAsia="宋体" w:cs="宋体"/>
          <w:b/>
          <w:bCs/>
          <w:color w:val="000000"/>
          <w:spacing w:val="0"/>
          <w:sz w:val="32"/>
          <w:szCs w:val="24"/>
          <w:highlight w:val="none"/>
          <w:lang w:eastAsia="zh-CN"/>
        </w:rPr>
      </w:pPr>
      <w:r>
        <w:rPr>
          <w:rFonts w:hint="eastAsia" w:ascii="宋体" w:hAnsi="宋体" w:eastAsia="宋体" w:cs="宋体"/>
          <w:b/>
          <w:bCs/>
          <w:color w:val="000000"/>
          <w:spacing w:val="-6"/>
          <w:sz w:val="32"/>
          <w:szCs w:val="24"/>
          <w:highlight w:val="none"/>
          <w:lang w:val="en-US" w:eastAsia="zh-CN"/>
        </w:rPr>
        <w:t xml:space="preserve">      </w:t>
      </w:r>
      <w:r>
        <w:rPr>
          <w:rFonts w:hint="eastAsia" w:ascii="宋体" w:hAnsi="宋体" w:eastAsia="宋体" w:cs="宋体"/>
          <w:b/>
          <w:bCs/>
          <w:color w:val="000000"/>
          <w:spacing w:val="0"/>
          <w:sz w:val="32"/>
          <w:szCs w:val="24"/>
          <w:highlight w:val="none"/>
        </w:rPr>
        <w:t xml:space="preserve">项目名称：</w:t>
      </w:r>
      <w:r>
        <w:rPr>
          <w:rFonts w:hint="eastAsia" w:ascii="宋体" w:hAnsi="宋体" w:eastAsia="宋体" w:cs="宋体"/>
          <w:b/>
          <w:bCs/>
          <w:color w:val="000000"/>
          <w:spacing w:val="0"/>
          <w:sz w:val="32"/>
          <w:szCs w:val="24"/>
          <w:highlight w:val="none"/>
          <w:lang w:eastAsia="zh-CN"/>
        </w:rPr>
        <w:t xml:space="preserve">灌南县畜牧兽医站2025年重大动物疫病强制</w:t>
      </w:r>
      <w:r>
        <w:rPr>
          <w:rFonts w:hint="eastAsia" w:ascii="宋体" w:hAnsi="宋体" w:eastAsia="宋体" w:cs="宋体"/>
          <w:b/>
          <w:bCs/>
          <w:color w:val="000000"/>
          <w:spacing w:val="0"/>
          <w:sz w:val="32"/>
          <w:szCs w:val="24"/>
          <w:highlight w:val="none"/>
          <w:lang w:eastAsia="zh-CN"/>
        </w:rPr>
      </w:r>
      <w:r/>
    </w:p>
    <w:p>
      <w:pPr>
        <w:pStyle w:val="960"/>
        <w:ind w:left="0" w:firstLine="2329"/>
        <w:spacing w:line="360" w:lineRule="auto"/>
        <w:rPr>
          <w:rFonts w:hint="eastAsia" w:ascii="宋体" w:hAnsi="宋体" w:eastAsia="宋体" w:cs="宋体"/>
          <w:b/>
          <w:bCs/>
          <w:color w:val="000000"/>
          <w:spacing w:val="0"/>
          <w:sz w:val="32"/>
          <w:szCs w:val="24"/>
          <w:highlight w:val="none"/>
          <w:lang w:eastAsia="zh-CN"/>
        </w:rPr>
      </w:pPr>
      <w:r>
        <w:rPr>
          <w:rFonts w:hint="eastAsia" w:ascii="宋体" w:hAnsi="宋体" w:eastAsia="宋体" w:cs="宋体"/>
          <w:b/>
          <w:bCs/>
          <w:color w:val="000000"/>
          <w:spacing w:val="0"/>
          <w:sz w:val="32"/>
          <w:szCs w:val="24"/>
          <w:highlight w:val="none"/>
          <w:lang w:eastAsia="zh-CN"/>
        </w:rPr>
        <w:t xml:space="preserve">免疫疫苗采购</w:t>
      </w:r>
      <w:r>
        <w:rPr>
          <w:rFonts w:hint="eastAsia" w:ascii="宋体" w:hAnsi="宋体" w:eastAsia="宋体" w:cs="宋体"/>
          <w:b/>
          <w:bCs/>
          <w:color w:val="000000"/>
          <w:spacing w:val="0"/>
          <w:sz w:val="32"/>
          <w:szCs w:val="24"/>
          <w:highlight w:val="none"/>
          <w:lang w:eastAsia="zh-CN"/>
        </w:rPr>
      </w:r>
      <w:r/>
    </w:p>
    <w:p>
      <w:pPr>
        <w:pStyle w:val="960"/>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pacing w:val="0"/>
          <w:sz w:val="32"/>
          <w:szCs w:val="24"/>
          <w:highlight w:val="none"/>
        </w:rPr>
        <w:t xml:space="preserve">     项目编号：JSZC-320724-CXSZ-G2025-0001</w:t>
      </w:r>
      <w:r>
        <w:rPr>
          <w:rFonts w:hint="eastAsia" w:ascii="宋体" w:hAnsi="宋体" w:eastAsia="宋体" w:cs="宋体"/>
          <w:b/>
          <w:bCs/>
          <w:color w:val="000000"/>
          <w:sz w:val="32"/>
          <w:szCs w:val="24"/>
          <w:highlight w:val="none"/>
        </w:rPr>
      </w:r>
      <w:r/>
    </w:p>
    <w:p>
      <w:pPr>
        <w:pStyle w:val="96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093"/>
        </w:trPr>
        <w:tc>
          <w:tcPr>
            <w:tcW w:w="648" w:type="dxa"/>
            <w:vAlign w:val="center"/>
            <w:textDirection w:val="lrTb"/>
            <w:noWrap w:val="false"/>
          </w:tcPr>
          <w:p>
            <w:pPr>
              <w:pStyle w:val="960"/>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tc>
        <w:tc>
          <w:tcPr>
            <w:tcW w:w="2520" w:type="dxa"/>
            <w:vAlign w:val="center"/>
            <w:textDirection w:val="lrTb"/>
            <w:noWrap w:val="false"/>
          </w:tcPr>
          <w:p>
            <w:pPr>
              <w:pStyle w:val="960"/>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   购   人：</w:t>
            </w:r>
            <w:r>
              <w:rPr>
                <w:rFonts w:hint="eastAsia" w:ascii="宋体" w:hAnsi="宋体" w:eastAsia="宋体" w:cs="宋体"/>
                <w:b/>
                <w:bCs/>
                <w:color w:val="000000"/>
                <w:sz w:val="32"/>
                <w:szCs w:val="24"/>
                <w:highlight w:val="none"/>
              </w:rPr>
            </w:r>
            <w:r/>
          </w:p>
        </w:tc>
        <w:tc>
          <w:tcPr>
            <w:tcW w:w="6686" w:type="dxa"/>
            <w:vAlign w:val="center"/>
            <w:textDirection w:val="lrTb"/>
            <w:noWrap w:val="false"/>
          </w:tcPr>
          <w:p>
            <w:pPr>
              <w:pStyle w:val="960"/>
              <w:spacing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t xml:space="preserve">灌南县畜牧兽医站</w:t>
            </w:r>
            <w:r>
              <w:rPr>
                <w:rFonts w:hint="eastAsia" w:ascii="宋体" w:hAnsi="宋体" w:eastAsia="宋体" w:cs="宋体"/>
                <w:b/>
                <w:bCs/>
                <w:color w:val="000000"/>
                <w:sz w:val="32"/>
                <w:szCs w:val="24"/>
                <w:highlight w:val="none"/>
                <w:lang w:eastAsia="zh-CN"/>
              </w:rPr>
            </w:r>
            <w:r/>
          </w:p>
        </w:tc>
      </w:tr>
      <w:tr>
        <w:trPr>
          <w:trHeight w:val="1195"/>
        </w:trPr>
        <w:tc>
          <w:tcPr>
            <w:tcW w:w="648" w:type="dxa"/>
            <w:vAlign w:val="center"/>
            <w:textDirection w:val="lrTb"/>
            <w:noWrap w:val="false"/>
          </w:tcPr>
          <w:p>
            <w:pPr>
              <w:pStyle w:val="960"/>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tc>
        <w:tc>
          <w:tcPr>
            <w:tcW w:w="2520" w:type="dxa"/>
            <w:vAlign w:val="center"/>
            <w:textDirection w:val="lrTb"/>
            <w:noWrap w:val="false"/>
          </w:tcPr>
          <w:p>
            <w:pPr>
              <w:pStyle w:val="960"/>
              <w:spacing w:line="360" w:lineRule="auto"/>
              <w:rPr>
                <w:rFonts w:hint="eastAsia" w:ascii="宋体" w:hAnsi="宋体" w:eastAsia="宋体" w:cs="宋体"/>
                <w:color w:val="000000"/>
                <w:szCs w:val="24"/>
                <w:highlight w:val="none"/>
              </w:rPr>
            </w:pPr>
            <w:r>
              <w:rPr>
                <w:rFonts w:hint="eastAsia" w:ascii="宋体" w:hAnsi="宋体" w:eastAsia="宋体" w:cs="宋体"/>
                <w:b/>
                <w:bCs/>
                <w:color w:val="000000"/>
                <w:sz w:val="32"/>
                <w:szCs w:val="24"/>
                <w:highlight w:val="none"/>
              </w:rPr>
              <w:t xml:space="preserve">采购代理机构：</w:t>
            </w:r>
            <w:r>
              <w:rPr>
                <w:rFonts w:hint="eastAsia" w:ascii="宋体" w:hAnsi="宋体" w:eastAsia="宋体" w:cs="宋体"/>
                <w:color w:val="000000"/>
                <w:szCs w:val="24"/>
                <w:highlight w:val="none"/>
              </w:rPr>
            </w:r>
            <w:r/>
          </w:p>
        </w:tc>
        <w:tc>
          <w:tcPr>
            <w:tcW w:w="6686" w:type="dxa"/>
            <w:vAlign w:val="center"/>
            <w:textDirection w:val="lrTb"/>
            <w:noWrap w:val="false"/>
          </w:tcPr>
          <w:p>
            <w:pPr>
              <w:pStyle w:val="960"/>
              <w:spacing w:line="360" w:lineRule="auto"/>
              <w:rPr>
                <w:rFonts w:hint="eastAsia" w:ascii="宋体" w:hAnsi="宋体" w:eastAsia="宋体" w:cs="宋体"/>
                <w:b/>
                <w:bCs/>
                <w:color w:val="000000"/>
                <w:spacing w:val="20"/>
                <w:sz w:val="32"/>
                <w:szCs w:val="20"/>
                <w:highlight w:val="none"/>
                <w:lang w:eastAsia="zh-CN"/>
              </w:rPr>
            </w:pPr>
            <w:r>
              <w:rPr>
                <w:rFonts w:hint="eastAsia" w:ascii="宋体" w:hAnsi="宋体" w:eastAsia="宋体" w:cs="宋体"/>
                <w:b/>
                <w:bCs/>
                <w:color w:val="000000"/>
                <w:spacing w:val="20"/>
                <w:sz w:val="32"/>
                <w:szCs w:val="20"/>
                <w:highlight w:val="none"/>
                <w:lang w:eastAsia="zh-CN"/>
              </w:rPr>
              <w:t xml:space="preserve">连云港中梁工程咨询有限公司</w:t>
            </w:r>
            <w:r>
              <w:rPr>
                <w:rFonts w:hint="eastAsia" w:ascii="宋体" w:hAnsi="宋体" w:eastAsia="宋体" w:cs="宋体"/>
                <w:b/>
                <w:bCs/>
                <w:color w:val="000000"/>
                <w:spacing w:val="20"/>
                <w:sz w:val="32"/>
                <w:szCs w:val="20"/>
                <w:highlight w:val="none"/>
                <w:lang w:eastAsia="zh-CN"/>
              </w:rPr>
            </w:r>
            <w:r/>
          </w:p>
        </w:tc>
      </w:tr>
    </w:tbl>
    <w:p>
      <w:pPr>
        <w:pStyle w:val="960"/>
        <w:ind w:firstLine="611"/>
        <w:jc w:val="center"/>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202</w:t>
      </w:r>
      <w:r>
        <w:rPr>
          <w:rFonts w:hint="eastAsia" w:ascii="宋体" w:hAnsi="宋体" w:eastAsia="宋体" w:cs="宋体"/>
          <w:b/>
          <w:bCs/>
          <w:color w:val="000000"/>
          <w:sz w:val="32"/>
          <w:szCs w:val="24"/>
          <w:highlight w:val="none"/>
          <w:lang w:val="en-US" w:eastAsia="zh-CN"/>
        </w:rPr>
        <w:t xml:space="preserve">5</w:t>
      </w:r>
      <w:r>
        <w:rPr>
          <w:rFonts w:hint="eastAsia" w:ascii="宋体" w:hAnsi="宋体" w:eastAsia="宋体" w:cs="宋体"/>
          <w:b/>
          <w:bCs/>
          <w:color w:val="000000"/>
          <w:sz w:val="32"/>
          <w:szCs w:val="24"/>
          <w:highlight w:val="none"/>
        </w:rPr>
        <w:t xml:space="preserve">年</w:t>
      </w:r>
      <w:r>
        <w:rPr>
          <w:rFonts w:hint="eastAsia" w:ascii="宋体" w:hAnsi="宋体" w:eastAsia="宋体" w:cs="宋体"/>
          <w:b/>
          <w:bCs/>
          <w:color w:val="000000"/>
          <w:sz w:val="32"/>
          <w:szCs w:val="24"/>
          <w:highlight w:val="none"/>
          <w:lang w:val="en-US" w:eastAsia="zh-CN"/>
        </w:rPr>
        <w:t xml:space="preserve">04</w:t>
      </w:r>
      <w:r>
        <w:rPr>
          <w:rFonts w:hint="eastAsia" w:ascii="宋体" w:hAnsi="宋体" w:eastAsia="宋体" w:cs="宋体"/>
          <w:b/>
          <w:bCs/>
          <w:color w:val="000000"/>
          <w:sz w:val="32"/>
          <w:szCs w:val="24"/>
          <w:highlight w:val="none"/>
        </w:rPr>
        <w:t xml:space="preserve">月</w:t>
      </w:r>
      <w:r>
        <w:rPr>
          <w:rFonts w:hint="eastAsia" w:ascii="宋体" w:hAnsi="宋体" w:eastAsia="宋体" w:cs="宋体"/>
          <w:b/>
          <w:bCs/>
          <w:color w:val="000000"/>
          <w:sz w:val="32"/>
          <w:szCs w:val="24"/>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jc w:val="center"/>
        <w:keepLines/>
        <w:keepNext/>
        <w:spacing w:line="360" w:lineRule="auto"/>
        <w:tabs>
          <w:tab w:val="left" w:pos="360" w:leader="none"/>
        </w:tabs>
        <w:rPr>
          <w:rFonts w:hint="eastAsia" w:ascii="宋体" w:hAnsi="宋体" w:eastAsia="宋体" w:cs="宋体"/>
          <w:b/>
          <w:color w:val="000000"/>
          <w:sz w:val="36"/>
          <w:szCs w:val="20"/>
          <w:highlight w:val="none"/>
        </w:rPr>
        <w:outlineLvl w:val="0"/>
      </w:pPr>
      <w:r/>
      <w:bookmarkStart w:id="0" w:name="_Toc3580"/>
      <w:r>
        <w:rPr>
          <w:rFonts w:hint="eastAsia" w:ascii="宋体" w:hAnsi="宋体" w:eastAsia="宋体" w:cs="宋体"/>
          <w:color w:val="000000"/>
          <w:sz w:val="36"/>
          <w:szCs w:val="20"/>
          <w:highlight w:val="none"/>
        </w:rPr>
        <w:t xml:space="preserve">目     录</w:t>
      </w:r>
      <w:bookmarkEnd w:id="0"/>
      <w:r>
        <w:rPr>
          <w:rFonts w:hint="eastAsia" w:ascii="宋体" w:hAnsi="宋体" w:eastAsia="宋体" w:cs="宋体"/>
          <w:b/>
          <w:color w:val="000000"/>
          <w:sz w:val="36"/>
          <w:szCs w:val="20"/>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b/>
          <w:bCs/>
          <w:i/>
          <w:iCs/>
          <w:color w:val="000000"/>
          <w:sz w:val="28"/>
          <w:szCs w:val="28"/>
          <w:highlight w:val="none"/>
        </w:rPr>
        <w:fldChar w:fldCharType="begin"/>
      </w:r>
      <w:r>
        <w:rPr>
          <w:rFonts w:hint="eastAsia" w:ascii="宋体" w:hAnsi="宋体" w:eastAsia="宋体" w:cs="宋体"/>
          <w:b/>
          <w:bCs/>
          <w:i/>
          <w:iCs/>
          <w:color w:val="000000"/>
          <w:sz w:val="28"/>
          <w:szCs w:val="28"/>
          <w:highlight w:val="none"/>
        </w:rPr>
        <w:instrText xml:space="preserve">TOC \o "1-1" \h \u </w:instrText>
      </w:r>
      <w:r>
        <w:rPr>
          <w:rFonts w:hint="eastAsia" w:ascii="宋体" w:hAnsi="宋体" w:eastAsia="宋体" w:cs="宋体"/>
          <w:b/>
          <w:bCs/>
          <w:i/>
          <w:iCs/>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"_Toc15864"</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第一章  投标邀请</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"_Toc21118"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第二章  投标人须知</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"_Toc32045"</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第三章  政府采购合同格式</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PAGEREF _Toc32045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20</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"_Toc841"</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第四章  投标文件格式</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PAGEREF _Toc841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21</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"_Toc25008"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第五章  合同专用条款表</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t xml:space="preserve">4</w:t>
      </w: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960"/>
        <w:spacing w:line="360" w:lineRule="auto"/>
        <w:tabs>
          <w:tab w:val="right" w:pos="9638" w:leader="dot"/>
        </w:tabs>
        <w:rPr>
          <w:rFonts w:hint="eastAsia" w:ascii="宋体" w:hAnsi="宋体" w:eastAsia="宋体" w:cs="宋体"/>
          <w:bCs/>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"_Toc10937"</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第六章  项目需求</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4</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lang w:val="en-US" w:eastAsia="zh-CN"/>
        </w:rPr>
      </w:r>
      <w:r/>
    </w:p>
    <w:p>
      <w:pPr>
        <w:pStyle w:val="960"/>
        <w:spacing w:line="360" w:lineRule="auto"/>
        <w:tabs>
          <w:tab w:val="right" w:pos="9638" w:leader="dot"/>
        </w:tabs>
        <w:rPr>
          <w:rFonts w:hint="eastAsia" w:ascii="宋体" w:hAnsi="宋体" w:eastAsia="宋体" w:cs="宋体"/>
          <w:b/>
          <w:bCs/>
          <w:i/>
          <w:iCs/>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"_Toc16271"</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第七章  评标办法</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
          <w:bCs/>
          <w:i/>
          <w:iCs/>
          <w:color w:val="000000"/>
          <w:sz w:val="28"/>
          <w:szCs w:val="28"/>
          <w:highlight w:val="none"/>
          <w:lang w:val="en-US" w:eastAsia="zh-CN"/>
        </w:rPr>
      </w:r>
      <w:r/>
    </w:p>
    <w:p>
      <w:pPr>
        <w:pStyle w:val="960"/>
        <w:ind w:firstLine="562"/>
        <w:spacing w:line="360" w:lineRule="auto"/>
        <w:rPr>
          <w:rFonts w:hint="eastAsia" w:ascii="宋体" w:hAnsi="宋体" w:eastAsia="宋体" w:cs="宋体"/>
          <w:color w:val="000000"/>
          <w:sz w:val="44"/>
          <w:szCs w:val="20"/>
          <w:highlight w:val="none"/>
        </w:rPr>
      </w:pPr>
      <w:r>
        <w:rPr>
          <w:rFonts w:hint="eastAsia" w:ascii="宋体" w:hAnsi="宋体" w:eastAsia="宋体" w:cs="宋体"/>
          <w:b/>
          <w:bCs/>
          <w:color w:val="000000"/>
          <w:sz w:val="28"/>
          <w:szCs w:val="28"/>
          <w:highlight w:val="none"/>
        </w:rPr>
        <w:fldChar w:fldCharType="end"/>
      </w:r>
      <w:r>
        <w:rPr>
          <w:rFonts w:hint="eastAsia" w:ascii="宋体" w:hAnsi="宋体" w:eastAsia="宋体" w:cs="宋体"/>
          <w:color w:val="000000"/>
          <w:sz w:val="44"/>
          <w:szCs w:val="20"/>
          <w:highlight w:val="none"/>
        </w:rPr>
      </w:r>
      <w:r/>
    </w:p>
    <w:p>
      <w:pPr>
        <w:pStyle w:val="960"/>
        <w:jc w:val="center"/>
        <w:keepLines/>
        <w:keepNext/>
        <w:spacing w:line="360" w:lineRule="auto"/>
        <w:tabs>
          <w:tab w:val="left" w:pos="360" w:leader="none"/>
        </w:tabs>
        <w:rPr>
          <w:rFonts w:hint="eastAsia" w:ascii="宋体" w:hAnsi="宋体" w:eastAsia="宋体" w:cs="宋体"/>
          <w:color w:val="000000"/>
          <w:sz w:val="36"/>
          <w:szCs w:val="2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outlineLvl w:val="0"/>
      </w:pPr>
      <w:r/>
      <w:bookmarkStart w:id="1" w:name="_Toc513622226"/>
      <w:r/>
      <w:bookmarkStart w:id="2" w:name="_Toc15864"/>
      <w:r/>
      <w:bookmarkStart w:id="3" w:name="_Toc139966426"/>
      <w:r/>
      <w:bookmarkStart w:id="4" w:name="_Toc139967210"/>
      <w:r>
        <w:rPr>
          <w:rFonts w:hint="eastAsia" w:ascii="宋体" w:hAnsi="宋体" w:eastAsia="宋体" w:cs="宋体"/>
          <w:color w:val="000000"/>
          <w:sz w:val="36"/>
          <w:szCs w:val="20"/>
          <w:highlight w:val="none"/>
        </w:rPr>
      </w:r>
      <w:r/>
    </w:p>
    <w:p>
      <w:pPr>
        <w:pStyle w:val="960"/>
        <w:jc w:val="center"/>
        <w:keepLines/>
        <w:keepNext/>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t xml:space="preserve">第一章  投标邀请</w:t>
      </w:r>
      <w:bookmarkEnd w:id="1"/>
      <w:r/>
      <w:bookmarkEnd w:id="2"/>
      <w:r>
        <w:rPr>
          <w:rFonts w:hint="eastAsia" w:ascii="宋体" w:hAnsi="宋体" w:eastAsia="宋体" w:cs="宋体"/>
          <w:color w:val="000000"/>
          <w:sz w:val="36"/>
          <w:szCs w:val="20"/>
          <w:highlight w:val="none"/>
        </w:rPr>
      </w:r>
      <w:r/>
    </w:p>
    <w:p>
      <w:pPr>
        <w:pStyle w:val="960"/>
        <w:ind w:firstLine="480"/>
        <w:spacing w:line="360" w:lineRule="auto"/>
        <w:rPr>
          <w:rFonts w:hint="eastAsia" w:ascii="宋体" w:hAnsi="宋体" w:eastAsia="宋体" w:cs="宋体"/>
          <w:color w:val="000000"/>
          <w:sz w:val="24"/>
          <w:szCs w:val="24"/>
          <w:highlight w:val="none"/>
        </w:rPr>
      </w:pPr>
      <w:r/>
      <w:bookmarkStart w:id="5" w:name="OLE_LINK6"/>
      <w:r/>
      <w:bookmarkStart w:id="6" w:name="OLE_LINK5"/>
      <w:r/>
      <w:bookmarkStart w:id="7" w:name="OLE_LINK2"/>
      <w:r/>
      <w:bookmarkStart w:id="8" w:name="OLE_LINK1"/>
      <w:r/>
      <w:bookmarkStart w:id="9" w:name="OLE_LINK3"/>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rPr>
        <w:t xml:space="preserve">进行公开招标采购，欢迎符合条件的投标人投标。</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u w:val="single"/>
                <w:lang w:eastAsia="zh-CN"/>
              </w:rPr>
              <w:t xml:space="preserve">灌南县畜牧兽医站2025年重大动物疫病强制免疫疫苗采购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lang w:eastAsia="zh-CN"/>
              </w:rPr>
              <w:t xml:space="preserve">2025年04月28日</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时00分00秒</w:t>
            </w:r>
            <w:r>
              <w:rPr>
                <w:rFonts w:hint="eastAsia" w:ascii="宋体" w:hAnsi="宋体" w:eastAsia="宋体" w:cs="宋体"/>
                <w:color w:val="000000"/>
                <w:sz w:val="24"/>
                <w:szCs w:val="24"/>
                <w:highlight w:val="none"/>
              </w:rPr>
              <w:t xml:space="preserve">（北京时间）</w:t>
            </w:r>
            <w:r>
              <w:rPr>
                <w:rFonts w:hint="eastAsia" w:ascii="宋体" w:hAnsi="宋体" w:eastAsia="宋体" w:cs="宋体"/>
                <w:b/>
                <w:bCs/>
                <w:color w:val="000000"/>
                <w:sz w:val="24"/>
                <w:szCs w:val="24"/>
                <w:highlight w:val="none"/>
              </w:rPr>
              <w:t xml:space="preserve">前上传电子投标文件并完成签到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Cs w:val="24"/>
                <w:highlight w:val="none"/>
              </w:rPr>
            </w:r>
            <w:r/>
          </w:p>
        </w:tc>
      </w:tr>
    </w:tbl>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标段编号：JSZC-320724-CXSZ-G2025-0001</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lang w:eastAsia="zh-CN"/>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lang w:eastAsia="zh-CN"/>
        </w:rPr>
        <w:t xml:space="preserve">136.6</w:t>
      </w:r>
      <w:r>
        <w:rPr>
          <w:rFonts w:hint="eastAsia" w:ascii="宋体" w:hAnsi="宋体" w:eastAsia="宋体" w:cs="宋体"/>
          <w:b/>
          <w:color w:val="000000"/>
          <w:sz w:val="24"/>
          <w:szCs w:val="24"/>
          <w:highlight w:val="none"/>
        </w:rPr>
        <w:t xml:space="preserve">万元</w:t>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万元；采购包2：</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val="en-US" w:eastAsia="zh-CN"/>
        </w:rPr>
        <w:t xml:space="preserve">一标段重组禽流感病毒(H5+H7)三价灭活疫苗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采购包2：</w:t>
      </w:r>
      <w:r>
        <w:rPr>
          <w:rFonts w:hint="eastAsia" w:ascii="宋体" w:hAnsi="宋体" w:eastAsia="宋体" w:cs="宋体"/>
          <w:color w:val="000000"/>
          <w:sz w:val="24"/>
          <w:szCs w:val="24"/>
          <w:highlight w:val="none"/>
          <w:lang w:eastAsia="zh-CN"/>
        </w:rPr>
        <w:t xml:space="preserve">二标段猪口蹄疫O型合成肽疫苗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三标段口蹄疫O型、A型二价灭活疫苗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四标段小反刍兽疫活疫苗（或含小反刍）</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对项目需求、综合评分部分的询问、质疑请与采购人联系，由采购人负责答复。</w:t>
      </w:r>
      <w:r>
        <w:rPr>
          <w:rFonts w:hint="eastAsia" w:ascii="宋体" w:hAnsi="宋体" w:eastAsia="宋体" w:cs="宋体"/>
          <w:color w:val="000000"/>
          <w:sz w:val="24"/>
          <w:szCs w:val="24"/>
          <w:highlight w:val="none"/>
        </w:rPr>
      </w:r>
      <w:r/>
    </w:p>
    <w:p>
      <w:pPr>
        <w:pStyle w:val="960"/>
        <w:ind w:firstLine="480"/>
        <w:spacing w:line="360" w:lineRule="auto"/>
        <w:rPr>
          <w:rFonts w:ascii="宋体" w:hAnsi="宋体" w:eastAsia="宋体" w:cs="宋体"/>
          <w:b/>
          <w:bCs/>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highlight w:val="none"/>
        </w:rPr>
        <w:t xml:space="preserve">（交货期）</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至2025年年底结束.</w:t>
      </w:r>
      <w:r>
        <w:rPr>
          <w:rFonts w:ascii="宋体" w:hAnsi="宋体" w:eastAsia="宋体" w:cs="宋体"/>
          <w:b/>
          <w:bCs/>
          <w:color w:val="000000"/>
          <w:sz w:val="24"/>
          <w:szCs w:val="24"/>
          <w:highlight w:val="none"/>
          <w:lang w:val="en-US"/>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本项目(是/否)联合体投标：否。</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二、申请人的资格要求</w:t>
      </w:r>
      <w:r>
        <w:rPr>
          <w:rFonts w:hint="eastAsia" w:ascii="宋体" w:hAnsi="宋体" w:eastAsia="宋体" w:cs="宋体"/>
          <w:b/>
          <w:color w:val="000000"/>
          <w:sz w:val="28"/>
          <w:szCs w:val="2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8"/>
          <w:highlight w:val="none"/>
        </w:rPr>
        <w:t xml:space="preserve">满足《中华人民共和国政府采购法》第二十二条规定，并提供下列材料：</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96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rPr>
        <w:t xml:space="preserve">（成立不满一年无需提供）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500" w:lineRule="exact"/>
        <w:rPr>
          <w:rFonts w:hint="eastAsia" w:ascii="宋体" w:hAnsi="宋体" w:eastAsia="宋体" w:cs="宋体"/>
          <w:color w:val="000000"/>
          <w:sz w:val="24"/>
          <w:lang w:eastAsia="zh-CN"/>
        </w:rPr>
      </w:pPr>
      <w:r>
        <w:rPr>
          <w:rFonts w:hint="eastAsia" w:ascii="宋体" w:hAnsi="宋体" w:eastAsia="宋体" w:cs="宋体"/>
          <w:color w:val="000000"/>
          <w:sz w:val="24"/>
          <w:szCs w:val="24"/>
          <w:highlight w:val="none"/>
        </w:rPr>
        <w:t xml:space="preserve">（3）依法缴纳税收和社会保障资金的相关证明材料；</w:t>
      </w:r>
      <w:r>
        <w:rPr>
          <w:rFonts w:hint="eastAsia"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60"/>
        <w:ind w:firstLine="480"/>
        <w:spacing w:line="500" w:lineRule="exact"/>
        <w:rPr>
          <w:rFonts w:hint="eastAsia"/>
          <w:color w:val="000000"/>
        </w:rPr>
      </w:pPr>
      <w:r>
        <w:rPr>
          <w:rFonts w:hint="eastAsia" w:ascii="宋体" w:hAnsi="宋体" w:eastAsia="宋体" w:cs="宋体"/>
          <w:color w:val="000000"/>
          <w:sz w:val="24"/>
        </w:rPr>
        <w:t xml:space="preserve">（根据连财购〔2023〕4号文件精神，2、3项可以提供《财务状况报告及税收、社会保障资金缴纳情况承诺函》，详见第</w:t>
      </w:r>
      <w:r>
        <w:rPr>
          <w:rFonts w:hint="eastAsia" w:ascii="宋体" w:hAnsi="宋体" w:eastAsia="宋体" w:cs="宋体"/>
          <w:color w:val="000000"/>
          <w:sz w:val="24"/>
        </w:rPr>
        <w:t xml:space="preserve">四</w:t>
      </w:r>
      <w:r>
        <w:rPr>
          <w:rFonts w:hint="eastAsia" w:ascii="宋体" w:hAnsi="宋体" w:eastAsia="宋体" w:cs="宋体"/>
          <w:color w:val="000000"/>
          <w:sz w:val="24"/>
        </w:rPr>
        <w:t xml:space="preserve">章 投标文件格式）</w:t>
      </w:r>
      <w:r>
        <w:rPr>
          <w:rFonts w:hint="eastAsia" w:ascii="宋体" w:hAnsi="宋体" w:eastAsia="宋体" w:cs="宋体"/>
          <w:color w:val="000000"/>
          <w:sz w:val="24"/>
          <w:lang w:eastAsia="zh-CN"/>
        </w:rPr>
        <w:t xml:space="preserve">。</w:t>
      </w:r>
      <w:r>
        <w:rPr>
          <w:rFonts w:hint="eastAsia"/>
          <w:color w:val="000000"/>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（4）具备履行合同所必需的设备和专业技术能力的声明及证明材料；</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（5）参加政府采购活动前三年内在经营活动中没有重大违法记录的书面声明。</w:t>
      </w:r>
      <w:r>
        <w:rPr>
          <w:rFonts w:hint="eastAsia" w:ascii="宋体" w:hAnsi="宋体" w:eastAsia="宋体" w:cs="宋体"/>
          <w:color w:val="000000"/>
          <w:sz w:val="24"/>
          <w:szCs w:val="24"/>
          <w:highlight w:val="none"/>
        </w:rPr>
      </w:r>
      <w:r/>
    </w:p>
    <w:p>
      <w:pPr>
        <w:pStyle w:val="960"/>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（1）在资格审查环节对申请人的信用进行现场查询，被信用中国、中国政府采购网列入失信被执行人、重大税收违法案件当事人名单、政府采购严重违法失信行为记录名单的供应商，拒绝其参与政府采购活动。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（2）本项目不接受进口产品，中标后不允许分包或转包。</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三、获取招标文件</w:t>
      </w:r>
      <w:r>
        <w:rPr>
          <w:rFonts w:hint="eastAsia" w:ascii="宋体" w:hAnsi="宋体" w:eastAsia="宋体" w:cs="宋体"/>
          <w:b/>
          <w:color w:val="000000"/>
          <w:sz w:val="28"/>
          <w:szCs w:val="20"/>
          <w:highlight w:val="none"/>
        </w:rPr>
      </w:r>
      <w:r/>
    </w:p>
    <w:p>
      <w:pPr>
        <w:pStyle w:val="960"/>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1.时间：自招标文件公告发布之日起5个工作日</w:t>
      </w:r>
      <w:r>
        <w:rPr>
          <w:rFonts w:eastAsia="Arial" w:cs="Times New Roman"/>
          <w:color w:val="000000"/>
          <w:highlight w:val="none"/>
        </w:rPr>
      </w:r>
      <w:r/>
    </w:p>
    <w:p>
      <w:pPr>
        <w:pStyle w:val="960"/>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2.地点：江苏政府采购网</w:t>
      </w:r>
      <w:r>
        <w:rPr>
          <w:rFonts w:eastAsia="Arial" w:cs="Times New Roman"/>
          <w:color w:val="000000"/>
          <w:highlight w:val="none"/>
        </w:rPr>
      </w:r>
      <w:r/>
    </w:p>
    <w:p>
      <w:pPr>
        <w:pStyle w:val="960"/>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3.方式：在“江苏政府采购网”自行免费下载招标文件</w:t>
      </w:r>
      <w:r>
        <w:rPr>
          <w:rFonts w:eastAsia="Arial" w:cs="Times New Roman"/>
          <w:color w:val="00000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4.售价：0.00元</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960"/>
        <w:ind w:left="0" w:firstLine="420"/>
        <w:keepNext/>
        <w:spacing w:line="360" w:lineRule="auto"/>
        <w:tabs>
          <w:tab w:val="left" w:pos="1021" w:leader="none"/>
        </w:tabs>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1.时间:</w:t>
      </w:r>
      <w:r>
        <w:rPr>
          <w:rFonts w:hint="eastAsia" w:ascii="宋体" w:hAnsi="宋体" w:eastAsia="宋体" w:cs="宋体"/>
          <w:color w:val="000000"/>
          <w:sz w:val="24"/>
          <w:szCs w:val="24"/>
          <w:highlight w:val="none"/>
          <w:lang w:eastAsia="zh-CN"/>
        </w:rPr>
        <w:t xml:space="preserve">2025年04月28日</w:t>
      </w:r>
      <w:r>
        <w:rPr>
          <w:rFonts w:hint="eastAsia" w:ascii="宋体" w:hAnsi="宋体" w:eastAsia="宋体" w:cs="宋体"/>
          <w:bCs/>
          <w:color w:val="000000"/>
          <w:sz w:val="24"/>
          <w:szCs w:val="24"/>
          <w:highlight w:val="none"/>
        </w:rPr>
        <w:t xml:space="preserve">上午</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时00分00秒（北京时间）</w:t>
      </w:r>
      <w:r>
        <w:rPr>
          <w:rFonts w:hint="eastAsia" w:ascii="宋体" w:hAnsi="宋体" w:eastAsia="宋体" w:cs="宋体"/>
          <w:bCs/>
          <w:color w:val="000000"/>
          <w:sz w:val="24"/>
          <w:szCs w:val="24"/>
          <w:highlight w:val="none"/>
        </w:rPr>
      </w:r>
      <w:r/>
    </w:p>
    <w:p>
      <w:pPr>
        <w:pStyle w:val="960"/>
        <w:ind w:left="0" w:firstLine="420"/>
        <w:keepNext/>
        <w:spacing w:line="360" w:lineRule="auto"/>
        <w:tabs>
          <w:tab w:val="left" w:pos="1021" w:leader="none"/>
        </w:tabs>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rPr>
          <w:rFonts w:hint="eastAsia" w:ascii="宋体" w:hAnsi="宋体" w:eastAsia="宋体" w:cs="宋体"/>
          <w:b/>
          <w:color w:val="000000"/>
          <w:sz w:val="28"/>
          <w:szCs w:val="2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六、其他补充事宜</w:t>
      </w:r>
      <w:r>
        <w:rPr>
          <w:rFonts w:hint="eastAsia" w:ascii="宋体" w:hAnsi="宋体" w:eastAsia="宋体" w:cs="宋体"/>
          <w:b/>
          <w:color w:val="000000"/>
          <w:sz w:val="28"/>
          <w:szCs w:val="2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1.本次公开招标不收取投标保证金。</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2.本招标文件中标注★的款项为实质性响应要求和条件，如不满足将按无效响应处理。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在采购活动开始前可对采购文件进行修改、补充或变更，其内容作为采购文件的重要组成部分，请各供应商关注江苏政府采购网平台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szCs w:val="24"/>
          <w:highlight w:val="none"/>
        </w:rPr>
      </w:r>
      <w:r/>
    </w:p>
    <w:p>
      <w:pPr>
        <w:pStyle w:val="960"/>
        <w:jc w:val="left"/>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t xml:space="preserve">七、对本次招标提出询问，请按以下方式联系。</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960"/>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lang w:eastAsia="zh-CN"/>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址：江苏省连云港市灌南县人民中路402号</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0518-83334006</w:t>
      </w:r>
      <w:r>
        <w:rPr>
          <w:rFonts w:hint="eastAsia" w:ascii="宋体" w:hAnsi="宋体" w:eastAsia="宋体" w:cs="宋体"/>
          <w:color w:val="000000"/>
          <w:sz w:val="24"/>
          <w:szCs w:val="24"/>
          <w:highlight w:val="none"/>
          <w:lang w:val="en-US" w:eastAsia="zh-CN"/>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lang w:eastAsia="zh-CN"/>
        </w:rPr>
      </w:r>
      <w:r/>
    </w:p>
    <w:p>
      <w:pPr>
        <w:pStyle w:val="960"/>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连云港市海州区朝阳东路36号凤凰大厦1406、1409、1410、1411、1412室</w:t>
      </w:r>
      <w:r>
        <w:rPr>
          <w:rFonts w:hint="eastAsia" w:ascii="宋体" w:hAnsi="宋体" w:eastAsia="宋体" w:cs="宋体"/>
          <w:color w:val="000000"/>
          <w:sz w:val="24"/>
          <w:szCs w:val="24"/>
          <w:highlight w:val="none"/>
          <w:lang w:eastAsia="zh-CN"/>
        </w:rPr>
      </w:r>
      <w:r/>
    </w:p>
    <w:p>
      <w:pPr>
        <w:pStyle w:val="96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王工 15394647986</w:t>
      </w:r>
      <w:r>
        <w:rPr>
          <w:rFonts w:hint="eastAsia" w:ascii="宋体" w:hAnsi="宋体" w:eastAsia="宋体" w:cs="宋体"/>
          <w:color w:val="000000"/>
          <w:sz w:val="24"/>
          <w:szCs w:val="24"/>
          <w:highlight w:val="none"/>
          <w:lang w:val="en-US" w:eastAsia="zh-CN"/>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蒋站</w:t>
      </w:r>
      <w:r>
        <w:rPr>
          <w:rFonts w:hint="eastAsia" w:ascii="宋体" w:hAnsi="宋体" w:eastAsia="宋体" w:cs="宋体"/>
          <w:color w:val="000000"/>
          <w:sz w:val="24"/>
          <w:szCs w:val="24"/>
          <w:highlight w:val="none"/>
          <w:lang w:val="en-US" w:eastAsia="zh-CN"/>
        </w:rPr>
      </w:r>
      <w:r/>
    </w:p>
    <w:p>
      <w:pPr>
        <w:pStyle w:val="960"/>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0518-83334006</w:t>
      </w:r>
      <w:r>
        <w:rPr>
          <w:rFonts w:hint="eastAsia" w:ascii="宋体" w:hAnsi="宋体" w:eastAsia="宋体" w:cs="宋体"/>
          <w:color w:val="000000"/>
          <w:sz w:val="24"/>
          <w:szCs w:val="24"/>
          <w:highlight w:val="none"/>
          <w:lang w:val="en-US" w:eastAsia="zh-CN"/>
        </w:rPr>
      </w:r>
      <w:r/>
    </w:p>
    <w:p>
      <w:pPr>
        <w:pStyle w:val="960"/>
        <w:jc w:val="left"/>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t xml:space="preserve">八、其它</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http://www.ccgp-jiangsu.gov.cn/jiangsu/zlxz/ee/ee3a4bc5a3454aa2b0d9312230633ce9.html。</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2.有关本次招标的事项若存在变动或修改，敬请及时关注江苏省政府采购中心在“江苏政府采购网”发布的更正公告。</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3.本次招标不收取投标保证金。</w:t>
      </w:r>
      <w:r>
        <w:rPr>
          <w:rFonts w:hint="eastAsia" w:ascii="宋体" w:hAnsi="宋体" w:eastAsia="宋体" w:cs="宋体"/>
          <w:color w:val="000000"/>
          <w:sz w:val="24"/>
          <w:szCs w:val="24"/>
          <w:highlight w:val="none"/>
        </w:rPr>
      </w:r>
      <w:r/>
    </w:p>
    <w:p>
      <w:pPr>
        <w:pStyle w:val="960"/>
        <w:jc w:val="center"/>
        <w:keepLines/>
        <w:keepNext/>
        <w:spacing w:line="360" w:lineRule="auto"/>
        <w:tabs>
          <w:tab w:val="left" w:pos="360" w:leader="none"/>
        </w:tabs>
        <w:rPr>
          <w:rFonts w:hint="eastAsia" w:ascii="宋体" w:hAnsi="宋体" w:eastAsia="宋体" w:cs="宋体"/>
          <w:b/>
          <w:color w:val="000000"/>
          <w:sz w:val="36"/>
          <w:szCs w:val="36"/>
          <w:highlight w:val="none"/>
        </w:rPr>
        <w:outlineLvl w:val="0"/>
      </w:pPr>
      <w:r/>
      <w:bookmarkEnd w:id="5"/>
      <w:r/>
      <w:bookmarkEnd w:id="6"/>
      <w:r/>
      <w:bookmarkEnd w:id="7"/>
      <w:r/>
      <w:bookmarkEnd w:id="8"/>
      <w:r/>
      <w:bookmarkEnd w:id="9"/>
      <w:r>
        <w:rPr>
          <w:rFonts w:hint="eastAsia" w:ascii="宋体" w:hAnsi="宋体" w:eastAsia="宋体" w:cs="宋体"/>
          <w:b/>
          <w:color w:val="000000"/>
          <w:sz w:val="36"/>
          <w:szCs w:val="20"/>
          <w:highlight w:val="none"/>
        </w:rPr>
        <w:br w:type="page" w:clear="all"/>
      </w:r>
      <w:bookmarkStart w:id="10" w:name="_Toc21118"/>
      <w:r/>
      <w:bookmarkStart w:id="11" w:name="_Toc513622227"/>
      <w:r>
        <w:rPr>
          <w:rFonts w:hint="eastAsia" w:ascii="宋体" w:hAnsi="宋体" w:eastAsia="宋体" w:cs="宋体"/>
          <w:color w:val="000000"/>
          <w:sz w:val="36"/>
          <w:szCs w:val="20"/>
          <w:highlight w:val="none"/>
        </w:rPr>
        <w:t xml:space="preserve">第二章  投标人须知</w:t>
      </w:r>
      <w:bookmarkEnd w:id="3"/>
      <w:r/>
      <w:bookmarkEnd w:id="4"/>
      <w:r/>
      <w:bookmarkEnd w:id="10"/>
      <w:r/>
      <w:bookmarkEnd w:id="11"/>
      <w:r>
        <w:rPr>
          <w:rFonts w:hint="eastAsia" w:ascii="宋体" w:hAnsi="宋体" w:eastAsia="宋体" w:cs="宋体"/>
          <w:b/>
          <w:color w:val="000000"/>
          <w:sz w:val="36"/>
          <w:szCs w:val="36"/>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一、总则</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w:t>
      </w:r>
      <w:r>
        <w:rPr>
          <w:rFonts w:hint="eastAsia" w:ascii="宋体" w:hAnsi="宋体" w:eastAsia="宋体" w:cs="宋体"/>
          <w:b/>
          <w:bCs/>
          <w:color w:val="000000"/>
          <w:sz w:val="24"/>
          <w:szCs w:val="24"/>
          <w:highlight w:val="none"/>
        </w:rPr>
        <w:t xml:space="preserve">否则投标无效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符合上述条件的投标人应承担投标及履约过程应承担的全部责任与义务。</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询问与质疑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询问</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质疑的提出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提出质疑的供应商应当是参与所质疑项目采购活动的供应商。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highlight w:val="none"/>
        </w:rPr>
        <w:t xml:space="preserve">未依照采购公告要求获取招标文件的供应商，视为未参与该项目的采购活动，不具备对该招标文件提出质疑的法定权利。</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7.2.5 质疑函应当使用范本（详见连云港市政府采购交易平台-监管信息-意见反馈）。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w:t>
      </w:r>
      <w:r>
        <w:rPr>
          <w:rFonts w:hint="eastAsia" w:ascii="宋体" w:hAnsi="宋体" w:eastAsia="宋体" w:cs="宋体"/>
          <w:b/>
          <w:color w:val="000000"/>
          <w:sz w:val="24"/>
          <w:szCs w:val="24"/>
          <w:highlight w:val="none"/>
        </w:rPr>
        <w:t xml:space="preserve">应当提交质疑函和必要的证明材料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（8）采购文件(交易文件)下载回执函；</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质疑函的受理和答复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质疑处理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质疑供应商不按照法定程序进行质疑投诉的，视为一般失信行为。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未尽事宜，依照有关法律、法规执行。</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采购代理机构应当在投标截止时间至少15日前，在江苏政府采购网平台网站上发布公告形式通知所有获取招标文件的潜在投标人；不足15日的，采购人或者采购代理机构应当顺延提交投标文件的截止时间。</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highlight w:val="none"/>
        </w:rPr>
        <w:t xml:space="preserve">无效响应处理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highlight w:val="none"/>
        </w:rPr>
        <w:t xml:space="preserve">作出满足或者优于原要求和条件的响应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b/>
          <w:bCs/>
          <w:color w:val="000000"/>
          <w:sz w:val="24"/>
          <w:szCs w:val="24"/>
          <w:highlight w:val="none"/>
        </w:rPr>
        <w:t xml:space="preserve">招标文件中标注★号的部分为实质性要求和条件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投标人的投标文件内容以及投标人与采购代理机构就有关投标的所有来往函电统一使用中文（特别规定除外）。同一事项既有中文也有外文的，以中文意义为准。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单位：元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在特殊情况下，采购代理机构可与投标人协商延长投标文件的有效期，这种要求与答复均应以书面形式提交。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投标保证金：不收取。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17.1系统操作流程详见江苏政府采购网－办事指南－资料下载-江苏省政府采购管理交易系统（苏采云）供应商操作指南，请及时关注版本更新。</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w:t>
      </w:r>
      <w:r>
        <w:rPr>
          <w:rFonts w:hint="eastAsia" w:ascii="宋体" w:hAnsi="宋体" w:eastAsia="宋体" w:cs="宋体"/>
          <w:b/>
          <w:color w:val="000000"/>
          <w:sz w:val="24"/>
          <w:szCs w:val="24"/>
          <w:highlight w:val="none"/>
        </w:rPr>
        <w:t xml:space="preserve">商务文件、技术文件、评审因素所需材料和其他材料</w:t>
      </w:r>
      <w:r>
        <w:rPr>
          <w:rFonts w:hint="eastAsia" w:ascii="宋体" w:hAnsi="宋体" w:eastAsia="宋体" w:cs="宋体"/>
          <w:color w:val="000000"/>
          <w:sz w:val="24"/>
          <w:szCs w:val="24"/>
          <w:highlight w:val="none"/>
        </w:rPr>
        <w:t xml:space="preserve">等内容，相关文件的提交如未特别注明可提供扫描件。</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w:t>
      </w:r>
      <w:r>
        <w:rPr>
          <w:rFonts w:hint="eastAsia" w:ascii="宋体" w:hAnsi="宋体" w:eastAsia="宋体" w:cs="宋体"/>
          <w:b/>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w:t>
      </w:r>
      <w:r>
        <w:rPr>
          <w:rFonts w:hint="eastAsia" w:ascii="宋体" w:hAnsi="宋体" w:eastAsia="宋体" w:cs="宋体"/>
          <w:b/>
          <w:color w:val="000000"/>
          <w:sz w:val="24"/>
          <w:szCs w:val="24"/>
          <w:highlight w:val="none"/>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（3）报价明细表：请按第四章“投标文件格式”提供的“报价明细表”格式及要求填写。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（6）法定代表人授权委托书：请按给定格式及要求填写。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（8）售后服务承诺书：请按给定格式及要求填写。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w:t>
      </w:r>
      <w:r>
        <w:rPr>
          <w:rFonts w:hint="eastAsia" w:ascii="宋体" w:hAnsi="宋体" w:eastAsia="宋体" w:cs="宋体"/>
          <w:b/>
          <w:color w:val="000000"/>
          <w:sz w:val="24"/>
          <w:szCs w:val="24"/>
          <w:highlight w:val="none"/>
        </w:rPr>
        <w:t xml:space="preserve">技术文件：（以下文件必须提交，否则该投标人投标无效）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（3）项目需求响应：格式自定。</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18.4 </w:t>
      </w:r>
      <w:r>
        <w:rPr>
          <w:rFonts w:hint="eastAsia" w:ascii="宋体" w:hAnsi="宋体" w:eastAsia="宋体" w:cs="宋体"/>
          <w:b/>
          <w:color w:val="000000"/>
          <w:sz w:val="24"/>
          <w:szCs w:val="24"/>
          <w:highlight w:val="none"/>
        </w:rPr>
        <w:t xml:space="preserve">评审因素所需材料：</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18.5 </w:t>
      </w:r>
      <w:r>
        <w:rPr>
          <w:rFonts w:hint="eastAsia" w:ascii="宋体" w:hAnsi="宋体" w:eastAsia="宋体" w:cs="宋体"/>
          <w:b/>
          <w:color w:val="000000"/>
          <w:sz w:val="24"/>
          <w:szCs w:val="24"/>
          <w:highlight w:val="none"/>
        </w:rPr>
        <w:t xml:space="preserve">其他材料：</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特别说明：投标文件制作工具所附文本格式与招标文件给定格式不一致的，以招标文件提供的为准。</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 特别提醒投标人，混乱的编排导致投标文件被误读或评标委员会查找不到有效文件是投标人的风险。</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生成投标文件</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19.1 投标文件应由</w:t>
      </w:r>
      <w:r>
        <w:rPr>
          <w:rFonts w:hint="eastAsia" w:ascii="宋体" w:hAnsi="宋体" w:eastAsia="宋体" w:cs="宋体"/>
          <w:b/>
          <w:color w:val="000000"/>
          <w:sz w:val="24"/>
          <w:szCs w:val="24"/>
          <w:highlight w:val="none"/>
        </w:rPr>
        <w:t xml:space="preserve">法定代表人或其委托代理人</w:t>
      </w:r>
      <w:r>
        <w:rPr>
          <w:rFonts w:hint="eastAsia" w:ascii="宋体" w:hAnsi="宋体" w:eastAsia="宋体" w:cs="宋体"/>
          <w:b/>
          <w:bCs/>
          <w:color w:val="000000"/>
          <w:sz w:val="24"/>
          <w:szCs w:val="24"/>
          <w:highlight w:val="none"/>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highlight w:val="none"/>
        </w:rPr>
        <w:t xml:space="preserve">使用电子签章</w:t>
      </w:r>
      <w:r>
        <w:rPr>
          <w:rFonts w:hint="eastAsia" w:ascii="宋体" w:hAnsi="宋体" w:eastAsia="宋体" w:cs="宋体"/>
          <w:color w:val="000000"/>
          <w:sz w:val="24"/>
          <w:szCs w:val="24"/>
          <w:highlight w:val="none"/>
        </w:rPr>
        <w:t xml:space="preserve">，本招标文件所表述的公章是指刻有投标人法定名称的印章，不包括合同、财务、税务、发票等形式的业务专用章。</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投标文件制作工具生成内容相同、加密与未加密两个版本电子投标文件，加密版本用于提交上传，未加密版本用于特殊情况处理。</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投标文件的上传、修改和撤回</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highlight w:val="none"/>
        </w:rPr>
        <w:t xml:space="preserve">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投标人在上传投标文件后可以对其修改或撤回，但这种修改或撤回，必须在规定的投标截止时间前。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20.4 投标人不得在投标截止时间后修改投标文件，也不得在投标截止时间起至投标有效期满前撤回投标文件。</w:t>
      </w: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提交投标样品截止时间和地点（不提供样品）</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时间前将样品送到指定地点并登记完毕，</w:t>
      </w:r>
      <w:r>
        <w:rPr>
          <w:rFonts w:hint="eastAsia" w:ascii="宋体" w:hAnsi="宋体" w:eastAsia="宋体" w:cs="宋体"/>
          <w:b/>
          <w:bCs/>
          <w:color w:val="000000"/>
          <w:sz w:val="24"/>
          <w:szCs w:val="24"/>
          <w:highlight w:val="none"/>
        </w:rPr>
        <w:t xml:space="preserve">否则不予接收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23.1成立评标委员会。评标委员会由采购人代表和评审专家组成。</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评标的方式。本采购项目采用不公开方式评标，评标的依据为招标文件和投标文件。</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23.3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bCs/>
          <w:color w:val="000000"/>
          <w:sz w:val="24"/>
          <w:szCs w:val="24"/>
          <w:highlight w:val="none"/>
        </w:rPr>
      </w:r>
      <w:r/>
    </w:p>
    <w:p>
      <w:pPr>
        <w:pStyle w:val="988"/>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t xml:space="preserve">开标结束后，采购人依法对投标人的资格进行审查。</w:t>
      </w:r>
      <w:r>
        <w:rPr>
          <w:rFonts w:hint="eastAsia" w:ascii="宋体" w:hAnsi="宋体" w:eastAsia="宋体" w:cs="宋体"/>
          <w:color w:val="00000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（2）评标委员会负责具体评标事务，并独立履行下列职责：</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⑤向采购人、采购代理机构或者有关部门报告评标中发现的违法行为；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960"/>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960"/>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江苏政府采购网平台网站作出，使用CA数字证书签章后提交，并不得超出投标文件的范围或者改变投标文件的实质性内容。投标人的澄清文件是投标文件的组成部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评标过程的保密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w:t>
      </w:r>
      <w:r>
        <w:rPr>
          <w:rFonts w:hint="eastAsia" w:ascii="宋体" w:hAnsi="宋体" w:eastAsia="宋体" w:cs="宋体"/>
          <w:b/>
          <w:color w:val="000000"/>
          <w:sz w:val="24"/>
          <w:szCs w:val="24"/>
          <w:highlight w:val="none"/>
        </w:rPr>
        <w:t xml:space="preserve">投标人有下列情况之一的，投标无效：</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（1）投标人在苏采云系统规定的时间内未成功解密电子投标文件的。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98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（6）</w:t>
      </w:r>
      <w:r>
        <w:rPr>
          <w:rFonts w:hint="eastAsia" w:ascii="宋体" w:hAnsi="宋体" w:eastAsia="宋体" w:cs="宋体"/>
          <w:color w:val="000000"/>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（7）法律、法规和招标文件规定的其他无效情形。</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26. </w:t>
      </w:r>
      <w:r>
        <w:rPr>
          <w:rFonts w:hint="eastAsia" w:ascii="宋体" w:hAnsi="宋体" w:eastAsia="宋体" w:cs="宋体"/>
          <w:b/>
          <w:color w:val="000000"/>
          <w:sz w:val="24"/>
          <w:szCs w:val="24"/>
          <w:highlight w:val="none"/>
        </w:rPr>
        <w:t xml:space="preserve">有下列情形之一的，视为投标人串通投标，其投标无效：</w:t>
      </w:r>
      <w:r>
        <w:rPr>
          <w:rFonts w:hint="eastAsia" w:ascii="宋体" w:hAnsi="宋体" w:eastAsia="宋体" w:cs="宋体"/>
          <w:b/>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（6）不同投标人的投标保证金从同一单位或者个人的账户转出。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w:t>
      </w:r>
      <w:r>
        <w:rPr>
          <w:rFonts w:hint="eastAsia" w:ascii="宋体" w:hAnsi="宋体" w:eastAsia="宋体" w:cs="宋体"/>
          <w:b/>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（1）符合专业条件的供应商或者对</w:t>
      </w:r>
      <w:bookmarkStart w:id="12" w:name="OLE_LINK4"/>
      <w:r>
        <w:rPr>
          <w:rFonts w:hint="eastAsia" w:ascii="宋体" w:hAnsi="宋体" w:eastAsia="宋体" w:cs="宋体"/>
          <w:color w:val="000000"/>
          <w:sz w:val="24"/>
          <w:szCs w:val="24"/>
          <w:highlight w:val="none"/>
        </w:rPr>
        <w:t xml:space="preserve">招标文件作实质响应的供应商不足3家的</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（3）投标人的报价均超过了采购预算（最高限价），采购人不能支付的；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评标原则、评标办法和特殊情况处理</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评标原则</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评标办法</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中标人的确定</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评标委员会按照评审得分由高到低顺序推荐3名中标候选人。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 中标通知书</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中标人确定后，中标结果由采购代理机构公告，中标公告期限为1个工作日。</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在公告中标结果的同时，由采购代理机构向中标人发出中标通知书，</w:t>
      </w:r>
      <w:r>
        <w:rPr>
          <w:rFonts w:hint="eastAsia" w:ascii="宋体" w:hAnsi="宋体" w:eastAsia="宋体" w:cs="宋体"/>
          <w:b/>
          <w:color w:val="000000"/>
          <w:sz w:val="24"/>
          <w:szCs w:val="24"/>
          <w:highlight w:val="none"/>
        </w:rPr>
        <w:t xml:space="preserve">中标供应商在领取中标通知书时，需提供五份与电子投标文件一致的纸质打印投标文件</w:t>
      </w:r>
      <w:r>
        <w:rPr>
          <w:rFonts w:hint="eastAsia" w:ascii="宋体" w:hAnsi="宋体" w:eastAsia="宋体" w:cs="宋体"/>
          <w:color w:val="000000"/>
          <w:sz w:val="24"/>
          <w:szCs w:val="24"/>
          <w:highlight w:val="none"/>
        </w:rPr>
        <w:t xml:space="preserve">；对未通过资格审查的投标人，应当告知其未通过的原因；采用综合评分法评审的，还应当告知未中标人本人的评审得分与排序。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采购代理机构无义务向未中标投标人解释落标原因和退回投标文件。</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签订合同</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履约保证金及质保金</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32.1 本项目不要求缴纳履约保证金及质保金。</w:t>
      </w:r>
      <w:r>
        <w:rPr>
          <w:rFonts w:hint="eastAsia" w:ascii="宋体" w:hAnsi="宋体" w:eastAsia="宋体" w:cs="宋体"/>
          <w:bCs/>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b/>
          <w:color w:val="000000"/>
          <w:sz w:val="28"/>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采购代理服务费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33.1本次采购代理服务费按计价格【2002】1980号文标准收取，在</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通知书发出前由中标人一次性付清。</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解释权</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有关事宜</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所有与本招标文件有关的函电和通讯地址见第一章“投标邀请”。</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1.支持中小企业发展</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本项目执行《关于印发〈政府采购促</w:t>
      </w:r>
      <w:r>
        <w:rPr>
          <w:rFonts w:hint="eastAsia" w:ascii="宋体" w:hAnsi="宋体" w:eastAsia="宋体" w:cs="宋体"/>
          <w:color w:val="000000"/>
          <w:sz w:val="24"/>
          <w:szCs w:val="24"/>
          <w:highlight w:val="none"/>
        </w:rPr>
        <w:t xml:space="preserve">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成交价和合同签约价。</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本项目对提供的服务全部由小型企业、微型企业、监狱企业和残疾人福利性单位承接的报价给予10%的扣除，用扣除后的价格参与评审。</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本项目价格扣除计算方法如下：参与报价得分计算的价格＝供应商的报价－小型企业、微型企业、监狱企业、残疾人福利性单位的报价×10%。</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参加政府采购活动的供应商享受价格评审优惠的应当提供的材料：</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（1）供应商为小型企业、微型企业的，提供《中小企业声明函》（第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 投标文件格式）。</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（2）符合《关于促进残疾人就业政府采购政策的通知》（财库〔2017〕141号）规定的条件并提供《残疾人福利性单位声明函》（第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 投标文件格式）的残疾人福利性单位视同小型、微型企业。</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2.支持绿色发展</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bCs/>
          <w:color w:val="000000"/>
          <w:sz w:val="24"/>
          <w:szCs w:val="24"/>
          <w:highlight w:val="none"/>
        </w:rPr>
        <w:outlineLvl w:val="1"/>
      </w:pPr>
      <w:r/>
      <w:bookmarkStart w:id="13" w:name="_Toc330"/>
      <w:r/>
      <w:bookmarkStart w:id="14" w:name="_Toc14147"/>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rPr>
        <w:t xml:space="preserve">、询问、质疑和投诉</w:t>
      </w:r>
      <w:bookmarkEnd w:id="13"/>
      <w:r/>
      <w:bookmarkEnd w:id="14"/>
      <w:r>
        <w:rPr>
          <w:rFonts w:hint="eastAsia" w:ascii="宋体" w:hAnsi="宋体" w:eastAsia="宋体" w:cs="宋体"/>
          <w:bCs/>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1.询问</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2.质疑的提出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提出质疑的供应商应当是参与所质疑项目采购活动的供应商。</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000000"/>
          <w:sz w:val="24"/>
          <w:szCs w:val="24"/>
          <w:highlight w:val="none"/>
        </w:rPr>
        <w:t xml:space="preserve">未依照采购公告要求获取采购文件的供应商，视为未参与该项目的采购活动，不具备对该采购文件提出质疑的法定权利。</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w:t>
      </w:r>
      <w:r>
        <w:rPr>
          <w:rFonts w:hint="eastAsia"/>
          <w:color w:val="000000"/>
          <w:sz w:val="24"/>
          <w:szCs w:val="24"/>
          <w:highlight w:val="none"/>
        </w:rPr>
        <w:t xml:space="preserve">招标文件第一章</w:t>
      </w:r>
      <w:r>
        <w:rPr>
          <w:rFonts w:hint="eastAsia" w:ascii="宋体" w:hAnsi="宋体" w:eastAsia="宋体" w:cs="宋体"/>
          <w:color w:val="000000"/>
          <w:sz w:val="24"/>
          <w:szCs w:val="24"/>
          <w:highlight w:val="none"/>
        </w:rPr>
        <w:t xml:space="preserve">。质疑实行实名制，不得进行虚假、恶意质疑。</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质疑函应当使用范本（详见连云港市政府采购交易平台－监管信息－意见反馈）。</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（8）采购文件（交易文件）下载回执函；</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（9）营业执照复印件及授权委托书原件、法定代表人（单位负责人）身份证复印件、委托代理人身份证复印件。</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3.质疑函的受理和答复</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采购人、采购代理机构负责将质疑供应商提出的质疑函及相关材料提交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4.质疑处理</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质疑供应商未按照法定程序进行质疑投诉的，视为一般失信行为。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960"/>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4.6未尽事宜，依照有关法律、法规执行。</w:t>
      </w: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5.投诉</w:t>
      </w:r>
      <w:r>
        <w:rPr>
          <w:rFonts w:hint="eastAsia" w:ascii="宋体" w:hAnsi="宋体" w:eastAsia="宋体" w:cs="宋体"/>
          <w:color w:val="000000"/>
          <w:sz w:val="24"/>
          <w:szCs w:val="24"/>
          <w:highlight w:val="none"/>
        </w:rPr>
      </w:r>
      <w:r/>
    </w:p>
    <w:p>
      <w:pPr>
        <w:pStyle w:val="96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投诉事项依照有关法律、法规执行。</w:t>
      </w:r>
      <w:r>
        <w:rPr>
          <w:rFonts w:hint="eastAsia" w:ascii="宋体" w:hAnsi="宋体" w:eastAsia="宋体" w:cs="宋体"/>
          <w:color w:val="000000"/>
          <w:sz w:val="24"/>
          <w:szCs w:val="24"/>
          <w:highlight w:val="none"/>
        </w:rPr>
      </w:r>
      <w:r/>
    </w:p>
    <w:p>
      <w:pPr>
        <w:pStyle w:val="960"/>
        <w:rPr>
          <w:rFonts w:hint="eastAsia" w:ascii="宋体" w:hAnsi="宋体" w:eastAsia="宋体" w:cs="宋体"/>
          <w:color w:val="00000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color w:val="000000"/>
          <w:highlight w:val="none"/>
        </w:rPr>
      </w:r>
      <w:r/>
    </w:p>
    <w:p>
      <w:pPr>
        <w:pStyle w:val="960"/>
        <w:ind w:firstLine="720"/>
        <w:jc w:val="center"/>
        <w:spacing w:line="360" w:lineRule="auto"/>
        <w:rPr>
          <w:rFonts w:hint="eastAsia" w:ascii="宋体" w:hAnsi="宋体" w:eastAsia="宋体" w:cs="宋体"/>
          <w:color w:val="000000"/>
          <w:sz w:val="24"/>
          <w:szCs w:val="24"/>
          <w:highlight w:val="none"/>
        </w:rPr>
      </w:pPr>
      <w:r/>
      <w:bookmarkStart w:id="15" w:name="_Toc139967211"/>
      <w:r/>
      <w:bookmarkStart w:id="16" w:name="_Toc513622228"/>
      <w:r/>
      <w:bookmarkStart w:id="17" w:name="_Toc139966427"/>
      <w:r/>
      <w:bookmarkStart w:id="18" w:name="_Toc32045"/>
      <w:r>
        <w:rPr>
          <w:rFonts w:hint="eastAsia" w:ascii="宋体" w:hAnsi="宋体" w:eastAsia="宋体" w:cs="宋体"/>
          <w:color w:val="000000"/>
          <w:sz w:val="36"/>
          <w:szCs w:val="20"/>
          <w:highlight w:val="none"/>
        </w:rPr>
        <w:t xml:space="preserve">第三章  政府采购合同格式</w:t>
      </w:r>
      <w:bookmarkEnd w:id="15"/>
      <w:r/>
      <w:bookmarkEnd w:id="16"/>
      <w:r/>
      <w:bookmarkEnd w:id="17"/>
      <w:r/>
      <w:bookmarkEnd w:id="18"/>
      <w:r>
        <w:rPr>
          <w:rFonts w:hint="eastAsia" w:ascii="宋体" w:hAnsi="宋体" w:eastAsia="宋体" w:cs="宋体"/>
          <w:color w:val="000000"/>
          <w:sz w:val="2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2078"/>
        <w:spacing w:line="360" w:lineRule="auto"/>
        <w:rPr>
          <w:rFonts w:hint="eastAsia" w:ascii="宋体" w:hAnsi="宋体" w:eastAsia="宋体" w:cs="宋体"/>
          <w:b/>
          <w:bCs/>
          <w:color w:val="000000"/>
          <w:sz w:val="52"/>
          <w:szCs w:val="24"/>
          <w:highlight w:val="none"/>
        </w:rPr>
      </w:pPr>
      <w:r>
        <w:rPr>
          <w:rFonts w:hint="eastAsia" w:ascii="宋体" w:hAnsi="宋体" w:eastAsia="宋体" w:cs="宋体"/>
          <w:b/>
          <w:bCs/>
          <w:color w:val="000000"/>
          <w:sz w:val="52"/>
          <w:szCs w:val="24"/>
          <w:highlight w:val="none"/>
        </w:rPr>
        <w:t xml:space="preserve">连 云 港 市 政 府 采 购</w:t>
      </w:r>
      <w:r>
        <w:rPr>
          <w:rFonts w:hint="eastAsia" w:ascii="宋体" w:hAnsi="宋体" w:eastAsia="宋体" w:cs="宋体"/>
          <w:b/>
          <w:bCs/>
          <w:color w:val="000000"/>
          <w:sz w:val="52"/>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60"/>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60"/>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60"/>
        <w:ind w:firstLine="1802"/>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960"/>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960"/>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b/>
          <w:bCs/>
          <w:color w:val="000000"/>
          <w:sz w:val="44"/>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p>
      <w:pPr>
        <w:pStyle w:val="960"/>
        <w:jc w:val="left"/>
        <w:spacing w:line="5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采购包1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960"/>
        <w:jc w:val="center"/>
        <w:spacing w:line="560" w:lineRule="exact"/>
        <w:rPr>
          <w:rFonts w:hint="eastAsia" w:ascii="宋体" w:hAnsi="宋体" w:eastAsia="宋体" w:cs="宋体"/>
          <w:bCs/>
          <w:color w:val="000000"/>
          <w:szCs w:val="24"/>
          <w:highlight w:val="none"/>
        </w:rPr>
      </w:pPr>
      <w:r>
        <w:rPr>
          <w:rFonts w:hint="eastAsia" w:ascii="宋体" w:hAnsi="宋体" w:eastAsia="宋体" w:cs="宋体"/>
          <w:b/>
          <w:color w:val="000000"/>
          <w:sz w:val="32"/>
          <w:szCs w:val="32"/>
          <w:highlight w:val="none"/>
        </w:rPr>
        <w:t xml:space="preserve">连云港市政府采购合同</w:t>
      </w:r>
      <w:r>
        <w:rPr>
          <w:rFonts w:hint="eastAsia" w:ascii="宋体" w:hAnsi="宋体" w:eastAsia="宋体" w:cs="宋体"/>
          <w:bCs/>
          <w:color w:val="000000"/>
          <w:szCs w:val="24"/>
          <w:highlight w:val="none"/>
        </w:rPr>
      </w:r>
      <w:r/>
    </w:p>
    <w:p>
      <w:pPr>
        <w:pStyle w:val="960"/>
        <w:ind w:firstLine="643"/>
        <w:jc w:val="center"/>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960"/>
        <w:ind w:firstLine="720"/>
        <w:jc w:val="center"/>
        <w:spacing w:line="360" w:lineRule="auto"/>
        <w:rPr>
          <w:rFonts w:hint="eastAsia" w:ascii="宋体" w:hAnsi="宋体" w:eastAsia="宋体" w:cs="宋体"/>
          <w:b/>
          <w:color w:val="000000"/>
          <w:sz w:val="32"/>
          <w:szCs w:val="20"/>
          <w:highlight w:val="none"/>
        </w:rPr>
      </w:pPr>
      <w:r/>
      <w:bookmarkStart w:id="19" w:name="_Toc139966428"/>
      <w:r/>
      <w:bookmarkStart w:id="20" w:name="_Toc841"/>
      <w:r/>
      <w:bookmarkStart w:id="21" w:name="_Toc513622229"/>
      <w:r/>
      <w:bookmarkStart w:id="22" w:name="_Toc139967212"/>
      <w:r>
        <w:rPr>
          <w:rFonts w:hint="eastAsia" w:ascii="宋体" w:hAnsi="宋体" w:eastAsia="宋体" w:cs="宋体"/>
          <w:color w:val="000000"/>
          <w:sz w:val="36"/>
          <w:szCs w:val="36"/>
          <w:highlight w:val="none"/>
        </w:rPr>
        <w:t xml:space="preserve">合同协议书</w:t>
      </w:r>
      <w:r>
        <w:rPr>
          <w:rFonts w:hint="eastAsia" w:ascii="宋体" w:hAnsi="宋体" w:eastAsia="宋体" w:cs="宋体"/>
          <w:b/>
          <w:color w:val="000000"/>
          <w:sz w:val="32"/>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项目的采购结果，签订本合同。</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一、货物内容</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货物名称：</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型号规格：</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1.3 数量（单位）：</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本合同金额为（大写）：_______________元（¥_____________）人民币。</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（详见投标报价表）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2.2本项目以采购清单作为投标报价及工程结算的依据。中标后采购数量按实际发生数量计取，固定单价不变。</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2.3当买方需要采购清单以外的货物，单价需要买方重新确认。</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乙方应按招标文件规定的时间向甲方提供使用货物的有关技术资料。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五、无产权瑕疵条款</w:t>
      </w:r>
      <w:r>
        <w:rPr>
          <w:rFonts w:hint="eastAsia" w:ascii="宋体" w:hAnsi="宋体" w:eastAsia="宋体" w:cs="宋体"/>
          <w:color w:val="000000"/>
          <w:sz w:val="24"/>
          <w:szCs w:val="24"/>
          <w:highlight w:val="none"/>
          <w:u w:val="singl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六、履约保证函</w:t>
      </w:r>
      <w:r>
        <w:rPr>
          <w:rFonts w:hint="eastAsia" w:ascii="宋体" w:hAnsi="宋体" w:eastAsia="宋体" w:cs="宋体"/>
          <w:b/>
          <w:bCs/>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本项目不缴纳履约保证金。</w:t>
      </w:r>
      <w:r>
        <w:rPr>
          <w:rFonts w:hint="eastAsia" w:ascii="宋体" w:hAnsi="宋体" w:eastAsia="宋体" w:cs="宋体"/>
          <w:b/>
          <w:bCs/>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七、质保期</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年（自验收合格之日起开始计算）。</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八、交货期、交货方式及交货地点</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九、合同款支付</w:t>
      </w:r>
      <w:r>
        <w:rPr>
          <w:rFonts w:hint="eastAsia" w:ascii="宋体" w:hAnsi="宋体" w:eastAsia="宋体" w:cs="宋体"/>
          <w:b/>
          <w:bCs/>
          <w:color w:val="000000"/>
          <w:sz w:val="24"/>
          <w:szCs w:val="24"/>
          <w:highlight w:val="none"/>
        </w:rPr>
      </w:r>
      <w:r/>
    </w:p>
    <w:p>
      <w:pPr>
        <w:pStyle w:val="960"/>
        <w:ind w:firstLine="480"/>
        <w:jc w:val="both"/>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9.1 付款方式：</w:t>
      </w:r>
      <w:r>
        <w:rPr>
          <w:rFonts w:hint="eastAsia" w:ascii="宋体" w:hAnsi="宋体" w:eastAsia="宋体" w:cs="宋体"/>
          <w:b/>
          <w:bCs/>
          <w:color w:val="000000"/>
          <w:sz w:val="24"/>
          <w:szCs w:val="24"/>
          <w:highlight w:val="none"/>
          <w:lang w:val="en-US" w:eastAsia="zh-CN" w:bidi="ar-SA"/>
        </w:rPr>
        <w:t xml:space="preserve">中标人按照采购人要求备货供货，</w:t>
      </w:r>
      <w:r>
        <w:rPr>
          <w:rFonts w:hint="eastAsia" w:ascii="宋体" w:hAnsi="宋体" w:eastAsia="宋体" w:cs="宋体"/>
          <w:b/>
          <w:bCs/>
          <w:color w:val="000000"/>
          <w:sz w:val="21"/>
          <w:szCs w:val="21"/>
          <w:highlight w:val="none"/>
          <w:lang w:val="en-US" w:eastAsia="zh-CN" w:bidi="ar-SA"/>
        </w:rPr>
        <w:t xml:space="preserve">采购人收到中标人提供的同等金额的正规发票后，在履行财政相关资金审批手续后向</w:t>
      </w:r>
      <w:r>
        <w:rPr>
          <w:rFonts w:hint="eastAsia" w:ascii="宋体" w:hAnsi="宋体" w:eastAsia="宋体" w:cs="宋体"/>
          <w:b/>
          <w:bCs/>
          <w:color w:val="000000"/>
          <w:sz w:val="24"/>
          <w:szCs w:val="24"/>
          <w:highlight w:val="none"/>
          <w:lang w:val="en-US" w:eastAsia="zh-CN" w:bidi="ar-SA"/>
        </w:rPr>
        <w:t xml:space="preserve">中标人支付合同款。</w:t>
      </w:r>
      <w:r>
        <w:rPr>
          <w:rFonts w:hint="eastAsia" w:ascii="宋体" w:hAnsi="宋体" w:eastAsia="宋体" w:cs="宋体"/>
          <w:b/>
          <w:color w:val="000000"/>
          <w:sz w:val="24"/>
          <w:szCs w:val="24"/>
          <w:highlight w:val="none"/>
        </w:rPr>
      </w:r>
      <w:r/>
    </w:p>
    <w:p>
      <w:pPr>
        <w:pStyle w:val="960"/>
        <w:ind w:left="4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注：乙方申请付款时，需开具等额正规发票。</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9.2 当采购数量与实际使用数量不一致时，乙方根据实际使用量提供产品和服务，合同的最终结算金额按实际使用量乘以中标单价进行计算。</w:t>
      </w:r>
      <w:r>
        <w:rPr>
          <w:rFonts w:hint="eastAsia" w:ascii="宋体" w:hAnsi="宋体" w:eastAsia="宋体" w:cs="宋体"/>
          <w:bCs/>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十、质量保证及售后服务</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乙方应按招标文件规定的货物性能、技术要求、质量标准向甲方提供未经使用的全新产品。</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（2）贬值处理：由甲乙双方合议定价。</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（3）退货处理：乙方应退还甲方支付的合同款，同时应承担该货物的直接费用（运输、保险、检验、合同款利息及银行手续费等）。</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测试要求：乙方安装后现场测试，提供测试报告，甲方验收签字确认。</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十一、调试和验收</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验收时乙方必须在现场，验收完毕后作出验收结果报告；安装调试费用由中标供应商负责。</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11.5 对技术复杂的项目，甲方可组织有关部门和专家进行验收，并出具验收报告，相关费用由甲乙双方协商解决。</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十二、货物包装、发运及运输</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使用说明书、质量检验证明书、随配附件和工具以及清单一并附于货物内。</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货物在交付甲方前发生的风险均由乙方负责。</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12.5 货物在规定的交付期限内由乙方送达甲方指定的地点视为交付，乙方同时需通知甲方货物已送达。</w:t>
      </w:r>
      <w:r>
        <w:rPr>
          <w:rFonts w:hint="eastAsia" w:ascii="宋体" w:hAnsi="宋体" w:eastAsia="宋体" w:cs="宋体"/>
          <w:b/>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甲方无正当理由拒收货物的，甲方向乙方偿付拒收合同款总值的百分之五违约金。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甲方无故逾期验收和办理合同款支付手续的，甲方应按逾期付款总额每日千分之五向乙方支付违约金。</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十四、不可抗力事件处理</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不可抗力事件发生后，应立即通知对方，并寄送有关权威机构出具的证明。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不可抗力事件延续120天以上，双方应通过友好协商，确定是否继续履行合同。</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十五、争议解决</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15.1双方在执行合同中所发生的一切争议，应通过协商解决。如协商不成，可向合同签订地人民法院起诉，合同签订地在此约定为</w:t>
      </w:r>
      <w:r>
        <w:rPr>
          <w:rFonts w:hint="eastAsia" w:ascii="宋体" w:hAnsi="宋体" w:eastAsia="宋体" w:cs="宋体"/>
          <w:color w:val="000000"/>
          <w:sz w:val="24"/>
          <w:szCs w:val="24"/>
          <w:highlight w:val="none"/>
          <w:lang w:eastAsia="zh-CN"/>
        </w:rPr>
        <w:t xml:space="preserve">连云港市应急管理局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十六、合同生效及其它</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合同经双方法定代表人或授权委托代理人签名并加盖单位公章后生效。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下述合同附件为本合同不可分割的部分并与本合同具有同等效力：</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（1）供货清单和分项价格表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（3）乙方报价函的内容及其澄清内容</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（4）其他与本合同相关的资料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（5）本合同适用的特殊条款</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本合同未尽事宜，遵照《中华人民共和国民法典》有关条文执行。</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本合同正本一式陆份，具有同等法律效力，甲方执叁份，乙方执贰份、见证方执壹份。</w:t>
      </w:r>
      <w:r>
        <w:rPr>
          <w:rFonts w:hint="eastAsia" w:ascii="宋体" w:hAnsi="宋体" w:eastAsia="宋体" w:cs="宋体"/>
          <w:color w:val="000000"/>
          <w:sz w:val="24"/>
          <w:szCs w:val="24"/>
          <w:highlight w:val="none"/>
        </w:rPr>
      </w:r>
      <w:r/>
    </w:p>
    <w:p>
      <w:pPr>
        <w:pStyle w:val="960"/>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jc w:val="center"/>
        <w:keepLines/>
        <w:keepNext/>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br w:type="page" w:clear="all"/>
      </w:r>
      <w:r>
        <w:rPr>
          <w:rFonts w:hint="eastAsia" w:ascii="宋体" w:hAnsi="宋体" w:eastAsia="宋体" w:cs="宋体"/>
          <w:color w:val="000000"/>
          <w:sz w:val="36"/>
          <w:szCs w:val="20"/>
          <w:highlight w:val="none"/>
        </w:rPr>
        <w:t xml:space="preserve">第四章  投标文件格式</w:t>
      </w:r>
      <w:bookmarkEnd w:id="19"/>
      <w:r/>
      <w:bookmarkEnd w:id="20"/>
      <w:r/>
      <w:bookmarkEnd w:id="21"/>
      <w:r/>
      <w:bookmarkEnd w:id="22"/>
      <w:r>
        <w:rPr>
          <w:rFonts w:hint="eastAsia" w:ascii="宋体" w:hAnsi="宋体" w:eastAsia="宋体" w:cs="宋体"/>
          <w:color w:val="000000"/>
          <w:sz w:val="36"/>
          <w:szCs w:val="20"/>
          <w:highlight w:val="none"/>
        </w:rPr>
      </w:r>
      <w:r/>
    </w:p>
    <w:p>
      <w:pPr>
        <w:pStyle w:val="960"/>
        <w:ind w:firstLine="1044"/>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6"/>
        <w:ind w:firstLine="1446"/>
        <w:jc w:val="center"/>
        <w:spacing w:before="0" w:beforeAutospacing="0" w:after="0" w:afterAutospacing="0"/>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16"/>
        <w:ind w:firstLine="3614"/>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投标文件</w:t>
      </w:r>
      <w:r>
        <w:rPr>
          <w:rFonts w:hint="eastAsia" w:ascii="宋体" w:hAnsi="宋体" w:eastAsia="宋体" w:cs="宋体"/>
          <w:color w:val="000000"/>
          <w:highlight w:val="none"/>
        </w:rPr>
      </w:r>
      <w:r/>
    </w:p>
    <w:p>
      <w:pPr>
        <w:pStyle w:val="1016"/>
        <w:ind w:firstLine="1446"/>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 </w:t>
      </w:r>
      <w:r>
        <w:rPr>
          <w:rFonts w:hint="eastAsia" w:ascii="宋体" w:hAnsi="宋体" w:eastAsia="宋体" w:cs="宋体"/>
          <w:color w:val="000000"/>
          <w:highlight w:val="none"/>
        </w:rPr>
      </w:r>
      <w:r/>
    </w:p>
    <w:p>
      <w:pPr>
        <w:pStyle w:val="1016"/>
        <w:ind w:firstLine="1446"/>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 </w:t>
      </w:r>
      <w:r>
        <w:rPr>
          <w:rFonts w:hint="eastAsia" w:ascii="宋体" w:hAnsi="宋体" w:eastAsia="宋体" w:cs="宋体"/>
          <w:color w:val="000000"/>
          <w:highlight w:val="none"/>
        </w:rPr>
      </w:r>
      <w:r/>
    </w:p>
    <w:p>
      <w:pPr>
        <w:pStyle w:val="1016"/>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1016"/>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1016"/>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1016"/>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项 目 名 称：               </w:t>
      </w:r>
      <w:r>
        <w:rPr>
          <w:rFonts w:hint="eastAsia" w:ascii="宋体" w:hAnsi="宋体" w:eastAsia="宋体" w:cs="宋体"/>
          <w:color w:val="000000"/>
          <w:highlight w:val="none"/>
        </w:rPr>
      </w:r>
      <w:r/>
    </w:p>
    <w:p>
      <w:pPr>
        <w:pStyle w:val="1016"/>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招 标 编 号：         </w:t>
      </w:r>
      <w:r>
        <w:rPr>
          <w:rFonts w:hint="eastAsia" w:ascii="宋体" w:hAnsi="宋体" w:eastAsia="宋体" w:cs="宋体"/>
          <w:color w:val="000000"/>
          <w:highlight w:val="none"/>
        </w:rPr>
      </w:r>
      <w:r/>
    </w:p>
    <w:p>
      <w:pPr>
        <w:pStyle w:val="1016"/>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投标人名称 ：（加盖CA电子公章）</w:t>
      </w:r>
      <w:r>
        <w:rPr>
          <w:rFonts w:hint="eastAsia" w:ascii="宋体" w:hAnsi="宋体" w:eastAsia="宋体" w:cs="宋体"/>
          <w:color w:val="000000"/>
          <w:highlight w:val="none"/>
        </w:rPr>
      </w:r>
      <w:r/>
    </w:p>
    <w:p>
      <w:pPr>
        <w:pStyle w:val="1016"/>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日   期 ：               </w:t>
      </w:r>
      <w:r>
        <w:rPr>
          <w:rFonts w:hint="eastAsia" w:ascii="宋体" w:hAnsi="宋体" w:eastAsia="宋体" w:cs="宋体"/>
          <w:color w:val="000000"/>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6"/>
          <w:szCs w:val="20"/>
          <w:highlight w:val="none"/>
        </w:rPr>
        <w:br w:type="page" w:clear="all"/>
      </w:r>
      <w:bookmarkStart w:id="23" w:name="_Toc139967215"/>
      <w:r/>
      <w:bookmarkStart w:id="24" w:name="_Toc139966431"/>
      <w:r>
        <w:rPr>
          <w:rFonts w:hint="eastAsia" w:ascii="宋体" w:hAnsi="宋体" w:eastAsia="宋体" w:cs="宋体"/>
          <w:color w:val="000000"/>
          <w:sz w:val="24"/>
          <w:szCs w:val="24"/>
          <w:highlight w:val="none"/>
        </w:rPr>
        <w:t xml:space="preserve">格式1、响应函</w:t>
      </w:r>
      <w:r>
        <w:rPr>
          <w:rFonts w:hint="eastAsia" w:ascii="宋体" w:hAnsi="宋体" w:eastAsia="宋体" w:cs="宋体"/>
          <w:color w:val="000000"/>
          <w:sz w:val="24"/>
          <w:szCs w:val="24"/>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响应函</w:t>
      </w:r>
      <w:r>
        <w:rPr>
          <w:rFonts w:hint="eastAsia" w:ascii="宋体" w:hAnsi="宋体" w:eastAsia="宋体" w:cs="宋体"/>
          <w:bCs/>
          <w:color w:val="000000"/>
          <w:sz w:val="36"/>
          <w:szCs w:val="28"/>
          <w:highlight w:val="none"/>
        </w:rPr>
      </w:r>
      <w:r/>
    </w:p>
    <w:p>
      <w:pPr>
        <w:pStyle w:val="96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lang w:eastAsia="zh-CN"/>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根据贵方标段（标段编号：）采购文件，正式授权下述签字人全权代表参加贵方组织的采购活动，按照采购文件要求提交响应文件。</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1.按采购文件项目需求提交响应报价，报价、交货期等详见开标一览表。</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(5)参加此项采购活动前三年内，在经营活动中没有重大违法记录。</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4.我方根据采购文件的规定，承担完成合同的责任和义务。</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5.我方已详细审核采购文件，我方知道必须放弃提出含糊不清或误解问题的权利。</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6.如果在响应文件有效期内撤回或者有其他违约行为，我方的保证金可被贵方全部或部分没收。</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7.同意应贵方要求提供与本次采购活动有关的任何数据或资料。</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8.我方完全理解，最低报价不是中标（成交）的唯一条件。</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9.若贵方需要，我方愿意提供我方作出的一切承诺的证明材料。</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(1)提供虚假材料谋取中标、成交的；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(2)采取不正当手段诋毁、排挤其他供应商的；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(3)与采购人、其他供应商或者采购代理机构恶意串通的；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(4)向采购人、采购代理机构行贿或者提供其他不正当利益的；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(5)在招标采购过程中与采购人进行协商谈判的；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(6)拒绝有关部门监督检查或提供虚假情况的。</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法定代表人或其委托代理人签字（或盖章）： 　　</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 </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注：未按照本响应函的格式要求填写的，将造成非实质响应，从而导致该供应商响应无效。</w:t>
      </w:r>
      <w:r>
        <w:rPr>
          <w:rFonts w:hint="eastAsia" w:ascii="宋体" w:hAnsi="宋体" w:eastAsia="宋体" w:cs="宋体"/>
          <w:color w:val="000000"/>
          <w:sz w:val="24"/>
          <w:szCs w:val="24"/>
          <w:highlight w:val="none"/>
          <w:lang w:val="zh-CN"/>
        </w:rPr>
      </w:r>
      <w:r/>
    </w:p>
    <w:p>
      <w:pPr>
        <w:pStyle w:val="960"/>
        <w:keepNext/>
        <w:spacing w:line="360" w:lineRule="auto"/>
        <w:tabs>
          <w:tab w:val="left" w:pos="102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960"/>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960"/>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073"/>
        </w:trPr>
        <w:tc>
          <w:tcPr>
            <w:tcW w:w="276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116"/>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元/毫升</w:t>
            </w:r>
            <w:r>
              <w:rPr>
                <w:rFonts w:hint="eastAsia" w:ascii="宋体" w:hAnsi="宋体" w:eastAsia="宋体" w:cs="宋体"/>
                <w:color w:val="000000"/>
                <w:sz w:val="24"/>
                <w:szCs w:val="21"/>
                <w:highlight w:val="none"/>
              </w:rPr>
            </w:r>
            <w:r/>
          </w:p>
          <w:p>
            <w:pPr>
              <w:pStyle w:val="960"/>
              <w:ind w:firstLine="480"/>
              <w:jc w:val="both"/>
              <w:spacing w:line="500" w:lineRule="exact"/>
              <w:rPr>
                <w:rFonts w:ascii="宋体" w:hAnsi="宋体" w:eastAsia="宋体" w:cs="宋体"/>
                <w:color w:val="000000"/>
                <w:sz w:val="24"/>
                <w:szCs w:val="21"/>
                <w:highlight w:val="none"/>
                <w:u w:val="single"/>
                <w:lang w:val="en-US" w:eastAsia="zh-CN"/>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ascii="宋体" w:hAnsi="宋体" w:eastAsia="宋体" w:cs="宋体"/>
                <w:color w:val="000000"/>
                <w:sz w:val="24"/>
                <w:szCs w:val="21"/>
                <w:highlight w:val="none"/>
                <w:u w:val="single"/>
                <w:lang w:val="en-US" w:eastAsia="zh-CN"/>
              </w:rPr>
            </w:r>
            <w:r/>
          </w:p>
        </w:tc>
      </w:tr>
      <w:tr>
        <w:trPr>
          <w:cantSplit/>
          <w:trHeight w:val="1037"/>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spacing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960"/>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960"/>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    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元/毫升</w:t>
            </w:r>
            <w:r>
              <w:rPr>
                <w:rFonts w:hint="eastAsia" w:ascii="宋体" w:hAnsi="宋体" w:eastAsia="宋体" w:cs="宋体"/>
                <w:color w:val="000000"/>
                <w:sz w:val="24"/>
                <w:szCs w:val="21"/>
                <w:highlight w:val="none"/>
              </w:rPr>
            </w:r>
            <w:r/>
          </w:p>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960"/>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960"/>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元/头份</w:t>
            </w:r>
            <w:r>
              <w:rPr>
                <w:rFonts w:hint="eastAsia" w:ascii="宋体" w:hAnsi="宋体" w:eastAsia="宋体" w:cs="宋体"/>
                <w:color w:val="000000"/>
                <w:sz w:val="24"/>
                <w:szCs w:val="21"/>
                <w:highlight w:val="none"/>
              </w:rPr>
            </w:r>
            <w:r/>
          </w:p>
          <w:p>
            <w:pPr>
              <w:pStyle w:val="960"/>
              <w:ind w:firstLine="480"/>
              <w:jc w:val="both"/>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960"/>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960"/>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     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元/头份</w:t>
            </w:r>
            <w:r>
              <w:rPr>
                <w:rFonts w:hint="eastAsia" w:ascii="宋体" w:hAnsi="宋体" w:eastAsia="宋体" w:cs="宋体"/>
                <w:color w:val="000000"/>
                <w:sz w:val="24"/>
                <w:szCs w:val="21"/>
                <w:highlight w:val="none"/>
              </w:rPr>
            </w:r>
            <w:r/>
          </w:p>
          <w:p>
            <w:pPr>
              <w:pStyle w:val="960"/>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960"/>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960"/>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b/>
          <w:bCs/>
          <w:color w:val="000000"/>
          <w:sz w:val="24"/>
          <w:szCs w:val="24"/>
          <w:highlight w:val="none"/>
        </w:rPr>
        <w:t xml:space="preserve">采购包1</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9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96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单位：元/毫升</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9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96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单位：元/毫升</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9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96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单位：元/头份</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p>
      <w:pPr>
        <w:pStyle w:val="960"/>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96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9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96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单位：元/头份</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960"/>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96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格式4、中小企业声明函</w:t>
      </w:r>
      <w:r>
        <w:rPr>
          <w:rFonts w:hint="eastAsia" w:ascii="宋体" w:hAnsi="宋体" w:eastAsia="宋体" w:cs="宋体"/>
          <w:b/>
          <w:color w:val="000000"/>
          <w:sz w:val="28"/>
          <w:szCs w:val="20"/>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960"/>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60"/>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960"/>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0"/>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0"/>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0"/>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960"/>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2、请供应商如实填写，所填内容将作为评审的依据。其内容填写须与报价明细表一致。</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3、中标供应商的《中小企业声明函》随中标结果公开。</w:t>
      </w:r>
      <w:r>
        <w:rPr>
          <w:rFonts w:hint="eastAsia" w:ascii="宋体" w:hAnsi="宋体" w:eastAsia="宋体" w:cs="宋体"/>
          <w:b/>
          <w:color w:val="000000"/>
          <w:sz w:val="24"/>
          <w:szCs w:val="24"/>
          <w:highlight w:val="none"/>
        </w:rPr>
      </w:r>
      <w:r/>
    </w:p>
    <w:p>
      <w:pPr>
        <w:pStyle w:val="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格式5、残疾人福利性企业声明函</w:t>
      </w:r>
      <w:r>
        <w:rPr>
          <w:rFonts w:hint="eastAsia" w:ascii="宋体" w:hAnsi="宋体" w:eastAsia="宋体" w:cs="宋体"/>
          <w:b/>
          <w:color w:val="000000"/>
          <w:sz w:val="28"/>
          <w:szCs w:val="20"/>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960"/>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960"/>
        <w:ind w:firstLine="480"/>
        <w:spacing w:line="588" w:lineRule="exact"/>
        <w:rPr>
          <w:rFonts w:hint="eastAsia" w:ascii="宋体" w:hAnsi="宋体" w:eastAsia="宋体" w:cs="宋体"/>
          <w:b/>
          <w:color w:val="000000"/>
          <w:sz w:val="22"/>
          <w:szCs w:val="21"/>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填报说明：</w:t>
      </w:r>
      <w:r>
        <w:rPr>
          <w:rFonts w:hint="eastAsia" w:ascii="宋体" w:hAnsi="宋体" w:eastAsia="宋体" w:cs="宋体"/>
          <w:bCs/>
          <w:color w:val="000000"/>
          <w:sz w:val="24"/>
          <w:szCs w:val="24"/>
          <w:highlight w:val="none"/>
        </w:rPr>
      </w:r>
      <w:r/>
    </w:p>
    <w:p>
      <w:pPr>
        <w:pStyle w:val="960"/>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1、请供应商如实填写，所填内容将作为评审的依据。</w:t>
      </w:r>
      <w:r>
        <w:rPr>
          <w:rFonts w:hint="eastAsia" w:ascii="宋体" w:hAnsi="宋体" w:eastAsia="宋体" w:cs="宋体"/>
          <w:color w:val="000000"/>
          <w:sz w:val="24"/>
          <w:szCs w:val="24"/>
          <w:highlight w:val="none"/>
        </w:rPr>
        <w:t xml:space="preserve">其内容填写须与报价明细表一致，如填写不完整或不一致，将不享受扶</w:t>
      </w:r>
      <w:r>
        <w:rPr>
          <w:rFonts w:hint="eastAsia" w:ascii="宋体" w:hAnsi="宋体" w:eastAsia="宋体" w:cs="宋体"/>
          <w:bCs/>
          <w:color w:val="000000"/>
          <w:sz w:val="24"/>
          <w:szCs w:val="24"/>
          <w:highlight w:val="none"/>
        </w:rPr>
        <w:t xml:space="preserve">持政策。</w:t>
      </w:r>
      <w:r>
        <w:rPr>
          <w:rFonts w:hint="eastAsia" w:ascii="宋体" w:hAnsi="宋体" w:eastAsia="宋体" w:cs="宋体"/>
          <w:bCs/>
          <w:color w:val="000000"/>
          <w:sz w:val="24"/>
          <w:szCs w:val="24"/>
          <w:highlight w:val="none"/>
        </w:rPr>
      </w:r>
      <w:r/>
    </w:p>
    <w:p>
      <w:pPr>
        <w:pStyle w:val="96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2、中标供应商的《残疾人福利性单位声明函》随中标结果公开。</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格式6、具备履行合同所必需的设备和专业技术能力的声明及证明材料</w:t>
      </w:r>
      <w:r>
        <w:rPr>
          <w:rFonts w:hint="eastAsia" w:ascii="宋体" w:hAnsi="宋体" w:eastAsia="宋体" w:cs="宋体"/>
          <w:b/>
          <w:color w:val="000000"/>
          <w:sz w:val="28"/>
          <w:szCs w:val="20"/>
          <w:highlight w:val="none"/>
        </w:rPr>
      </w:r>
      <w:r/>
    </w:p>
    <w:p>
      <w:pPr>
        <w:pStyle w:val="960"/>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bCs/>
          <w:color w:val="000000"/>
          <w:sz w:val="36"/>
          <w:szCs w:val="28"/>
          <w:highlight w:val="none"/>
        </w:rPr>
      </w:r>
      <w:r/>
    </w:p>
    <w:p>
      <w:pPr>
        <w:pStyle w:val="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注：须附证明材料。</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声明人（盖章）：</w:t>
      </w:r>
      <w:r>
        <w:rPr>
          <w:rFonts w:hint="eastAsia" w:ascii="宋体" w:hAnsi="宋体" w:eastAsia="宋体" w:cs="宋体"/>
          <w:color w:val="000000"/>
          <w:sz w:val="24"/>
          <w:szCs w:val="24"/>
          <w:highlight w:val="none"/>
        </w:rPr>
      </w:r>
      <w:r/>
    </w:p>
    <w:p>
      <w:pPr>
        <w:pStyle w:val="960"/>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0"/>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0"/>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0"/>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格式7、参加政府采购活动前 3 年内在经营活动中没有重大违法记录的书面声明</w:t>
      </w:r>
      <w:r>
        <w:rPr>
          <w:rFonts w:hint="eastAsia" w:ascii="宋体" w:hAnsi="宋体" w:eastAsia="宋体" w:cs="宋体"/>
          <w:b/>
          <w:color w:val="000000"/>
          <w:sz w:val="28"/>
          <w:szCs w:val="20"/>
          <w:highlight w:val="none"/>
        </w:rPr>
      </w:r>
      <w:r/>
    </w:p>
    <w:p>
      <w:pPr>
        <w:pStyle w:val="960"/>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格式8、法定代表人授权委托书</w:t>
      </w:r>
      <w:r>
        <w:rPr>
          <w:rFonts w:hint="eastAsia" w:ascii="宋体" w:hAnsi="宋体" w:eastAsia="宋体" w:cs="宋体"/>
          <w:b/>
          <w:color w:val="000000"/>
          <w:sz w:val="28"/>
          <w:szCs w:val="20"/>
          <w:highlight w:val="none"/>
        </w:rPr>
      </w:r>
      <w:r/>
    </w:p>
    <w:p>
      <w:pPr>
        <w:pStyle w:val="960"/>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960"/>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960"/>
        <w:ind w:firstLine="420"/>
        <w:spacing w:line="5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96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本授权书于年月日签字（或盖章）生效，特此声明。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签发日期：年月日</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3．委托代理人根据授权范围，以委托单位的名义签订合同，并将此委托书提交给对方作为合同附件。</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格式9、财务状况报告及税收、社会保障资金缴纳情况承诺函 </w:t>
      </w:r>
      <w:r>
        <w:rPr>
          <w:rFonts w:hint="eastAsia" w:ascii="宋体" w:hAnsi="宋体" w:eastAsia="宋体" w:cs="宋体"/>
          <w:color w:val="000000"/>
          <w:highlight w:val="none"/>
        </w:rPr>
      </w:r>
      <w:r/>
    </w:p>
    <w:p>
      <w:pPr>
        <w:pStyle w:val="960"/>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0"/>
        <w:ind w:firstLine="480"/>
        <w:jc w:val="center"/>
        <w:rPr>
          <w:rFonts w:hint="eastAsia" w:ascii="宋体" w:hAnsi="宋体" w:eastAsia="宋体" w:cs="宋体"/>
          <w:b/>
          <w:color w:val="000000"/>
          <w:szCs w:val="24"/>
          <w:highlight w:val="none"/>
        </w:rPr>
      </w:pPr>
      <w:r>
        <w:rPr>
          <w:rFonts w:hint="eastAsia" w:ascii="宋体" w:hAnsi="宋体" w:eastAsia="宋体" w:cs="宋体"/>
          <w:b/>
          <w:color w:val="000000"/>
          <w:sz w:val="24"/>
          <w:szCs w:val="24"/>
          <w:highlight w:val="none"/>
        </w:rPr>
        <w:t xml:space="preserve">财务状况报告及税收、社会保障资金缴纳情况承诺函</w:t>
      </w:r>
      <w:r>
        <w:rPr>
          <w:rFonts w:hint="eastAsia" w:ascii="宋体" w:hAnsi="宋体" w:eastAsia="宋体" w:cs="宋体"/>
          <w:b/>
          <w:color w:val="000000"/>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致：采购人名称</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参加 </w:t>
      </w:r>
      <w:r>
        <w:rPr>
          <w:rFonts w:hint="eastAsia" w:ascii="宋体" w:hAnsi="宋体" w:eastAsia="宋体" w:cs="宋体"/>
          <w:color w:val="000000"/>
          <w:sz w:val="24"/>
          <w:szCs w:val="24"/>
          <w:highlight w:val="none"/>
          <w:u w:val="single"/>
        </w:rPr>
        <w:t xml:space="preserve">   项目名称   （项目编号：</w:t>
      </w:r>
      <w:r>
        <w:rPr>
          <w:rFonts w:hint="eastAsia" w:ascii="宋体" w:hAnsi="宋体" w:eastAsia="宋体" w:cs="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（1）具有良好的商业信誉和健全的财务会计制度（财务状况报告）；</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（2）有依法缴纳税收和社会保障资金的良好记录。</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          </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法定代表人或其委托代理人（签名或签章）：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960"/>
        <w:jc w:val="left"/>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960"/>
        <w:keepNext/>
        <w:spacing w:line="360" w:lineRule="auto"/>
        <w:tabs>
          <w:tab w:val="left" w:pos="1021" w:leader="none"/>
        </w:tabs>
        <w:rPr>
          <w:rFonts w:hint="eastAsia" w:ascii="宋体" w:hAnsi="宋体" w:eastAsia="宋体" w:cs="宋体"/>
          <w:bCs/>
          <w:color w:val="000000"/>
          <w:sz w:val="32"/>
          <w:szCs w:val="21"/>
          <w:highlight w:val="none"/>
        </w:rPr>
        <w:outlineLvl w:val="1"/>
      </w:pPr>
      <w:r>
        <w:rPr>
          <w:rFonts w:hint="eastAsia" w:ascii="宋体" w:hAnsi="宋体" w:eastAsia="宋体" w:cs="宋体"/>
          <w:color w:val="000000"/>
          <w:sz w:val="24"/>
          <w:szCs w:val="24"/>
          <w:highlight w:val="none"/>
        </w:rPr>
        <w:t xml:space="preserve">格式10、商务条款偏离表</w:t>
      </w:r>
      <w:r>
        <w:rPr>
          <w:rFonts w:hint="eastAsia" w:ascii="宋体" w:hAnsi="宋体" w:eastAsia="宋体" w:cs="宋体"/>
          <w:bCs/>
          <w:color w:val="000000"/>
          <w:sz w:val="32"/>
          <w:szCs w:val="21"/>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96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请逐条对应采购文件“项目需求”等内容要求的商务条件，填写该表。</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277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采购文件的商务条款</w:t>
            </w:r>
            <w:r>
              <w:rPr>
                <w:rFonts w:hint="eastAsia" w:ascii="宋体" w:hAnsi="宋体" w:eastAsia="宋体" w:cs="宋体"/>
                <w:color w:val="000000"/>
                <w:sz w:val="24"/>
                <w:szCs w:val="24"/>
                <w:highlight w:val="none"/>
              </w:rPr>
            </w:r>
            <w:r/>
          </w:p>
        </w:tc>
        <w:tc>
          <w:tcPr>
            <w:tcW w:w="2927"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244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ind w:firstLine="480"/>
        <w:spacing w:line="400" w:lineRule="exact"/>
        <w:rPr>
          <w:rFonts w:hint="eastAsia" w:ascii="宋体" w:hAnsi="宋体" w:eastAsia="宋体" w:cs="宋体"/>
          <w:color w:val="000000"/>
          <w:szCs w:val="20"/>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ind w:firstLine="420"/>
        <w:spacing w:line="6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960"/>
        <w:keepNext/>
        <w:spacing w:line="360" w:lineRule="auto"/>
        <w:tabs>
          <w:tab w:val="left" w:pos="1021" w:leader="none"/>
        </w:tabs>
        <w:rPr>
          <w:rFonts w:hint="eastAsia" w:ascii="宋体" w:hAnsi="宋体" w:eastAsia="宋体" w:cs="宋体"/>
          <w:b/>
          <w:color w:val="000000"/>
          <w:sz w:val="28"/>
          <w:szCs w:val="21"/>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格式11、售后服务承诺书</w:t>
      </w:r>
      <w:r>
        <w:rPr>
          <w:rFonts w:hint="eastAsia" w:ascii="宋体" w:hAnsi="宋体" w:eastAsia="宋体" w:cs="宋体"/>
          <w:b/>
          <w:color w:val="000000"/>
          <w:sz w:val="28"/>
          <w:szCs w:val="21"/>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售后服务承诺书</w:t>
      </w:r>
      <w:r>
        <w:rPr>
          <w:rFonts w:hint="eastAsia" w:ascii="宋体" w:hAnsi="宋体" w:eastAsia="宋体" w:cs="宋体"/>
          <w:bCs/>
          <w:color w:val="000000"/>
          <w:sz w:val="36"/>
          <w:szCs w:val="28"/>
          <w:highlight w:val="none"/>
        </w:rPr>
      </w:r>
      <w:r/>
    </w:p>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（请按“项目需求”要求的售后服务及内容自行填写）</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格式12、技术规格偏离表</w:t>
      </w:r>
      <w:r>
        <w:rPr>
          <w:rFonts w:hint="eastAsia" w:ascii="宋体" w:hAnsi="宋体" w:eastAsia="宋体" w:cs="宋体"/>
          <w:b/>
          <w:color w:val="000000"/>
          <w:sz w:val="28"/>
          <w:szCs w:val="20"/>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技术规格偏离表</w:t>
      </w:r>
      <w:r>
        <w:rPr>
          <w:rFonts w:hint="eastAsia" w:ascii="宋体" w:hAnsi="宋体" w:eastAsia="宋体" w:cs="宋体"/>
          <w:bCs/>
          <w:color w:val="000000"/>
          <w:sz w:val="36"/>
          <w:szCs w:val="28"/>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请按所响应产品的实际技术参数，逐条对应采购文件“项目需求”中要求的技术规范填写该表，该表不能作为所响应产品的技术文件，供应商应在响应文件中单独提供技术文件。</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619"/>
        <w:gridCol w:w="1224"/>
        <w:gridCol w:w="1559"/>
        <w:gridCol w:w="1276"/>
      </w:tblGrid>
      <w:tr>
        <w:trPr>
          <w:cantSplit/>
          <w:trHeight w:val="422"/>
        </w:trPr>
        <w:tc>
          <w:tcPr>
            <w:tcW w:w="511" w:type="dxa"/>
            <w:vAlign w:val="center"/>
            <w:vMerge w:val="restart"/>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gridSpan w:val="3"/>
            <w:tcW w:w="273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采购文件需求</w:t>
            </w:r>
            <w:r>
              <w:rPr>
                <w:rFonts w:hint="eastAsia" w:ascii="宋体" w:hAnsi="宋体" w:eastAsia="宋体" w:cs="宋体"/>
                <w:color w:val="000000"/>
                <w:sz w:val="24"/>
                <w:szCs w:val="24"/>
                <w:highlight w:val="none"/>
              </w:rPr>
            </w:r>
            <w:r/>
          </w:p>
        </w:tc>
        <w:tc>
          <w:tcPr>
            <w:gridSpan w:val="4"/>
            <w:tcW w:w="453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响应产品规格及技术参数</w:t>
            </w:r>
            <w:r>
              <w:rPr>
                <w:rFonts w:hint="eastAsia" w:ascii="宋体" w:hAnsi="宋体" w:eastAsia="宋体" w:cs="宋体"/>
                <w:color w:val="000000"/>
                <w:sz w:val="24"/>
                <w:szCs w:val="24"/>
                <w:highlight w:val="none"/>
              </w:rPr>
            </w:r>
            <w:r/>
          </w:p>
        </w:tc>
        <w:tc>
          <w:tcPr>
            <w:tcW w:w="1276" w:type="dxa"/>
            <w:vAlign w:val="center"/>
            <w:vMerge w:val="restart"/>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cantSplit/>
          <w:trHeight w:val="642"/>
        </w:trPr>
        <w:tc>
          <w:tcPr>
            <w:tcW w:w="511" w:type="dxa"/>
            <w:vAlign w:val="center"/>
            <w:vMerge w:val="continue"/>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品牌、厂家、型号规格</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1276" w:type="dxa"/>
            <w:vAlign w:val="center"/>
            <w:vMerge w:val="continue"/>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1"/>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1"/>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sz w:val="24"/>
          <w:szCs w:val="24"/>
          <w:highlight w:val="none"/>
        </w:rPr>
      </w:r>
      <w:r/>
    </w:p>
    <w:p>
      <w:pPr>
        <w:pStyle w:val="960"/>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0"/>
        <w:keepNext/>
        <w:spacing w:line="360" w:lineRule="auto"/>
        <w:tabs>
          <w:tab w:val="left" w:pos="1021" w:leader="none"/>
        </w:tabs>
        <w:rPr>
          <w:rFonts w:hint="eastAsia" w:ascii="宋体" w:hAnsi="宋体" w:eastAsia="宋体" w:cs="宋体"/>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格式13、项目需求响应</w:t>
      </w:r>
      <w:r>
        <w:rPr>
          <w:rFonts w:hint="eastAsia" w:ascii="宋体" w:hAnsi="宋体" w:eastAsia="宋体" w:cs="宋体"/>
          <w:color w:val="000000"/>
          <w:sz w:val="28"/>
          <w:szCs w:val="20"/>
          <w:highlight w:val="none"/>
        </w:rPr>
      </w:r>
      <w:r/>
    </w:p>
    <w:p>
      <w:pPr>
        <w:pStyle w:val="96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项目需求响应</w:t>
      </w:r>
      <w:r>
        <w:rPr>
          <w:rFonts w:hint="eastAsia" w:ascii="宋体" w:hAnsi="宋体" w:eastAsia="宋体" w:cs="宋体"/>
          <w:bCs/>
          <w:color w:val="000000"/>
          <w:sz w:val="36"/>
          <w:szCs w:val="28"/>
          <w:highlight w:val="none"/>
        </w:rPr>
      </w:r>
      <w:r/>
    </w:p>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（请按“项目需求”要求自行填写，格式自定）</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960"/>
        <w:jc w:val="center"/>
        <w:keepLines/>
        <w:keepNext/>
        <w:spacing w:line="360" w:lineRule="auto"/>
        <w:tabs>
          <w:tab w:val="left" w:pos="360" w:leader="none"/>
        </w:tabs>
        <w:rPr>
          <w:rFonts w:hint="eastAsia" w:ascii="宋体" w:hAnsi="宋体" w:eastAsia="宋体" w:cs="宋体"/>
          <w:b/>
          <w:color w:val="000000"/>
          <w:sz w:val="36"/>
          <w:szCs w:val="20"/>
          <w:highlight w:val="none"/>
        </w:rPr>
        <w:outlineLvl w:val="0"/>
      </w:pPr>
      <w:r/>
      <w:bookmarkStart w:id="25" w:name="_Toc25008"/>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t xml:space="preserve">第五章  合同专用条款表</w:t>
      </w:r>
      <w:bookmarkEnd w:id="25"/>
      <w:r>
        <w:rPr>
          <w:rFonts w:hint="eastAsia" w:ascii="宋体" w:hAnsi="宋体" w:eastAsia="宋体" w:cs="宋体"/>
          <w:b/>
          <w:color w:val="000000"/>
          <w:sz w:val="36"/>
          <w:szCs w:val="20"/>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本表是对第三章“政府采购合同格式”的补充和修改。如果两者之间有抵触，以本专用条款表为准。</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8551"/>
      </w:tblGrid>
      <w:tr>
        <w:trPr>
          <w:trHeight w:val="545"/>
        </w:trPr>
        <w:tc>
          <w:tcPr>
            <w:tcW w:w="989" w:type="dxa"/>
            <w:vAlign w:val="center"/>
            <w:textDirection w:val="lrTb"/>
            <w:noWrap w:val="false"/>
          </w:tcPr>
          <w:p>
            <w:pPr>
              <w:pStyle w:val="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85"/>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88"/>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履约保证金：不缴纳履约保证金。 </w:t>
            </w:r>
            <w:r>
              <w:rPr>
                <w:rFonts w:hint="eastAsia" w:ascii="宋体" w:hAnsi="宋体" w:eastAsia="宋体" w:cs="宋体"/>
                <w:color w:val="000000"/>
                <w:sz w:val="24"/>
                <w:szCs w:val="24"/>
                <w:highlight w:val="none"/>
              </w:rPr>
            </w:r>
            <w:r/>
          </w:p>
        </w:tc>
      </w:tr>
      <w:tr>
        <w:trPr>
          <w:trHeight w:val="2727"/>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rPr>
              <w:t xml:space="preserve">★质保期：</w:t>
            </w:r>
            <w:r>
              <w:rPr>
                <w:rFonts w:hint="eastAsia" w:ascii="宋体" w:hAnsi="宋体" w:eastAsia="宋体" w:cs="宋体"/>
                <w:b w:val="0"/>
                <w:bCs/>
                <w:color w:val="000000"/>
                <w:sz w:val="24"/>
                <w:szCs w:val="24"/>
                <w:highlight w:val="none"/>
              </w:rPr>
              <w:t xml:space="preserve">投标人承诺投标产品最终交到用户的有效期在8个月（疫苗有效期为12个月的）</w:t>
            </w:r>
            <w:r>
              <w:rPr>
                <w:rFonts w:hint="eastAsia" w:ascii="宋体" w:hAnsi="宋体" w:eastAsia="宋体" w:cs="宋体"/>
                <w:b w:val="0"/>
                <w:bCs/>
                <w:color w:val="000000"/>
                <w:sz w:val="24"/>
                <w:szCs w:val="24"/>
                <w:highlight w:val="none"/>
                <w:lang w:val="en-US" w:eastAsia="zh-CN"/>
              </w:rPr>
              <w:t xml:space="preserve">或</w:t>
            </w:r>
            <w:r>
              <w:rPr>
                <w:rFonts w:hint="eastAsia" w:ascii="宋体" w:hAnsi="宋体" w:eastAsia="宋体" w:cs="宋体"/>
                <w:b w:val="0"/>
                <w:bCs/>
                <w:color w:val="000000"/>
                <w:sz w:val="24"/>
                <w:szCs w:val="24"/>
                <w:highlight w:val="none"/>
              </w:rPr>
              <w:t xml:space="preserve">13个月（疫苗有效期为18个月的）（自交货验收合格之日起计）以上。</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96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供应商可根据投标产品有效期分别对应响应。</w:t>
            </w:r>
            <w:r>
              <w:rPr>
                <w:rFonts w:hint="eastAsia" w:ascii="宋体" w:hAnsi="宋体" w:eastAsia="宋体" w:cs="宋体"/>
                <w:b/>
                <w:color w:val="000000"/>
                <w:sz w:val="24"/>
                <w:szCs w:val="24"/>
                <w:highlight w:val="none"/>
                <w:lang w:val="en-US" w:eastAsia="zh-CN"/>
              </w:rPr>
            </w:r>
            <w:r/>
          </w:p>
          <w:p>
            <w:pPr>
              <w:pStyle w:val="96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投标人承诺投标产品最终交到区级用户的有效期在11个月（疫苗有效期为24个月的）以上。</w:t>
            </w:r>
            <w:r>
              <w:rPr>
                <w:rFonts w:hint="eastAsia" w:ascii="宋体" w:hAnsi="宋体" w:eastAsia="宋体" w:cs="宋体"/>
                <w:color w:val="000000"/>
                <w:sz w:val="24"/>
                <w:szCs w:val="24"/>
                <w:highlight w:val="none"/>
                <w:lang w:val="en-US" w:eastAsia="zh-CN"/>
              </w:rPr>
            </w:r>
            <w:r/>
          </w:p>
        </w:tc>
      </w:tr>
      <w:tr>
        <w:trPr>
          <w:trHeight w:val="1351"/>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1.交货期：</w:t>
            </w:r>
            <w:r>
              <w:rPr>
                <w:rFonts w:hint="eastAsia" w:ascii="宋体" w:hAnsi="宋体" w:eastAsia="宋体" w:cs="宋体"/>
                <w:b w:val="0"/>
                <w:bCs w:val="0"/>
                <w:color w:val="000000"/>
                <w:sz w:val="24"/>
                <w:szCs w:val="24"/>
                <w:highlight w:val="none"/>
              </w:rPr>
              <w:t xml:space="preserve">自合同签订后至2025年年底结束。</w:t>
            </w:r>
            <w:r>
              <w:rPr>
                <w:rFonts w:hint="eastAsia" w:ascii="宋体" w:hAnsi="宋体" w:eastAsia="宋体" w:cs="宋体"/>
                <w:color w:val="000000"/>
                <w:sz w:val="24"/>
                <w:szCs w:val="24"/>
                <w:highlight w:val="none"/>
              </w:rPr>
            </w:r>
            <w:r/>
          </w:p>
          <w:p>
            <w:pPr>
              <w:pStyle w:val="9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.交货方式：现场交付。</w:t>
            </w:r>
            <w:r>
              <w:rPr>
                <w:rFonts w:hint="eastAsia" w:ascii="宋体" w:hAnsi="宋体" w:eastAsia="宋体" w:cs="宋体"/>
                <w:color w:val="000000"/>
                <w:sz w:val="24"/>
                <w:szCs w:val="24"/>
                <w:highlight w:val="none"/>
              </w:rPr>
            </w:r>
            <w:r/>
          </w:p>
          <w:p>
            <w:pPr>
              <w:pStyle w:val="9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.交货地点：招标人指定地点。</w:t>
            </w:r>
            <w:r>
              <w:rPr>
                <w:rFonts w:hint="eastAsia" w:ascii="宋体" w:hAnsi="宋体" w:eastAsia="宋体" w:cs="宋体"/>
                <w:color w:val="000000"/>
                <w:sz w:val="24"/>
                <w:szCs w:val="24"/>
                <w:highlight w:val="none"/>
              </w:rPr>
            </w:r>
            <w:r/>
          </w:p>
        </w:tc>
      </w:tr>
      <w:tr>
        <w:trPr>
          <w:trHeight w:val="1174"/>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val="0"/>
                <w:bCs w:val="0"/>
                <w:color w:val="000000"/>
                <w:sz w:val="24"/>
                <w:szCs w:val="24"/>
                <w:highlight w:val="none"/>
              </w:rPr>
              <w:t xml:space="preserve">中标人按照采购人要求备货供货，采购人收到中标人提供的同等金额的正规发票后，在履行财政相关资金审批手续后向中标人支付合同款。</w:t>
            </w:r>
            <w:r>
              <w:rPr>
                <w:rFonts w:hint="eastAsia" w:ascii="宋体" w:hAnsi="宋体" w:eastAsia="宋体" w:cs="宋体"/>
                <w:b w:val="0"/>
                <w:bCs w:val="0"/>
                <w:color w:val="000000"/>
                <w:sz w:val="24"/>
                <w:szCs w:val="24"/>
                <w:highlight w:val="none"/>
              </w:rPr>
            </w:r>
            <w:r/>
          </w:p>
          <w:p>
            <w:pPr>
              <w:pStyle w:val="96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注：乙方申请付款时，需开具等额正规发票。</w:t>
            </w:r>
            <w:r>
              <w:rPr>
                <w:rFonts w:hint="eastAsia" w:ascii="宋体" w:hAnsi="宋体" w:eastAsia="宋体" w:cs="宋体"/>
                <w:b/>
                <w:bCs/>
                <w:color w:val="000000"/>
                <w:sz w:val="24"/>
                <w:szCs w:val="24"/>
                <w:highlight w:val="none"/>
              </w:rPr>
            </w:r>
            <w:r/>
          </w:p>
        </w:tc>
      </w:tr>
      <w:tr>
        <w:trPr>
          <w:trHeight w:val="564"/>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测试要求：依据技术要求中的条款进行验收测试。</w:t>
            </w:r>
            <w:r>
              <w:rPr>
                <w:rFonts w:hint="eastAsia" w:ascii="宋体" w:hAnsi="宋体" w:eastAsia="宋体" w:cs="宋体"/>
                <w:color w:val="000000"/>
                <w:sz w:val="24"/>
                <w:szCs w:val="24"/>
                <w:highlight w:val="none"/>
              </w:rPr>
            </w:r>
            <w:r/>
          </w:p>
        </w:tc>
      </w:tr>
      <w:tr>
        <w:trPr>
          <w:trHeight w:val="609"/>
        </w:trPr>
        <w:tc>
          <w:tcPr>
            <w:tcW w:w="989" w:type="dxa"/>
            <w:vAlign w:val="center"/>
            <w:textDirection w:val="lrTb"/>
            <w:noWrap w:val="false"/>
          </w:tcPr>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9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违约责任：具体违约条款及其它未尽事宜，将在双方签订合同时议定。</w:t>
            </w:r>
            <w:r>
              <w:rPr>
                <w:rFonts w:hint="eastAsia" w:ascii="宋体" w:hAnsi="宋体" w:eastAsia="宋体" w:cs="宋体"/>
                <w:color w:val="000000"/>
                <w:sz w:val="24"/>
                <w:szCs w:val="24"/>
                <w:highlight w:val="none"/>
              </w:rPr>
            </w:r>
            <w:r/>
          </w:p>
        </w:tc>
      </w:tr>
    </w:tbl>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注：招标文件中标注★号的部分为实质性要求和条件（由采购人根据实际情况设置），投标人必须作出满足原要求和条件的响应，否则投标无效。</w:t>
      </w:r>
      <w:r>
        <w:rPr>
          <w:rFonts w:hint="eastAsia" w:ascii="宋体" w:hAnsi="宋体" w:eastAsia="宋体" w:cs="宋体"/>
          <w:b/>
          <w:bCs/>
          <w:color w:val="000000"/>
          <w:sz w:val="24"/>
          <w:szCs w:val="24"/>
          <w:highlight w:val="none"/>
        </w:rPr>
      </w:r>
      <w:r/>
    </w:p>
    <w:p>
      <w:pPr>
        <w:pStyle w:val="960"/>
        <w:ind w:firstLine="422"/>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b/>
          <w:bCs/>
          <w:color w:val="000000"/>
          <w:szCs w:val="24"/>
          <w:highlight w:val="none"/>
        </w:rPr>
        <w:br w:type="page" w:clear="all"/>
      </w:r>
      <w:bookmarkEnd w:id="23"/>
      <w:r/>
      <w:bookmarkEnd w:id="24"/>
      <w:r/>
      <w:bookmarkStart w:id="26" w:name="_Toc10937"/>
      <w:r/>
      <w:bookmarkStart w:id="27" w:name="_Toc513622230"/>
      <w:r>
        <w:rPr>
          <w:rFonts w:hint="eastAsia" w:ascii="宋体" w:hAnsi="宋体" w:eastAsia="宋体" w:cs="宋体"/>
          <w:b/>
          <w:color w:val="000000"/>
          <w:sz w:val="36"/>
          <w:szCs w:val="20"/>
          <w:highlight w:val="none"/>
        </w:rPr>
        <w:t xml:space="preserve">第六章  项目需求</w:t>
      </w:r>
      <w:bookmarkEnd w:id="26"/>
      <w:r/>
      <w:bookmarkEnd w:id="27"/>
      <w:r>
        <w:rPr>
          <w:rFonts w:hint="eastAsia" w:ascii="宋体" w:hAnsi="宋体" w:eastAsia="宋体" w:cs="宋体"/>
          <w:color w:val="000000"/>
          <w:sz w:val="36"/>
          <w:szCs w:val="20"/>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8" w:name="_Toc139967216"/>
      <w:r/>
      <w:bookmarkStart w:id="29" w:name="_Toc139966432"/>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w:t>
      </w:r>
      <w:r>
        <w:rPr>
          <w:rFonts w:hint="eastAsia" w:ascii="宋体" w:hAnsi="宋体" w:eastAsia="宋体" w:cs="宋体"/>
          <w:color w:val="000000"/>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重组禽流感病毒(H5+H7)三价灭活疫苗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pageBreakBefore w:val="0"/>
        <w:spacing w:line="360" w:lineRule="auto"/>
        <w:rPr>
          <w:rFonts w:hint="eastAsia" w:ascii="宋体" w:hAnsi="宋体" w:eastAsia="宋体" w:cs="宋体"/>
          <w:b/>
          <w:color w:val="000000"/>
          <w:sz w:val="24"/>
          <w:szCs w:val="24"/>
          <w:highlight w:val="none"/>
        </w:rPr>
      </w:pPr>
      <w:r/>
      <w:bookmarkEnd w:id="28"/>
      <w:r/>
      <w:bookmarkEnd w:id="29"/>
      <w:r/>
      <w:bookmarkStart w:id="30" w:name="_Toc513622231"/>
      <w:r/>
      <w:bookmarkStart w:id="31" w:name="_Toc16271"/>
      <w:r/>
      <w:bookmarkStart w:id="32" w:name="_Toc139966433"/>
      <w:r/>
      <w:bookmarkStart w:id="33" w:name="_Toc139967217"/>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1、项目概况：灌南县畜牧兽医站2025年重大动物疫病强制免疫疫苗采购一标段重组禽流感病毒(H5+H7)三价灭活疫苗，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重组禽流感病毒(H5+H7)三价灭活疫苗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100万毫升</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100、250毫升/瓶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0.37元/毫升</w:t>
      </w:r>
      <w:r>
        <w:rPr>
          <w:rFonts w:hint="eastAsia" w:ascii="宋体" w:hAnsi="宋体" w:eastAsia="宋体" w:cs="宋体"/>
          <w:color w:val="000000"/>
          <w:sz w:val="24"/>
          <w:szCs w:val="24"/>
          <w:highlight w:val="none"/>
          <w:lang w:val="en-US"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4、质保期：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iCs/>
          <w:color w:val="000000"/>
          <w:sz w:val="24"/>
          <w:szCs w:val="24"/>
          <w:highlight w:val="none"/>
        </w:rPr>
        <w:t xml:space="preserve">和13个月（疫苗有效期为18个月的）（自交货验收合格之日起计）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color w:val="000000"/>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供应商可根据投标产品有效期分别对应响应。</w:t>
      </w:r>
      <w:r>
        <w:rPr>
          <w:rFonts w:hint="eastAsia"/>
          <w:color w:val="000000"/>
          <w:lang w:eastAsia="zh-CN"/>
        </w:rPr>
      </w:r>
      <w:r/>
    </w:p>
    <w:p>
      <w:pPr>
        <w:pStyle w:val="960"/>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重组禽流感病毒(H5+H7)三价灭活疫苗：HA效价不低于1∶512。疫苗必须符合农业农村部发布的“重组禽流感病毒（H5+H7）三价灭活疫苗质量标准”；疫苗的制苗毒株为H5N6 H5–Re13株+H5N8 H5–Re14株+H7N9 H7–Re4株，且符合农业农村部的相应质量标准（农业农村部调整毒株时提供调整毒株的疫苗）。</w:t>
      </w:r>
      <w:r>
        <w:rPr>
          <w:rFonts w:hint="eastAsia" w:ascii="宋体" w:hAnsi="宋体" w:eastAsia="宋体" w:cs="宋体"/>
          <w:color w:val="000000"/>
          <w:sz w:val="24"/>
          <w:szCs w:val="24"/>
          <w:highlight w:val="none"/>
          <w:u w:val="singl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乙方应按下列要求为甲方免费承担年度内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高致病性禽流感：重组禽流感病毒(H5+H7)三价灭活疫苗供苗商要求储备量为</w:t>
      </w:r>
      <w:r>
        <w:rPr>
          <w:rFonts w:hint="eastAsia" w:ascii="宋体" w:hAnsi="宋体" w:eastAsia="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lang w:eastAsia="zh-CN"/>
        </w:rPr>
        <w:t xml:space="preserve">万毫升。</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960"/>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96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猪口蹄疫O型合成肽疫苗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1、项目概况：灌南县畜牧兽医站2025年重大动物疫病强制免疫疫苗采购二标段猪口蹄疫O型合成肽疫苗，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猪口蹄疫O型合成肽疫苗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20万毫升</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2元/毫升</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4、质保期：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iCs/>
          <w:color w:val="000000"/>
          <w:sz w:val="24"/>
          <w:szCs w:val="24"/>
          <w:highlight w:val="none"/>
          <w:lang w:val="en-US" w:eastAsia="zh-CN"/>
        </w:rPr>
        <w:t xml:space="preserve">或</w:t>
      </w:r>
      <w:r>
        <w:rPr>
          <w:rFonts w:hint="eastAsia" w:ascii="宋体" w:hAnsi="宋体" w:eastAsia="宋体" w:cs="宋体"/>
          <w:iCs/>
          <w:color w:val="000000"/>
          <w:sz w:val="24"/>
          <w:szCs w:val="24"/>
          <w:highlight w:val="none"/>
        </w:rPr>
        <w:t xml:space="preserve">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7"/>
        <w:keepLines w:val="0"/>
        <w:keepNext w:val="0"/>
        <w:pageBreakBefore w:val="0"/>
        <w:spacing w:line="480" w:lineRule="exact"/>
        <w:widowControl w:val="off"/>
        <w:rPr>
          <w:color w:val="000000"/>
          <w:highlight w:val="white"/>
        </w:rPr>
      </w:pPr>
      <w:r>
        <w:rPr>
          <w:rFonts w:hint="eastAsia" w:ascii="宋体" w:hAnsi="宋体" w:eastAsia="宋体" w:cs="宋体"/>
          <w:color w:val="000000"/>
          <w:sz w:val="24"/>
          <w:szCs w:val="24"/>
          <w:highlight w:val="white"/>
          <w:lang w:val="en-US" w:eastAsia="zh-CN"/>
        </w:rPr>
        <w:t xml:space="preserve">注：供应商可根据投标产品有效期分别对应响应。</w:t>
      </w:r>
      <w:r>
        <w:rPr>
          <w:highlight w:val="white"/>
        </w:rPr>
      </w:r>
      <w:r/>
    </w:p>
    <w:p>
      <w:pPr>
        <w:pStyle w:val="96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1、效力检验每头份疫苗各毒株的效力应≥10个PD50，且符合农业农村部的相应质量标准。</w:t>
      </w:r>
      <w:r>
        <w:rPr>
          <w:rFonts w:hint="eastAsia" w:ascii="宋体" w:hAnsi="宋体" w:eastAsia="宋体" w:cs="宋体"/>
          <w:color w:val="000000"/>
          <w:sz w:val="24"/>
          <w:szCs w:val="24"/>
          <w:highlight w:val="none"/>
          <w:u w:val="singl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猪口蹄疫O型合成肽疫苗，总</w:t>
      </w:r>
      <w:r>
        <w:rPr>
          <w:rFonts w:hint="eastAsia" w:ascii="宋体" w:hAnsi="宋体" w:eastAsia="宋体" w:cs="宋体"/>
          <w:color w:val="000000"/>
          <w:sz w:val="24"/>
          <w:szCs w:val="24"/>
          <w:highlight w:val="none"/>
          <w:lang w:eastAsia="zh-CN"/>
        </w:rPr>
        <w:t xml:space="preserve">储备量为</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万毫升，由中标供应商储备。</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96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960"/>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96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口蹄疫O型、A型二价灭活疫苗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keepLines w:val="0"/>
        <w:keepNext w:val="0"/>
        <w:pageBreakBefore w:val="0"/>
        <w:spacing w:line="336"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1、项目概况：灌南县畜牧兽医站2025年重大动物疫病强制免疫疫苗采购三标段口蹄疫O型、A型二价灭活疫苗，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口蹄疫O型、A型二价灭活疫苗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20万头份</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2.5元/头份</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4、质保期：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供应商可根据投标产品有效期分别对应响应。</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效力检验每头份疫苗各毒株的效力应≥10个PD50，农业农村部批准的毒株，且符合农业农村部的相应质量标准。</w:t>
      </w:r>
      <w:r>
        <w:rPr>
          <w:rFonts w:hint="eastAsia" w:ascii="宋体" w:hAnsi="宋体" w:eastAsia="宋体" w:cs="宋体"/>
          <w:color w:val="000000"/>
          <w:sz w:val="24"/>
          <w:szCs w:val="24"/>
          <w:highlight w:val="none"/>
          <w:u w:val="singl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960"/>
        <w:ind w:firstLine="482"/>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口蹄疫O型、A型二价灭活疫苗</w:t>
      </w:r>
      <w:r>
        <w:rPr>
          <w:rFonts w:hint="eastAsia" w:ascii="宋体" w:hAnsi="宋体" w:eastAsia="宋体" w:cs="宋体"/>
          <w:color w:val="000000"/>
          <w:sz w:val="24"/>
          <w:szCs w:val="24"/>
          <w:highlight w:val="none"/>
          <w:u w:val="single"/>
          <w:lang w:eastAsia="zh-CN"/>
        </w:rPr>
        <w:t xml:space="preserve">，总储备量为5万</w:t>
      </w:r>
      <w:r>
        <w:rPr>
          <w:rFonts w:hint="eastAsia" w:ascii="宋体" w:hAnsi="宋体" w:eastAsia="宋体" w:cs="宋体"/>
          <w:color w:val="000000"/>
          <w:sz w:val="24"/>
          <w:szCs w:val="24"/>
          <w:highlight w:val="none"/>
          <w:u w:val="single"/>
          <w:lang w:val="en-US" w:eastAsia="zh-CN"/>
        </w:rPr>
        <w:t xml:space="preserve">头份</w:t>
      </w:r>
      <w:r>
        <w:rPr>
          <w:rFonts w:hint="eastAsia" w:ascii="宋体" w:hAnsi="宋体" w:eastAsia="宋体" w:cs="宋体"/>
          <w:color w:val="000000"/>
          <w:sz w:val="24"/>
          <w:szCs w:val="24"/>
          <w:highlight w:val="none"/>
          <w:u w:val="single"/>
          <w:lang w:eastAsia="zh-CN"/>
        </w:rPr>
        <w:t xml:space="preserve">，由中标供应商储备。</w:t>
      </w:r>
      <w:r>
        <w:rPr>
          <w:rFonts w:hint="eastAsia" w:ascii="宋体" w:hAnsi="宋体" w:eastAsia="宋体" w:cs="宋体"/>
          <w:color w:val="000000"/>
          <w:sz w:val="24"/>
          <w:szCs w:val="24"/>
          <w:highlight w:val="none"/>
          <w:u w:val="singl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960"/>
        <w:ind w:firstLine="482"/>
        <w:keepLines w:val="0"/>
        <w:keepNext w:val="0"/>
        <w:pageBreakBefore w:val="0"/>
        <w:spacing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960"/>
        <w:ind w:firstLine="480"/>
        <w:keepLines w:val="0"/>
        <w:keepNext w:val="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960"/>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96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小反刍兽疫活疫苗（或含小反刍）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标段小反刍兽疫活疫苗（或含小反刍），</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小反刍兽疫活疫苗（或含小反刍）</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15万头份</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50头份/瓶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0.64元/头份</w:t>
      </w:r>
      <w:r>
        <w:rPr>
          <w:rFonts w:hint="eastAsia" w:ascii="宋体" w:hAnsi="宋体" w:eastAsia="宋体" w:cs="宋体"/>
          <w:color w:val="000000"/>
          <w:sz w:val="24"/>
          <w:szCs w:val="24"/>
          <w:highlight w:val="none"/>
          <w:lang w:val="en-US"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4、质保期：</w:t>
      </w:r>
      <w:r>
        <w:rPr>
          <w:rFonts w:hint="eastAsia" w:ascii="宋体" w:hAnsi="宋体" w:eastAsia="宋体" w:cs="宋体"/>
          <w:color w:val="000000"/>
          <w:sz w:val="24"/>
          <w:szCs w:val="24"/>
          <w:highlight w:val="none"/>
          <w:lang w:eastAsia="zh-CN"/>
        </w:rPr>
        <w:t xml:space="preserve">投标人承诺投标产品最终交到</w:t>
      </w:r>
      <w:r>
        <w:rPr>
          <w:rFonts w:hint="eastAsia" w:ascii="宋体" w:hAnsi="宋体" w:eastAsia="宋体" w:cs="宋体"/>
          <w:color w:val="000000"/>
          <w:sz w:val="24"/>
          <w:szCs w:val="24"/>
          <w:highlight w:val="none"/>
          <w:lang w:val="en-US" w:eastAsia="zh-CN"/>
        </w:rPr>
        <w:t xml:space="preserve">区级</w:t>
      </w:r>
      <w:r>
        <w:rPr>
          <w:rFonts w:hint="eastAsia" w:ascii="宋体" w:hAnsi="宋体" w:eastAsia="宋体" w:cs="宋体"/>
          <w:color w:val="000000"/>
          <w:sz w:val="24"/>
          <w:szCs w:val="24"/>
          <w:highlight w:val="none"/>
          <w:lang w:eastAsia="zh-CN"/>
        </w:rPr>
        <w:t xml:space="preserve">用户的有效期在</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个月（疫苗有效期为</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个月的）</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每头份病毒含量≥103TCID50，且符合农业农村部的相应质量标准。</w:t>
      </w:r>
      <w:r>
        <w:rPr>
          <w:rFonts w:hint="eastAsia" w:ascii="宋体" w:hAnsi="宋体" w:eastAsia="宋体" w:cs="宋体"/>
          <w:color w:val="000000"/>
          <w:sz w:val="24"/>
          <w:szCs w:val="24"/>
          <w:highlight w:val="none"/>
          <w:u w:val="singl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960"/>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960"/>
        <w:ind w:firstLine="482"/>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 小反刍兽疫活疫苗（或含小反刍）</w:t>
      </w:r>
      <w:r>
        <w:rPr>
          <w:rFonts w:hint="eastAsia" w:ascii="宋体" w:hAnsi="宋体" w:eastAsia="宋体" w:cs="宋体"/>
          <w:color w:val="000000"/>
          <w:sz w:val="24"/>
          <w:szCs w:val="24"/>
          <w:highlight w:val="none"/>
          <w:u w:val="single"/>
          <w:lang w:eastAsia="zh-CN"/>
        </w:rPr>
        <w:t xml:space="preserve">，总储备量为5万</w:t>
      </w:r>
      <w:r>
        <w:rPr>
          <w:rFonts w:hint="eastAsia" w:ascii="宋体" w:hAnsi="宋体" w:eastAsia="宋体" w:cs="宋体"/>
          <w:color w:val="000000"/>
          <w:sz w:val="24"/>
          <w:szCs w:val="24"/>
          <w:highlight w:val="none"/>
          <w:u w:val="single"/>
          <w:lang w:val="en-US" w:eastAsia="zh-CN"/>
        </w:rPr>
        <w:t xml:space="preserve">头份</w:t>
      </w:r>
      <w:r>
        <w:rPr>
          <w:rFonts w:hint="eastAsia" w:ascii="宋体" w:hAnsi="宋体" w:eastAsia="宋体" w:cs="宋体"/>
          <w:color w:val="000000"/>
          <w:sz w:val="24"/>
          <w:szCs w:val="24"/>
          <w:highlight w:val="none"/>
          <w:u w:val="single"/>
          <w:lang w:eastAsia="zh-CN"/>
        </w:rPr>
        <w:t xml:space="preserve">，由中标供应商储备。</w:t>
      </w:r>
      <w:r>
        <w:rPr>
          <w:rFonts w:hint="eastAsia" w:ascii="宋体" w:hAnsi="宋体" w:eastAsia="宋体" w:cs="宋体"/>
          <w:color w:val="000000"/>
          <w:sz w:val="24"/>
          <w:szCs w:val="24"/>
          <w:highlight w:val="none"/>
          <w:u w:val="single"/>
          <w:lang w:eastAsia="zh-CN"/>
        </w:rPr>
      </w:r>
      <w:r/>
    </w:p>
    <w:p>
      <w:pPr>
        <w:pStyle w:val="960"/>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960"/>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960"/>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960"/>
        <w:jc w:val="center"/>
        <w:keepLines/>
        <w:keepNext/>
        <w:spacing w:line="360" w:lineRule="auto"/>
        <w:rPr>
          <w:rFonts w:hint="eastAsia" w:ascii="宋体" w:hAnsi="宋体" w:eastAsia="宋体" w:cs="宋体"/>
          <w:b/>
          <w:color w:val="000000"/>
          <w:sz w:val="36"/>
          <w:szCs w:val="20"/>
          <w:highlight w:val="none"/>
        </w:rPr>
        <w:outlineLvl w:val="0"/>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t xml:space="preserve">第七章  评标办法</w:t>
      </w:r>
      <w:bookmarkEnd w:id="30"/>
      <w:r/>
      <w:bookmarkEnd w:id="31"/>
      <w:r>
        <w:rPr>
          <w:rFonts w:hint="eastAsia" w:ascii="宋体" w:hAnsi="宋体" w:eastAsia="宋体" w:cs="宋体"/>
          <w:b/>
          <w:color w:val="000000"/>
          <w:sz w:val="36"/>
          <w:szCs w:val="20"/>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一、评标委员会构成：</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本采购项目评标委员会的评委由采购人代表和评审专家组成。</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二、评标方法：</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三、评标原则：</w:t>
      </w:r>
      <w:r>
        <w:rPr>
          <w:rFonts w:hint="eastAsia" w:ascii="宋体" w:hAnsi="宋体" w:eastAsia="宋体" w:cs="宋体"/>
          <w:b/>
          <w:bCs/>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96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960"/>
        <w:jc w:val="left"/>
        <w:spacing w:line="312"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综合评分法（采购包1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bl>
      <w:tblPr>
        <w:tblW w:w="983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1196"/>
        <w:gridCol w:w="730"/>
        <w:gridCol w:w="6597"/>
      </w:tblGrid>
      <w:tr>
        <w:trPr>
          <w:trHeight w:val="493"/>
        </w:trPr>
        <w:tc>
          <w:tcPr>
            <w:gridSpan w:val="2"/>
            <w:tcW w:w="2510"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评审因素</w:t>
            </w:r>
            <w:r>
              <w:rPr>
                <w:rFonts w:hint="eastAsia" w:ascii="宋体" w:hAnsi="宋体" w:eastAsia="宋体" w:cs="宋体"/>
                <w:i w:val="0"/>
                <w:iCs w:val="0"/>
                <w:color w:val="000000"/>
                <w:sz w:val="22"/>
                <w:szCs w:val="22"/>
                <w:highlight w:val="none"/>
                <w:u w:val="none"/>
              </w:rPr>
            </w:r>
            <w:r/>
          </w:p>
        </w:tc>
        <w:tc>
          <w:tcPr>
            <w:tcW w:w="730"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分数</w:t>
            </w:r>
            <w:r>
              <w:rPr>
                <w:rFonts w:hint="eastAsia" w:ascii="宋体" w:hAnsi="宋体" w:eastAsia="宋体" w:cs="宋体"/>
                <w:i w:val="0"/>
                <w:iCs w:val="0"/>
                <w:color w:val="000000"/>
                <w:sz w:val="22"/>
                <w:szCs w:val="22"/>
                <w:highlight w:val="none"/>
                <w:u w:val="none"/>
              </w:rPr>
            </w:r>
            <w:r/>
          </w:p>
        </w:tc>
        <w:tc>
          <w:tcPr>
            <w:tcW w:w="6597"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评审标准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报价分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（30分）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投标报价</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ind w:firstLine="44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i w:val="0"/>
                <w:iCs w:val="0"/>
                <w:color w:val="000000"/>
                <w:sz w:val="22"/>
                <w:szCs w:val="22"/>
                <w:highlight w:val="none"/>
                <w:u w:val="none"/>
                <w:lang w:val="en-US" w:eastAsia="zh-CN" w:bidi="ar"/>
              </w:rPr>
            </w:r>
            <w:r/>
          </w:p>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投标报价得分=（评标基准价/投标报价）×30分。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结果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CMA检测报告</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所投品种疫苗2023年以来的CMA检测报告，报告合格得5分，不合格不得分；或提供所投品种疫苗2023年以来连续批次批签发报告（显示质量合格），连续1批次得1分，最高5分。（未提供检测报告的此项不得分）</w:t>
            </w:r>
            <w:r>
              <w:rPr>
                <w:rFonts w:hint="eastAsia" w:ascii="宋体" w:hAnsi="宋体" w:eastAsia="宋体" w:cs="宋体"/>
                <w:i w:val="0"/>
                <w:iCs w:val="0"/>
                <w:color w:val="000000"/>
                <w:sz w:val="22"/>
                <w:szCs w:val="22"/>
                <w:highlight w:val="none"/>
                <w:u w:val="none"/>
              </w:rPr>
            </w:r>
            <w:r/>
          </w:p>
        </w:tc>
      </w:tr>
      <w:tr>
        <w:trPr>
          <w:trHeight w:val="765"/>
        </w:trPr>
        <w:tc>
          <w:tcPr>
            <w:tcW w:w="1314" w:type="dxa"/>
            <w:vAlign w:val="center"/>
            <w:vMerge w:val="continue"/>
            <w:textDirection w:val="lrTb"/>
            <w:noWrap w:val="false"/>
          </w:tcPr>
          <w:p>
            <w:pPr>
              <w:pStyle w:val="96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抗体检测合格报告</w:t>
            </w:r>
            <w:r>
              <w:rPr>
                <w:rFonts w:hint="eastAsia" w:ascii="宋体" w:hAnsi="宋体" w:eastAsia="宋体" w:cs="宋体"/>
                <w:i w:val="0"/>
                <w:iCs w:val="0"/>
                <w:color w:val="000000"/>
                <w:sz w:val="22"/>
                <w:szCs w:val="22"/>
                <w:highlight w:val="none"/>
                <w:u w:val="none"/>
              </w:rPr>
            </w:r>
            <w:r/>
          </w:p>
        </w:tc>
        <w:tc>
          <w:tcPr>
            <w:tcW w:w="730"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597" w:type="dxa"/>
            <w:vAlign w:val="center"/>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投标人提供所投品种疫苗2023年以来各省级兽医部门出具的抗体检测合格报告或履约证明，每提供1个得0.5分，本项最高得5分。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效果（2分）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检测报告</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投标人提供2023年以来用户（畜牧兽医部门或委托第三方检测机构）出具的该产品使用效果优良的检测报告（内容包括疫苗品种、检测数量、免疫抗体合格率等情况），每提供1个得0.5分，本项最高得2分。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（52分）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其产品售前、售中、售后（包括小批量和小规格疫苗发货、有效期、储存和使用等环节）服务、免疫效果跟踪评价、培训计划、培训内容、培训人次、师资力量等服务方案。方案合理性强、内容详尽细致</w:t>
            </w:r>
            <w:r>
              <w:rPr>
                <w:rFonts w:hint="eastAsia" w:ascii="宋体" w:hAnsi="宋体" w:eastAsia="宋体" w:cs="宋体"/>
                <w:i w:val="0"/>
                <w:iCs w:val="0"/>
                <w:color w:val="000000"/>
                <w:sz w:val="22"/>
                <w:szCs w:val="22"/>
                <w:highlight w:val="none"/>
                <w:u w:val="none"/>
                <w:lang w:val="en-US" w:eastAsia="zh-CN" w:bidi="ar"/>
              </w:rPr>
              <w:t xml:space="preserve">、针对性强的得11分；方案合理性较强、内容符合性较强、针对性较强的得8分；方案合理性一般、内容符合性一般、针对性一般的得6分。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r>
            <w:r/>
          </w:p>
          <w:p>
            <w:pPr>
              <w:pStyle w:val="960"/>
              <w:ind w:firstLine="44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lang w:val="en-US" w:eastAsia="zh-CN" w:bidi="ar"/>
              </w:rPr>
            </w:r>
            <w:r/>
          </w:p>
        </w:tc>
      </w:tr>
      <w:tr>
        <w:trPr>
          <w:trHeight w:val="285"/>
        </w:trPr>
        <w:tc>
          <w:tcPr>
            <w:tcW w:w="1314" w:type="dxa"/>
            <w:vAlign w:val="center"/>
            <w:vMerge w:val="continue"/>
            <w:textDirection w:val="lrTb"/>
            <w:noWrap w:val="false"/>
          </w:tcPr>
          <w:p>
            <w:pPr>
              <w:pStyle w:val="96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应急处理方案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快速便捷的免疫副反应理赔、用户反映问题处理、用户走访等方面的工作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96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冷链运输、废弃疫苗瓶回收方案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包含冷链运输方式、全程温度管理、突发事件处理等方面内容的冷链运输方案，协助废弃疫苗瓶回收、处理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96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强制免疫“先打后补”实施方案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强制免疫“先打后补”政策实施过程中提供的落实措施，配套方案，成功案例（需同时提供当地动物防疫机构（部门）出具的相关证明），能积极配合灌南县各地强制免疫先打后补工作。方案合理性强、内容详尽细致、针对性强的得8分；方案合理性较强、内容符合性较强、针对性较强的得5分；方案合理性一般、内容符合性一般、针对性一般的得4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96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产品控制方案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val="en-US"/>
              </w:rPr>
            </w:r>
            <w:r/>
          </w:p>
        </w:tc>
        <w:tc>
          <w:tcPr>
            <w:tcW w:w="6597" w:type="dxa"/>
            <w:vAlign w:val="center"/>
            <w:vMerge w:val="restart"/>
            <w:textDirection w:val="lrTb"/>
            <w:noWrap w:val="false"/>
          </w:tcPr>
          <w:p>
            <w:pPr>
              <w:pStyle w:val="96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其所投产品的产品控制方案，包括但不限于产品质量、创新研究、技术合作等品控措施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企业业绩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类似业绩</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96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960"/>
              <w:ind w:right="162"/>
              <w:jc w:val="left"/>
              <w:keepLines w:val="0"/>
              <w:keepNext w:val="0"/>
              <w:widowControl/>
              <w:tabs>
                <w:tab w:val="left" w:pos="2520" w:leader="none"/>
                <w:tab w:val="left" w:pos="5680" w:leader="none"/>
              </w:tabs>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投标人2022年以来完成过（以合同签订时间为准）类似项目业绩的，每提供一个得2分，本项最高得6分。</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注：上述类似项目业绩是指投标人所提供的业绩需与本项目内容相关的业绩，投标文件中提供采购中标（成交）通知书、合同原件扫描件加盖投标单位公章等材料，二者缺一不可。</w:t>
            </w:r>
            <w:r>
              <w:rPr>
                <w:rFonts w:hint="eastAsia" w:ascii="宋体" w:hAnsi="宋体" w:eastAsia="宋体" w:cs="宋体"/>
                <w:b/>
                <w:bCs/>
                <w:i w:val="0"/>
                <w:iCs w:val="0"/>
                <w:color w:val="000000"/>
                <w:sz w:val="22"/>
                <w:szCs w:val="22"/>
                <w:highlight w:val="none"/>
                <w:u w:val="none"/>
              </w:rPr>
            </w:r>
            <w:r/>
          </w:p>
        </w:tc>
      </w:tr>
    </w:tbl>
    <w:p>
      <w:pPr>
        <w:pStyle w:val="960"/>
        <w:ind w:firstLine="482"/>
        <w:spacing w:line="360" w:lineRule="auto"/>
        <w:widowControl/>
        <w:rPr>
          <w:rFonts w:hint="eastAsia" w:ascii="宋体" w:hAnsi="宋体" w:eastAsia="宋体" w:cs="宋体"/>
          <w:b/>
          <w:color w:val="000000"/>
          <w:sz w:val="24"/>
          <w:szCs w:val="24"/>
          <w:highlight w:val="none"/>
        </w:rPr>
      </w:pPr>
      <w:r/>
      <w:bookmarkEnd w:id="32"/>
      <w:r/>
      <w:bookmarkEnd w:id="33"/>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以上采购包1、采购包2、采购包3、采购包4</w:t>
      </w:r>
      <w:r>
        <w:rPr>
          <w:rFonts w:hint="eastAsia" w:ascii="宋体" w:hAnsi="宋体" w:eastAsia="宋体" w:cs="宋体"/>
          <w:b/>
          <w:color w:val="000000"/>
          <w:sz w:val="24"/>
          <w:szCs w:val="24"/>
          <w:highlight w:val="none"/>
        </w:rPr>
        <w:t xml:space="preserve">投标文件中所提供的全部证明材料，评审结束后采购人有权进行核实，如有不实，将按照相关法律法规规定进行处理。</w:t>
      </w:r>
      <w:r>
        <w:rPr>
          <w:rFonts w:hint="eastAsia" w:ascii="宋体" w:hAnsi="宋体" w:eastAsia="宋体" w:cs="宋体"/>
          <w:b/>
          <w:color w:val="000000"/>
          <w:sz w:val="24"/>
          <w:szCs w:val="24"/>
          <w:highlight w:val="none"/>
        </w:rPr>
      </w:r>
      <w:r/>
    </w:p>
    <w:p>
      <w:pPr>
        <w:pStyle w:val="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Mincho">
    <w:panose1 w:val="02020603050405090304"/>
  </w:font>
  <w:font w:name="Courier New">
    <w:panose1 w:val="02070309020205020404"/>
  </w:font>
  <w:font w:name="金山简黑体">
    <w:panose1 w:val="020B05030202020202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G Time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420"/>
      <w:tabs>
        <w:tab w:val="center" w:pos="4153" w:leader="none"/>
        <w:tab w:val="right" w:pos="8306" w:leader="none"/>
      </w:tabs>
      <w:rPr>
        <w:rStyle w:val="1025"/>
        <w:sz w:val="21"/>
      </w:rPr>
      <w:framePr w:wrap="around" w:vAnchor="text" w:hAnchor="margin" w:xAlign="center" w:y="1"/>
    </w:pPr>
    <w:r>
      <w:rPr>
        <w:sz w:val="21"/>
      </w:rPr>
      <w:fldChar w:fldCharType="begin"/>
    </w:r>
    <w:r>
      <w:rPr>
        <w:rStyle w:val="1025"/>
        <w:sz w:val="21"/>
      </w:rPr>
      <w:instrText xml:space="preserve">PAGE  </w:instrText>
    </w:r>
    <w:r>
      <w:rPr>
        <w:sz w:val="21"/>
      </w:rPr>
      <w:fldChar w:fldCharType="separate"/>
    </w:r>
    <w:r>
      <w:rPr>
        <w:rStyle w:val="1025"/>
        <w:sz w:val="21"/>
      </w:rPr>
      <w:t xml:space="preserve">34</w:t>
    </w:r>
    <w:r>
      <w:rPr>
        <w:sz w:val="21"/>
      </w:rPr>
      <w:fldChar w:fldCharType="end"/>
    </w:r>
    <w:r>
      <w:rPr>
        <w:rStyle w:val="1025"/>
        <w:sz w:val="21"/>
      </w:rPr>
    </w:r>
    <w:r/>
  </w:p>
  <w:p>
    <w:pPr>
      <w:pStyle w:val="997"/>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1"/>
      <w:isLgl w:val="false"/>
      <w:suff w:val="tab"/>
      <w:lvlText w:val="%1"/>
      <w:lvlJc w:val="left"/>
      <w:pPr>
        <w:pStyle w:val="960"/>
        <w:ind w:left="284" w:hanging="284"/>
        <w:tabs>
          <w:tab w:val="num" w:pos="360" w:leader="none"/>
        </w:tabs>
      </w:pPr>
      <w:rPr>
        <w:rFonts w:ascii="Times New Roman" w:hAnsi="Times New Roman"/>
        <w:b/>
        <w:i w:val="0"/>
        <w:sz w:val="28"/>
      </w:rPr>
    </w:lvl>
    <w:lvl w:ilvl="1">
      <w:start w:val="1"/>
      <w:numFmt w:val="decimal"/>
      <w:pStyle w:val="962"/>
      <w:isLgl w:val="false"/>
      <w:suff w:val="tab"/>
      <w:lvlText w:val="%1.%2"/>
      <w:lvlJc w:val="left"/>
      <w:pPr>
        <w:pStyle w:val="960"/>
        <w:ind w:left="1021" w:hanging="596"/>
        <w:tabs>
          <w:tab w:val="num" w:pos="1021" w:leader="none"/>
        </w:tabs>
      </w:pPr>
      <w:rPr>
        <w:rFonts w:ascii="Times New Roman" w:hAnsi="Times New Roman"/>
        <w:b/>
        <w:i w:val="0"/>
        <w:sz w:val="28"/>
      </w:rPr>
    </w:lvl>
    <w:lvl w:ilvl="2">
      <w:start w:val="1"/>
      <w:numFmt w:val="decimal"/>
      <w:pStyle w:val="963"/>
      <w:isLgl w:val="false"/>
      <w:suff w:val="tab"/>
      <w:lvlText w:val="%1.%2.%3"/>
      <w:lvlJc w:val="left"/>
      <w:pPr>
        <w:pStyle w:val="960"/>
        <w:ind w:left="1588" w:hanging="737"/>
        <w:tabs>
          <w:tab w:val="num" w:pos="1588" w:leader="none"/>
        </w:tabs>
      </w:pPr>
      <w:rPr>
        <w:rFonts w:ascii="Times New Roman" w:hAnsi="Times New Roman"/>
        <w:b/>
        <w:i w:val="0"/>
        <w:sz w:val="24"/>
      </w:rPr>
    </w:lvl>
    <w:lvl w:ilvl="3">
      <w:start w:val="1"/>
      <w:numFmt w:val="decimal"/>
      <w:pStyle w:val="964"/>
      <w:isLgl w:val="false"/>
      <w:suff w:val="tab"/>
      <w:lvlText w:val="%1.%2.%3.%4"/>
      <w:lvlJc w:val="left"/>
      <w:pPr>
        <w:pStyle w:val="96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60"/>
        <w:ind w:left="2551" w:hanging="850"/>
        <w:tabs>
          <w:tab w:val="num" w:pos="3141" w:leader="none"/>
        </w:tabs>
      </w:pPr>
      <w:rPr>
        <w:rFonts w:hint="eastAsia"/>
      </w:rPr>
    </w:lvl>
    <w:lvl w:ilvl="5">
      <w:start w:val="1"/>
      <w:numFmt w:val="decimal"/>
      <w:isLgl w:val="false"/>
      <w:suff w:val="tab"/>
      <w:lvlText w:val="%1.%2.%3.%4.%5.%6"/>
      <w:lvlJc w:val="left"/>
      <w:pPr>
        <w:pStyle w:val="960"/>
        <w:ind w:left="3260" w:hanging="1134"/>
        <w:tabs>
          <w:tab w:val="num" w:pos="3566" w:leader="none"/>
        </w:tabs>
      </w:pPr>
      <w:rPr>
        <w:rFonts w:hint="eastAsia"/>
      </w:rPr>
    </w:lvl>
    <w:lvl w:ilvl="6">
      <w:start w:val="1"/>
      <w:numFmt w:val="decimal"/>
      <w:isLgl w:val="false"/>
      <w:suff w:val="tab"/>
      <w:lvlText w:val="%1.%2.%3.%4.%5.%6.%7"/>
      <w:lvlJc w:val="left"/>
      <w:pPr>
        <w:pStyle w:val="960"/>
        <w:ind w:left="3827" w:hanging="1276"/>
        <w:tabs>
          <w:tab w:val="num" w:pos="4351" w:leader="none"/>
        </w:tabs>
      </w:pPr>
      <w:rPr>
        <w:rFonts w:hint="eastAsia"/>
      </w:rPr>
    </w:lvl>
    <w:lvl w:ilvl="7">
      <w:start w:val="1"/>
      <w:numFmt w:val="decimal"/>
      <w:isLgl w:val="false"/>
      <w:suff w:val="tab"/>
      <w:lvlText w:val="%1.%2.%3.%4.%5.%6.%7.%8"/>
      <w:lvlJc w:val="left"/>
      <w:pPr>
        <w:pStyle w:val="960"/>
        <w:ind w:left="4394" w:hanging="1418"/>
        <w:tabs>
          <w:tab w:val="num" w:pos="5136" w:leader="none"/>
        </w:tabs>
      </w:pPr>
      <w:rPr>
        <w:rFonts w:hint="eastAsia"/>
      </w:rPr>
    </w:lvl>
    <w:lvl w:ilvl="8">
      <w:start w:val="1"/>
      <w:numFmt w:val="decimal"/>
      <w:isLgl w:val="false"/>
      <w:suff w:val="tab"/>
      <w:lvlText w:val="%1.%2.%3.%4.%5.%6.%7.%8.%9"/>
      <w:lvlJc w:val="left"/>
      <w:pPr>
        <w:pStyle w:val="960"/>
        <w:ind w:left="5102" w:hanging="1700"/>
        <w:tabs>
          <w:tab w:val="num"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960"/>
    <w:next w:val="960"/>
    <w:link w:val="783"/>
    <w:uiPriority w:val="9"/>
    <w:qFormat/>
    <w:pPr>
      <w:keepLines/>
      <w:keepNext/>
      <w:spacing w:before="480" w:after="200"/>
      <w:outlineLvl w:val="0"/>
    </w:pPr>
    <w:rPr>
      <w:rFonts w:ascii="Arial" w:hAnsi="Arial" w:eastAsia="Arial" w:cs="Arial"/>
      <w:sz w:val="40"/>
      <w:szCs w:val="40"/>
    </w:rPr>
  </w:style>
  <w:style w:type="character" w:styleId="783">
    <w:name w:val="Heading 1 Char"/>
    <w:link w:val="782"/>
    <w:uiPriority w:val="9"/>
    <w:rPr>
      <w:rFonts w:ascii="Arial" w:hAnsi="Arial" w:eastAsia="Arial" w:cs="Arial"/>
      <w:sz w:val="40"/>
      <w:szCs w:val="40"/>
    </w:rPr>
  </w:style>
  <w:style w:type="paragraph" w:styleId="784">
    <w:name w:val="Heading 2"/>
    <w:basedOn w:val="960"/>
    <w:next w:val="960"/>
    <w:link w:val="785"/>
    <w:uiPriority w:val="9"/>
    <w:unhideWhenUsed/>
    <w:qFormat/>
    <w:pPr>
      <w:keepLines/>
      <w:keepNext/>
      <w:spacing w:before="360" w:after="200"/>
      <w:outlineLvl w:val="1"/>
    </w:pPr>
    <w:rPr>
      <w:rFonts w:ascii="Arial" w:hAnsi="Arial" w:eastAsia="Arial" w:cs="Arial"/>
      <w:sz w:val="34"/>
    </w:rPr>
  </w:style>
  <w:style w:type="character" w:styleId="785">
    <w:name w:val="Heading 2 Char"/>
    <w:link w:val="784"/>
    <w:uiPriority w:val="9"/>
    <w:rPr>
      <w:rFonts w:ascii="Arial" w:hAnsi="Arial" w:eastAsia="Arial" w:cs="Arial"/>
      <w:sz w:val="34"/>
    </w:rPr>
  </w:style>
  <w:style w:type="paragraph" w:styleId="786">
    <w:name w:val="Heading 3"/>
    <w:basedOn w:val="960"/>
    <w:next w:val="960"/>
    <w:link w:val="787"/>
    <w:uiPriority w:val="9"/>
    <w:unhideWhenUsed/>
    <w:qFormat/>
    <w:pPr>
      <w:keepLines/>
      <w:keepNext/>
      <w:spacing w:before="320" w:after="200"/>
      <w:outlineLvl w:val="2"/>
    </w:pPr>
    <w:rPr>
      <w:rFonts w:ascii="Arial" w:hAnsi="Arial" w:eastAsia="Arial" w:cs="Arial"/>
      <w:sz w:val="30"/>
      <w:szCs w:val="30"/>
    </w:rPr>
  </w:style>
  <w:style w:type="character" w:styleId="787">
    <w:name w:val="Heading 3 Char"/>
    <w:link w:val="786"/>
    <w:uiPriority w:val="9"/>
    <w:rPr>
      <w:rFonts w:ascii="Arial" w:hAnsi="Arial" w:eastAsia="Arial" w:cs="Arial"/>
      <w:sz w:val="30"/>
      <w:szCs w:val="30"/>
    </w:rPr>
  </w:style>
  <w:style w:type="paragraph" w:styleId="788">
    <w:name w:val="Heading 4"/>
    <w:basedOn w:val="960"/>
    <w:next w:val="960"/>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link w:val="788"/>
    <w:uiPriority w:val="9"/>
    <w:rPr>
      <w:rFonts w:ascii="Arial" w:hAnsi="Arial" w:eastAsia="Arial" w:cs="Arial"/>
      <w:b/>
      <w:bCs/>
      <w:sz w:val="26"/>
      <w:szCs w:val="26"/>
    </w:rPr>
  </w:style>
  <w:style w:type="paragraph" w:styleId="790">
    <w:name w:val="Heading 5"/>
    <w:basedOn w:val="960"/>
    <w:next w:val="960"/>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link w:val="790"/>
    <w:uiPriority w:val="9"/>
    <w:rPr>
      <w:rFonts w:ascii="Arial" w:hAnsi="Arial" w:eastAsia="Arial" w:cs="Arial"/>
      <w:b/>
      <w:bCs/>
      <w:sz w:val="24"/>
      <w:szCs w:val="24"/>
    </w:rPr>
  </w:style>
  <w:style w:type="paragraph" w:styleId="792">
    <w:name w:val="Heading 6"/>
    <w:basedOn w:val="960"/>
    <w:next w:val="960"/>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link w:val="792"/>
    <w:uiPriority w:val="9"/>
    <w:rPr>
      <w:rFonts w:ascii="Arial" w:hAnsi="Arial" w:eastAsia="Arial" w:cs="Arial"/>
      <w:b/>
      <w:bCs/>
      <w:sz w:val="22"/>
      <w:szCs w:val="22"/>
    </w:rPr>
  </w:style>
  <w:style w:type="paragraph" w:styleId="794">
    <w:name w:val="Heading 7"/>
    <w:basedOn w:val="960"/>
    <w:next w:val="960"/>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link w:val="794"/>
    <w:uiPriority w:val="9"/>
    <w:rPr>
      <w:rFonts w:ascii="Arial" w:hAnsi="Arial" w:eastAsia="Arial" w:cs="Arial"/>
      <w:b/>
      <w:bCs/>
      <w:i/>
      <w:iCs/>
      <w:sz w:val="22"/>
      <w:szCs w:val="22"/>
    </w:rPr>
  </w:style>
  <w:style w:type="paragraph" w:styleId="796">
    <w:name w:val="Heading 8"/>
    <w:basedOn w:val="960"/>
    <w:next w:val="960"/>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link w:val="796"/>
    <w:uiPriority w:val="9"/>
    <w:rPr>
      <w:rFonts w:ascii="Arial" w:hAnsi="Arial" w:eastAsia="Arial" w:cs="Arial"/>
      <w:i/>
      <w:iCs/>
      <w:sz w:val="22"/>
      <w:szCs w:val="22"/>
    </w:rPr>
  </w:style>
  <w:style w:type="paragraph" w:styleId="798">
    <w:name w:val="Heading 9"/>
    <w:basedOn w:val="960"/>
    <w:next w:val="960"/>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link w:val="798"/>
    <w:uiPriority w:val="9"/>
    <w:rPr>
      <w:rFonts w:ascii="Arial" w:hAnsi="Arial" w:eastAsia="Arial" w:cs="Arial"/>
      <w:i/>
      <w:iCs/>
      <w:sz w:val="21"/>
      <w:szCs w:val="21"/>
    </w:rPr>
  </w:style>
  <w:style w:type="paragraph" w:styleId="800">
    <w:name w:val="List Paragraph"/>
    <w:basedOn w:val="960"/>
    <w:uiPriority w:val="34"/>
    <w:qFormat/>
    <w:pPr>
      <w:contextualSpacing/>
      <w:ind w:left="720"/>
    </w:p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7"/>
    <w:link w:val="960"/>
    <w:qFormat/>
    <w:pPr>
      <w:jc w:val="both"/>
      <w:widowControl w:val="off"/>
    </w:pPr>
    <w:rPr>
      <w:rFonts w:ascii="Calibri" w:hAnsi="Calibri" w:cs="黑体"/>
      <w:sz w:val="21"/>
      <w:szCs w:val="22"/>
      <w:lang w:val="en-US" w:eastAsia="zh-CN" w:bidi="ar-SA"/>
    </w:rPr>
  </w:style>
  <w:style w:type="paragraph" w:styleId="961">
    <w:name w:val="标题 1"/>
    <w:basedOn w:val="960"/>
    <w:next w:val="960"/>
    <w:link w:val="968"/>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962">
    <w:name w:val="标题 2"/>
    <w:basedOn w:val="960"/>
    <w:next w:val="960"/>
    <w:link w:val="969"/>
    <w:qFormat/>
    <w:pPr>
      <w:numPr>
        <w:ilvl w:val="1"/>
        <w:numId w:val="1"/>
      </w:numPr>
      <w:keepNext/>
      <w:spacing w:line="360" w:lineRule="auto"/>
      <w:tabs>
        <w:tab w:val="left" w:pos="360" w:leader="none"/>
      </w:tabs>
      <w:outlineLvl w:val="1"/>
    </w:pPr>
    <w:rPr>
      <w:rFonts w:ascii="Times New Roman" w:hAnsi="Times New Roman" w:eastAsia="黑体" w:cs="Times New Roman"/>
      <w:b/>
      <w:sz w:val="28"/>
      <w:szCs w:val="20"/>
    </w:rPr>
  </w:style>
  <w:style w:type="paragraph" w:styleId="963">
    <w:name w:val="标题 3"/>
    <w:basedOn w:val="960"/>
    <w:next w:val="971"/>
    <w:link w:val="970"/>
    <w:qFormat/>
    <w:pPr>
      <w:numPr>
        <w:ilvl w:val="2"/>
        <w:numId w:val="1"/>
      </w:numPr>
      <w:ind w:firstLine="200"/>
      <w:spacing w:before="120" w:line="360" w:lineRule="auto"/>
      <w:tabs>
        <w:tab w:val="left" w:pos="360" w:leader="none"/>
        <w:tab w:val="left" w:pos="900" w:leader="none"/>
      </w:tabs>
      <w:outlineLvl w:val="2"/>
    </w:pPr>
    <w:rPr>
      <w:rFonts w:ascii="Times New Roman" w:hAnsi="Times New Roman" w:eastAsia="黑体" w:cs="Times New Roman"/>
      <w:b/>
      <w:sz w:val="28"/>
      <w:szCs w:val="20"/>
    </w:rPr>
  </w:style>
  <w:style w:type="paragraph" w:styleId="964">
    <w:name w:val="标题 4"/>
    <w:basedOn w:val="960"/>
    <w:next w:val="960"/>
    <w:link w:val="973"/>
    <w:qFormat/>
    <w:pPr>
      <w:numPr>
        <w:ilvl w:val="3"/>
        <w:numId w:val="1"/>
      </w:numPr>
      <w:ind w:firstLine="200"/>
      <w:spacing w:before="120" w:line="360" w:lineRule="auto"/>
      <w:tabs>
        <w:tab w:val="left" w:pos="360" w:leader="none"/>
      </w:tabs>
      <w:outlineLvl w:val="3"/>
    </w:pPr>
    <w:rPr>
      <w:rFonts w:ascii="Arial" w:hAnsi="Times New Roman" w:eastAsia="黑体" w:cs="Times New Roman"/>
      <w:sz w:val="28"/>
      <w:szCs w:val="20"/>
    </w:rPr>
  </w:style>
  <w:style w:type="character" w:styleId="965">
    <w:name w:val="默认段落字体"/>
    <w:next w:val="965"/>
    <w:link w:val="960"/>
    <w:uiPriority w:val="1"/>
    <w:unhideWhenUsed/>
  </w:style>
  <w:style w:type="table" w:styleId="966">
    <w:name w:val="普通表格"/>
    <w:next w:val="966"/>
    <w:link w:val="960"/>
    <w:uiPriority w:val="99"/>
    <w:unhideWhenUsed/>
    <w:qFormat/>
    <w:tblPr/>
  </w:style>
  <w:style w:type="paragraph" w:styleId="967">
    <w:name w:val="首行缩进"/>
    <w:basedOn w:val="960"/>
    <w:next w:val="967"/>
    <w:link w:val="960"/>
    <w:qFormat/>
    <w:pPr>
      <w:ind w:firstLine="480"/>
    </w:pPr>
    <w:rPr>
      <w:rFonts w:ascii="Times New Roman" w:hAnsi="Times New Roman"/>
      <w:sz w:val="26"/>
      <w:szCs w:val="20"/>
      <w:lang w:val="zh-CN"/>
    </w:rPr>
  </w:style>
  <w:style w:type="character" w:styleId="968">
    <w:name w:val="标题 1 Char"/>
    <w:basedOn w:val="965"/>
    <w:next w:val="968"/>
    <w:link w:val="961"/>
    <w:qFormat/>
    <w:rPr>
      <w:rFonts w:ascii="Times New Roman" w:hAnsi="Times New Roman" w:eastAsia="黑体" w:cs="Times New Roman"/>
      <w:b/>
      <w:sz w:val="36"/>
      <w:szCs w:val="20"/>
    </w:rPr>
  </w:style>
  <w:style w:type="character" w:styleId="969">
    <w:name w:val="标题 2 Char"/>
    <w:basedOn w:val="965"/>
    <w:next w:val="969"/>
    <w:link w:val="962"/>
    <w:qFormat/>
    <w:rPr>
      <w:rFonts w:ascii="Times New Roman" w:hAnsi="Times New Roman" w:eastAsia="黑体" w:cs="Times New Roman"/>
      <w:b/>
      <w:sz w:val="28"/>
      <w:szCs w:val="20"/>
    </w:rPr>
  </w:style>
  <w:style w:type="character" w:styleId="970">
    <w:name w:val="标题 3 Char"/>
    <w:basedOn w:val="965"/>
    <w:next w:val="970"/>
    <w:link w:val="963"/>
    <w:qFormat/>
    <w:rPr>
      <w:rFonts w:ascii="Times New Roman" w:hAnsi="Times New Roman" w:eastAsia="黑体" w:cs="Times New Roman"/>
      <w:b/>
      <w:sz w:val="28"/>
      <w:szCs w:val="20"/>
    </w:rPr>
  </w:style>
  <w:style w:type="paragraph" w:styleId="971">
    <w:name w:val="正文缩进"/>
    <w:basedOn w:val="960"/>
    <w:next w:val="971"/>
    <w:link w:val="972"/>
    <w:qFormat/>
    <w:pPr>
      <w:ind w:firstLine="420"/>
      <w:spacing w:line="360" w:lineRule="auto"/>
    </w:pPr>
    <w:rPr>
      <w:rFonts w:ascii="Times New Roman" w:hAnsi="Times New Roman" w:cs="Times New Roman"/>
      <w:sz w:val="24"/>
      <w:szCs w:val="24"/>
    </w:rPr>
  </w:style>
  <w:style w:type="character" w:styleId="972">
    <w:name w:val="正文缩进 Char"/>
    <w:next w:val="972"/>
    <w:link w:val="971"/>
    <w:qFormat/>
    <w:rPr>
      <w:rFonts w:ascii="Times New Roman" w:hAnsi="Times New Roman" w:eastAsia="宋体" w:cs="Times New Roman"/>
      <w:sz w:val="24"/>
      <w:szCs w:val="24"/>
    </w:rPr>
  </w:style>
  <w:style w:type="character" w:styleId="973">
    <w:name w:val="标题 4 Char"/>
    <w:basedOn w:val="965"/>
    <w:next w:val="973"/>
    <w:link w:val="964"/>
    <w:qFormat/>
    <w:rPr>
      <w:rFonts w:ascii="Arial" w:hAnsi="Times New Roman" w:eastAsia="黑体" w:cs="Times New Roman"/>
      <w:sz w:val="28"/>
      <w:szCs w:val="20"/>
    </w:rPr>
  </w:style>
  <w:style w:type="paragraph" w:styleId="974">
    <w:name w:val="目录 7"/>
    <w:basedOn w:val="960"/>
    <w:next w:val="960"/>
    <w:link w:val="960"/>
    <w:qFormat/>
    <w:pPr>
      <w:ind w:left="1260" w:firstLine="922"/>
      <w:jc w:val="left"/>
      <w:spacing w:line="360" w:lineRule="auto"/>
    </w:pPr>
    <w:rPr>
      <w:rFonts w:ascii="Calibri" w:hAnsi="Calibri" w:eastAsia="宋体" w:cs="Times New Roman"/>
      <w:sz w:val="20"/>
      <w:szCs w:val="20"/>
    </w:rPr>
  </w:style>
  <w:style w:type="paragraph" w:styleId="975">
    <w:name w:val="文档结构图"/>
    <w:basedOn w:val="960"/>
    <w:next w:val="975"/>
    <w:link w:val="976"/>
    <w:semiHidden/>
    <w:qFormat/>
    <w:pPr>
      <w:ind w:firstLine="922"/>
      <w:spacing w:line="360" w:lineRule="auto"/>
      <w:shd w:val="clear" w:color="auto" w:fill="000080"/>
    </w:pPr>
    <w:rPr>
      <w:rFonts w:ascii="Times New Roman" w:hAnsi="Times New Roman" w:eastAsia="宋体" w:cs="Times New Roman"/>
      <w:szCs w:val="24"/>
    </w:rPr>
  </w:style>
  <w:style w:type="character" w:styleId="976">
    <w:name w:val="文档结构图 Char"/>
    <w:basedOn w:val="965"/>
    <w:next w:val="976"/>
    <w:link w:val="975"/>
    <w:semiHidden/>
    <w:qFormat/>
    <w:rPr>
      <w:rFonts w:ascii="Times New Roman" w:hAnsi="Times New Roman" w:eastAsia="宋体" w:cs="Times New Roman"/>
      <w:szCs w:val="24"/>
      <w:shd w:val="clear" w:color="auto" w:fill="000080"/>
    </w:rPr>
  </w:style>
  <w:style w:type="paragraph" w:styleId="977">
    <w:name w:val="引文目录标题"/>
    <w:basedOn w:val="960"/>
    <w:next w:val="960"/>
    <w:link w:val="960"/>
    <w:qFormat/>
    <w:pPr>
      <w:spacing w:before="120"/>
    </w:pPr>
    <w:rPr>
      <w:rFonts w:ascii="Cambria" w:hAnsi="Cambria" w:eastAsia="宋体" w:cs="Times New Roman"/>
      <w:szCs w:val="24"/>
    </w:rPr>
  </w:style>
  <w:style w:type="paragraph" w:styleId="978">
    <w:name w:val="批注文字"/>
    <w:basedOn w:val="960"/>
    <w:next w:val="978"/>
    <w:link w:val="979"/>
    <w:qFormat/>
    <w:pPr>
      <w:ind w:firstLine="922"/>
      <w:jc w:val="left"/>
      <w:spacing w:line="360" w:lineRule="auto"/>
    </w:pPr>
    <w:rPr>
      <w:rFonts w:ascii="Times New Roman" w:hAnsi="Times New Roman" w:eastAsia="宋体" w:cs="Times New Roman"/>
      <w:szCs w:val="24"/>
    </w:rPr>
  </w:style>
  <w:style w:type="character" w:styleId="979">
    <w:name w:val="批注文字 Char"/>
    <w:basedOn w:val="965"/>
    <w:next w:val="979"/>
    <w:link w:val="978"/>
    <w:qFormat/>
    <w:rPr>
      <w:rFonts w:ascii="Times New Roman" w:hAnsi="Times New Roman" w:eastAsia="宋体" w:cs="Times New Roman"/>
      <w:szCs w:val="24"/>
    </w:rPr>
  </w:style>
  <w:style w:type="paragraph" w:styleId="980">
    <w:name w:val="正文文本 3"/>
    <w:basedOn w:val="960"/>
    <w:next w:val="980"/>
    <w:link w:val="981"/>
    <w:qFormat/>
    <w:pPr>
      <w:ind w:firstLine="922"/>
      <w:spacing w:line="360" w:lineRule="auto"/>
    </w:pPr>
    <w:rPr>
      <w:rFonts w:ascii="Times New Roman" w:hAnsi="Times New Roman" w:eastAsia="宋体" w:cs="Times New Roman"/>
      <w:sz w:val="24"/>
      <w:szCs w:val="24"/>
    </w:rPr>
  </w:style>
  <w:style w:type="character" w:styleId="981">
    <w:name w:val="正文文本 3 Char"/>
    <w:basedOn w:val="965"/>
    <w:next w:val="981"/>
    <w:link w:val="980"/>
    <w:qFormat/>
    <w:rPr>
      <w:rFonts w:ascii="Times New Roman" w:hAnsi="Times New Roman" w:eastAsia="宋体" w:cs="Times New Roman"/>
      <w:sz w:val="24"/>
      <w:szCs w:val="24"/>
    </w:rPr>
  </w:style>
  <w:style w:type="paragraph" w:styleId="982">
    <w:name w:val="正文文本"/>
    <w:basedOn w:val="960"/>
    <w:next w:val="982"/>
    <w:link w:val="983"/>
    <w:qFormat/>
    <w:pPr>
      <w:ind w:firstLine="922"/>
      <w:spacing w:line="360" w:lineRule="auto"/>
    </w:pPr>
    <w:rPr>
      <w:rFonts w:ascii="金山简黑体" w:hAnsi="Courier New" w:eastAsia="金山简黑体" w:cs="Times New Roman"/>
      <w:b/>
      <w:spacing w:val="-8"/>
      <w:sz w:val="44"/>
      <w:szCs w:val="20"/>
    </w:rPr>
  </w:style>
  <w:style w:type="character" w:styleId="983">
    <w:name w:val="正文文本 Char"/>
    <w:basedOn w:val="965"/>
    <w:next w:val="983"/>
    <w:link w:val="982"/>
    <w:qFormat/>
    <w:rPr>
      <w:rFonts w:ascii="金山简黑体" w:hAnsi="Courier New" w:eastAsia="金山简黑体" w:cs="Times New Roman"/>
      <w:b/>
      <w:spacing w:val="-8"/>
      <w:sz w:val="44"/>
      <w:szCs w:val="20"/>
    </w:rPr>
  </w:style>
  <w:style w:type="paragraph" w:styleId="984">
    <w:name w:val="正文文本缩进"/>
    <w:basedOn w:val="960"/>
    <w:next w:val="984"/>
    <w:link w:val="985"/>
    <w:qFormat/>
    <w:pPr>
      <w:ind w:firstLine="301"/>
      <w:spacing w:line="200" w:lineRule="exact"/>
    </w:pPr>
    <w:rPr>
      <w:rFonts w:ascii="宋体" w:hAnsi="Courier New" w:eastAsia="宋体" w:cs="Times New Roman"/>
      <w:spacing w:val="-4"/>
      <w:sz w:val="18"/>
      <w:szCs w:val="20"/>
    </w:rPr>
  </w:style>
  <w:style w:type="character" w:styleId="985">
    <w:name w:val="正文文本缩进 Char"/>
    <w:basedOn w:val="965"/>
    <w:next w:val="985"/>
    <w:link w:val="984"/>
    <w:qFormat/>
    <w:rPr>
      <w:rFonts w:ascii="宋体" w:hAnsi="Courier New" w:eastAsia="宋体" w:cs="Times New Roman"/>
      <w:spacing w:val="-4"/>
      <w:sz w:val="18"/>
      <w:szCs w:val="20"/>
    </w:rPr>
  </w:style>
  <w:style w:type="paragraph" w:styleId="986">
    <w:name w:val="目录 5"/>
    <w:basedOn w:val="960"/>
    <w:next w:val="960"/>
    <w:link w:val="960"/>
    <w:qFormat/>
    <w:pPr>
      <w:ind w:left="840" w:firstLine="922"/>
      <w:jc w:val="left"/>
      <w:spacing w:line="360" w:lineRule="auto"/>
    </w:pPr>
    <w:rPr>
      <w:rFonts w:ascii="Calibri" w:hAnsi="Calibri" w:eastAsia="宋体" w:cs="Times New Roman"/>
      <w:sz w:val="20"/>
      <w:szCs w:val="20"/>
    </w:rPr>
  </w:style>
  <w:style w:type="paragraph" w:styleId="987">
    <w:name w:val="目录 3"/>
    <w:basedOn w:val="960"/>
    <w:next w:val="960"/>
    <w:link w:val="960"/>
    <w:uiPriority w:val="39"/>
    <w:unhideWhenUsed/>
    <w:qFormat/>
    <w:pPr>
      <w:ind w:left="420" w:firstLine="922"/>
      <w:jc w:val="left"/>
      <w:spacing w:line="360" w:lineRule="auto"/>
    </w:pPr>
    <w:rPr>
      <w:rFonts w:ascii="Calibri" w:hAnsi="Calibri" w:eastAsia="宋体" w:cs="Times New Roman"/>
      <w:sz w:val="20"/>
      <w:szCs w:val="20"/>
    </w:rPr>
  </w:style>
  <w:style w:type="paragraph" w:styleId="988">
    <w:name w:val="纯文本"/>
    <w:basedOn w:val="960"/>
    <w:next w:val="960"/>
    <w:link w:val="989"/>
    <w:qFormat/>
    <w:pPr>
      <w:ind w:firstLine="922"/>
      <w:spacing w:line="360" w:lineRule="auto"/>
    </w:pPr>
    <w:rPr>
      <w:rFonts w:ascii="宋体" w:hAnsi="Courier New" w:eastAsia="宋体" w:cs="Times New Roman"/>
      <w:szCs w:val="20"/>
    </w:rPr>
  </w:style>
  <w:style w:type="character" w:styleId="989">
    <w:name w:val="纯文本 Char"/>
    <w:basedOn w:val="965"/>
    <w:next w:val="989"/>
    <w:link w:val="988"/>
    <w:qFormat/>
    <w:rPr>
      <w:rFonts w:ascii="宋体" w:hAnsi="Courier New" w:eastAsia="宋体" w:cs="Times New Roman"/>
      <w:szCs w:val="20"/>
    </w:rPr>
  </w:style>
  <w:style w:type="paragraph" w:styleId="990">
    <w:name w:val="目录 8"/>
    <w:basedOn w:val="960"/>
    <w:next w:val="960"/>
    <w:link w:val="960"/>
    <w:qFormat/>
    <w:pPr>
      <w:ind w:left="1470" w:firstLine="922"/>
      <w:jc w:val="left"/>
      <w:spacing w:line="360" w:lineRule="auto"/>
    </w:pPr>
    <w:rPr>
      <w:rFonts w:ascii="Calibri" w:hAnsi="Calibri" w:eastAsia="宋体" w:cs="Times New Roman"/>
      <w:sz w:val="20"/>
      <w:szCs w:val="20"/>
    </w:rPr>
  </w:style>
  <w:style w:type="paragraph" w:styleId="991">
    <w:name w:val="日期"/>
    <w:basedOn w:val="960"/>
    <w:next w:val="960"/>
    <w:link w:val="992"/>
    <w:qFormat/>
    <w:pPr>
      <w:ind w:left="100" w:firstLine="922"/>
      <w:spacing w:line="360" w:lineRule="auto"/>
    </w:pPr>
    <w:rPr>
      <w:rFonts w:ascii="Times New Roman" w:hAnsi="Times New Roman" w:eastAsia="宋体" w:cs="Times New Roman"/>
      <w:szCs w:val="24"/>
    </w:rPr>
  </w:style>
  <w:style w:type="character" w:styleId="992">
    <w:name w:val="日期 Char"/>
    <w:basedOn w:val="965"/>
    <w:next w:val="992"/>
    <w:link w:val="991"/>
    <w:qFormat/>
    <w:rPr>
      <w:rFonts w:ascii="Times New Roman" w:hAnsi="Times New Roman" w:eastAsia="宋体" w:cs="Times New Roman"/>
      <w:szCs w:val="24"/>
    </w:rPr>
  </w:style>
  <w:style w:type="paragraph" w:styleId="993">
    <w:name w:val="正文文本缩进 2"/>
    <w:basedOn w:val="960"/>
    <w:next w:val="993"/>
    <w:link w:val="994"/>
    <w:qFormat/>
    <w:pPr>
      <w:ind w:left="420" w:firstLine="922"/>
      <w:spacing w:after="120" w:line="480" w:lineRule="auto"/>
    </w:pPr>
    <w:rPr>
      <w:rFonts w:ascii="Times New Roman" w:hAnsi="Times New Roman" w:eastAsia="宋体" w:cs="Times New Roman"/>
      <w:szCs w:val="24"/>
    </w:rPr>
  </w:style>
  <w:style w:type="character" w:styleId="994">
    <w:name w:val="正文文本缩进 2 Char"/>
    <w:basedOn w:val="965"/>
    <w:next w:val="994"/>
    <w:link w:val="993"/>
    <w:qFormat/>
    <w:rPr>
      <w:rFonts w:ascii="Times New Roman" w:hAnsi="Times New Roman" w:eastAsia="宋体" w:cs="Times New Roman"/>
      <w:szCs w:val="24"/>
    </w:rPr>
  </w:style>
  <w:style w:type="paragraph" w:styleId="995">
    <w:name w:val="批注框文本"/>
    <w:basedOn w:val="960"/>
    <w:next w:val="995"/>
    <w:link w:val="996"/>
    <w:semiHidden/>
    <w:qFormat/>
    <w:pPr>
      <w:ind w:firstLine="922"/>
      <w:spacing w:line="360" w:lineRule="auto"/>
    </w:pPr>
    <w:rPr>
      <w:rFonts w:ascii="Times New Roman" w:hAnsi="Times New Roman" w:eastAsia="宋体" w:cs="Times New Roman"/>
      <w:sz w:val="18"/>
      <w:szCs w:val="18"/>
    </w:rPr>
  </w:style>
  <w:style w:type="character" w:styleId="996">
    <w:name w:val="批注框文本 Char"/>
    <w:basedOn w:val="965"/>
    <w:next w:val="996"/>
    <w:link w:val="995"/>
    <w:semiHidden/>
    <w:qFormat/>
    <w:rPr>
      <w:rFonts w:ascii="Times New Roman" w:hAnsi="Times New Roman" w:eastAsia="宋体" w:cs="Times New Roman"/>
      <w:sz w:val="18"/>
      <w:szCs w:val="18"/>
    </w:rPr>
  </w:style>
  <w:style w:type="paragraph" w:styleId="997">
    <w:name w:val="页脚"/>
    <w:basedOn w:val="960"/>
    <w:next w:val="997"/>
    <w:link w:val="998"/>
    <w:uiPriority w:val="99"/>
    <w:unhideWhenUsed/>
    <w:qFormat/>
    <w:pPr>
      <w:jc w:val="left"/>
      <w:tabs>
        <w:tab w:val="center" w:pos="4153" w:leader="none"/>
        <w:tab w:val="right" w:pos="8306" w:leader="none"/>
      </w:tabs>
    </w:pPr>
    <w:rPr>
      <w:sz w:val="18"/>
      <w:szCs w:val="18"/>
    </w:rPr>
  </w:style>
  <w:style w:type="character" w:styleId="998">
    <w:name w:val="页脚 Char"/>
    <w:basedOn w:val="965"/>
    <w:next w:val="998"/>
    <w:link w:val="997"/>
    <w:uiPriority w:val="99"/>
    <w:qFormat/>
    <w:rPr>
      <w:sz w:val="18"/>
      <w:szCs w:val="18"/>
    </w:rPr>
  </w:style>
  <w:style w:type="paragraph" w:styleId="999">
    <w:name w:val="寄信人地址"/>
    <w:basedOn w:val="960"/>
    <w:next w:val="999"/>
    <w:link w:val="960"/>
    <w:qFormat/>
    <w:rPr>
      <w:rFonts w:ascii="Arial" w:hAnsi="Arial" w:cs="Arial"/>
    </w:rPr>
  </w:style>
  <w:style w:type="paragraph" w:styleId="1000">
    <w:name w:val="页眉"/>
    <w:basedOn w:val="960"/>
    <w:next w:val="1000"/>
    <w:link w:val="1001"/>
    <w:unhideWhenUsed/>
    <w:qFormat/>
    <w:pPr>
      <w:jc w:val="center"/>
      <w:tabs>
        <w:tab w:val="center" w:pos="4153" w:leader="none"/>
        <w:tab w:val="right" w:pos="8306" w:leader="none"/>
      </w:tabs>
      <w:pBdr>
        <w:bottom w:val="single" w:color="000000" w:sz="6" w:space="1"/>
      </w:pBdr>
    </w:pPr>
    <w:rPr>
      <w:sz w:val="18"/>
      <w:szCs w:val="18"/>
    </w:rPr>
  </w:style>
  <w:style w:type="character" w:styleId="1001">
    <w:name w:val="页眉 Char"/>
    <w:basedOn w:val="965"/>
    <w:next w:val="1001"/>
    <w:link w:val="1000"/>
    <w:uiPriority w:val="99"/>
    <w:semiHidden/>
    <w:qFormat/>
    <w:rPr>
      <w:sz w:val="18"/>
      <w:szCs w:val="18"/>
    </w:rPr>
  </w:style>
  <w:style w:type="paragraph" w:styleId="1002">
    <w:name w:val="目录 1"/>
    <w:basedOn w:val="960"/>
    <w:next w:val="960"/>
    <w:link w:val="960"/>
    <w:uiPriority w:val="39"/>
    <w:qFormat/>
    <w:pPr>
      <w:ind w:firstLine="922"/>
      <w:jc w:val="left"/>
      <w:spacing w:before="120" w:line="360" w:lineRule="auto"/>
    </w:pPr>
    <w:rPr>
      <w:rFonts w:ascii="Calibri" w:hAnsi="Calibri" w:eastAsia="宋体" w:cs="Times New Roman"/>
      <w:b/>
      <w:bCs/>
      <w:i/>
      <w:iCs/>
      <w:sz w:val="24"/>
      <w:szCs w:val="24"/>
    </w:rPr>
  </w:style>
  <w:style w:type="paragraph" w:styleId="1003">
    <w:name w:val="目录 4"/>
    <w:basedOn w:val="960"/>
    <w:next w:val="960"/>
    <w:link w:val="960"/>
    <w:qFormat/>
    <w:pPr>
      <w:ind w:left="630" w:firstLine="922"/>
      <w:jc w:val="left"/>
      <w:spacing w:line="360" w:lineRule="auto"/>
    </w:pPr>
    <w:rPr>
      <w:rFonts w:ascii="Calibri" w:hAnsi="Calibri" w:eastAsia="宋体" w:cs="Times New Roman"/>
      <w:sz w:val="20"/>
      <w:szCs w:val="20"/>
    </w:rPr>
  </w:style>
  <w:style w:type="paragraph" w:styleId="1004">
    <w:name w:val="副标题"/>
    <w:basedOn w:val="960"/>
    <w:next w:val="960"/>
    <w:link w:val="1005"/>
    <w:qFormat/>
    <w:pPr>
      <w:ind w:firstLine="922"/>
      <w:jc w:val="center"/>
      <w:spacing w:before="240" w:after="60" w:line="312" w:lineRule="auto"/>
      <w:outlineLvl w:val="1"/>
    </w:pPr>
    <w:rPr>
      <w:rFonts w:ascii="Cambria" w:hAnsi="Cambria" w:eastAsia="宋体" w:cs="Times New Roman"/>
      <w:b/>
      <w:bCs/>
      <w:sz w:val="32"/>
      <w:szCs w:val="32"/>
    </w:rPr>
  </w:style>
  <w:style w:type="character" w:styleId="1005">
    <w:name w:val="副标题 Char"/>
    <w:basedOn w:val="965"/>
    <w:next w:val="1005"/>
    <w:link w:val="1004"/>
    <w:qFormat/>
    <w:rPr>
      <w:rFonts w:ascii="Cambria" w:hAnsi="Cambria" w:eastAsia="宋体" w:cs="Times New Roman"/>
      <w:b/>
      <w:bCs/>
      <w:sz w:val="32"/>
      <w:szCs w:val="32"/>
    </w:rPr>
  </w:style>
  <w:style w:type="paragraph" w:styleId="1006">
    <w:name w:val="目录 6"/>
    <w:basedOn w:val="960"/>
    <w:next w:val="960"/>
    <w:link w:val="960"/>
    <w:qFormat/>
    <w:pPr>
      <w:ind w:left="1050" w:firstLine="922"/>
      <w:jc w:val="left"/>
      <w:spacing w:line="360" w:lineRule="auto"/>
    </w:pPr>
    <w:rPr>
      <w:rFonts w:ascii="Calibri" w:hAnsi="Calibri" w:eastAsia="宋体" w:cs="Times New Roman"/>
      <w:sz w:val="20"/>
      <w:szCs w:val="20"/>
    </w:rPr>
  </w:style>
  <w:style w:type="paragraph" w:styleId="1007">
    <w:name w:val="正文文本缩进 3"/>
    <w:basedOn w:val="960"/>
    <w:next w:val="1007"/>
    <w:link w:val="1008"/>
    <w:qFormat/>
    <w:pPr>
      <w:ind w:left="360" w:firstLine="922"/>
      <w:spacing w:line="400" w:lineRule="exact"/>
    </w:pPr>
    <w:rPr>
      <w:rFonts w:ascii="Times New Roman" w:hAnsi="Times New Roman" w:eastAsia="宋体" w:cs="Times New Roman"/>
      <w:sz w:val="24"/>
      <w:szCs w:val="24"/>
    </w:rPr>
  </w:style>
  <w:style w:type="character" w:styleId="1008">
    <w:name w:val="正文文本缩进 3 Char"/>
    <w:basedOn w:val="965"/>
    <w:next w:val="1008"/>
    <w:link w:val="1007"/>
    <w:qFormat/>
    <w:rPr>
      <w:rFonts w:ascii="Times New Roman" w:hAnsi="Times New Roman" w:eastAsia="宋体" w:cs="Times New Roman"/>
      <w:sz w:val="24"/>
      <w:szCs w:val="24"/>
    </w:rPr>
  </w:style>
  <w:style w:type="paragraph" w:styleId="1009">
    <w:name w:val="目录 2"/>
    <w:basedOn w:val="960"/>
    <w:next w:val="960"/>
    <w:link w:val="960"/>
    <w:uiPriority w:val="39"/>
    <w:unhideWhenUsed/>
    <w:qFormat/>
    <w:pPr>
      <w:ind w:left="210" w:firstLine="922"/>
      <w:jc w:val="left"/>
      <w:spacing w:before="120" w:line="360" w:lineRule="auto"/>
    </w:pPr>
    <w:rPr>
      <w:rFonts w:ascii="Calibri" w:hAnsi="Calibri" w:eastAsia="宋体" w:cs="Times New Roman"/>
      <w:b/>
      <w:bCs/>
      <w:sz w:val="22"/>
    </w:rPr>
  </w:style>
  <w:style w:type="paragraph" w:styleId="1010">
    <w:name w:val="目录 9"/>
    <w:basedOn w:val="960"/>
    <w:next w:val="960"/>
    <w:link w:val="960"/>
    <w:qFormat/>
    <w:pPr>
      <w:ind w:left="1680" w:firstLine="922"/>
      <w:jc w:val="left"/>
      <w:spacing w:line="360" w:lineRule="auto"/>
    </w:pPr>
    <w:rPr>
      <w:rFonts w:ascii="Calibri" w:hAnsi="Calibri" w:eastAsia="宋体" w:cs="Times New Roman"/>
      <w:sz w:val="20"/>
      <w:szCs w:val="20"/>
    </w:rPr>
  </w:style>
  <w:style w:type="paragraph" w:styleId="1011">
    <w:name w:val="正文文本 2"/>
    <w:basedOn w:val="960"/>
    <w:next w:val="1011"/>
    <w:link w:val="1012"/>
    <w:qFormat/>
    <w:pPr>
      <w:ind w:firstLine="922"/>
      <w:spacing w:line="360" w:lineRule="auto"/>
    </w:pPr>
    <w:rPr>
      <w:rFonts w:ascii="宋体" w:hAnsi="Courier New" w:eastAsia="宋体" w:cs="Times New Roman"/>
      <w:sz w:val="13"/>
      <w:szCs w:val="20"/>
    </w:rPr>
  </w:style>
  <w:style w:type="character" w:styleId="1012">
    <w:name w:val="正文文本 2 Char"/>
    <w:basedOn w:val="965"/>
    <w:next w:val="1012"/>
    <w:link w:val="1011"/>
    <w:qFormat/>
    <w:rPr>
      <w:rFonts w:ascii="宋体" w:hAnsi="Courier New" w:eastAsia="宋体" w:cs="Times New Roman"/>
      <w:sz w:val="13"/>
      <w:szCs w:val="20"/>
    </w:rPr>
  </w:style>
  <w:style w:type="paragraph" w:styleId="1013">
    <w:name w:val="信息标题"/>
    <w:next w:val="1013"/>
    <w:link w:val="960"/>
    <w:uiPriority w:val="99"/>
    <w:unhideWhenUsed/>
    <w:qFormat/>
    <w:pPr>
      <w:ind w:left="1080" w:hanging="1080"/>
      <w:jc w:val="both"/>
      <w:shd w:val="pct20" w:color="auto" w:fill="auto"/>
      <w:widowControl w:val="off"/>
      <w:pBdr>
        <w:top w:val="single" w:color="000000" w:sz="6" w:space="1"/>
        <w:left w:val="single" w:color="000000" w:sz="6" w:space="1"/>
        <w:bottom w:val="single" w:color="000000" w:sz="6" w:space="1"/>
        <w:right w:val="single" w:color="000000" w:sz="6" w:space="1"/>
      </w:pBdr>
    </w:pPr>
    <w:rPr>
      <w:rFonts w:ascii="Cambria" w:hAnsi="Cambria" w:eastAsia="Times New Roman" w:cs="Times New Roman"/>
      <w:sz w:val="24"/>
      <w:szCs w:val="24"/>
      <w:lang w:bidi="ar-SA"/>
    </w:rPr>
  </w:style>
  <w:style w:type="paragraph" w:styleId="1014">
    <w:name w:val="HTML 预设格式"/>
    <w:basedOn w:val="960"/>
    <w:next w:val="1014"/>
    <w:link w:val="1015"/>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1015">
    <w:name w:val="HTML 预设格式 Char"/>
    <w:basedOn w:val="965"/>
    <w:next w:val="1015"/>
    <w:link w:val="1014"/>
    <w:qFormat/>
    <w:rPr>
      <w:rFonts w:ascii="宋体" w:hAnsi="宋体" w:eastAsia="宋体" w:cs="Times New Roman"/>
      <w:sz w:val="24"/>
      <w:szCs w:val="24"/>
    </w:rPr>
  </w:style>
  <w:style w:type="paragraph" w:styleId="1016">
    <w:name w:val="普通(网站)"/>
    <w:basedOn w:val="960"/>
    <w:next w:val="1016"/>
    <w:link w:val="96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1017">
    <w:name w:val="标题"/>
    <w:basedOn w:val="960"/>
    <w:next w:val="960"/>
    <w:link w:val="960"/>
    <w:uiPriority w:val="10"/>
    <w:qFormat/>
    <w:pPr>
      <w:jc w:val="center"/>
      <w:spacing w:line="420" w:lineRule="exact"/>
      <w:widowControl/>
    </w:pPr>
    <w:rPr>
      <w:rFonts w:eastAsia="黑体"/>
      <w:b/>
      <w:sz w:val="20"/>
      <w:szCs w:val="20"/>
    </w:rPr>
  </w:style>
  <w:style w:type="paragraph" w:styleId="1018">
    <w:name w:val="批注主题"/>
    <w:basedOn w:val="978"/>
    <w:next w:val="978"/>
    <w:link w:val="1019"/>
    <w:semiHidden/>
    <w:qFormat/>
    <w:rPr>
      <w:b/>
      <w:bCs/>
    </w:rPr>
  </w:style>
  <w:style w:type="character" w:styleId="1019">
    <w:name w:val="批注主题 Char"/>
    <w:basedOn w:val="979"/>
    <w:next w:val="1019"/>
    <w:link w:val="1018"/>
    <w:semiHidden/>
    <w:qFormat/>
    <w:rPr>
      <w:b/>
      <w:bCs/>
    </w:rPr>
  </w:style>
  <w:style w:type="paragraph" w:styleId="1020">
    <w:name w:val="正文首行缩进"/>
    <w:basedOn w:val="982"/>
    <w:next w:val="1020"/>
    <w:link w:val="1021"/>
    <w:qFormat/>
    <w:pPr>
      <w:ind w:firstLine="420"/>
      <w:spacing w:after="120"/>
    </w:pPr>
    <w:rPr>
      <w:rFonts w:ascii="Times New Roman" w:hAnsi="Times New Roman" w:eastAsia="宋体"/>
      <w:b w:val="0"/>
      <w:spacing w:val="0"/>
      <w:sz w:val="21"/>
      <w:szCs w:val="24"/>
    </w:rPr>
  </w:style>
  <w:style w:type="character" w:styleId="1021">
    <w:name w:val="正文首行缩进 Char"/>
    <w:basedOn w:val="983"/>
    <w:next w:val="1021"/>
    <w:link w:val="1020"/>
    <w:qFormat/>
    <w:rPr>
      <w:rFonts w:ascii="Times New Roman" w:hAnsi="Times New Roman" w:eastAsia="宋体"/>
      <w:szCs w:val="24"/>
    </w:rPr>
  </w:style>
  <w:style w:type="paragraph" w:styleId="1022">
    <w:name w:val="正文首行缩进 2"/>
    <w:basedOn w:val="984"/>
    <w:next w:val="960"/>
    <w:link w:val="960"/>
    <w:uiPriority w:val="99"/>
    <w:qFormat/>
    <w:pPr>
      <w:ind w:firstLine="420"/>
      <w:spacing w:line="360" w:lineRule="auto"/>
    </w:pPr>
    <w:rPr>
      <w:rFonts w:hAnsi="宋体"/>
      <w:sz w:val="20"/>
    </w:rPr>
  </w:style>
  <w:style w:type="table" w:styleId="1023">
    <w:name w:val="网格型"/>
    <w:basedOn w:val="966"/>
    <w:next w:val="1023"/>
    <w:link w:val="960"/>
    <w:qFormat/>
    <w:pPr>
      <w:jc w:val="both"/>
      <w:widowControl w:val="off"/>
    </w:pPr>
    <w:tblPr/>
  </w:style>
  <w:style w:type="character" w:styleId="1024">
    <w:name w:val="要点"/>
    <w:next w:val="1024"/>
    <w:link w:val="960"/>
    <w:qFormat/>
    <w:rPr>
      <w:b/>
      <w:bCs/>
    </w:rPr>
  </w:style>
  <w:style w:type="character" w:styleId="1025">
    <w:name w:val="页码"/>
    <w:next w:val="1025"/>
    <w:link w:val="960"/>
    <w:qFormat/>
  </w:style>
  <w:style w:type="character" w:styleId="1026">
    <w:name w:val="已访问的超链接"/>
    <w:next w:val="1026"/>
    <w:link w:val="960"/>
    <w:qFormat/>
    <w:rPr>
      <w:color w:val="800080"/>
      <w:u w:val="single"/>
    </w:rPr>
  </w:style>
  <w:style w:type="character" w:styleId="1027">
    <w:name w:val="超链接"/>
    <w:next w:val="1027"/>
    <w:link w:val="960"/>
    <w:uiPriority w:val="99"/>
    <w:qFormat/>
    <w:rPr>
      <w:color w:val="0000ff"/>
      <w:u w:val="single"/>
    </w:rPr>
  </w:style>
  <w:style w:type="character" w:styleId="1028">
    <w:name w:val="批注引用"/>
    <w:next w:val="1028"/>
    <w:link w:val="960"/>
    <w:qFormat/>
    <w:rPr>
      <w:sz w:val="21"/>
      <w:szCs w:val="21"/>
    </w:rPr>
  </w:style>
  <w:style w:type="paragraph" w:styleId="1029">
    <w:name w:val="Default"/>
    <w:next w:val="1029"/>
    <w:link w:val="1030"/>
    <w:uiPriority w:val="99"/>
    <w:qFormat/>
    <w:pPr>
      <w:widowControl w:val="off"/>
    </w:pPr>
    <w:rPr>
      <w:rFonts w:ascii="MS Mincho" w:hAnsi="Calibri"/>
      <w:color w:val="000000"/>
      <w:szCs w:val="24"/>
      <w:lang w:bidi="ar-SA"/>
    </w:rPr>
  </w:style>
  <w:style w:type="character" w:styleId="1030">
    <w:name w:val="Default Char"/>
    <w:next w:val="1030"/>
    <w:link w:val="1029"/>
    <w:uiPriority w:val="99"/>
    <w:qFormat/>
    <w:rPr>
      <w:rFonts w:ascii="MS Mincho" w:hAnsi="Calibri"/>
      <w:color w:val="000000"/>
      <w:szCs w:val="24"/>
      <w:lang w:bidi="ar-SA"/>
    </w:rPr>
  </w:style>
  <w:style w:type="paragraph" w:styleId="1031">
    <w:name w:val="标题 3111"/>
    <w:basedOn w:val="960"/>
    <w:next w:val="960"/>
    <w:link w:val="960"/>
    <w:uiPriority w:val="9"/>
    <w:qFormat/>
    <w:pPr>
      <w:keepLines/>
      <w:keepNext/>
      <w:spacing w:before="320" w:after="200"/>
      <w:outlineLvl w:val="2"/>
    </w:pPr>
    <w:rPr>
      <w:rFonts w:ascii="Arial" w:hAnsi="Arial" w:eastAsia="Arial"/>
      <w:sz w:val="30"/>
      <w:szCs w:val="30"/>
    </w:rPr>
  </w:style>
  <w:style w:type="character" w:styleId="1032">
    <w:name w:val="1 Char"/>
    <w:next w:val="1032"/>
    <w:link w:val="1033"/>
    <w:qFormat/>
    <w:rPr>
      <w:szCs w:val="24"/>
    </w:rPr>
  </w:style>
  <w:style w:type="paragraph" w:styleId="1033">
    <w:name w:val="1"/>
    <w:basedOn w:val="960"/>
    <w:next w:val="1033"/>
    <w:link w:val="1032"/>
    <w:qFormat/>
    <w:pPr>
      <w:jc w:val="left"/>
      <w:spacing w:line="360" w:lineRule="auto"/>
    </w:pPr>
    <w:rPr>
      <w:rFonts w:ascii="Times New Roman" w:hAnsi="Times New Roman" w:cs="Times New Roman"/>
      <w:sz w:val="20"/>
      <w:szCs w:val="24"/>
    </w:rPr>
  </w:style>
  <w:style w:type="character" w:styleId="1034">
    <w:name w:val="font31"/>
    <w:basedOn w:val="965"/>
    <w:next w:val="1034"/>
    <w:link w:val="960"/>
    <w:qFormat/>
    <w:rPr>
      <w:rFonts w:hint="eastAsia" w:ascii="宋体" w:hAnsi="宋体" w:eastAsia="宋体" w:cs="宋体"/>
      <w:color w:val="000000"/>
      <w:sz w:val="24"/>
      <w:szCs w:val="24"/>
      <w:u w:val="none"/>
    </w:rPr>
  </w:style>
  <w:style w:type="character" w:styleId="1035">
    <w:name w:val="纯文本 Char1"/>
    <w:next w:val="1035"/>
    <w:link w:val="960"/>
    <w:qFormat/>
    <w:rPr>
      <w:rFonts w:ascii="宋体" w:hAnsi="Courier New"/>
      <w:sz w:val="21"/>
    </w:rPr>
  </w:style>
  <w:style w:type="character" w:styleId="1036">
    <w:name w:val="普通正文 Char"/>
    <w:next w:val="1036"/>
    <w:link w:val="1037"/>
    <w:qFormat/>
    <w:rPr>
      <w:rFonts w:ascii="Arial" w:hAnsi="Arial"/>
      <w:sz w:val="24"/>
      <w:szCs w:val="24"/>
    </w:rPr>
  </w:style>
  <w:style w:type="paragraph" w:styleId="1037">
    <w:name w:val="普通正文"/>
    <w:basedOn w:val="960"/>
    <w:next w:val="1037"/>
    <w:link w:val="1036"/>
    <w:qFormat/>
    <w:pPr>
      <w:ind w:firstLine="480"/>
      <w:jc w:val="left"/>
      <w:spacing w:before="120" w:after="120" w:line="360" w:lineRule="auto"/>
    </w:pPr>
    <w:rPr>
      <w:rFonts w:ascii="Arial" w:hAnsi="Arial" w:cs="Times New Roman"/>
      <w:sz w:val="24"/>
      <w:szCs w:val="24"/>
    </w:rPr>
  </w:style>
  <w:style w:type="character" w:styleId="1038">
    <w:name w:val="15"/>
    <w:basedOn w:val="965"/>
    <w:next w:val="1038"/>
    <w:link w:val="960"/>
    <w:qFormat/>
    <w:rPr>
      <w:rFonts w:hint="eastAsia" w:ascii="宋体" w:hAnsi="宋体" w:eastAsia="宋体" w:cs="宋体"/>
      <w:color w:val="000000"/>
      <w:sz w:val="20"/>
      <w:szCs w:val="20"/>
    </w:rPr>
  </w:style>
  <w:style w:type="character" w:styleId="1039">
    <w:name w:val="普通文字1 Char1"/>
    <w:next w:val="1039"/>
    <w:link w:val="960"/>
    <w:qFormat/>
    <w:rPr>
      <w:rFonts w:ascii="宋体" w:hAnsi="Courier New" w:eastAsia="宋体"/>
      <w:sz w:val="21"/>
      <w:lang w:val="en-US" w:eastAsia="zh-CN" w:bidi="ar-SA"/>
    </w:rPr>
  </w:style>
  <w:style w:type="character" w:styleId="1040">
    <w:name w:val="ca-72"/>
    <w:next w:val="1040"/>
    <w:link w:val="960"/>
    <w:qFormat/>
  </w:style>
  <w:style w:type="character" w:styleId="1041">
    <w:name w:val="font"/>
    <w:next w:val="1041"/>
    <w:link w:val="960"/>
    <w:qFormat/>
    <w:rPr>
      <w:rFonts w:cs="Times New Roman"/>
    </w:rPr>
  </w:style>
  <w:style w:type="character" w:styleId="1042">
    <w:name w:val="font41"/>
    <w:next w:val="1042"/>
    <w:link w:val="960"/>
    <w:qFormat/>
    <w:rPr>
      <w:rFonts w:ascii="Calibri" w:hAnsi="Calibri" w:cs="Calibri"/>
      <w:color w:val="000000"/>
      <w:sz w:val="24"/>
      <w:szCs w:val="24"/>
      <w:u w:val="none"/>
    </w:rPr>
  </w:style>
  <w:style w:type="character" w:styleId="1043">
    <w:name w:val="ca-412"/>
    <w:next w:val="1043"/>
    <w:link w:val="960"/>
    <w:qFormat/>
  </w:style>
  <w:style w:type="character" w:styleId="1044">
    <w:name w:val="16"/>
    <w:basedOn w:val="965"/>
    <w:next w:val="1044"/>
    <w:link w:val="960"/>
    <w:qFormat/>
    <w:rPr>
      <w:rFonts w:ascii="方正仿宋_GBK" w:hAnsi="方正仿宋_GBK" w:eastAsia="方正仿宋_GBK" w:cs="方正仿宋_GBK"/>
      <w:color w:val="000000"/>
      <w:sz w:val="20"/>
      <w:szCs w:val="20"/>
    </w:rPr>
  </w:style>
  <w:style w:type="character" w:styleId="1045">
    <w:name w:val="Char Char4"/>
    <w:next w:val="1045"/>
    <w:link w:val="960"/>
    <w:qFormat/>
    <w:rPr>
      <w:b/>
      <w:bCs/>
      <w:sz w:val="24"/>
      <w:szCs w:val="24"/>
    </w:rPr>
  </w:style>
  <w:style w:type="character" w:styleId="1046">
    <w:name w:val="10"/>
    <w:basedOn w:val="965"/>
    <w:next w:val="1046"/>
    <w:link w:val="960"/>
    <w:qFormat/>
    <w:rPr>
      <w:rFonts w:ascii="Times New Roman" w:hAnsi="Times New Roman" w:cs="Times New Roman"/>
    </w:rPr>
  </w:style>
  <w:style w:type="character" w:styleId="1047">
    <w:name w:val="apple-style-span"/>
    <w:next w:val="1047"/>
    <w:link w:val="960"/>
    <w:qFormat/>
  </w:style>
  <w:style w:type="paragraph" w:styleId="1048">
    <w:name w:val="p0"/>
    <w:basedOn w:val="960"/>
    <w:next w:val="1048"/>
    <w:link w:val="960"/>
    <w:qFormat/>
    <w:pPr>
      <w:ind w:firstLine="922"/>
      <w:jc w:val="left"/>
      <w:spacing w:before="100" w:beforeAutospacing="1" w:after="100" w:afterAutospacing="1" w:line="360" w:lineRule="auto"/>
      <w:widowControl/>
    </w:pPr>
    <w:rPr>
      <w:rFonts w:ascii="宋体" w:hAnsi="宋体" w:eastAsia="宋体" w:cs="宋体"/>
      <w:sz w:val="24"/>
      <w:szCs w:val="24"/>
    </w:rPr>
  </w:style>
  <w:style w:type="paragraph" w:styleId="1049">
    <w:name w:val="正文文字 6"/>
    <w:next w:val="960"/>
    <w:link w:val="960"/>
    <w:uiPriority w:val="99"/>
    <w:qFormat/>
    <w:pPr>
      <w:ind w:left="240"/>
      <w:jc w:val="both"/>
      <w:widowControl w:val="off"/>
    </w:pPr>
    <w:rPr>
      <w:rFonts w:ascii="宋体"/>
      <w:b/>
      <w:bCs/>
      <w:sz w:val="32"/>
      <w:szCs w:val="32"/>
      <w:lang w:val="en-US" w:eastAsia="zh-CN" w:bidi="ar-SA"/>
    </w:rPr>
  </w:style>
  <w:style w:type="paragraph" w:styleId="1050">
    <w:name w:val="Char Char Char Char1 Char Char Char"/>
    <w:basedOn w:val="960"/>
    <w:next w:val="1050"/>
    <w:link w:val="960"/>
    <w:qFormat/>
    <w:pPr>
      <w:ind w:firstLine="922"/>
      <w:spacing w:line="360" w:lineRule="auto"/>
    </w:pPr>
    <w:rPr>
      <w:rFonts w:ascii="Tahoma" w:hAnsi="Tahoma" w:eastAsia="宋体" w:cs="Times New Roman"/>
      <w:sz w:val="24"/>
      <w:szCs w:val="20"/>
    </w:rPr>
  </w:style>
  <w:style w:type="paragraph" w:styleId="1051">
    <w:name w:val="ecxmsonormal"/>
    <w:basedOn w:val="960"/>
    <w:next w:val="1051"/>
    <w:link w:val="960"/>
    <w:qFormat/>
    <w:pPr>
      <w:ind w:firstLine="922"/>
      <w:jc w:val="left"/>
      <w:spacing w:after="324" w:line="360" w:lineRule="auto"/>
      <w:widowControl/>
    </w:pPr>
    <w:rPr>
      <w:rFonts w:ascii="宋体" w:hAnsi="宋体" w:eastAsia="宋体" w:cs="宋体"/>
      <w:sz w:val="24"/>
      <w:szCs w:val="24"/>
    </w:rPr>
  </w:style>
  <w:style w:type="paragraph" w:styleId="1052">
    <w:name w:val="列出段落1"/>
    <w:basedOn w:val="960"/>
    <w:next w:val="1052"/>
    <w:link w:val="960"/>
    <w:qFormat/>
    <w:pPr>
      <w:ind w:firstLine="420"/>
      <w:spacing w:line="360" w:lineRule="auto"/>
    </w:pPr>
    <w:rPr>
      <w:rFonts w:ascii="Times New Roman" w:hAnsi="Times New Roman" w:eastAsia="宋体" w:cs="Times New Roman"/>
      <w:szCs w:val="24"/>
    </w:rPr>
  </w:style>
  <w:style w:type="paragraph" w:styleId="1053">
    <w:name w:val="正文_13"/>
    <w:next w:val="1053"/>
    <w:link w:val="960"/>
    <w:qFormat/>
    <w:pPr>
      <w:jc w:val="both"/>
      <w:widowControl w:val="off"/>
    </w:pPr>
    <w:rPr>
      <w:sz w:val="21"/>
      <w:szCs w:val="24"/>
      <w:lang w:val="en-US" w:eastAsia="zh-CN" w:bidi="ar-SA"/>
    </w:rPr>
  </w:style>
  <w:style w:type="paragraph" w:styleId="1054">
    <w:name w:val="Description des variantes - option (p)"/>
    <w:next w:val="1054"/>
    <w:link w:val="960"/>
    <w:qFormat/>
    <w:pPr>
      <w:spacing w:line="0" w:lineRule="atLeast"/>
      <w:shd w:val="clear" w:color="auto" w:fill="ffffff"/>
    </w:pPr>
    <w:rPr>
      <w:rFonts w:ascii="Arial" w:hAnsi="Arial" w:cs="Arial"/>
      <w:i/>
      <w:color w:val="0000ff"/>
      <w:sz w:val="18"/>
      <w:lang w:val="en-US" w:eastAsia="zh-CN" w:bidi="ar-SA"/>
    </w:rPr>
  </w:style>
  <w:style w:type="paragraph" w:styleId="1055">
    <w:name w:val="Table Paragraph"/>
    <w:basedOn w:val="960"/>
    <w:next w:val="1055"/>
    <w:link w:val="960"/>
    <w:uiPriority w:val="1"/>
    <w:qFormat/>
    <w:pPr>
      <w:ind w:firstLine="922"/>
      <w:jc w:val="left"/>
      <w:spacing w:line="360" w:lineRule="auto"/>
    </w:pPr>
    <w:rPr>
      <w:rFonts w:ascii="Times New Roman" w:hAnsi="Times New Roman" w:eastAsia="宋体" w:cs="Times New Roman"/>
      <w:sz w:val="24"/>
      <w:szCs w:val="24"/>
    </w:rPr>
  </w:style>
  <w:style w:type="paragraph" w:styleId="1056">
    <w:name w:val="内容样式"/>
    <w:basedOn w:val="960"/>
    <w:next w:val="1056"/>
    <w:link w:val="960"/>
    <w:qFormat/>
    <w:pPr>
      <w:ind w:firstLine="560"/>
      <w:jc w:val="left"/>
      <w:spacing w:line="460" w:lineRule="exact"/>
    </w:pPr>
    <w:rPr>
      <w:rFonts w:ascii="仿宋_GB2312" w:hAnsi="仿宋_GB2312" w:eastAsia="仿宋_GB2312" w:cs="宋体"/>
      <w:sz w:val="28"/>
      <w:szCs w:val="20"/>
    </w:rPr>
  </w:style>
  <w:style w:type="paragraph" w:styleId="1057">
    <w:name w:val="g3"/>
    <w:basedOn w:val="960"/>
    <w:next w:val="1057"/>
    <w:link w:val="960"/>
    <w:qFormat/>
    <w:pPr>
      <w:ind w:firstLine="922"/>
      <w:jc w:val="left"/>
      <w:spacing w:before="100" w:beforeAutospacing="1" w:after="100" w:afterAutospacing="1" w:line="675" w:lineRule="atLeast"/>
      <w:widowControl/>
    </w:pPr>
    <w:rPr>
      <w:rFonts w:hint="eastAsia" w:ascii="华文中宋" w:hAnsi="华文中宋" w:eastAsia="华文中宋" w:cs="Times New Roman"/>
      <w:sz w:val="42"/>
      <w:szCs w:val="42"/>
    </w:rPr>
  </w:style>
  <w:style w:type="paragraph" w:styleId="1058">
    <w:name w:val="table_1stline"/>
    <w:basedOn w:val="960"/>
    <w:next w:val="1058"/>
    <w:link w:val="960"/>
    <w:qFormat/>
    <w:pPr>
      <w:ind w:firstLine="922"/>
      <w:jc w:val="left"/>
      <w:spacing w:before="120" w:line="360" w:lineRule="auto"/>
      <w:widowControl/>
    </w:pPr>
    <w:rPr>
      <w:rFonts w:ascii="Times New Roman" w:hAnsi="Times New Roman" w:eastAsia="MS Mincho" w:cs="Times New Roman"/>
      <w:bCs/>
      <w:sz w:val="20"/>
      <w:szCs w:val="20"/>
    </w:rPr>
  </w:style>
  <w:style w:type="paragraph" w:styleId="1059">
    <w:name w:val="Char Char Char Char1"/>
    <w:basedOn w:val="960"/>
    <w:next w:val="1059"/>
    <w:link w:val="960"/>
    <w:qFormat/>
    <w:pPr>
      <w:ind w:firstLine="922"/>
      <w:spacing w:line="360" w:lineRule="auto"/>
    </w:pPr>
    <w:rPr>
      <w:rFonts w:ascii="Tahoma" w:hAnsi="Tahoma" w:eastAsia="宋体" w:cs="Times New Roman"/>
      <w:sz w:val="24"/>
      <w:szCs w:val="20"/>
    </w:rPr>
  </w:style>
  <w:style w:type="paragraph" w:styleId="1060">
    <w:name w:val="TOC 标题1"/>
    <w:basedOn w:val="961"/>
    <w:next w:val="960"/>
    <w:link w:val="960"/>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paragraph" w:styleId="1061">
    <w:name w:val="Table Text"/>
    <w:basedOn w:val="960"/>
    <w:next w:val="1061"/>
    <w:link w:val="960"/>
    <w:semiHidden/>
    <w:qFormat/>
    <w:rPr>
      <w:rFonts w:ascii="宋体" w:hAnsi="宋体" w:cs="宋体"/>
      <w:sz w:val="24"/>
      <w:szCs w:val="24"/>
      <w:lang w:eastAsia="en-US"/>
    </w:rPr>
  </w:style>
  <w:style w:type="paragraph" w:styleId="1062">
    <w:name w:val="p15"/>
    <w:basedOn w:val="960"/>
    <w:next w:val="1062"/>
    <w:link w:val="960"/>
    <w:qFormat/>
    <w:pPr>
      <w:ind w:firstLine="922"/>
      <w:spacing w:line="360" w:lineRule="auto"/>
      <w:widowControl/>
    </w:pPr>
    <w:rPr>
      <w:rFonts w:ascii="Calibri" w:hAnsi="Calibri" w:eastAsia="宋体" w:cs="宋体"/>
      <w:szCs w:val="21"/>
    </w:rPr>
  </w:style>
  <w:style w:type="paragraph" w:styleId="1063">
    <w:name w:val="BodyTextIndent1"/>
    <w:basedOn w:val="960"/>
    <w:next w:val="1063"/>
    <w:link w:val="960"/>
    <w:qFormat/>
    <w:pPr>
      <w:ind w:firstLine="601"/>
      <w:spacing w:line="520" w:lineRule="exact"/>
    </w:pPr>
    <w:rPr>
      <w:rFonts w:ascii="CG Times" w:hAnsi="CG Times" w:eastAsia="仿宋_GB2312"/>
      <w:sz w:val="30"/>
      <w:szCs w:val="20"/>
    </w:rPr>
  </w:style>
  <w:style w:type="paragraph" w:styleId="1064">
    <w:name w:val="纯文本1"/>
    <w:basedOn w:val="960"/>
    <w:next w:val="1064"/>
    <w:link w:val="960"/>
    <w:qFormat/>
    <w:pPr>
      <w:ind w:firstLine="922"/>
      <w:spacing w:line="360" w:lineRule="auto"/>
    </w:pPr>
    <w:rPr>
      <w:rFonts w:ascii="宋体" w:hAnsi="Courier New" w:eastAsia="宋体" w:cs="Times New Roman"/>
      <w:szCs w:val="24"/>
    </w:rPr>
  </w:style>
  <w:style w:type="paragraph" w:styleId="1065">
    <w:name w:val="Char"/>
    <w:basedOn w:val="960"/>
    <w:next w:val="1065"/>
    <w:link w:val="960"/>
    <w:qFormat/>
    <w:pPr>
      <w:ind w:firstLine="922"/>
      <w:jc w:val="left"/>
      <w:spacing w:after="160" w:line="240" w:lineRule="exact"/>
      <w:widowControl/>
    </w:pPr>
    <w:rPr>
      <w:rFonts w:ascii="Arial" w:hAnsi="Arial" w:eastAsia="Times New Roman" w:cs="Verdana"/>
      <w:b/>
      <w:sz w:val="24"/>
      <w:szCs w:val="20"/>
      <w:lang w:eastAsia="en-US"/>
    </w:rPr>
  </w:style>
  <w:style w:type="paragraph" w:styleId="1066">
    <w:name w:val="pa-5"/>
    <w:basedOn w:val="960"/>
    <w:next w:val="1066"/>
    <w:link w:val="960"/>
    <w:qFormat/>
    <w:pPr>
      <w:ind w:firstLine="922"/>
      <w:jc w:val="left"/>
      <w:spacing w:before="100" w:beforeAutospacing="1" w:after="100" w:afterAutospacing="1" w:line="360" w:lineRule="auto"/>
      <w:widowControl/>
    </w:pPr>
    <w:rPr>
      <w:rFonts w:ascii="宋体" w:hAnsi="宋体" w:eastAsia="宋体" w:cs="宋体"/>
      <w:sz w:val="24"/>
      <w:szCs w:val="24"/>
    </w:rPr>
  </w:style>
  <w:style w:type="paragraph" w:styleId="1067">
    <w:name w:val="para"/>
    <w:basedOn w:val="960"/>
    <w:next w:val="1067"/>
    <w:link w:val="960"/>
    <w:qFormat/>
    <w:pPr>
      <w:ind w:firstLine="425"/>
      <w:spacing w:before="160" w:line="360" w:lineRule="auto"/>
      <w:widowControl/>
    </w:pPr>
    <w:rPr>
      <w:rFonts w:ascii="Times New Roman" w:hAnsi="Times New Roman" w:eastAsia="宋体" w:cs="Times New Roman"/>
      <w:sz w:val="24"/>
      <w:szCs w:val="20"/>
      <w:lang w:eastAsia="en-US"/>
    </w:rPr>
  </w:style>
  <w:style w:type="paragraph" w:styleId="1068">
    <w:name w:val="Char Char1 Char Char Char"/>
    <w:basedOn w:val="960"/>
    <w:next w:val="1068"/>
    <w:link w:val="960"/>
    <w:qFormat/>
    <w:pPr>
      <w:ind w:firstLine="922"/>
      <w:spacing w:line="360" w:lineRule="auto"/>
    </w:pPr>
    <w:rPr>
      <w:rFonts w:ascii="Times New Roman" w:hAnsi="Times New Roman" w:eastAsia="宋体" w:cs="Times New Roman"/>
      <w:szCs w:val="20"/>
    </w:rPr>
  </w:style>
  <w:style w:type="paragraph" w:styleId="1069">
    <w:name w:val="Char1"/>
    <w:basedOn w:val="960"/>
    <w:next w:val="1069"/>
    <w:link w:val="960"/>
    <w:qFormat/>
    <w:pPr>
      <w:ind w:firstLine="922"/>
      <w:spacing w:line="360" w:lineRule="auto"/>
      <w:tabs>
        <w:tab w:val="left" w:pos="360" w:leader="none"/>
      </w:tabs>
    </w:pPr>
    <w:rPr>
      <w:rFonts w:ascii="Times New Roman" w:hAnsi="Times New Roman" w:eastAsia="宋体" w:cs="Times New Roman"/>
      <w:sz w:val="24"/>
      <w:szCs w:val="24"/>
    </w:rPr>
  </w:style>
  <w:style w:type="paragraph" w:styleId="1070">
    <w:name w:val="修订1"/>
    <w:next w:val="1070"/>
    <w:link w:val="960"/>
    <w:uiPriority w:val="99"/>
    <w:unhideWhenUsed/>
    <w:qFormat/>
    <w:rPr>
      <w:sz w:val="21"/>
      <w:szCs w:val="24"/>
      <w:lang w:val="en-US" w:eastAsia="zh-CN" w:bidi="ar-SA"/>
    </w:rPr>
  </w:style>
  <w:style w:type="paragraph" w:styleId="1071">
    <w:name w:val="HTML 预设格式1"/>
    <w:basedOn w:val="960"/>
    <w:next w:val="1071"/>
    <w:link w:val="96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1072">
    <w:name w:val="列出段落11"/>
    <w:basedOn w:val="960"/>
    <w:next w:val="1072"/>
    <w:link w:val="960"/>
    <w:qFormat/>
    <w:pPr>
      <w:ind w:firstLine="420"/>
      <w:spacing w:line="360" w:lineRule="auto"/>
    </w:pPr>
    <w:rPr>
      <w:rFonts w:ascii="Calibri" w:hAnsi="Calibri" w:eastAsia="宋体" w:cs="Times New Roman"/>
    </w:rPr>
  </w:style>
  <w:style w:type="paragraph" w:styleId="1073">
    <w:name w:val="粗字体子题目"/>
    <w:next w:val="1073"/>
    <w:link w:val="960"/>
    <w:qFormat/>
    <w:pPr>
      <w:jc w:val="both"/>
      <w:spacing w:line="0" w:lineRule="atLeast"/>
      <w:shd w:val="clear" w:color="auto" w:fill="feffff"/>
    </w:pPr>
    <w:rPr>
      <w:rFonts w:ascii="Arial" w:hAnsi="Arial" w:cs="Arial"/>
      <w:b/>
      <w:color w:val="010000"/>
      <w:sz w:val="24"/>
      <w:lang w:val="en-US" w:eastAsia="zh-CN" w:bidi="ar-SA"/>
    </w:rPr>
  </w:style>
  <w:style w:type="paragraph" w:styleId="1074">
    <w:name w:val="Description des variantes - série (p)"/>
    <w:next w:val="1074"/>
    <w:link w:val="960"/>
    <w:qFormat/>
    <w:pPr>
      <w:spacing w:line="0" w:lineRule="atLeast"/>
      <w:shd w:val="clear" w:color="auto" w:fill="ffffff"/>
    </w:pPr>
    <w:rPr>
      <w:rFonts w:ascii="Arial" w:hAnsi="Arial" w:cs="Arial"/>
      <w:color w:val="000000"/>
      <w:sz w:val="18"/>
      <w:lang w:val="en-US" w:eastAsia="zh-CN" w:bidi="ar-SA"/>
    </w:rPr>
  </w:style>
  <w:style w:type="table" w:styleId="1075">
    <w:name w:val="网格型1"/>
    <w:basedOn w:val="966"/>
    <w:next w:val="1075"/>
    <w:link w:val="960"/>
    <w:qFormat/>
    <w:rPr>
      <w:rFonts w:cs="Calibri"/>
    </w:rPr>
    <w:tblPr/>
  </w:style>
  <w:style w:type="paragraph" w:styleId="1076">
    <w:name w:val="页脚1"/>
    <w:basedOn w:val="960"/>
    <w:next w:val="1076"/>
    <w:link w:val="960"/>
    <w:unhideWhenUsed/>
    <w:qFormat/>
    <w:pPr>
      <w:jc w:val="left"/>
      <w:tabs>
        <w:tab w:val="center" w:pos="4153" w:leader="none"/>
        <w:tab w:val="right" w:pos="8306" w:leader="none"/>
      </w:tabs>
    </w:pPr>
    <w:rPr>
      <w:sz w:val="18"/>
      <w:szCs w:val="24"/>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t</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dc:title>
  <dc:creator>C</dc:creator>
  <cp:lastModifiedBy>王莹莹</cp:lastModifiedBy>
  <cp:revision>4</cp:revision>
  <dcterms:created xsi:type="dcterms:W3CDTF">2024-06-07T07:00:00Z</dcterms:created>
  <dcterms:modified xsi:type="dcterms:W3CDTF">2025-04-07T08:39:44Z</dcterms:modified>
</cp:coreProperties>
</file>