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6BDAA">
      <w:pPr>
        <w:jc w:val="center"/>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采购清单</w:t>
      </w:r>
    </w:p>
    <w:p w14:paraId="09DEF323">
      <w:pPr>
        <w:jc w:val="center"/>
        <w:outlineLvl w:val="9"/>
        <w:rPr>
          <w:rFonts w:hint="eastAsia" w:ascii="宋体" w:hAnsi="宋体" w:eastAsia="宋体" w:cs="宋体"/>
          <w:b/>
          <w:bCs/>
          <w:color w:val="auto"/>
          <w:sz w:val="21"/>
          <w:szCs w:val="21"/>
          <w:highlight w:val="none"/>
          <w:lang w:val="en-US" w:eastAsia="zh-CN"/>
        </w:rPr>
      </w:pPr>
    </w:p>
    <w:tbl>
      <w:tblPr>
        <w:tblStyle w:val="7"/>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847"/>
        <w:gridCol w:w="1264"/>
        <w:gridCol w:w="1500"/>
        <w:gridCol w:w="1560"/>
      </w:tblGrid>
      <w:tr w14:paraId="1EF3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69" w:type="dxa"/>
            <w:vAlign w:val="center"/>
          </w:tcPr>
          <w:p w14:paraId="1CB90B02">
            <w:pPr>
              <w:jc w:val="center"/>
              <w:outlineLvl w:val="9"/>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2847" w:type="dxa"/>
            <w:vAlign w:val="center"/>
          </w:tcPr>
          <w:p w14:paraId="41D3D8E0">
            <w:pPr>
              <w:jc w:val="center"/>
              <w:outlineLvl w:val="9"/>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名称</w:t>
            </w:r>
          </w:p>
        </w:tc>
        <w:tc>
          <w:tcPr>
            <w:tcW w:w="1264" w:type="dxa"/>
            <w:vAlign w:val="center"/>
          </w:tcPr>
          <w:p w14:paraId="1CF0458F">
            <w:pPr>
              <w:jc w:val="center"/>
              <w:outlineLvl w:val="9"/>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数量</w:t>
            </w:r>
          </w:p>
        </w:tc>
        <w:tc>
          <w:tcPr>
            <w:tcW w:w="1500" w:type="dxa"/>
            <w:vAlign w:val="center"/>
          </w:tcPr>
          <w:p w14:paraId="6294A3C0">
            <w:pPr>
              <w:jc w:val="center"/>
              <w:outlineLvl w:val="9"/>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highlight w:val="none"/>
                <w:lang w:val="en-US" w:eastAsia="zh-CN"/>
              </w:rPr>
              <w:t>▲（27个）</w:t>
            </w:r>
          </w:p>
        </w:tc>
        <w:tc>
          <w:tcPr>
            <w:tcW w:w="1560" w:type="dxa"/>
            <w:vAlign w:val="center"/>
          </w:tcPr>
          <w:p w14:paraId="4F9BEBA9">
            <w:pPr>
              <w:jc w:val="center"/>
              <w:outlineLvl w:val="9"/>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r>
      <w:tr w14:paraId="3785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3745BEA7">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2847" w:type="dxa"/>
            <w:vAlign w:val="center"/>
          </w:tcPr>
          <w:p w14:paraId="5DCA4688">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血液分析流水线</w:t>
            </w:r>
          </w:p>
        </w:tc>
        <w:tc>
          <w:tcPr>
            <w:tcW w:w="1264" w:type="dxa"/>
            <w:vAlign w:val="center"/>
          </w:tcPr>
          <w:p w14:paraId="505812B0">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1套</w:t>
            </w:r>
          </w:p>
        </w:tc>
        <w:tc>
          <w:tcPr>
            <w:tcW w:w="1500" w:type="dxa"/>
            <w:vAlign w:val="center"/>
          </w:tcPr>
          <w:p w14:paraId="4138D1C4">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1560" w:type="dxa"/>
            <w:vAlign w:val="center"/>
          </w:tcPr>
          <w:p w14:paraId="7BC329F1">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highlight w:val="none"/>
                <w:lang w:val="en-US" w:eastAsia="zh-CN"/>
              </w:rPr>
              <w:t>★</w:t>
            </w:r>
            <w:r>
              <w:rPr>
                <w:rFonts w:hint="eastAsia" w:ascii="宋体" w:hAnsi="宋体" w:eastAsia="宋体" w:cs="宋体"/>
                <w:color w:val="auto"/>
                <w:sz w:val="21"/>
                <w:szCs w:val="21"/>
                <w:highlight w:val="none"/>
                <w:lang w:val="en-US" w:eastAsia="zh-CN"/>
              </w:rPr>
              <w:t>3个</w:t>
            </w:r>
          </w:p>
        </w:tc>
      </w:tr>
      <w:tr w14:paraId="03A8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5AA34C58">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2847" w:type="dxa"/>
            <w:vAlign w:val="center"/>
          </w:tcPr>
          <w:p w14:paraId="7D3C8F2F">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bCs/>
                <w:color w:val="auto"/>
                <w:sz w:val="21"/>
                <w:szCs w:val="21"/>
                <w:highlight w:val="none"/>
                <w:vertAlign w:val="baseline"/>
                <w:lang w:val="en-US" w:eastAsia="zh-CN"/>
              </w:rPr>
              <w:t>生化免疫流水线</w:t>
            </w:r>
          </w:p>
        </w:tc>
        <w:tc>
          <w:tcPr>
            <w:tcW w:w="1264" w:type="dxa"/>
            <w:vAlign w:val="center"/>
          </w:tcPr>
          <w:p w14:paraId="30E0B144">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1套</w:t>
            </w:r>
          </w:p>
        </w:tc>
        <w:tc>
          <w:tcPr>
            <w:tcW w:w="1500" w:type="dxa"/>
            <w:vAlign w:val="center"/>
          </w:tcPr>
          <w:p w14:paraId="54B45A83">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3个</w:t>
            </w:r>
          </w:p>
        </w:tc>
        <w:tc>
          <w:tcPr>
            <w:tcW w:w="1560" w:type="dxa"/>
            <w:vAlign w:val="center"/>
          </w:tcPr>
          <w:p w14:paraId="4F3646C8">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highlight w:val="none"/>
                <w:lang w:val="en-US" w:eastAsia="zh-CN"/>
              </w:rPr>
              <w:t>★</w:t>
            </w:r>
            <w:r>
              <w:rPr>
                <w:rFonts w:hint="eastAsia" w:ascii="宋体" w:hAnsi="宋体" w:eastAsia="宋体" w:cs="宋体"/>
                <w:color w:val="auto"/>
                <w:sz w:val="21"/>
                <w:szCs w:val="21"/>
                <w:highlight w:val="none"/>
                <w:lang w:val="en-US" w:eastAsia="zh-CN"/>
              </w:rPr>
              <w:t>2个</w:t>
            </w:r>
          </w:p>
        </w:tc>
      </w:tr>
      <w:tr w14:paraId="1A3B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350455A3">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2847" w:type="dxa"/>
            <w:vAlign w:val="center"/>
          </w:tcPr>
          <w:p w14:paraId="71E2F328">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全自动尿液分析系统</w:t>
            </w:r>
          </w:p>
        </w:tc>
        <w:tc>
          <w:tcPr>
            <w:tcW w:w="1264" w:type="dxa"/>
            <w:vAlign w:val="center"/>
          </w:tcPr>
          <w:p w14:paraId="3D475F5E">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1套</w:t>
            </w:r>
          </w:p>
        </w:tc>
        <w:tc>
          <w:tcPr>
            <w:tcW w:w="1500" w:type="dxa"/>
            <w:vAlign w:val="center"/>
          </w:tcPr>
          <w:p w14:paraId="4E80C87D">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2个</w:t>
            </w:r>
          </w:p>
        </w:tc>
        <w:tc>
          <w:tcPr>
            <w:tcW w:w="1560" w:type="dxa"/>
            <w:vAlign w:val="center"/>
          </w:tcPr>
          <w:p w14:paraId="0D148D10">
            <w:pPr>
              <w:jc w:val="center"/>
              <w:outlineLvl w:val="9"/>
              <w:rPr>
                <w:rFonts w:hint="default" w:ascii="宋体" w:hAnsi="宋体" w:eastAsia="宋体" w:cs="宋体"/>
                <w:b w:val="0"/>
                <w:bCs w:val="0"/>
                <w:color w:val="auto"/>
                <w:sz w:val="21"/>
                <w:szCs w:val="21"/>
                <w:highlight w:val="none"/>
                <w:vertAlign w:val="baseline"/>
                <w:lang w:val="en-US" w:eastAsia="zh-CN"/>
              </w:rPr>
            </w:pPr>
          </w:p>
        </w:tc>
      </w:tr>
      <w:tr w14:paraId="7A08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66F92A58">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2847" w:type="dxa"/>
            <w:vAlign w:val="center"/>
          </w:tcPr>
          <w:p w14:paraId="0DBB471A">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血细胞分析仪（另加CRP）</w:t>
            </w:r>
          </w:p>
        </w:tc>
        <w:tc>
          <w:tcPr>
            <w:tcW w:w="1264" w:type="dxa"/>
            <w:vAlign w:val="center"/>
          </w:tcPr>
          <w:p w14:paraId="474EE318">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1台</w:t>
            </w:r>
          </w:p>
        </w:tc>
        <w:tc>
          <w:tcPr>
            <w:tcW w:w="1500" w:type="dxa"/>
            <w:vAlign w:val="center"/>
          </w:tcPr>
          <w:p w14:paraId="6F243FE7">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2个</w:t>
            </w:r>
          </w:p>
        </w:tc>
        <w:tc>
          <w:tcPr>
            <w:tcW w:w="1560" w:type="dxa"/>
            <w:vAlign w:val="center"/>
          </w:tcPr>
          <w:p w14:paraId="75CBA64A">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highlight w:val="none"/>
                <w:lang w:val="en-US" w:eastAsia="zh-CN"/>
              </w:rPr>
              <w:t>★</w:t>
            </w:r>
            <w:r>
              <w:rPr>
                <w:rFonts w:hint="eastAsia" w:ascii="宋体" w:hAnsi="宋体" w:eastAsia="宋体" w:cs="宋体"/>
                <w:color w:val="auto"/>
                <w:sz w:val="21"/>
                <w:szCs w:val="21"/>
                <w:highlight w:val="none"/>
                <w:lang w:val="en-US" w:eastAsia="zh-CN"/>
              </w:rPr>
              <w:t>1个</w:t>
            </w:r>
          </w:p>
        </w:tc>
      </w:tr>
      <w:tr w14:paraId="5B58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4F216D3D">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2847" w:type="dxa"/>
            <w:vAlign w:val="center"/>
          </w:tcPr>
          <w:p w14:paraId="47FDD67F">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全自动血凝仪</w:t>
            </w:r>
          </w:p>
        </w:tc>
        <w:tc>
          <w:tcPr>
            <w:tcW w:w="1264" w:type="dxa"/>
            <w:vAlign w:val="center"/>
          </w:tcPr>
          <w:p w14:paraId="7A036C7C">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1台</w:t>
            </w:r>
          </w:p>
        </w:tc>
        <w:tc>
          <w:tcPr>
            <w:tcW w:w="1500" w:type="dxa"/>
            <w:vAlign w:val="center"/>
          </w:tcPr>
          <w:p w14:paraId="38BD0B0A">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2个</w:t>
            </w:r>
          </w:p>
        </w:tc>
        <w:tc>
          <w:tcPr>
            <w:tcW w:w="1560" w:type="dxa"/>
            <w:vAlign w:val="center"/>
          </w:tcPr>
          <w:p w14:paraId="41D37AC9">
            <w:pPr>
              <w:jc w:val="center"/>
              <w:outlineLvl w:val="9"/>
              <w:rPr>
                <w:rFonts w:hint="eastAsia" w:ascii="宋体" w:hAnsi="宋体" w:eastAsia="宋体" w:cs="宋体"/>
                <w:b w:val="0"/>
                <w:bCs w:val="0"/>
                <w:color w:val="auto"/>
                <w:sz w:val="21"/>
                <w:szCs w:val="21"/>
                <w:highlight w:val="none"/>
                <w:vertAlign w:val="baseline"/>
                <w:lang w:val="en-US" w:eastAsia="zh-CN"/>
              </w:rPr>
            </w:pPr>
          </w:p>
        </w:tc>
      </w:tr>
      <w:tr w14:paraId="1CFE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7D523C96">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2847" w:type="dxa"/>
            <w:vAlign w:val="center"/>
          </w:tcPr>
          <w:p w14:paraId="0319247C">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生物安全柜（双人位）</w:t>
            </w:r>
          </w:p>
        </w:tc>
        <w:tc>
          <w:tcPr>
            <w:tcW w:w="1264" w:type="dxa"/>
            <w:vAlign w:val="center"/>
          </w:tcPr>
          <w:p w14:paraId="04F7AC2C">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1套</w:t>
            </w:r>
          </w:p>
        </w:tc>
        <w:tc>
          <w:tcPr>
            <w:tcW w:w="1500" w:type="dxa"/>
            <w:vAlign w:val="center"/>
          </w:tcPr>
          <w:p w14:paraId="0C31CDF4">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1个</w:t>
            </w:r>
          </w:p>
        </w:tc>
        <w:tc>
          <w:tcPr>
            <w:tcW w:w="1560" w:type="dxa"/>
            <w:vAlign w:val="center"/>
          </w:tcPr>
          <w:p w14:paraId="3EDFE6E7">
            <w:pPr>
              <w:jc w:val="center"/>
              <w:outlineLvl w:val="9"/>
              <w:rPr>
                <w:rFonts w:hint="eastAsia" w:ascii="宋体" w:hAnsi="宋体" w:eastAsia="宋体" w:cs="宋体"/>
                <w:b w:val="0"/>
                <w:bCs w:val="0"/>
                <w:color w:val="auto"/>
                <w:sz w:val="21"/>
                <w:szCs w:val="21"/>
                <w:highlight w:val="none"/>
                <w:vertAlign w:val="baseline"/>
                <w:lang w:val="en-US" w:eastAsia="zh-CN"/>
              </w:rPr>
            </w:pPr>
          </w:p>
        </w:tc>
      </w:tr>
      <w:tr w14:paraId="1592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CD8A6BB">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2847" w:type="dxa"/>
            <w:vAlign w:val="center"/>
          </w:tcPr>
          <w:p w14:paraId="27C72906">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粪便分析仪</w:t>
            </w:r>
          </w:p>
        </w:tc>
        <w:tc>
          <w:tcPr>
            <w:tcW w:w="1264" w:type="dxa"/>
            <w:vAlign w:val="center"/>
          </w:tcPr>
          <w:p w14:paraId="323BEE70">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1台</w:t>
            </w:r>
          </w:p>
        </w:tc>
        <w:tc>
          <w:tcPr>
            <w:tcW w:w="1500" w:type="dxa"/>
            <w:vAlign w:val="center"/>
          </w:tcPr>
          <w:p w14:paraId="7D79076F">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3个</w:t>
            </w:r>
          </w:p>
        </w:tc>
        <w:tc>
          <w:tcPr>
            <w:tcW w:w="1560" w:type="dxa"/>
            <w:vAlign w:val="center"/>
          </w:tcPr>
          <w:p w14:paraId="67382ADE">
            <w:pPr>
              <w:jc w:val="center"/>
              <w:outlineLvl w:val="9"/>
              <w:rPr>
                <w:rFonts w:hint="default" w:ascii="宋体" w:hAnsi="宋体" w:eastAsia="宋体" w:cs="宋体"/>
                <w:b w:val="0"/>
                <w:bCs w:val="0"/>
                <w:color w:val="auto"/>
                <w:sz w:val="21"/>
                <w:szCs w:val="21"/>
                <w:highlight w:val="none"/>
                <w:vertAlign w:val="baseline"/>
                <w:lang w:val="en-US" w:eastAsia="zh-CN"/>
              </w:rPr>
            </w:pPr>
          </w:p>
        </w:tc>
      </w:tr>
      <w:tr w14:paraId="04AE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4CE72778">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w:t>
            </w:r>
          </w:p>
        </w:tc>
        <w:tc>
          <w:tcPr>
            <w:tcW w:w="2847" w:type="dxa"/>
            <w:vAlign w:val="center"/>
          </w:tcPr>
          <w:p w14:paraId="5A25B85F">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低速</w:t>
            </w:r>
            <w:r>
              <w:rPr>
                <w:rFonts w:hint="default" w:ascii="宋体" w:hAnsi="宋体" w:eastAsia="宋体" w:cs="宋体"/>
                <w:b w:val="0"/>
                <w:bCs w:val="0"/>
                <w:color w:val="auto"/>
                <w:sz w:val="21"/>
                <w:szCs w:val="21"/>
                <w:highlight w:val="none"/>
                <w:vertAlign w:val="baseline"/>
                <w:lang w:val="en-US" w:eastAsia="zh-CN"/>
              </w:rPr>
              <w:t>离心机</w:t>
            </w:r>
          </w:p>
        </w:tc>
        <w:tc>
          <w:tcPr>
            <w:tcW w:w="1264" w:type="dxa"/>
            <w:vAlign w:val="center"/>
          </w:tcPr>
          <w:p w14:paraId="44AC1C3B">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r>
              <w:rPr>
                <w:rFonts w:hint="default" w:ascii="宋体" w:hAnsi="宋体" w:eastAsia="宋体" w:cs="宋体"/>
                <w:b w:val="0"/>
                <w:bCs w:val="0"/>
                <w:color w:val="auto"/>
                <w:sz w:val="21"/>
                <w:szCs w:val="21"/>
                <w:highlight w:val="none"/>
                <w:vertAlign w:val="baseline"/>
                <w:lang w:val="en-US" w:eastAsia="zh-CN"/>
              </w:rPr>
              <w:t>台</w:t>
            </w:r>
          </w:p>
        </w:tc>
        <w:tc>
          <w:tcPr>
            <w:tcW w:w="1500" w:type="dxa"/>
            <w:vAlign w:val="center"/>
          </w:tcPr>
          <w:p w14:paraId="5169B574">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2个</w:t>
            </w:r>
          </w:p>
        </w:tc>
        <w:tc>
          <w:tcPr>
            <w:tcW w:w="1560" w:type="dxa"/>
            <w:vAlign w:val="center"/>
          </w:tcPr>
          <w:p w14:paraId="51511953">
            <w:pPr>
              <w:jc w:val="center"/>
              <w:outlineLvl w:val="9"/>
              <w:rPr>
                <w:rFonts w:hint="eastAsia" w:ascii="宋体" w:hAnsi="宋体" w:eastAsia="宋体" w:cs="宋体"/>
                <w:b w:val="0"/>
                <w:bCs w:val="0"/>
                <w:color w:val="auto"/>
                <w:sz w:val="21"/>
                <w:szCs w:val="21"/>
                <w:highlight w:val="none"/>
                <w:vertAlign w:val="baseline"/>
                <w:lang w:val="en-US" w:eastAsia="zh-CN"/>
              </w:rPr>
            </w:pPr>
          </w:p>
        </w:tc>
      </w:tr>
      <w:tr w14:paraId="45EC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32C989F">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9</w:t>
            </w:r>
          </w:p>
        </w:tc>
        <w:tc>
          <w:tcPr>
            <w:tcW w:w="2847" w:type="dxa"/>
            <w:vAlign w:val="center"/>
          </w:tcPr>
          <w:p w14:paraId="006CD92A">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生物显微镜</w:t>
            </w:r>
          </w:p>
        </w:tc>
        <w:tc>
          <w:tcPr>
            <w:tcW w:w="1264" w:type="dxa"/>
            <w:vAlign w:val="center"/>
          </w:tcPr>
          <w:p w14:paraId="73991201">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1台</w:t>
            </w:r>
          </w:p>
        </w:tc>
        <w:tc>
          <w:tcPr>
            <w:tcW w:w="1500" w:type="dxa"/>
            <w:vAlign w:val="center"/>
          </w:tcPr>
          <w:p w14:paraId="5CD5FEB8">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3个</w:t>
            </w:r>
          </w:p>
        </w:tc>
        <w:tc>
          <w:tcPr>
            <w:tcW w:w="1560" w:type="dxa"/>
            <w:vAlign w:val="center"/>
          </w:tcPr>
          <w:p w14:paraId="717216A7">
            <w:pPr>
              <w:jc w:val="center"/>
              <w:outlineLvl w:val="9"/>
              <w:rPr>
                <w:rFonts w:hint="default" w:ascii="宋体" w:hAnsi="宋体" w:eastAsia="宋体" w:cs="宋体"/>
                <w:b w:val="0"/>
                <w:bCs w:val="0"/>
                <w:color w:val="auto"/>
                <w:sz w:val="21"/>
                <w:szCs w:val="21"/>
                <w:highlight w:val="none"/>
                <w:vertAlign w:val="baseline"/>
                <w:lang w:val="en-US" w:eastAsia="zh-CN"/>
              </w:rPr>
            </w:pPr>
          </w:p>
        </w:tc>
      </w:tr>
      <w:tr w14:paraId="489D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F002484">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w:t>
            </w:r>
          </w:p>
        </w:tc>
        <w:tc>
          <w:tcPr>
            <w:tcW w:w="2847" w:type="dxa"/>
            <w:vAlign w:val="center"/>
          </w:tcPr>
          <w:p w14:paraId="6569646D">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电解质分析仪</w:t>
            </w:r>
          </w:p>
        </w:tc>
        <w:tc>
          <w:tcPr>
            <w:tcW w:w="1264" w:type="dxa"/>
            <w:vAlign w:val="center"/>
          </w:tcPr>
          <w:p w14:paraId="734AFBCF">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1台</w:t>
            </w:r>
          </w:p>
        </w:tc>
        <w:tc>
          <w:tcPr>
            <w:tcW w:w="1500" w:type="dxa"/>
            <w:vAlign w:val="center"/>
          </w:tcPr>
          <w:p w14:paraId="30CAD521">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1个</w:t>
            </w:r>
          </w:p>
        </w:tc>
        <w:tc>
          <w:tcPr>
            <w:tcW w:w="1560" w:type="dxa"/>
            <w:vAlign w:val="center"/>
          </w:tcPr>
          <w:p w14:paraId="7EAB1CE3">
            <w:pPr>
              <w:jc w:val="center"/>
              <w:outlineLvl w:val="9"/>
              <w:rPr>
                <w:rFonts w:hint="eastAsia" w:ascii="宋体" w:hAnsi="宋体" w:eastAsia="宋体" w:cs="宋体"/>
                <w:b w:val="0"/>
                <w:bCs w:val="0"/>
                <w:color w:val="auto"/>
                <w:sz w:val="21"/>
                <w:szCs w:val="21"/>
                <w:highlight w:val="none"/>
                <w:vertAlign w:val="baseline"/>
                <w:lang w:val="en-US" w:eastAsia="zh-CN"/>
              </w:rPr>
            </w:pPr>
          </w:p>
        </w:tc>
      </w:tr>
      <w:tr w14:paraId="7AE9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D5D55EA">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w:t>
            </w:r>
          </w:p>
        </w:tc>
        <w:tc>
          <w:tcPr>
            <w:tcW w:w="2847" w:type="dxa"/>
            <w:vAlign w:val="center"/>
          </w:tcPr>
          <w:p w14:paraId="24064470">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血沉仪</w:t>
            </w:r>
          </w:p>
        </w:tc>
        <w:tc>
          <w:tcPr>
            <w:tcW w:w="1264" w:type="dxa"/>
            <w:vAlign w:val="center"/>
          </w:tcPr>
          <w:p w14:paraId="6EB536A6">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1台</w:t>
            </w:r>
          </w:p>
        </w:tc>
        <w:tc>
          <w:tcPr>
            <w:tcW w:w="1500" w:type="dxa"/>
            <w:vAlign w:val="center"/>
          </w:tcPr>
          <w:p w14:paraId="3B89A578">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2个</w:t>
            </w:r>
          </w:p>
        </w:tc>
        <w:tc>
          <w:tcPr>
            <w:tcW w:w="1560" w:type="dxa"/>
            <w:vAlign w:val="center"/>
          </w:tcPr>
          <w:p w14:paraId="4FFA2837">
            <w:pPr>
              <w:jc w:val="center"/>
              <w:outlineLvl w:val="9"/>
              <w:rPr>
                <w:rFonts w:hint="eastAsia" w:ascii="宋体" w:hAnsi="宋体" w:eastAsia="宋体" w:cs="宋体"/>
                <w:b w:val="0"/>
                <w:bCs w:val="0"/>
                <w:color w:val="auto"/>
                <w:sz w:val="21"/>
                <w:szCs w:val="21"/>
                <w:highlight w:val="none"/>
                <w:vertAlign w:val="baseline"/>
                <w:lang w:val="en-US" w:eastAsia="zh-CN"/>
              </w:rPr>
            </w:pPr>
          </w:p>
        </w:tc>
      </w:tr>
      <w:tr w14:paraId="720D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71A170A5">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w:t>
            </w:r>
          </w:p>
        </w:tc>
        <w:tc>
          <w:tcPr>
            <w:tcW w:w="2847" w:type="dxa"/>
            <w:vAlign w:val="center"/>
          </w:tcPr>
          <w:p w14:paraId="7362CA77">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UPS</w:t>
            </w:r>
          </w:p>
        </w:tc>
        <w:tc>
          <w:tcPr>
            <w:tcW w:w="1264" w:type="dxa"/>
            <w:vAlign w:val="center"/>
          </w:tcPr>
          <w:p w14:paraId="034B668D">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1台</w:t>
            </w:r>
          </w:p>
        </w:tc>
        <w:tc>
          <w:tcPr>
            <w:tcW w:w="1500" w:type="dxa"/>
            <w:vAlign w:val="center"/>
          </w:tcPr>
          <w:p w14:paraId="280DB69F">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1个</w:t>
            </w:r>
          </w:p>
        </w:tc>
        <w:tc>
          <w:tcPr>
            <w:tcW w:w="1560" w:type="dxa"/>
            <w:vAlign w:val="center"/>
          </w:tcPr>
          <w:p w14:paraId="418611CB">
            <w:pPr>
              <w:jc w:val="center"/>
              <w:outlineLvl w:val="9"/>
              <w:rPr>
                <w:rFonts w:hint="eastAsia" w:ascii="宋体" w:hAnsi="宋体" w:eastAsia="宋体" w:cs="宋体"/>
                <w:b w:val="0"/>
                <w:bCs w:val="0"/>
                <w:color w:val="auto"/>
                <w:sz w:val="21"/>
                <w:szCs w:val="21"/>
                <w:highlight w:val="none"/>
                <w:vertAlign w:val="baseline"/>
                <w:lang w:val="en-US" w:eastAsia="zh-CN"/>
              </w:rPr>
            </w:pPr>
          </w:p>
        </w:tc>
      </w:tr>
      <w:tr w14:paraId="1E16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7634814B">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13</w:t>
            </w:r>
          </w:p>
        </w:tc>
        <w:tc>
          <w:tcPr>
            <w:tcW w:w="2847" w:type="dxa"/>
            <w:vAlign w:val="center"/>
          </w:tcPr>
          <w:p w14:paraId="187EDE37">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单门医用冰箱</w:t>
            </w:r>
          </w:p>
        </w:tc>
        <w:tc>
          <w:tcPr>
            <w:tcW w:w="1264" w:type="dxa"/>
            <w:vAlign w:val="center"/>
          </w:tcPr>
          <w:p w14:paraId="1FFE1C5E">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5台</w:t>
            </w:r>
          </w:p>
        </w:tc>
        <w:tc>
          <w:tcPr>
            <w:tcW w:w="1500" w:type="dxa"/>
            <w:vAlign w:val="center"/>
          </w:tcPr>
          <w:p w14:paraId="1437B014">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1个</w:t>
            </w:r>
          </w:p>
        </w:tc>
        <w:tc>
          <w:tcPr>
            <w:tcW w:w="1560" w:type="dxa"/>
            <w:vAlign w:val="center"/>
          </w:tcPr>
          <w:p w14:paraId="78F07CB9">
            <w:pPr>
              <w:jc w:val="center"/>
              <w:outlineLvl w:val="9"/>
              <w:rPr>
                <w:rFonts w:hint="eastAsia" w:ascii="宋体" w:hAnsi="宋体" w:eastAsia="宋体" w:cs="宋体"/>
                <w:b w:val="0"/>
                <w:bCs w:val="0"/>
                <w:color w:val="auto"/>
                <w:sz w:val="21"/>
                <w:szCs w:val="21"/>
                <w:highlight w:val="none"/>
                <w:vertAlign w:val="baseline"/>
                <w:lang w:val="en-US" w:eastAsia="zh-CN"/>
              </w:rPr>
            </w:pPr>
          </w:p>
        </w:tc>
      </w:tr>
      <w:tr w14:paraId="3EFB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3736723">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14</w:t>
            </w:r>
          </w:p>
        </w:tc>
        <w:tc>
          <w:tcPr>
            <w:tcW w:w="2847" w:type="dxa"/>
            <w:vAlign w:val="center"/>
          </w:tcPr>
          <w:p w14:paraId="3B03BC70">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双门医用冰箱</w:t>
            </w:r>
          </w:p>
        </w:tc>
        <w:tc>
          <w:tcPr>
            <w:tcW w:w="1264" w:type="dxa"/>
            <w:vAlign w:val="center"/>
          </w:tcPr>
          <w:p w14:paraId="13380FCF">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12台</w:t>
            </w:r>
          </w:p>
        </w:tc>
        <w:tc>
          <w:tcPr>
            <w:tcW w:w="1500" w:type="dxa"/>
            <w:vAlign w:val="center"/>
          </w:tcPr>
          <w:p w14:paraId="30900009">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2个</w:t>
            </w:r>
          </w:p>
        </w:tc>
        <w:tc>
          <w:tcPr>
            <w:tcW w:w="1560" w:type="dxa"/>
            <w:vAlign w:val="center"/>
          </w:tcPr>
          <w:p w14:paraId="382FDC02">
            <w:pPr>
              <w:jc w:val="center"/>
              <w:outlineLvl w:val="9"/>
              <w:rPr>
                <w:rFonts w:hint="eastAsia" w:ascii="宋体" w:hAnsi="宋体" w:eastAsia="宋体" w:cs="宋体"/>
                <w:b w:val="0"/>
                <w:bCs w:val="0"/>
                <w:color w:val="auto"/>
                <w:sz w:val="21"/>
                <w:szCs w:val="21"/>
                <w:highlight w:val="none"/>
                <w:vertAlign w:val="baseline"/>
                <w:lang w:val="en-US" w:eastAsia="zh-CN"/>
              </w:rPr>
            </w:pPr>
          </w:p>
        </w:tc>
      </w:tr>
      <w:tr w14:paraId="37A5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46C1F40F">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15</w:t>
            </w:r>
          </w:p>
        </w:tc>
        <w:tc>
          <w:tcPr>
            <w:tcW w:w="2847" w:type="dxa"/>
            <w:vAlign w:val="center"/>
          </w:tcPr>
          <w:p w14:paraId="2E198211">
            <w:pPr>
              <w:jc w:val="center"/>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低温医用冰箱(100L)</w:t>
            </w:r>
          </w:p>
        </w:tc>
        <w:tc>
          <w:tcPr>
            <w:tcW w:w="1264" w:type="dxa"/>
            <w:vAlign w:val="center"/>
          </w:tcPr>
          <w:p w14:paraId="6C92B1CD">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2台</w:t>
            </w:r>
          </w:p>
        </w:tc>
        <w:tc>
          <w:tcPr>
            <w:tcW w:w="1500" w:type="dxa"/>
            <w:vAlign w:val="center"/>
          </w:tcPr>
          <w:p w14:paraId="282198DB">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2个</w:t>
            </w:r>
          </w:p>
        </w:tc>
        <w:tc>
          <w:tcPr>
            <w:tcW w:w="1560" w:type="dxa"/>
            <w:vAlign w:val="center"/>
          </w:tcPr>
          <w:p w14:paraId="2CE70BA8">
            <w:pPr>
              <w:jc w:val="center"/>
              <w:outlineLvl w:val="9"/>
              <w:rPr>
                <w:rFonts w:hint="default" w:ascii="宋体" w:hAnsi="宋体" w:eastAsia="宋体" w:cs="宋体"/>
                <w:b w:val="0"/>
                <w:bCs w:val="0"/>
                <w:color w:val="auto"/>
                <w:sz w:val="21"/>
                <w:szCs w:val="21"/>
                <w:highlight w:val="none"/>
                <w:vertAlign w:val="baseline"/>
                <w:lang w:val="en-US" w:eastAsia="zh-CN"/>
              </w:rPr>
            </w:pPr>
          </w:p>
        </w:tc>
      </w:tr>
      <w:tr w14:paraId="78B1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0" w:type="dxa"/>
            <w:gridSpan w:val="5"/>
            <w:vAlign w:val="center"/>
          </w:tcPr>
          <w:p w14:paraId="3132EEA5">
            <w:pPr>
              <w:jc w:val="center"/>
              <w:outlineLvl w:val="9"/>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注：标注*的</w:t>
            </w:r>
            <w:r>
              <w:rPr>
                <w:rFonts w:hint="default" w:ascii="宋体" w:hAnsi="宋体" w:eastAsia="宋体" w:cs="宋体"/>
                <w:b/>
                <w:bCs/>
                <w:color w:val="auto"/>
                <w:sz w:val="21"/>
                <w:szCs w:val="21"/>
                <w:highlight w:val="none"/>
                <w:vertAlign w:val="baseline"/>
                <w:lang w:val="en-US" w:eastAsia="zh-CN"/>
              </w:rPr>
              <w:t>生化免疫流水线</w:t>
            </w:r>
            <w:r>
              <w:rPr>
                <w:rFonts w:hint="eastAsia" w:ascii="宋体" w:hAnsi="宋体" w:eastAsia="宋体" w:cs="宋体"/>
                <w:b/>
                <w:bCs/>
                <w:color w:val="auto"/>
                <w:sz w:val="21"/>
                <w:szCs w:val="21"/>
                <w:highlight w:val="none"/>
                <w:vertAlign w:val="baseline"/>
                <w:lang w:val="en-US" w:eastAsia="zh-CN"/>
              </w:rPr>
              <w:t>为本项目的核心产品</w:t>
            </w:r>
          </w:p>
        </w:tc>
      </w:tr>
    </w:tbl>
    <w:p w14:paraId="2BBE32AD">
      <w:pPr>
        <w:jc w:val="both"/>
        <w:outlineLvl w:val="9"/>
        <w:rPr>
          <w:rFonts w:hint="eastAsia" w:ascii="宋体" w:hAnsi="宋体" w:eastAsia="宋体" w:cs="宋体"/>
          <w:b/>
          <w:bCs/>
          <w:color w:val="auto"/>
          <w:sz w:val="21"/>
          <w:szCs w:val="21"/>
          <w:highlight w:val="none"/>
          <w:lang w:val="en-US" w:eastAsia="zh-CN"/>
        </w:rPr>
      </w:pPr>
    </w:p>
    <w:p w14:paraId="6363CCB7">
      <w:pPr>
        <w:rPr>
          <w:rFonts w:hint="eastAsia" w:ascii="宋体" w:hAnsi="宋体" w:eastAsia="宋体" w:cs="宋体"/>
          <w:b/>
          <w:bCs/>
          <w:color w:val="auto"/>
          <w:sz w:val="21"/>
          <w:szCs w:val="21"/>
          <w:highlight w:val="none"/>
          <w:lang w:val="en-US" w:eastAsia="zh-CN"/>
        </w:rPr>
      </w:pPr>
    </w:p>
    <w:p w14:paraId="773783D1">
      <w:pPr>
        <w:jc w:val="center"/>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品目1 血液分析流水线</w:t>
      </w:r>
    </w:p>
    <w:p w14:paraId="7D72C878">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1、系统功能：</w:t>
      </w:r>
    </w:p>
    <w:p w14:paraId="685BF8DE">
      <w:pPr>
        <w:numPr>
          <w:ilvl w:val="0"/>
          <w:numId w:val="0"/>
        </w:num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血液分析流水线由全自动血细胞分析仪、全自动特定蛋白分析仪、全自动糖化血红蛋白分析仪和灵活摆放配置的多用途系列轨道组合，可上线组合而成的全自动血液分析工作站，为血液学实验室提供更多效率化组合方案。</w:t>
      </w:r>
    </w:p>
    <w:p w14:paraId="6A025FBC">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2、全自动血细胞分析仪</w:t>
      </w:r>
    </w:p>
    <w:p w14:paraId="3D47DD1C">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 分析原理：核酸荧光染色技术、流式细胞技术、红色半导体激光</w:t>
      </w:r>
    </w:p>
    <w:p w14:paraId="2D89AA70">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 进样模式：手动模式、自动模式</w:t>
      </w:r>
    </w:p>
    <w:p w14:paraId="6F9F7266">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 样本模式：全血模式、预稀释模式、低值白细胞模式、样本研究模式</w:t>
      </w:r>
    </w:p>
    <w:p w14:paraId="38BC5334">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 检测模式：CBC、CBC+DIFF、LW、BF</w:t>
      </w:r>
    </w:p>
    <w:p w14:paraId="0B5E21B3">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w:t>
      </w:r>
      <w:bookmarkStart w:id="0" w:name="_GoBack"/>
      <w:bookmarkEnd w:id="0"/>
      <w:r>
        <w:rPr>
          <w:rFonts w:hint="eastAsia" w:ascii="宋体" w:hAnsi="宋体" w:eastAsia="宋体" w:cs="宋体"/>
          <w:color w:val="auto"/>
          <w:sz w:val="21"/>
          <w:szCs w:val="21"/>
          <w:highlight w:val="none"/>
          <w:lang w:val="en-US" w:eastAsia="zh-CN"/>
        </w:rPr>
        <w:t>2.5 检测速度：≥100测试/小时</w:t>
      </w:r>
    </w:p>
    <w:p w14:paraId="046935C0">
      <w:pPr>
        <w:rPr>
          <w:rFonts w:hint="default"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2.6 样本用量：88ul全血（全血模式）、20ul全血+120ul稀释液（预稀释模式），</w:t>
      </w:r>
      <w:r>
        <w:rPr>
          <w:rFonts w:hint="eastAsia" w:ascii="宋体" w:hAnsi="宋体" w:eastAsia="宋体" w:cs="宋体"/>
          <w:color w:val="auto"/>
          <w:highlight w:val="none"/>
          <w:lang w:val="en-US" w:eastAsia="zh-CN"/>
        </w:rPr>
        <w:t>允许偏离±20%</w:t>
      </w:r>
    </w:p>
    <w:p w14:paraId="48801465">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 抗凝剂：EDTA-2K</w:t>
      </w:r>
    </w:p>
    <w:p w14:paraId="0D6FB48C">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 采血管种类：紫色头盖管</w:t>
      </w:r>
    </w:p>
    <w:p w14:paraId="7BAF8698">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 推荐采血量：1ml采血管、≥100ul末梢全血（全血模式）、≥20ul末梢全血（预稀释模式）</w:t>
      </w:r>
    </w:p>
    <w:p w14:paraId="141363B6">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 血液分析参数：不低于29项报告参数，10个图形报告，其中7个散点图，3个直方图</w:t>
      </w:r>
    </w:p>
    <w:p w14:paraId="181BBBA0">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体液分析参数：不低于1个直方图，2个散点图，7项体液报告参数和10项体液研究参数</w:t>
      </w:r>
    </w:p>
    <w:p w14:paraId="006D10F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试剂存量报警：具备，软件支持</w:t>
      </w:r>
    </w:p>
    <w:p w14:paraId="5C237CF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 校准类型：配套校准品补偿系数调整</w:t>
      </w:r>
    </w:p>
    <w:p w14:paraId="7CD7A64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 环境温度要求：5℃～40℃</w:t>
      </w:r>
    </w:p>
    <w:p w14:paraId="3AC9FD5C">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 数据储存：≥200000条</w:t>
      </w:r>
    </w:p>
    <w:p w14:paraId="1DC6A59D">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2.16 仪器故障报警：具备，故障代码支持</w:t>
      </w:r>
    </w:p>
    <w:p w14:paraId="19E663D6">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2.17 质控方式及文件：具备多浓度水平监控，L-J,X-bar,X-barM；不低于20个文件，每个文件300个数据</w:t>
      </w:r>
    </w:p>
    <w:p w14:paraId="2FB57428">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2.18 操作系统：不低于Windows 7版本</w:t>
      </w:r>
    </w:p>
    <w:p w14:paraId="0107B3DA">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2.19 电源：200V-240V，50Hz-60Hz</w:t>
      </w:r>
    </w:p>
    <w:p w14:paraId="40D5EA35">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2.20 最大耗电量：≤420VA</w:t>
      </w:r>
    </w:p>
    <w:p w14:paraId="1157AFF8">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 重量：≤60kg</w:t>
      </w:r>
    </w:p>
    <w:p w14:paraId="0B5A9211">
      <w:pPr>
        <w:rPr>
          <w:rFonts w:hint="eastAsia" w:ascii="宋体" w:hAnsi="宋体" w:eastAsia="宋体" w:cs="宋体"/>
          <w:b/>
          <w:bCs/>
          <w:color w:val="auto"/>
          <w:highlight w:val="none"/>
          <w:lang w:val="en-US" w:eastAsia="zh-CN"/>
        </w:rPr>
      </w:pPr>
    </w:p>
    <w:p w14:paraId="2C2A403F">
      <w:pP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3、特定蛋白分析仪</w:t>
      </w:r>
    </w:p>
    <w:p w14:paraId="5EDC712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 检测原理：速率免疫散射比浊法</w:t>
      </w:r>
    </w:p>
    <w:p w14:paraId="09A1E19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 检测速度：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lang w:val="en-US" w:eastAsia="zh-CN"/>
        </w:rPr>
        <w:t>100T/H</w:t>
      </w:r>
    </w:p>
    <w:p w14:paraId="290DF03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 样本类型：支持全血、预稀释血等</w:t>
      </w:r>
    </w:p>
    <w:p w14:paraId="7D2CB3D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3.4 CRP检测范围：全程CRP（0.5-420mg/L）；SAA检测范围：3.0mg/L～290.0mg/L</w:t>
      </w:r>
    </w:p>
    <w:p w14:paraId="5802373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3.5 测试通道：</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lang w:val="en-US" w:eastAsia="zh-CN"/>
        </w:rPr>
        <w:t>4个</w:t>
      </w:r>
    </w:p>
    <w:p w14:paraId="2DC7B0BC">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3.6 准确度：±10%以内</w:t>
      </w:r>
    </w:p>
    <w:p w14:paraId="1E541FE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3.7 线性相关系数r：优于0.99</w:t>
      </w:r>
    </w:p>
    <w:p w14:paraId="4F9DDEC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3.8 重复性：≤10 mg/L，SD≤0.5mg/L；＞10 mg/L， CV≤5%</w:t>
      </w:r>
    </w:p>
    <w:p w14:paraId="7018249C">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3.9 稳定性：±10%以内</w:t>
      </w:r>
    </w:p>
    <w:p w14:paraId="1790443A">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3.10 通道一致性：±5%以内</w:t>
      </w:r>
    </w:p>
    <w:p w14:paraId="4C4B32C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3.11 温度控制：准确度在设定值的±0.5℃范围内，波动度不超过0.5℃</w:t>
      </w:r>
    </w:p>
    <w:p w14:paraId="0918FCB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3.12 携带污染率：≤0.5%</w:t>
      </w:r>
    </w:p>
    <w:p w14:paraId="2B75050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3.13 加样准确性和重复性：加样准确度≤±5%，CV≤2%</w:t>
      </w:r>
    </w:p>
    <w:p w14:paraId="1F8C482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3.14 最小全血吸样量：</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lang w:val="en-US" w:eastAsia="zh-CN"/>
        </w:rPr>
        <w:t>7μL</w:t>
      </w:r>
    </w:p>
    <w:p w14:paraId="3EF9446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3.15 检测光源：半导体激光</w:t>
      </w:r>
    </w:p>
    <w:p w14:paraId="149EFBA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3.16 比色杯：可循环使用，使用到达一定次数后更换</w:t>
      </w:r>
    </w:p>
    <w:p w14:paraId="5E16730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3.17 具备休眠功能，可24小时开机</w:t>
      </w:r>
    </w:p>
    <w:p w14:paraId="784D0FA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3.18 具备抗原过剩提醒功能，可避免假阴性结果对诊断干扰</w:t>
      </w:r>
    </w:p>
    <w:p w14:paraId="4CC18D8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3.19 封闭试剂冷藏仓，保证试剂稳定性</w:t>
      </w:r>
    </w:p>
    <w:p w14:paraId="26B4186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3.20 质控功能：提供质控控制限和多规则质控两种质控方式，可显示并打印质控图</w:t>
      </w:r>
    </w:p>
    <w:p w14:paraId="597F231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3.21 多点定标曲线一键读取，</w:t>
      </w:r>
      <w:r>
        <w:rPr>
          <w:rFonts w:hint="eastAsia" w:ascii="宋体" w:hAnsi="宋体" w:eastAsia="宋体" w:cs="宋体"/>
          <w:color w:val="auto"/>
          <w:highlight w:val="none"/>
          <w:u w:val="none"/>
          <w:lang w:val="en-US" w:eastAsia="zh-CN"/>
        </w:rPr>
        <w:t>检测结果可溯源</w:t>
      </w:r>
    </w:p>
    <w:p w14:paraId="569BFAC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3.22 全血模式支持HCT校准，确保全血与血清结果一致</w:t>
      </w:r>
    </w:p>
    <w:p w14:paraId="23872F3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3.23 日常维护功能：操作方便，故障率低</w:t>
      </w:r>
    </w:p>
    <w:p w14:paraId="53AB694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3.24 具备USB网口等多种通讯接口，方便数据传输，可实现LIS双向通讯功能</w:t>
      </w:r>
    </w:p>
    <w:p w14:paraId="2F6B7FC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3.25 结果存储量：≥15000个测试结果</w:t>
      </w:r>
    </w:p>
    <w:p w14:paraId="0AF54C7B">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3.26 操作方式：彩色触屏，屏幕≥10吋</w:t>
      </w:r>
    </w:p>
    <w:p w14:paraId="561B919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3.27 可外接条码扫描仪，支持条形码识别功能</w:t>
      </w:r>
    </w:p>
    <w:p w14:paraId="0DC8349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3.28工作条件：10℃～35℃；相对湿度30%～85％</w:t>
      </w:r>
    </w:p>
    <w:p w14:paraId="51B03B43">
      <w:pPr>
        <w:rPr>
          <w:rFonts w:hint="eastAsia" w:ascii="宋体" w:hAnsi="宋体" w:eastAsia="宋体" w:cs="宋体"/>
          <w:color w:val="auto"/>
          <w:highlight w:val="none"/>
          <w:lang w:val="en-US" w:eastAsia="zh-CN"/>
        </w:rPr>
      </w:pPr>
    </w:p>
    <w:p w14:paraId="3B603BDA">
      <w:pP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4、糖化血红蛋白分析仪</w:t>
      </w:r>
    </w:p>
    <w:p w14:paraId="655ED2B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 检测原理：离子交换高效液相色谱法</w:t>
      </w:r>
    </w:p>
    <w:p w14:paraId="1D5EF02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 检测项目：糖化血红蛋白HbA1c</w:t>
      </w:r>
    </w:p>
    <w:p w14:paraId="5BB3965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检测速度：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lang w:val="en-US" w:eastAsia="zh-CN"/>
        </w:rPr>
        <w:t>30T/H（变异模式）</w:t>
      </w:r>
    </w:p>
    <w:p w14:paraId="16943CE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样本类型：全血样本、预稀释样本</w:t>
      </w:r>
    </w:p>
    <w:p w14:paraId="00C0F3B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4.5 样本装载量：一次性装载≥50个样本，支持连续进样</w:t>
      </w:r>
    </w:p>
    <w:p w14:paraId="663E59A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4.6 急诊位：</w:t>
      </w:r>
      <w:r>
        <w:rPr>
          <w:rFonts w:hint="eastAsia" w:ascii="宋体" w:hAnsi="宋体" w:eastAsia="宋体" w:cs="宋体"/>
          <w:color w:val="auto"/>
          <w:sz w:val="21"/>
          <w:szCs w:val="21"/>
          <w:highlight w:val="none"/>
          <w:lang w:val="en-US" w:eastAsia="zh-CN"/>
        </w:rPr>
        <w:t>具备</w:t>
      </w:r>
    </w:p>
    <w:p w14:paraId="5DCB229C">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4.7 样本进样量：全血8μL、预稀释150μ，允许偏离±20%</w:t>
      </w:r>
    </w:p>
    <w:p w14:paraId="2E75A21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4.8 实际用血量：全血4μL（根据实际情况确定是否需要分析用血量或单独备注分析用血量）</w:t>
      </w:r>
    </w:p>
    <w:p w14:paraId="7EFEDCD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4.9 样本混匀：样本颠倒混匀</w:t>
      </w:r>
    </w:p>
    <w:p w14:paraId="633BDB6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4.10 参考样本容器：Φ12～13mm×75mm抗凝采血管；2mL样品杯：Φ16mm×38mm</w:t>
      </w:r>
    </w:p>
    <w:p w14:paraId="2172551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4.11 精密度：CV≤1%</w:t>
      </w:r>
    </w:p>
    <w:p w14:paraId="2D2CFF1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4.12 线性范围：NGSP3.5%～20%，允许偏离±20%</w:t>
      </w:r>
    </w:p>
    <w:p w14:paraId="26B9896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4.13 获得认证及报告单位：NGSP和IFCC</w:t>
      </w:r>
    </w:p>
    <w:p w14:paraId="11DE73D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4.14 检测波长：双波长，如：415nm/500nm</w:t>
      </w:r>
    </w:p>
    <w:p w14:paraId="3BC0102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4.15 色谱柱使用次数：≥3000次</w:t>
      </w:r>
    </w:p>
    <w:p w14:paraId="76CC477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4.16 样本录入方式：旋转扫描样本管、手动录入</w:t>
      </w:r>
    </w:p>
    <w:p w14:paraId="1A05B87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4.17 LIS功能：支持双向LIS</w:t>
      </w:r>
    </w:p>
    <w:p w14:paraId="267C5AA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4.18  人机交互功能：彩色触屏，无需外接电脑</w:t>
      </w:r>
    </w:p>
    <w:p w14:paraId="286CBC9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4.19 结果存储：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lang w:val="en-US" w:eastAsia="zh-CN"/>
        </w:rPr>
        <w:t>6.5万条</w:t>
      </w:r>
    </w:p>
    <w:p w14:paraId="6DB2563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4.20打印机：内置热敏打印机</w:t>
      </w:r>
    </w:p>
    <w:p w14:paraId="0FF7B24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4.21 仪器使用期限≥10年</w:t>
      </w:r>
    </w:p>
    <w:p w14:paraId="5E0754DE">
      <w:pPr>
        <w:rPr>
          <w:rFonts w:hint="eastAsia" w:ascii="宋体" w:hAnsi="宋体" w:eastAsia="宋体" w:cs="宋体"/>
          <w:color w:val="auto"/>
          <w:highlight w:val="none"/>
          <w:lang w:val="en-US" w:eastAsia="zh-CN"/>
        </w:rPr>
      </w:pPr>
    </w:p>
    <w:p w14:paraId="0E66BDBB">
      <w:pPr>
        <w:jc w:val="center"/>
        <w:outlineLvl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品目2 生化免疫流水线</w:t>
      </w:r>
    </w:p>
    <w:p w14:paraId="4C6F5ABB">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1、系统功能</w:t>
      </w:r>
    </w:p>
    <w:p w14:paraId="7A485652">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全自动生化免疫流水线是由全自动样本处理系统、全自动化学发光免疫分析仪和全自动生化分析仪连接组成，配套实验室智能化系统软件，为实验室提供一款占地面积小、生化免疫分析设备性能优异的全自动生免流水线。</w:t>
      </w:r>
    </w:p>
    <w:p w14:paraId="2309EAA2">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全自动样本处理系统包含进出样模块、开盖与血清质量识别模块和缓存与调度模块；可根据实验室需求自由搭配流水线上的分析模块，具有可扩展和重新组合的功能，可拼接多个生化或免疫分析模块，可接入全实验室智能化流水线。</w:t>
      </w:r>
    </w:p>
    <w:p w14:paraId="6249A1A7">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2、全自动生化分析系统模块</w:t>
      </w:r>
    </w:p>
    <w:p w14:paraId="48BC0FB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 生化单模块测试速度（测试/小时）：≥2000</w:t>
      </w:r>
    </w:p>
    <w:p w14:paraId="2BB69526">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2.2生化系统具有可扩展和重新组合的功能，可拼接 4 个生化模块，可接入 TLA 全实验室流水线。</w:t>
      </w:r>
    </w:p>
    <w:p w14:paraId="73325D2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 ISE模块测试速度（测试/小时）：600或1200</w:t>
      </w:r>
    </w:p>
    <w:p w14:paraId="0C049CE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 HbA1C机内溶血：有</w:t>
      </w:r>
    </w:p>
    <w:p w14:paraId="6D7649B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 试剂位（个）：≥130</w:t>
      </w:r>
    </w:p>
    <w:p w14:paraId="34FC738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 同时可上项目数：≥130</w:t>
      </w:r>
    </w:p>
    <w:p w14:paraId="7C00CF7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 试剂自动装载：具备</w:t>
      </w:r>
    </w:p>
    <w:p w14:paraId="3CEA226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 试剂瓶：连体瓶</w:t>
      </w:r>
    </w:p>
    <w:p w14:paraId="1355761A">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 试剂冷藏温度（℃）：2℃-8℃之间</w:t>
      </w:r>
    </w:p>
    <w:p w14:paraId="33D63A7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2.10 样本进样方式：轨道、圆盘，或轨道+圆盘</w:t>
      </w:r>
    </w:p>
    <w:p w14:paraId="6111C43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2.11 带冷藏的定标质控位：具备</w:t>
      </w:r>
    </w:p>
    <w:p w14:paraId="0DD0141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2.12 样本量范围与递增量：1～25μL，0.1μL递增</w:t>
      </w:r>
    </w:p>
    <w:p w14:paraId="6DD8710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2.13 试剂量范围与递增量：10～150μL，1μl递增</w:t>
      </w:r>
    </w:p>
    <w:p w14:paraId="0EAECBC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▲2.14 反应液混匀方式：非接触式</w:t>
      </w:r>
      <w:r>
        <w:rPr>
          <w:rFonts w:hint="eastAsia" w:ascii="宋体" w:hAnsi="宋体" w:eastAsia="宋体" w:cs="宋体"/>
          <w:i w:val="0"/>
          <w:iCs w:val="0"/>
          <w:color w:val="auto"/>
          <w:kern w:val="0"/>
          <w:sz w:val="20"/>
          <w:szCs w:val="20"/>
          <w:highlight w:val="none"/>
          <w:u w:val="none"/>
          <w:lang w:val="en-US" w:eastAsia="zh-CN" w:bidi="ar"/>
        </w:rPr>
        <w:t>超声波</w:t>
      </w:r>
    </w:p>
    <w:p w14:paraId="30B21AB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2.15 反应体积范围：70μL～180μL</w:t>
      </w:r>
    </w:p>
    <w:p w14:paraId="7544BEB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2.16 反应盘孵育方式：空气浴、水浴、油浴、固体直热、固体恒温槽或液体恒温槽</w:t>
      </w:r>
    </w:p>
    <w:p w14:paraId="3309CA4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2.17 反应杯：塑料</w:t>
      </w:r>
    </w:p>
    <w:p w14:paraId="6FDE4C9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2.18 温控范围：温度范围37±0.3℃，波动范围±0.1℃</w:t>
      </w:r>
    </w:p>
    <w:p w14:paraId="71150EA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2.19 吸光度线性范围（Abs.）：0～4</w:t>
      </w:r>
    </w:p>
    <w:p w14:paraId="569BE943">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2.20 波长范围（nm），个数：340～800nm，≥10个可供选择</w:t>
      </w:r>
    </w:p>
    <w:p w14:paraId="200B4F7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2.21 光源类型：脉冲式氙灯、卤素灯或LED灯</w:t>
      </w:r>
    </w:p>
    <w:p w14:paraId="7DF58B6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2.22 光源寿命：≥20000h</w:t>
      </w:r>
    </w:p>
    <w:p w14:paraId="26B7CD49">
      <w:pPr>
        <w:rPr>
          <w:rFonts w:hint="eastAsia" w:ascii="宋体" w:hAnsi="宋体" w:eastAsia="宋体" w:cs="宋体"/>
          <w:color w:val="auto"/>
          <w:highlight w:val="none"/>
          <w:lang w:val="en-US" w:eastAsia="zh-CN"/>
        </w:rPr>
      </w:pPr>
    </w:p>
    <w:p w14:paraId="657F7F21">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3、全自动化学发光免疫分析仪模块</w:t>
      </w:r>
    </w:p>
    <w:p w14:paraId="0C19905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 模块化全自化单管式</w:t>
      </w:r>
    </w:p>
    <w:p w14:paraId="4AE1DB3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 系统采用磁微粒吖啶酯化学发光反应原理。</w:t>
      </w:r>
    </w:p>
    <w:p w14:paraId="3B24A94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 单机检测速度≥600测试/小时</w:t>
      </w:r>
    </w:p>
    <w:p w14:paraId="2C4F070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3.4 首个结果最快出结果时间≤10min</w:t>
      </w:r>
    </w:p>
    <w:p w14:paraId="2E71DAA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3.5 支持级联拓展2～4个相同分析模块</w:t>
      </w:r>
    </w:p>
    <w:p w14:paraId="3E29266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3.6 支持接入实验室流水线</w:t>
      </w:r>
    </w:p>
    <w:p w14:paraId="05A7449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3.7 支持仪器自动重测和急诊插入优先检测</w:t>
      </w:r>
    </w:p>
    <w:p w14:paraId="2371E79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3.8 轨道式进样，同时放入≥100个样本，可连续添加样本</w:t>
      </w:r>
    </w:p>
    <w:p w14:paraId="5C45859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3.9 仪器试剂位≥30个，试剂仓冷藏温度2～8℃</w:t>
      </w:r>
    </w:p>
    <w:p w14:paraId="40EB1B9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3.10 采用独立的机械模块，试剂盒不停机加载</w:t>
      </w:r>
    </w:p>
    <w:p w14:paraId="389EB98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3.11 样本采用钢针加样，具有液面探测、随量跟踪、立体防撞、气泡检测等功能</w:t>
      </w:r>
    </w:p>
    <w:p w14:paraId="74FAC89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3.12 样本针具有液面探测、随量跟踪、立体防撞、堵针检测、空吸检测功能</w:t>
      </w:r>
    </w:p>
    <w:p w14:paraId="351F832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3.13 仪器最小加样量≤5μL</w:t>
      </w:r>
    </w:p>
    <w:p w14:paraId="0190D4E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3.14 非接触式混匀</w:t>
      </w:r>
    </w:p>
    <w:p w14:paraId="3A8D46A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3.15 采用一次性反应杯，倾倒式添加，可以一次性装载≥3600个；反应杯从加样位开始，全程孵育，直至检测结束。</w:t>
      </w:r>
    </w:p>
    <w:p w14:paraId="3F4AA09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3.16 底物液、清洗液均有两套备份，支持不停机更换。</w:t>
      </w:r>
    </w:p>
    <w:p w14:paraId="76B91EA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3.17 采用浓缩的清洗缓冲液，仪器自动配制使用</w:t>
      </w:r>
    </w:p>
    <w:p w14:paraId="6EC17EF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▲3.18 检测完成后，仪器自动吸取反应废液，反应杯无液体残留，处理耗材无风险</w:t>
      </w:r>
    </w:p>
    <w:p w14:paraId="50A5502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3.19 自动开关机功能：具备</w:t>
      </w:r>
    </w:p>
    <w:p w14:paraId="14444F5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3.20 可以跟LIS系统进行单项和双向通讯连接</w:t>
      </w:r>
    </w:p>
    <w:p w14:paraId="43EF611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3.21 仪器使用期限≥10年</w:t>
      </w:r>
    </w:p>
    <w:p w14:paraId="12A18EAB">
      <w:pPr>
        <w:rPr>
          <w:rFonts w:hint="eastAsia" w:ascii="宋体" w:hAnsi="宋体" w:eastAsia="宋体" w:cs="宋体"/>
          <w:color w:val="auto"/>
          <w:highlight w:val="none"/>
          <w:lang w:val="en-US" w:eastAsia="zh-CN"/>
        </w:rPr>
      </w:pPr>
    </w:p>
    <w:p w14:paraId="65E8007C">
      <w:pPr>
        <w:jc w:val="center"/>
        <w:outlineLvl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品目3 全自动尿液分析系统</w:t>
      </w:r>
    </w:p>
    <w:p w14:paraId="247ED090">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1、产品要求：一次采样，即可完成尿液样本的常规分析以及有形成分的定量、定性分析。</w:t>
      </w:r>
    </w:p>
    <w:p w14:paraId="14DEFB1E">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2、测试原理：尿干化学采用图像扫描分析技术；尿有形成分分析采用平面鞘流及数字成像自动识别技术。</w:t>
      </w:r>
    </w:p>
    <w:p w14:paraId="5093A64A">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3、检测项目：干化学测试项目≥14项，并提供微量白蛋白和肌酐的比值参数（ACR比值）、蛋白质和肌酐比值（ PCR比值）；有形成分自动识别测试项目≥25项；理学：颜色、浊度、比重、电导率、渗透压≥5项；红细胞形态学≥4项报告参数。</w:t>
      </w:r>
    </w:p>
    <w:p w14:paraId="699CFA35">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w:t>
      </w:r>
      <w:r>
        <w:rPr>
          <w:rFonts w:hint="eastAsia" w:ascii="宋体" w:hAnsi="宋体" w:eastAsia="宋体" w:cs="宋体"/>
          <w:color w:val="auto"/>
          <w:kern w:val="2"/>
          <w:sz w:val="21"/>
          <w:szCs w:val="24"/>
          <w:highlight w:val="none"/>
          <w:lang w:val="en-US" w:eastAsia="zh-CN" w:bidi="ar-SA"/>
        </w:rPr>
        <w:t>4、检测速度：干化学测试模式≥300个/h；有形成分测试模式≥120个/h；联合测试模式≥120个/h</w:t>
      </w:r>
    </w:p>
    <w:p w14:paraId="4DF0BF13">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5、试纸仓容量：≥500条试纸</w:t>
      </w:r>
    </w:p>
    <w:p w14:paraId="028B4176">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6、拓展联机功能：可两台联机成模块化流水线进行测试</w:t>
      </w:r>
    </w:p>
    <w:p w14:paraId="5899A5DC">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7、拓展功能：可进行脑脊液、胸腹水、妇科分泌物等体液检测项目</w:t>
      </w:r>
    </w:p>
    <w:p w14:paraId="06E0198A">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8、急诊测试：可进行单个样本的急诊测试</w:t>
      </w:r>
    </w:p>
    <w:p w14:paraId="7ECF6DC2">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9、密闭样本采样：支持密闭样本的直接采样（穿刺采样），无需人工开盖</w:t>
      </w:r>
    </w:p>
    <w:p w14:paraId="390A776B">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10、图像显示功能：可显示并存储在加入样本反应后的尿试纸条图像，及有形成份的真实图像，用于结果审核与查阅等方面。</w:t>
      </w:r>
    </w:p>
    <w:p w14:paraId="49227870">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11、有形成分拍图量：≥2000帧/样本</w:t>
      </w:r>
    </w:p>
    <w:p w14:paraId="0D06BBA9">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w:t>
      </w:r>
      <w:r>
        <w:rPr>
          <w:rFonts w:hint="eastAsia" w:ascii="宋体" w:hAnsi="宋体" w:eastAsia="宋体" w:cs="宋体"/>
          <w:color w:val="auto"/>
          <w:kern w:val="2"/>
          <w:sz w:val="21"/>
          <w:szCs w:val="24"/>
          <w:highlight w:val="none"/>
          <w:lang w:val="en-US" w:eastAsia="zh-CN" w:bidi="ar-SA"/>
        </w:rPr>
        <w:t>12、原图查询功能：可显示并存储有形成份的真实全景图片，支持视频回放以及单帧回放</w:t>
      </w:r>
    </w:p>
    <w:p w14:paraId="1005A9B1">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13、存储与查询：≥40万个结果，可实时查询，断电后存储数据不丢失</w:t>
      </w:r>
    </w:p>
    <w:p w14:paraId="488DEE32">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14、报告打印：可同时打印尿干化学及有形成分的检测结果，并显示有形成份真实图像</w:t>
      </w:r>
    </w:p>
    <w:p w14:paraId="461D7D39">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15、数据接口：具有与实验室信息系统进行通信的数据接口，可与实验室信息系统进行通信互联</w:t>
      </w:r>
    </w:p>
    <w:p w14:paraId="678BB17C">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16、输入输出端口：具备鼠标接口、键盘接口、USB接口、串口、网络接口、视频输出口、音频输出口</w:t>
      </w:r>
    </w:p>
    <w:p w14:paraId="0D204BB8">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17、试管位号与试管架号自动检测：分析系统可自动识别试管位号与试管架号</w:t>
      </w:r>
    </w:p>
    <w:p w14:paraId="59CC1C63">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18、样本量检测：采用液面感应技术，当测试样本量不足时有报警提示</w:t>
      </w:r>
    </w:p>
    <w:p w14:paraId="20D029EC">
      <w:pPr>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19、制造商提供自有或第三方经NMPA注册的体液质控品，以保证检测结果的精确度和重复性；尿有形成分至少能提供具有检出限、阴性、低浓度、中浓度和高浓度五种水平的尿有形质控液。</w:t>
      </w:r>
    </w:p>
    <w:p w14:paraId="51722A16">
      <w:pPr>
        <w:rPr>
          <w:rFonts w:hint="eastAsia" w:ascii="宋体" w:hAnsi="宋体" w:eastAsia="宋体" w:cs="宋体"/>
          <w:color w:val="auto"/>
          <w:highlight w:val="none"/>
          <w:lang w:val="en-US" w:eastAsia="zh-CN"/>
        </w:rPr>
      </w:pPr>
    </w:p>
    <w:p w14:paraId="73BF868C">
      <w:pPr>
        <w:jc w:val="center"/>
        <w:outlineLvl w:val="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品目4 血细胞分析仪</w:t>
      </w:r>
    </w:p>
    <w:p w14:paraId="325D2BBA">
      <w:pPr>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lang w:val="en-US" w:eastAsia="zh-CN"/>
        </w:rPr>
        <w:t>检测原理：激光流式技术结合荧光染色技术</w:t>
      </w:r>
    </w:p>
    <w:p w14:paraId="566026AE">
      <w:pPr>
        <w:numPr>
          <w:ilvl w:val="0"/>
          <w:numId w:val="0"/>
        </w:numPr>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lang w:val="en-US" w:eastAsia="zh-CN"/>
        </w:rPr>
        <w:t>检测参数：报告参数≥30个，直方图≥2个，散点图≥4个</w:t>
      </w:r>
    </w:p>
    <w:p w14:paraId="57AC490F">
      <w:pPr>
        <w:numPr>
          <w:ilvl w:val="0"/>
          <w:numId w:val="0"/>
        </w:numPr>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eastAsia="宋体" w:cs="宋体"/>
          <w:color w:val="auto"/>
          <w:kern w:val="2"/>
          <w:sz w:val="21"/>
          <w:szCs w:val="24"/>
          <w:highlight w:val="none"/>
          <w:lang w:val="en-US" w:eastAsia="zh-CN" w:bidi="ar-SA"/>
        </w:rPr>
        <w:t>3、</w:t>
      </w:r>
      <w:r>
        <w:rPr>
          <w:rFonts w:hint="eastAsia" w:ascii="宋体" w:hAnsi="宋体" w:eastAsia="宋体" w:cs="宋体"/>
          <w:color w:val="auto"/>
          <w:highlight w:val="none"/>
          <w:lang w:val="en-US" w:eastAsia="zh-CN"/>
        </w:rPr>
        <w:t>单机检测速度：CBC+DIFF+NRBC≥90样本/小时</w:t>
      </w:r>
    </w:p>
    <w:p w14:paraId="2290272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▲4、异常细胞检出下限＜1%，能够发现早期白血病</w:t>
      </w:r>
    </w:p>
    <w:p w14:paraId="37011DE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5、样本类型：静脉全血、预稀释血、末梢微量血等</w:t>
      </w:r>
    </w:p>
    <w:p w14:paraId="5DABEFB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6、可以对脑脊液、胸水、腹水、滑液等体液进行红细胞和白细胞计数，且可以对体液中白细胞分类</w:t>
      </w:r>
    </w:p>
    <w:p w14:paraId="1FE37BA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▲7、有核红细胞检测功能：采用核酸荧光染色法进行定量检测，但无需单独通道和单独试剂，并能自动进行对白细胞细胞计数的校正。</w:t>
      </w:r>
    </w:p>
    <w:p w14:paraId="1E9651A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8、全血用血量：全自动进样、开盖模式手动进样时用血量均≤100ul，预稀释模式用血量≤20ul</w:t>
      </w:r>
    </w:p>
    <w:p w14:paraId="7A963A6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9、校准品：提供自有或第三方经NMPA注册的校准品，包含低值血小板校准品。</w:t>
      </w:r>
    </w:p>
    <w:p w14:paraId="388969A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10、提供自有或第三方经NMPA注册血液分析质控品，质控品的主要成分要是人血红细胞，人血白细胞、类血小板物质，或采用 </w:t>
      </w:r>
    </w:p>
    <w:p w14:paraId="043BDED0">
      <w:pPr>
        <w:numPr>
          <w:ilvl w:val="0"/>
          <w:numId w:val="0"/>
        </w:numPr>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11、体液质控：提供自有或第三方经NMPA注册的体液质控品</w:t>
      </w:r>
    </w:p>
    <w:p w14:paraId="7950BA43">
      <w:pPr>
        <w:numPr>
          <w:ilvl w:val="0"/>
          <w:numId w:val="0"/>
        </w:numPr>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 线性范围（静脉血）：需优于白细胞：0～400×100/L；红细胞：0-8×1000/L；血小板：0～5000×100/L</w:t>
      </w:r>
    </w:p>
    <w:p w14:paraId="644386F5">
      <w:pPr>
        <w:numPr>
          <w:ilvl w:val="0"/>
          <w:numId w:val="0"/>
        </w:numPr>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13、正确度（静脉血）：白细胞：≤3.0%；红细胞：≤3.0%；血小板：≤5.0%</w:t>
      </w:r>
    </w:p>
    <w:p w14:paraId="2DEA3E5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14、智能管理软件：包含复检规则设定、数据统计功能（假阴性、假阳性，复检率等）、复检信息管理功能、自动审核功能，且可提供多中心自动审核评估文章作为凭据。</w:t>
      </w:r>
    </w:p>
    <w:p w14:paraId="34D8866F">
      <w:pPr>
        <w:numPr>
          <w:ilvl w:val="0"/>
          <w:numId w:val="1"/>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实时网络通讯系统：可实现实时在线网络质控功能，10min在线反馈结果。</w:t>
      </w:r>
    </w:p>
    <w:p w14:paraId="3B1884AB">
      <w:pPr>
        <w:rPr>
          <w:rFonts w:hint="eastAsia" w:ascii="宋体" w:hAnsi="宋体" w:eastAsia="宋体" w:cs="宋体"/>
          <w:color w:val="auto"/>
          <w:highlight w:val="none"/>
          <w:lang w:val="en-US" w:eastAsia="zh-CN"/>
        </w:rPr>
      </w:pPr>
    </w:p>
    <w:p w14:paraId="3CA4D3C9">
      <w:pPr>
        <w:jc w:val="center"/>
        <w:outlineLvl w:val="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品目5 全自动血凝仪</w:t>
      </w:r>
    </w:p>
    <w:p w14:paraId="532E1DD1">
      <w:pP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1、检测方法：凝固法、发色底物法、免疫比浊法和凝集法等</w:t>
      </w:r>
    </w:p>
    <w:p w14:paraId="58FBDE6F">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2、检测参数：开展PT/APTT/TT/Fbg, 凝血因子，AT，D-二聚体，FDP，vWF，蛋白C，蛋白S，狼疮抗凝物LA，血小板聚集功能检测试剂等项目。</w:t>
      </w:r>
    </w:p>
    <w:p w14:paraId="7B971043">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3、检测速度：PT检测速度≥180测试/h；D-二聚体检测速度≥90测试/h。</w:t>
      </w:r>
    </w:p>
    <w:p w14:paraId="1B8AD05C">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4、检测通道个：≥10，凝固法、发色底物法和免疫比浊法三种方法学均有≥10个检测通道。</w:t>
      </w:r>
    </w:p>
    <w:p w14:paraId="587C26BF">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w:t>
      </w:r>
      <w:r>
        <w:rPr>
          <w:rFonts w:hint="eastAsia" w:ascii="宋体" w:hAnsi="宋体" w:eastAsia="宋体" w:cs="宋体"/>
          <w:color w:val="auto"/>
          <w:kern w:val="2"/>
          <w:sz w:val="21"/>
          <w:szCs w:val="24"/>
          <w:highlight w:val="none"/>
          <w:lang w:val="en-US" w:eastAsia="zh-CN" w:bidi="ar-SA"/>
        </w:rPr>
        <w:t>5、检测波长：≥5个，并且可根据HIL智能监测结果自动调整检测波长。有效避免溶血、黄疸、脂血对检测结果的干扰，可提高低纤维蛋白原标本的检测灵敏度。</w:t>
      </w:r>
    </w:p>
    <w:p w14:paraId="27B64065">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6、HIL样本监测功能：能自动监测并提示样本是否为溶血（H）、黄疸（I）或脂血（L）标本，并给出准确结果。</w:t>
      </w:r>
    </w:p>
    <w:p w14:paraId="23C05718">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7、进样：全自动进样架方式进样，具有盖帽穿刺功能。</w:t>
      </w:r>
    </w:p>
    <w:p w14:paraId="38BDF242">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8、样品位：≥50个，连续循环进样。</w:t>
      </w:r>
    </w:p>
    <w:p w14:paraId="113921A4">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9、试剂位：≥45个，其中试剂冷藏位≥40个，并采用倾斜设计。</w:t>
      </w:r>
    </w:p>
    <w:p w14:paraId="3B1D5A1C">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10、反应杯：单个独立，无需磁珠及参比品。一次放置≥500个，可自动连续排列。</w:t>
      </w:r>
    </w:p>
    <w:p w14:paraId="43BF636D">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11、急诊位：专用急诊位≥5个。</w:t>
      </w:r>
    </w:p>
    <w:p w14:paraId="5910C15D">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12、检测针、样本针：各自独立。</w:t>
      </w:r>
    </w:p>
    <w:p w14:paraId="57A64A24">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13、同时测定项目：可同时测定项目数≥60个。</w:t>
      </w:r>
    </w:p>
    <w:p w14:paraId="3A706C33">
      <w:pP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14、质量控制：符合国家及行业标准</w:t>
      </w:r>
    </w:p>
    <w:p w14:paraId="5E615B3F">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15、纤维蛋白原测定方法：仪器拥有PT演算纤维蛋白原与Clauss法实测纤维蛋白原两种方法</w:t>
      </w:r>
      <w:r>
        <w:rPr>
          <w:rFonts w:hint="eastAsia" w:ascii="宋体" w:hAnsi="宋体" w:eastAsia="宋体" w:cs="宋体"/>
          <w:color w:val="auto"/>
          <w:highlight w:val="none"/>
          <w:lang w:val="en-US" w:eastAsia="zh-CN"/>
        </w:rPr>
        <w:t>。</w:t>
      </w:r>
    </w:p>
    <w:p w14:paraId="1BC8AD06">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16、所有检测程序可自由设定修改，可随意选择试剂、随意开展项目，实现全开放。</w:t>
      </w:r>
    </w:p>
    <w:p w14:paraId="3C652444">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17、试剂信息读取：试剂信息自动扫描、报警、容量提示功能。</w:t>
      </w:r>
    </w:p>
    <w:p w14:paraId="1088A05C">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18、自动分析功能：自动稀释、自动连锁筛选、自动再检功能、自动多点定标。</w:t>
      </w:r>
    </w:p>
    <w:p w14:paraId="31BCBE55">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w:t>
      </w:r>
      <w:r>
        <w:rPr>
          <w:rFonts w:hint="eastAsia" w:ascii="宋体" w:hAnsi="宋体" w:eastAsia="宋体" w:cs="宋体"/>
          <w:color w:val="auto"/>
          <w:kern w:val="2"/>
          <w:sz w:val="21"/>
          <w:szCs w:val="24"/>
          <w:highlight w:val="none"/>
          <w:lang w:val="en-US" w:eastAsia="zh-CN" w:bidi="ar-SA"/>
        </w:rPr>
        <w:t>19、血小板聚集实验：可全自动检测血小板聚集项目，包括AA、ADP、胶原蛋白、肾上腺素、瑞斯托霉素等，无需另外购置血小板聚集检测设备，实现一机多能。</w:t>
      </w:r>
    </w:p>
    <w:p w14:paraId="3ACC9E47">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20、可实现全自动的混合交叉实验（APTT纠正实验），协助判断APTT延长的原因是凝血因子缺乏或者非特异性凝抑制物的存在。</w:t>
      </w:r>
    </w:p>
    <w:p w14:paraId="788FAF88">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21、提供凝固曲线波形分析：根据对凝固曲线的求导分析，在不增加实验室的额外成本情况下提供更多止凝血系统疾病的信息。</w:t>
      </w:r>
    </w:p>
    <w:p w14:paraId="58468062">
      <w:pPr>
        <w:rPr>
          <w:rFonts w:hint="eastAsia" w:ascii="宋体" w:hAnsi="宋体" w:eastAsia="宋体" w:cs="宋体"/>
          <w:color w:val="auto"/>
          <w:highlight w:val="none"/>
          <w:lang w:val="en-US" w:eastAsia="zh-CN"/>
        </w:rPr>
      </w:pPr>
    </w:p>
    <w:p w14:paraId="1FFF9979">
      <w:pPr>
        <w:jc w:val="center"/>
        <w:outlineLvl w:val="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品目6 生物安全柜</w:t>
      </w:r>
    </w:p>
    <w:p w14:paraId="662E2C93">
      <w:pPr>
        <w:numPr>
          <w:ilvl w:val="0"/>
          <w:numId w:val="2"/>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分类：A2型，30%外排，70%循环</w:t>
      </w:r>
    </w:p>
    <w:p w14:paraId="13EDD848">
      <w:pPr>
        <w:numPr>
          <w:ilvl w:val="0"/>
          <w:numId w:val="2"/>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外部尺寸≥1500mm×700mm×2000mm</w:t>
      </w:r>
    </w:p>
    <w:p w14:paraId="4A3DDDA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3、内部尺寸≥1300mm ×600mm×660mm</w:t>
      </w:r>
    </w:p>
    <w:p w14:paraId="6254DE5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4、台面距离地面高度：尺寸可根据要求订制修改</w:t>
      </w:r>
    </w:p>
    <w:p w14:paraId="0E8B15B4">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5、风速：平均下降风速：0.33±0.025m/s；平均吸入口风速0.53±0.025m/s，再此基础上允许误差±10%</w:t>
      </w:r>
    </w:p>
    <w:p w14:paraId="79CBF26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6、系统排风总量：≥500m³/h</w:t>
      </w:r>
    </w:p>
    <w:p w14:paraId="50D0807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7、额定功率：≥1500VA（包含操作区插座负载，总负载1000VA，单个插座功率500VA）</w:t>
      </w:r>
    </w:p>
    <w:p w14:paraId="6E71300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8、噪音等级：≤70dB（A）</w:t>
      </w:r>
    </w:p>
    <w:p w14:paraId="00A9D74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9、照明：≥10000LUX</w:t>
      </w:r>
    </w:p>
    <w:p w14:paraId="1FC09300">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▲10、过滤效率：高效过滤器，对 0.12μm 颗粒过滤效率≥99%。</w:t>
      </w:r>
    </w:p>
    <w:p w14:paraId="78E5402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11、重量：≤350KG</w:t>
      </w:r>
    </w:p>
    <w:p w14:paraId="1A510D5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12、使用人数：1～2人</w:t>
      </w:r>
    </w:p>
    <w:p w14:paraId="10256B5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13、生物安全性：</w:t>
      </w:r>
    </w:p>
    <w:p w14:paraId="71450D2E">
      <w:pPr>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13.1 人员：碘化钾（KI）法测试，前窗操作口的保护因子应优于1×105</w:t>
      </w:r>
    </w:p>
    <w:p w14:paraId="1FDFF17F">
      <w:pPr>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13.2 产品：菌落数≤5CFU/次</w:t>
      </w:r>
    </w:p>
    <w:p w14:paraId="6C687D4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13.3 交叉污染：菌落数≤2CFU/次</w:t>
      </w:r>
    </w:p>
    <w:p w14:paraId="4B1224AE">
      <w:pPr>
        <w:rPr>
          <w:rFonts w:hint="eastAsia" w:ascii="宋体" w:hAnsi="宋体" w:eastAsia="宋体" w:cs="宋体"/>
          <w:color w:val="auto"/>
          <w:highlight w:val="none"/>
          <w:lang w:val="en-US" w:eastAsia="zh-CN"/>
        </w:rPr>
      </w:pPr>
    </w:p>
    <w:p w14:paraId="32751EE3">
      <w:pPr>
        <w:jc w:val="center"/>
        <w:outlineLvl w:val="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品目7 粪便分析仪</w:t>
      </w:r>
    </w:p>
    <w:p w14:paraId="56E7214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1、产品用途：用于粪便样本全自动检测。</w:t>
      </w:r>
    </w:p>
    <w:p w14:paraId="58846FA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2、工作原理：样品架上标本拍摄性状图片、稀释并分散粪便标本、对显微镜下玻片上粪便常规形态学影像拍照，并对固相免疫学或干式化学法检测试纸的检测结果进行拍照、数据储存，提供临床判断的依据。</w:t>
      </w:r>
    </w:p>
    <w:p w14:paraId="72AB658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检测项目：包含物理学检测项目和化学检测项目，物理学检测项目：大便常规标本的颜色、性状等；化学检测项目：隐血检测（隐血免疫（Hb/Tf）双联检测试剂盒、便隐血（FOB）检测试剂盒）、轮状病毒和腺病毒检测（轮状病毒（A群）抗原检测试剂盒、轮状病毒（A群）/腺病毒抗原检测试剂盒）、幽门螺旋杆菌、钙卫蛋白检测，可扩展其他检测项目。</w:t>
      </w:r>
    </w:p>
    <w:p w14:paraId="6FE1C81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全程自动化：自动进样退样，自动稀释、自动混匀、自动集卵、自动取样、自动涂片盖片、显微镜自动高低倍镜转换，自动调焦、自动拍照上传，自动管路清洗。检测卡自动载入、自动加样、自动判读镜检和检测卡结果、自动弃卡。全程无需人员值守，无需直接接触标本。</w:t>
      </w:r>
    </w:p>
    <w:p w14:paraId="7A3C23F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5、样本稀释混匀：自动穿刺注入稀释液，稀释液量可根据标本量及浓稠程度进行调整，调整范围为0.5～9.0ml，稀释液加入准确性的误差15%以内，以优化满足所有标本的检测要求，尤其满足虫卵标本的集卵要求。</w:t>
      </w:r>
    </w:p>
    <w:p w14:paraId="45A06D5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▲6、全自动镜检：自动加样至计数板，自动涂片和盖片，低高倍镜（物镜10×，40×）自动转化，拍摄视频及多张图片，软件自动分析、选取最清晰的图片上传，自动生成报告单。</w:t>
      </w:r>
    </w:p>
    <w:p w14:paraId="25DD4476">
      <w:pPr>
        <w:numPr>
          <w:ilvl w:val="0"/>
          <w:numId w:val="3"/>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非流动计数池技术：仪器自动滴样至计数板固定位置，自动推片、盖片，有效固定标本并压缩标本厚度，保证对焦效果，避免标本重叠、镜头污染和交叉感染。</w:t>
      </w:r>
    </w:p>
    <w:p w14:paraId="07E10238">
      <w:pPr>
        <w:numPr>
          <w:ilvl w:val="0"/>
          <w:numId w:val="3"/>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内置显微镜：采用高端进口显微镜，可自动对焦，自动进行低倍镜（×10）和高倍镜（×40）切换，低倍镜可拍摄标本全貌，高倍镜可选择≥5个视野，进行多焦距采集高清晰图片和拍摄视频。视野数和拍摄图片数量均可设置。</w:t>
      </w:r>
    </w:p>
    <w:p w14:paraId="1280804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9、全自动物理学检测：实现自动镜检自动拍照装置对粪便颜色、性状检查，并自动调焦（也可手动对焦），拍照保存。检测卡自动载入、自动加样、自动拍照，自动判读检测卡结果、自动弃卡。</w:t>
      </w:r>
    </w:p>
    <w:p w14:paraId="557620C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10、化学指标检测判读准确性：自动判读检测结果，符合性不低于人工判读结果的95%。</w:t>
      </w:r>
    </w:p>
    <w:p w14:paraId="79290EC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11、进样方式：样品架循环式进样，急诊和常规标本随到随检，具备无限制样本处理能力，一次进样1～40个,采样瓶自动推入、自动退出，可实现人机分离操作。</w:t>
      </w:r>
    </w:p>
    <w:p w14:paraId="2FF2C40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12、检测速度：标本随到随检，预留≥5个急诊位，批量检测速度≥60 测试/h。</w:t>
      </w:r>
    </w:p>
    <w:p w14:paraId="624ED82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13、检测灵活性：≥四通道，可加载化学检测卡和计数板，可自定义通道内容，最多一次放置化学检测卡和计数板≥100个，自动送卡和卸卡，不停机加卡。</w:t>
      </w:r>
    </w:p>
    <w:p w14:paraId="510FEEB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14、检测项目自由组合：根据不同样本检测需要，可实现 1～6个项目自由组合，同一标本最多可同时进行6项化学检测。</w:t>
      </w:r>
    </w:p>
    <w:p w14:paraId="0ABBB89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15、多种采样瓶可选：配备多种采样瓶，可根据患者年龄、粪便类型选择。患者自行取样，仪器自动加入稀释液，机械臂带动取样铲旋转，确保标本有效混匀。</w:t>
      </w:r>
    </w:p>
    <w:p w14:paraId="59422BE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16、采样瓶全封闭：采样瓶全封闭设计，仪器穿刺加稀释液及加样，操作人员无需与标本直接接触，保证生物安全，避免交叉感染。</w:t>
      </w:r>
    </w:p>
    <w:p w14:paraId="692EC84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采样瓶集卵功能：采样瓶内部有过滤网结构，可有效分离诊断信息与非诊断信息。底部有集卵槽，虫卵等诊断信息在重力作用下先沉降到集卵槽，取样针穿刺后延伸至集卵槽底部取样，可提高寄生虫卵检出率。</w:t>
      </w:r>
    </w:p>
    <w:p w14:paraId="74B5060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▲18、全封闭结构：检测过程全封闭，标本瓶原始管上机，自动稀释，穿刺取样，仪器内部实现全自动镜检和化学检测，采样瓶、计数板、检测卡均为一次性使用，自动退至封闭废弃仓，标本不与外界直接接触。</w:t>
      </w:r>
    </w:p>
    <w:p w14:paraId="7DEC998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19、清洗功能：仪器内置空气净化装置，配备专用清洗液，内外联合冲洗装置，全程无臭无污染，确保不交叉污染，不堵塞管路。</w:t>
      </w:r>
    </w:p>
    <w:p w14:paraId="63B2F0D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20、报警系统：检测卡缺失提醒、废弃仓满提醒、清洗液、稀释液不足、电机故障提醒。</w:t>
      </w:r>
    </w:p>
    <w:p w14:paraId="054801F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21、信息化：友好的人机对话界面，操作简单，直观，浏览病例方便，快捷。可与医院 LIS 系统相连，实现病例管理的信息化，标准化。</w:t>
      </w:r>
    </w:p>
    <w:p w14:paraId="1C45561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图文并茂的详细检测报告，检测报告包含患者基本信息，物理学检测结果，化学检测结果，粪便外观图片，低倍镜、高倍镜图片，检测卡图片。结果打印可以选择仪器自动生成的报告也可根据情况选择图片手动生成报告。</w:t>
      </w:r>
    </w:p>
    <w:p w14:paraId="7A5B6D2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23、检测仪器、配套自有或第三方试剂和计数板均需取得产品注册证。</w:t>
      </w:r>
    </w:p>
    <w:p w14:paraId="09154B56">
      <w:pPr>
        <w:rPr>
          <w:rFonts w:hint="eastAsia" w:ascii="宋体" w:hAnsi="宋体" w:eastAsia="宋体" w:cs="宋体"/>
          <w:color w:val="auto"/>
          <w:highlight w:val="none"/>
          <w:lang w:val="en-US" w:eastAsia="zh-CN"/>
        </w:rPr>
      </w:pPr>
    </w:p>
    <w:p w14:paraId="47FEBF4E">
      <w:pPr>
        <w:jc w:val="center"/>
        <w:outlineLvl w:val="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品目8低速离心机</w:t>
      </w:r>
    </w:p>
    <w:p w14:paraId="21FCD2A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1、最高转速≥5500r/min</w:t>
      </w:r>
    </w:p>
    <w:p w14:paraId="394AF9C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2、转速精度≤±10r/min</w:t>
      </w:r>
    </w:p>
    <w:p w14:paraId="0729AD7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3、最大相对离心力≥4500xg</w:t>
      </w:r>
    </w:p>
    <w:p w14:paraId="451A70D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4、可以直接设置离心力或转速，能以1或10或100三种步进任意选取一种递增。</w:t>
      </w:r>
    </w:p>
    <w:p w14:paraId="5645AA8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▲5、最大容量：4×700ml，一次性至少可分离25支50ml、75支15ml尖底离心管、150支5/7ml采血管，120孔自动脱帽适配器。</w:t>
      </w:r>
    </w:p>
    <w:p w14:paraId="218F720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6、定时范围：1s-99min59s、1 min-99h59min；具有启动计时、到转速计时、连续计时三种计时模式。</w:t>
      </w:r>
    </w:p>
    <w:p w14:paraId="0B6C652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7、加/减速曲线：10档加速曲线、11档减速曲线，可根据实验需求，自定义升速、降速时间曲线，使分离效果达到最佳状态。</w:t>
      </w:r>
    </w:p>
    <w:p w14:paraId="7F8E6B0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8、驱动系统：交流变频电机驱动</w:t>
      </w:r>
    </w:p>
    <w:p w14:paraId="0861515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9、控制系统：≥7寸高灵敏度（可戴手套直接操作）高清触摸屏控制；可快速设置转速或离心力，设置参数与运行参数同屏显示，直观、易懂。</w:t>
      </w:r>
    </w:p>
    <w:p w14:paraId="633073D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10、可以设置≥100组程序，并可对每组程序进行简易命名，更方便使用时调取与区分不同的实验，方便实现实验的可重复性。</w:t>
      </w:r>
    </w:p>
    <w:p w14:paraId="2410E6A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11、可选中≥5组程序，实现阶梯离心，使实验可以多元化、多步骤一次执行。</w:t>
      </w:r>
    </w:p>
    <w:p w14:paraId="0761C1A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12、自动保存运行记录、故障记录，可以有效的查看仪器的运行情况与每批样品的分离情况。</w:t>
      </w:r>
    </w:p>
    <w:p w14:paraId="5B291883">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13、材质：离心腔采用316L不锈钢；转子、吊篮采用7075-T6航空级锻造铝合金，或采用其他更优材质。</w:t>
      </w:r>
    </w:p>
    <w:p w14:paraId="32F4D3F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▲14、可配备经第三方检测机构（通过国家CMA认证）检测认证的气密性圆杯/方杯,有效防止气溶胶及液体外泄，并可高温高压灭菌。</w:t>
      </w:r>
    </w:p>
    <w:p w14:paraId="2C66B97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15、点动功能：具备</w:t>
      </w:r>
    </w:p>
    <w:p w14:paraId="42CE634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16、转子识别：具备</w:t>
      </w:r>
    </w:p>
    <w:p w14:paraId="232AF293">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17、净重：≤100kg</w:t>
      </w:r>
    </w:p>
    <w:p w14:paraId="3D1D159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18、配置要求：120孔自动脱帽转子（最高转速4000r/min，最大相对离心力3300xg）</w:t>
      </w:r>
    </w:p>
    <w:p w14:paraId="004BE984">
      <w:pPr>
        <w:rPr>
          <w:rFonts w:hint="eastAsia" w:ascii="宋体" w:hAnsi="宋体" w:eastAsia="宋体" w:cs="宋体"/>
          <w:color w:val="auto"/>
          <w:highlight w:val="none"/>
          <w:lang w:val="en-US" w:eastAsia="zh-CN"/>
        </w:rPr>
      </w:pPr>
    </w:p>
    <w:p w14:paraId="4ABB2DF1">
      <w:pPr>
        <w:jc w:val="center"/>
        <w:outlineLvl w:val="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品目9生物显微镜</w:t>
      </w:r>
    </w:p>
    <w:p w14:paraId="5DBA64C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1、工作条件：配置符合中国有关标准要求的插头，或提供适当的转换插座。</w:t>
      </w:r>
    </w:p>
    <w:p w14:paraId="7763BC3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2、光学系统：UIS2光学矫正系统，齐焦距离为国际标准≤45mm。</w:t>
      </w:r>
    </w:p>
    <w:p w14:paraId="5DCC831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3、载物台：钢丝传动，无齿条结构；载物台高度≥140mm；机械固定载物台（W×D）：≥200mm×150mm；移动范围（X×Y）：75mm×50mm；载物台XY移动可锁定</w:t>
      </w:r>
    </w:p>
    <w:p w14:paraId="245F8D7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4、调焦机构：载物台高度调节（粗调15mm），可以进行张力调节；有粗调限位，避免标本或物镜的损伤；细调焦旋钮最小调节幅度2.5μm。</w:t>
      </w:r>
    </w:p>
    <w:p w14:paraId="30FB248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5、聚光镜：内置孔径光阑；</w:t>
      </w:r>
    </w:p>
    <w:p w14:paraId="7F052C6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▲6、照明系统：内置LED透射光照明系统；LED光源寿命≥60000小时；高色彩还原。</w:t>
      </w:r>
    </w:p>
    <w:p w14:paraId="60FBC68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7、三目观察筒：瞳距调整范围不小于45～75mm，倾斜角度为30°，带屈光度调节；目镜：10×，带眼罩，视场数≥20；分光：50/50固定。</w:t>
      </w:r>
    </w:p>
    <w:p w14:paraId="21A50AC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8、物镜转盘：与显微镜机身固定的内旋式5孔物镜转盘，便于放置标本。</w:t>
      </w:r>
    </w:p>
    <w:p w14:paraId="70284FA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9、物镜：平场消色差物镜4×（N.A.≥0.1）、10×（N.A.≥0.25）、40×（N.A.≥0.60）、100×O（N.A.≥1.2）</w:t>
      </w:r>
    </w:p>
    <w:p w14:paraId="16106C3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10、防霉装置：三目观察筒、目镜、物镜做抗菌、防霉处理。</w:t>
      </w:r>
    </w:p>
    <w:p w14:paraId="69F0B84F">
      <w:pPr>
        <w:rPr>
          <w:rFonts w:hint="eastAsia" w:ascii="宋体" w:hAnsi="宋体" w:eastAsia="宋体" w:cs="宋体"/>
          <w:color w:val="auto"/>
          <w:highlight w:val="none"/>
          <w:lang w:val="en-US" w:eastAsia="zh-CN"/>
        </w:rPr>
      </w:pPr>
    </w:p>
    <w:p w14:paraId="6C72A608">
      <w:pPr>
        <w:jc w:val="center"/>
        <w:outlineLvl w:val="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品目10电解质分析仪</w:t>
      </w:r>
    </w:p>
    <w:p w14:paraId="67F310A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1、检测样品：血清、血浆（全血）、或其他体液。</w:t>
      </w:r>
    </w:p>
    <w:p w14:paraId="46E8F86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2、检测项目：K+、Na+、Cl-、iCa2+、pH、TCO2、nCa、Tca、AG</w:t>
      </w:r>
    </w:p>
    <w:p w14:paraId="7425061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▲3、自动进样：配备不小于25位进样系统(不少于20个样本,2个质控,1个急诊,1个清洗)</w:t>
      </w:r>
    </w:p>
    <w:p w14:paraId="7866C69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4、测量方法：采用ISE离子选择性电极法，TCO2采用量压法</w:t>
      </w:r>
    </w:p>
    <w:p w14:paraId="56E2A07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5、测量范围、分辨率和重复性误差： </w:t>
      </w:r>
    </w:p>
    <w:tbl>
      <w:tblPr>
        <w:tblStyle w:val="7"/>
        <w:tblW w:w="0" w:type="auto"/>
        <w:tblInd w:w="8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057"/>
        <w:gridCol w:w="1928"/>
        <w:gridCol w:w="1457"/>
      </w:tblGrid>
      <w:tr w14:paraId="6792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4E2F4DAF">
            <w:pPr>
              <w:jc w:val="center"/>
              <w:rPr>
                <w:rFonts w:hint="default"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名称</w:t>
            </w:r>
          </w:p>
        </w:tc>
        <w:tc>
          <w:tcPr>
            <w:tcW w:w="2057" w:type="dxa"/>
            <w:vAlign w:val="center"/>
          </w:tcPr>
          <w:p w14:paraId="44DBD4D2">
            <w:pPr>
              <w:jc w:val="center"/>
              <w:rPr>
                <w:rFonts w:hint="eastAsia"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lang w:val="en-US" w:eastAsia="zh-CN"/>
              </w:rPr>
              <w:t>测量范围(mmol/L)</w:t>
            </w:r>
          </w:p>
        </w:tc>
        <w:tc>
          <w:tcPr>
            <w:tcW w:w="1928" w:type="dxa"/>
            <w:vAlign w:val="center"/>
          </w:tcPr>
          <w:p w14:paraId="5533037E">
            <w:pPr>
              <w:jc w:val="center"/>
              <w:rPr>
                <w:rFonts w:hint="eastAsia"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lang w:val="en-US" w:eastAsia="zh-CN"/>
              </w:rPr>
              <w:t>分辨率(mmol/L)</w:t>
            </w:r>
          </w:p>
        </w:tc>
        <w:tc>
          <w:tcPr>
            <w:tcW w:w="1457" w:type="dxa"/>
            <w:vAlign w:val="center"/>
          </w:tcPr>
          <w:p w14:paraId="5CAA5BE2">
            <w:pPr>
              <w:jc w:val="center"/>
              <w:rPr>
                <w:rFonts w:hint="eastAsia"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lang w:val="en-US" w:eastAsia="zh-CN"/>
              </w:rPr>
              <w:t>重复性误差</w:t>
            </w:r>
          </w:p>
        </w:tc>
      </w:tr>
      <w:tr w14:paraId="2346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4BADF4E0">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K+</w:t>
            </w:r>
          </w:p>
        </w:tc>
        <w:tc>
          <w:tcPr>
            <w:tcW w:w="2057" w:type="dxa"/>
            <w:vAlign w:val="center"/>
          </w:tcPr>
          <w:p w14:paraId="7BAAAC1F">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0.50-15.00</w:t>
            </w:r>
          </w:p>
        </w:tc>
        <w:tc>
          <w:tcPr>
            <w:tcW w:w="1928" w:type="dxa"/>
            <w:vAlign w:val="center"/>
          </w:tcPr>
          <w:p w14:paraId="37BE9A99">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0.01</w:t>
            </w:r>
          </w:p>
        </w:tc>
        <w:tc>
          <w:tcPr>
            <w:tcW w:w="1457" w:type="dxa"/>
            <w:vAlign w:val="center"/>
          </w:tcPr>
          <w:p w14:paraId="7BAF690B">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CV≤1.5%</w:t>
            </w:r>
          </w:p>
        </w:tc>
      </w:tr>
      <w:tr w14:paraId="6B1F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5C8C008E">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Na+</w:t>
            </w:r>
          </w:p>
        </w:tc>
        <w:tc>
          <w:tcPr>
            <w:tcW w:w="2057" w:type="dxa"/>
            <w:vAlign w:val="center"/>
          </w:tcPr>
          <w:p w14:paraId="23BD1902">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30.0-200.0</w:t>
            </w:r>
          </w:p>
        </w:tc>
        <w:tc>
          <w:tcPr>
            <w:tcW w:w="1928" w:type="dxa"/>
            <w:vAlign w:val="center"/>
          </w:tcPr>
          <w:p w14:paraId="73E74951">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0.1</w:t>
            </w:r>
          </w:p>
        </w:tc>
        <w:tc>
          <w:tcPr>
            <w:tcW w:w="1457" w:type="dxa"/>
            <w:vAlign w:val="center"/>
          </w:tcPr>
          <w:p w14:paraId="591BF061">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CV≤1.5%</w:t>
            </w:r>
          </w:p>
        </w:tc>
      </w:tr>
      <w:tr w14:paraId="3981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7360E15F">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Cl-</w:t>
            </w:r>
          </w:p>
        </w:tc>
        <w:tc>
          <w:tcPr>
            <w:tcW w:w="2057" w:type="dxa"/>
            <w:vAlign w:val="center"/>
          </w:tcPr>
          <w:p w14:paraId="433F6683">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30.0-200.0</w:t>
            </w:r>
          </w:p>
        </w:tc>
        <w:tc>
          <w:tcPr>
            <w:tcW w:w="1928" w:type="dxa"/>
            <w:vAlign w:val="center"/>
          </w:tcPr>
          <w:p w14:paraId="29577994">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0.1</w:t>
            </w:r>
          </w:p>
        </w:tc>
        <w:tc>
          <w:tcPr>
            <w:tcW w:w="1457" w:type="dxa"/>
            <w:vAlign w:val="center"/>
          </w:tcPr>
          <w:p w14:paraId="5C8A89BD">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CV≤1.5%</w:t>
            </w:r>
          </w:p>
        </w:tc>
      </w:tr>
      <w:tr w14:paraId="38E7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31558A71">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iCa2+</w:t>
            </w:r>
          </w:p>
        </w:tc>
        <w:tc>
          <w:tcPr>
            <w:tcW w:w="2057" w:type="dxa"/>
            <w:vAlign w:val="center"/>
          </w:tcPr>
          <w:p w14:paraId="418EACC8">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0.10-5.00</w:t>
            </w:r>
          </w:p>
        </w:tc>
        <w:tc>
          <w:tcPr>
            <w:tcW w:w="1928" w:type="dxa"/>
            <w:vAlign w:val="center"/>
          </w:tcPr>
          <w:p w14:paraId="6A7C0F29">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0.01</w:t>
            </w:r>
          </w:p>
        </w:tc>
        <w:tc>
          <w:tcPr>
            <w:tcW w:w="1457" w:type="dxa"/>
            <w:vAlign w:val="center"/>
          </w:tcPr>
          <w:p w14:paraId="1D608FCC">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CV≤1.5%</w:t>
            </w:r>
          </w:p>
        </w:tc>
      </w:tr>
      <w:tr w14:paraId="6622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001E7D11">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PH</w:t>
            </w:r>
          </w:p>
        </w:tc>
        <w:tc>
          <w:tcPr>
            <w:tcW w:w="2057" w:type="dxa"/>
            <w:vAlign w:val="center"/>
          </w:tcPr>
          <w:p w14:paraId="7548BF05">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4.00-9.00</w:t>
            </w:r>
          </w:p>
        </w:tc>
        <w:tc>
          <w:tcPr>
            <w:tcW w:w="1928" w:type="dxa"/>
            <w:vAlign w:val="center"/>
          </w:tcPr>
          <w:p w14:paraId="5132E57B">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0.01</w:t>
            </w:r>
          </w:p>
        </w:tc>
        <w:tc>
          <w:tcPr>
            <w:tcW w:w="1457" w:type="dxa"/>
            <w:vAlign w:val="center"/>
          </w:tcPr>
          <w:p w14:paraId="052BA41D">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CV≤1.0%</w:t>
            </w:r>
          </w:p>
        </w:tc>
      </w:tr>
      <w:tr w14:paraId="7A2A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5265C922">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TCO2</w:t>
            </w:r>
          </w:p>
        </w:tc>
        <w:tc>
          <w:tcPr>
            <w:tcW w:w="2057" w:type="dxa"/>
            <w:vAlign w:val="center"/>
          </w:tcPr>
          <w:p w14:paraId="7ACA9A14">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4.0-70.0</w:t>
            </w:r>
          </w:p>
        </w:tc>
        <w:tc>
          <w:tcPr>
            <w:tcW w:w="1928" w:type="dxa"/>
            <w:vAlign w:val="center"/>
          </w:tcPr>
          <w:p w14:paraId="48FE43E6">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0.1</w:t>
            </w:r>
          </w:p>
        </w:tc>
        <w:tc>
          <w:tcPr>
            <w:tcW w:w="1457" w:type="dxa"/>
            <w:vAlign w:val="center"/>
          </w:tcPr>
          <w:p w14:paraId="7C788794">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CV≤3.0%</w:t>
            </w:r>
          </w:p>
        </w:tc>
      </w:tr>
    </w:tbl>
    <w:p w14:paraId="22FCAD7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6、功能特点：</w:t>
      </w:r>
    </w:p>
    <w:p w14:paraId="31EFB811">
      <w:pPr>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6.1 长寿命组合式离子选择性电极，铝合金全屏蔽抗干扰技术，采用巧妙的流路设计，配合多种检测传感器，使用方便。</w:t>
      </w:r>
    </w:p>
    <w:p w14:paraId="3F87D2DF">
      <w:pPr>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6.2 无引线组合式离子选择性电极，超量氯化银电极的采用，降低早期失效的现象发生。所有电极采用全密封技术，提高了电极的稳定性。</w:t>
      </w:r>
    </w:p>
    <w:p w14:paraId="22D6E5C7">
      <w:pPr>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6.3 采用嵌入式处理器，仪器所有的测试、校准、电极状态监测等全部由程序控制。仪器配置了各种智能化的监测传感器，可以检测样品、气泡、废液溢出报警、标准液耗尽报警。</w:t>
      </w:r>
    </w:p>
    <w:p w14:paraId="572182EC">
      <w:pPr>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6.4 仪器采用国际通用校准方法，并采用专用的质控分析程序，可对批间和日间质控测量后给出包含均值（X）、标准差（SD）和变异系数（CV）的质控报告。</w:t>
      </w:r>
    </w:p>
    <w:p w14:paraId="1D634DA0">
      <w:pPr>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6.5 通过ISO9001：2015及ISO13485：2016质量体系认证。</w:t>
      </w:r>
    </w:p>
    <w:p w14:paraId="1AB9EE70">
      <w:pPr>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6.6 232通讯接口：具备，可以和外部计算机及管理软件通讯，可方便地手动查询数据。</w:t>
      </w:r>
    </w:p>
    <w:p w14:paraId="7AD0D1AB">
      <w:pPr>
        <w:ind w:firstLine="210" w:firstLineChars="100"/>
        <w:rPr>
          <w:rFonts w:hint="eastAsia" w:ascii="宋体" w:hAnsi="宋体" w:eastAsia="宋体" w:cs="宋体"/>
          <w:color w:val="auto"/>
          <w:highlight w:val="none"/>
          <w:lang w:val="en-US" w:eastAsia="zh-CN"/>
        </w:rPr>
      </w:pPr>
    </w:p>
    <w:p w14:paraId="78CB27A0">
      <w:pPr>
        <w:jc w:val="center"/>
        <w:outlineLvl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品目11血沉仪</w:t>
      </w:r>
    </w:p>
    <w:p w14:paraId="317C5FCB">
      <w:pPr>
        <w:jc w:val="center"/>
        <w:outlineLvl w:val="9"/>
        <w:rPr>
          <w:rFonts w:hint="eastAsia" w:ascii="宋体" w:hAnsi="宋体" w:eastAsia="宋体" w:cs="宋体"/>
          <w:b/>
          <w:bCs/>
          <w:color w:val="auto"/>
          <w:highlight w:val="none"/>
          <w:lang w:val="en-US" w:eastAsia="zh-CN"/>
        </w:rPr>
      </w:pPr>
    </w:p>
    <w:p w14:paraId="5E1F88C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1、测量项目：血液红细胞沉降率测定（测量范围：0～150mm/h）</w:t>
      </w:r>
    </w:p>
    <w:p w14:paraId="5199928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2、测量方法：红外检测</w:t>
      </w:r>
    </w:p>
    <w:p w14:paraId="293CC20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3、系统功能：数据查询、病人编号、温度校正、异常报警、断电保护</w:t>
      </w:r>
    </w:p>
    <w:p w14:paraId="7B9BB97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4、分析时间：30分钟和60分钟选择（取样间隔：3min）</w:t>
      </w:r>
    </w:p>
    <w:p w14:paraId="72EECDB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5、分析通道：≥40个（同时装载最大40个样品分析）</w:t>
      </w:r>
    </w:p>
    <w:p w14:paraId="216CC19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6、分析容量：最大80个测试/小时</w:t>
      </w:r>
    </w:p>
    <w:p w14:paraId="2B26602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7、装载型式：随时测量</w:t>
      </w:r>
    </w:p>
    <w:p w14:paraId="616B906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8、温度修正：自动修正至 18℃时结果</w:t>
      </w:r>
    </w:p>
    <w:p w14:paraId="337503B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9、分析结果：魏氏法血沉值（mm/h）</w:t>
      </w:r>
    </w:p>
    <w:p w14:paraId="79434A8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10、结果分辨率：不低于1mm/1h 和 1mm/2h</w:t>
      </w:r>
    </w:p>
    <w:p w14:paraId="360F9E2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▲11、抗凝血液高度范围：45mm～60mm</w:t>
      </w:r>
    </w:p>
    <w:p w14:paraId="4DFEC23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▲12、压积测量范围：0.20～1.00</w:t>
      </w:r>
    </w:p>
    <w:p w14:paraId="7B07269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13、测试符合率≥90%</w:t>
      </w:r>
    </w:p>
    <w:p w14:paraId="34283BE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14、重复性：SD≤1.5mm/h（当血沉值≤10mm/h）；CV≤15%（当血沉值≥10mm/h）</w:t>
      </w:r>
    </w:p>
    <w:p w14:paraId="33C2801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15、通道一致性：SD≤1.5mm/h（当血沉值≤10mm/h）；CV≤15%（当血沉值≥ 10mm/h）</w:t>
      </w:r>
    </w:p>
    <w:p w14:paraId="1385E6D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16、读数精度：不低于0.2mm</w:t>
      </w:r>
    </w:p>
    <w:p w14:paraId="04E4866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17、显示：≥7 寸彩色液晶触摸屏</w:t>
      </w:r>
    </w:p>
    <w:p w14:paraId="003B35B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18、通讯接口：RS232C 串行接口</w:t>
      </w:r>
    </w:p>
    <w:p w14:paraId="4E06E66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19、打印：内置热敏打印机</w:t>
      </w:r>
    </w:p>
    <w:p w14:paraId="2F90876B">
      <w:pPr>
        <w:rPr>
          <w:rFonts w:hint="eastAsia" w:ascii="宋体" w:hAnsi="宋体" w:eastAsia="宋体" w:cs="宋体"/>
          <w:color w:val="auto"/>
          <w:highlight w:val="none"/>
          <w:lang w:val="en-US" w:eastAsia="zh-CN"/>
        </w:rPr>
      </w:pPr>
    </w:p>
    <w:p w14:paraId="007A49F9">
      <w:pPr>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品目12 UPS</w:t>
      </w:r>
    </w:p>
    <w:p w14:paraId="26AB09DF">
      <w:pPr>
        <w:jc w:val="center"/>
        <w:rPr>
          <w:rFonts w:hint="eastAsia" w:ascii="宋体" w:hAnsi="宋体" w:eastAsia="宋体" w:cs="宋体"/>
          <w:b/>
          <w:bCs/>
          <w:color w:val="auto"/>
          <w:highlight w:val="none"/>
          <w:lang w:val="en-US" w:eastAsia="zh-CN"/>
        </w:rPr>
      </w:pPr>
    </w:p>
    <w:p w14:paraId="42E6CBBE">
      <w:pPr>
        <w:numPr>
          <w:ilvl w:val="0"/>
          <w:numId w:val="0"/>
        </w:num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▲1、额定功率≥</w:t>
      </w:r>
      <w:r>
        <w:rPr>
          <w:rFonts w:hint="default" w:ascii="宋体" w:hAnsi="宋体" w:eastAsia="宋体" w:cs="宋体"/>
          <w:color w:val="auto"/>
          <w:highlight w:val="none"/>
          <w:lang w:val="en-US" w:eastAsia="zh-CN"/>
        </w:rPr>
        <w:t>20kVA/18KW</w:t>
      </w:r>
    </w:p>
    <w:p w14:paraId="3E164142">
      <w:pPr>
        <w:numPr>
          <w:ilvl w:val="0"/>
          <w:numId w:val="0"/>
        </w:num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2、输入输出模式：单进单出&amp;三进单出</w:t>
      </w:r>
    </w:p>
    <w:p w14:paraId="026A245A">
      <w:pPr>
        <w:numPr>
          <w:ilvl w:val="0"/>
          <w:numId w:val="0"/>
        </w:num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default" w:ascii="宋体" w:hAnsi="宋体" w:eastAsia="宋体" w:cs="宋体"/>
          <w:color w:val="auto"/>
          <w:highlight w:val="none"/>
          <w:lang w:val="en-US" w:eastAsia="zh-CN"/>
        </w:rPr>
        <w:t>输入电压</w:t>
      </w:r>
      <w:r>
        <w:rPr>
          <w:rFonts w:hint="eastAsia" w:ascii="宋体" w:hAnsi="宋体" w:eastAsia="宋体" w:cs="宋体"/>
          <w:color w:val="auto"/>
          <w:highlight w:val="none"/>
          <w:lang w:val="en-US" w:eastAsia="zh-CN"/>
        </w:rPr>
        <w:t>：</w:t>
      </w:r>
      <w:r>
        <w:rPr>
          <w:rFonts w:hint="default" w:ascii="宋体" w:hAnsi="宋体" w:eastAsia="宋体" w:cs="宋体"/>
          <w:color w:val="auto"/>
          <w:highlight w:val="none"/>
          <w:lang w:val="en-US" w:eastAsia="zh-CN"/>
        </w:rPr>
        <w:t>380V/220V</w:t>
      </w:r>
    </w:p>
    <w:p w14:paraId="5952A84A">
      <w:pPr>
        <w:numPr>
          <w:ilvl w:val="0"/>
          <w:numId w:val="0"/>
        </w:num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default" w:ascii="宋体" w:hAnsi="宋体" w:eastAsia="宋体" w:cs="宋体"/>
          <w:color w:val="auto"/>
          <w:highlight w:val="none"/>
          <w:lang w:val="en-US" w:eastAsia="zh-CN"/>
        </w:rPr>
        <w:t>50%负载延时</w:t>
      </w:r>
      <w:r>
        <w:rPr>
          <w:rFonts w:hint="eastAsia" w:ascii="宋体" w:hAnsi="宋体" w:eastAsia="宋体" w:cs="宋体"/>
          <w:color w:val="auto"/>
          <w:highlight w:val="none"/>
          <w:lang w:val="en-US" w:eastAsia="zh-CN"/>
        </w:rPr>
        <w:t>≥</w:t>
      </w:r>
      <w:r>
        <w:rPr>
          <w:rFonts w:hint="default" w:ascii="宋体" w:hAnsi="宋体" w:eastAsia="宋体" w:cs="宋体"/>
          <w:color w:val="auto"/>
          <w:highlight w:val="none"/>
          <w:lang w:val="en-US" w:eastAsia="zh-CN"/>
        </w:rPr>
        <w:t>30分钟</w:t>
      </w:r>
    </w:p>
    <w:p w14:paraId="08DB57FF">
      <w:pPr>
        <w:numPr>
          <w:ilvl w:val="0"/>
          <w:numId w:val="0"/>
        </w:num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default" w:ascii="宋体" w:hAnsi="宋体" w:eastAsia="宋体" w:cs="宋体"/>
          <w:color w:val="auto"/>
          <w:highlight w:val="none"/>
          <w:lang w:val="en-US" w:eastAsia="zh-CN"/>
        </w:rPr>
        <w:t>最大并机3台</w:t>
      </w:r>
    </w:p>
    <w:p w14:paraId="228C4BDC">
      <w:pPr>
        <w:numPr>
          <w:ilvl w:val="0"/>
          <w:numId w:val="0"/>
        </w:num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default" w:ascii="宋体" w:hAnsi="宋体" w:eastAsia="宋体" w:cs="宋体"/>
          <w:color w:val="auto"/>
          <w:highlight w:val="none"/>
          <w:lang w:val="en-US" w:eastAsia="zh-CN"/>
        </w:rPr>
        <w:t>电池电压</w:t>
      </w:r>
      <w:r>
        <w:rPr>
          <w:rFonts w:hint="eastAsia" w:ascii="宋体" w:hAnsi="宋体" w:eastAsia="宋体" w:cs="宋体"/>
          <w:color w:val="auto"/>
          <w:highlight w:val="none"/>
          <w:lang w:val="en-US" w:eastAsia="zh-CN"/>
        </w:rPr>
        <w:t>≥</w:t>
      </w:r>
      <w:r>
        <w:rPr>
          <w:rFonts w:hint="default" w:ascii="宋体" w:hAnsi="宋体" w:eastAsia="宋体" w:cs="宋体"/>
          <w:color w:val="auto"/>
          <w:highlight w:val="none"/>
          <w:lang w:val="en-US" w:eastAsia="zh-CN"/>
        </w:rPr>
        <w:t>19</w:t>
      </w:r>
      <w:r>
        <w:rPr>
          <w:rFonts w:hint="eastAsia" w:ascii="宋体" w:hAnsi="宋体" w:eastAsia="宋体" w:cs="宋体"/>
          <w:color w:val="auto"/>
          <w:highlight w:val="none"/>
          <w:lang w:val="en-US" w:eastAsia="zh-CN"/>
        </w:rPr>
        <w:t>0</w:t>
      </w:r>
      <w:r>
        <w:rPr>
          <w:rFonts w:hint="default" w:ascii="宋体" w:hAnsi="宋体" w:eastAsia="宋体" w:cs="宋体"/>
          <w:color w:val="auto"/>
          <w:highlight w:val="none"/>
          <w:lang w:val="en-US" w:eastAsia="zh-CN"/>
        </w:rPr>
        <w:t>V</w:t>
      </w:r>
    </w:p>
    <w:p w14:paraId="37C6A5F4">
      <w:pPr>
        <w:numPr>
          <w:ilvl w:val="0"/>
          <w:numId w:val="0"/>
        </w:num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default" w:ascii="宋体" w:hAnsi="宋体" w:eastAsia="宋体" w:cs="宋体"/>
          <w:color w:val="auto"/>
          <w:highlight w:val="none"/>
          <w:lang w:val="en-US" w:eastAsia="zh-CN"/>
        </w:rPr>
        <w:t>运行环境温度</w:t>
      </w:r>
      <w:r>
        <w:rPr>
          <w:rFonts w:hint="eastAsia" w:ascii="宋体" w:hAnsi="宋体" w:eastAsia="宋体" w:cs="宋体"/>
          <w:color w:val="auto"/>
          <w:highlight w:val="none"/>
          <w:lang w:val="en-US" w:eastAsia="zh-CN"/>
        </w:rPr>
        <w:t>：</w:t>
      </w:r>
      <w:r>
        <w:rPr>
          <w:rFonts w:hint="default" w:ascii="宋体" w:hAnsi="宋体" w:eastAsia="宋体" w:cs="宋体"/>
          <w:color w:val="auto"/>
          <w:highlight w:val="none"/>
          <w:lang w:val="en-US" w:eastAsia="zh-CN"/>
        </w:rPr>
        <w:t>0</w:t>
      </w:r>
      <w:r>
        <w:rPr>
          <w:rFonts w:hint="eastAsia" w:ascii="宋体" w:hAnsi="宋体" w:eastAsia="宋体" w:cs="宋体"/>
          <w:color w:val="auto"/>
          <w:highlight w:val="none"/>
          <w:lang w:val="en-US" w:eastAsia="zh-CN"/>
        </w:rPr>
        <w:t>～</w:t>
      </w:r>
      <w:r>
        <w:rPr>
          <w:rFonts w:hint="default" w:ascii="宋体" w:hAnsi="宋体" w:eastAsia="宋体" w:cs="宋体"/>
          <w:color w:val="auto"/>
          <w:highlight w:val="none"/>
          <w:lang w:val="en-US" w:eastAsia="zh-CN"/>
        </w:rPr>
        <w:t>40℃</w:t>
      </w:r>
    </w:p>
    <w:p w14:paraId="1EA71191">
      <w:pPr>
        <w:numPr>
          <w:ilvl w:val="0"/>
          <w:numId w:val="0"/>
        </w:num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default" w:ascii="宋体" w:hAnsi="宋体" w:eastAsia="宋体" w:cs="宋体"/>
          <w:color w:val="auto"/>
          <w:highlight w:val="none"/>
          <w:lang w:val="en-US" w:eastAsia="zh-CN"/>
        </w:rPr>
        <w:t>噪声≤50dB</w:t>
      </w:r>
    </w:p>
    <w:p w14:paraId="7B972EAE">
      <w:pPr>
        <w:numPr>
          <w:ilvl w:val="0"/>
          <w:numId w:val="0"/>
        </w:num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r>
        <w:rPr>
          <w:rFonts w:hint="default" w:ascii="宋体" w:hAnsi="宋体" w:eastAsia="宋体" w:cs="宋体"/>
          <w:color w:val="auto"/>
          <w:highlight w:val="none"/>
          <w:lang w:val="en-US" w:eastAsia="zh-CN"/>
        </w:rPr>
        <w:t>保修期</w:t>
      </w:r>
      <w:r>
        <w:rPr>
          <w:rFonts w:hint="eastAsia" w:ascii="宋体" w:hAnsi="宋体" w:eastAsia="宋体" w:cs="宋体"/>
          <w:color w:val="auto"/>
          <w:highlight w:val="none"/>
          <w:lang w:val="en-US" w:eastAsia="zh-CN"/>
        </w:rPr>
        <w:t>≥</w:t>
      </w:r>
      <w:r>
        <w:rPr>
          <w:rFonts w:hint="default" w:ascii="宋体" w:hAnsi="宋体" w:eastAsia="宋体" w:cs="宋体"/>
          <w:color w:val="auto"/>
          <w:highlight w:val="none"/>
          <w:lang w:val="en-US" w:eastAsia="zh-CN"/>
        </w:rPr>
        <w:t>3年</w:t>
      </w:r>
    </w:p>
    <w:p w14:paraId="3C9BEBA0">
      <w:pPr>
        <w:rPr>
          <w:rFonts w:hint="default" w:ascii="宋体" w:hAnsi="宋体" w:eastAsia="宋体" w:cs="宋体"/>
          <w:color w:val="auto"/>
          <w:highlight w:val="none"/>
          <w:lang w:val="en-US" w:eastAsia="zh-CN"/>
        </w:rPr>
      </w:pPr>
    </w:p>
    <w:p w14:paraId="689EE54C">
      <w:pPr>
        <w:jc w:val="center"/>
        <w:outlineLvl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品目13单门医用冰箱</w:t>
      </w:r>
    </w:p>
    <w:p w14:paraId="10CCF471">
      <w:pPr>
        <w:jc w:val="center"/>
        <w:rPr>
          <w:rFonts w:hint="eastAsia" w:ascii="宋体" w:hAnsi="宋体" w:eastAsia="宋体" w:cs="宋体"/>
          <w:b/>
          <w:bCs/>
          <w:color w:val="auto"/>
          <w:highlight w:val="none"/>
          <w:lang w:val="en-US" w:eastAsia="zh-CN"/>
        </w:rPr>
      </w:pPr>
    </w:p>
    <w:p w14:paraId="6FCF761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1、工作条件：环境温度10-32℃，环境湿度≤80%，电压：220V±10%，频率50±1Hz</w:t>
      </w:r>
    </w:p>
    <w:p w14:paraId="2792162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2、样式：立式，单门</w:t>
      </w:r>
    </w:p>
    <w:p w14:paraId="7A594C5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▲3、有效容积≥330L</w:t>
      </w:r>
    </w:p>
    <w:p w14:paraId="2EEAAE4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4、箱内温度范围：2～8℃</w:t>
      </w:r>
    </w:p>
    <w:p w14:paraId="6F95A05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5、箱体材料：预涂板</w:t>
      </w:r>
    </w:p>
    <w:p w14:paraId="3C7725F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6、内胆材料：高光HIPS</w:t>
      </w:r>
    </w:p>
    <w:p w14:paraId="5B70998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7、保温材料：无 CFC 聚氨酯发泡</w:t>
      </w:r>
    </w:p>
    <w:p w14:paraId="73444CD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8、碳氢制冷剂，制冷效率高，节能环保</w:t>
      </w:r>
    </w:p>
    <w:p w14:paraId="6D159A5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9、温度控制：高精度微电脑温度控制系统，适用范围在2℃～8℃范围内，显示分辨率0.1℃</w:t>
      </w:r>
    </w:p>
    <w:p w14:paraId="6956BD7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10、采用内置把手符合人机工程学，单手实现开关门，更加省力</w:t>
      </w:r>
    </w:p>
    <w:p w14:paraId="2E28216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11、按键屏功能：微电脑控制，标配LED按键显示屏，可显示箱内温度、设定温度和环境温度，能设定高低温报警值等参数，具有故障指示灯，出现报警或故障时指示灯显示红色</w:t>
      </w:r>
    </w:p>
    <w:p w14:paraId="5524A3A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12、多种声光报警功能：高低温报警、开门报警、传感器故障报警</w:t>
      </w:r>
    </w:p>
    <w:p w14:paraId="1FFC113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13、两种报警方式：声音蜂鸣器报警、闪烁报警1秒/次</w:t>
      </w:r>
    </w:p>
    <w:p w14:paraId="4F12035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14、安全运行模式：当显示控制/报警传感器发生故障时，压缩机以正常开停规律运行，确保物 品存储安全</w:t>
      </w:r>
    </w:p>
    <w:p w14:paraId="324E93B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15、采用高性能蒸发器，可以提高换热效率，制冷速度更快</w:t>
      </w:r>
    </w:p>
    <w:p w14:paraId="1D6A63E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16、强制风循环，箱内多个出风口，确保箱体内部温度均匀性</w:t>
      </w:r>
    </w:p>
    <w:p w14:paraId="170B0C3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17、采用高性能保温材料，保温效果更卓越</w:t>
      </w:r>
    </w:p>
    <w:p w14:paraId="7AE7A1F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18、采用高效压缩机，动力强劲</w:t>
      </w:r>
    </w:p>
    <w:p w14:paraId="6E92D40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19、整机低噪音运行，且配置了减噪措施</w:t>
      </w:r>
    </w:p>
    <w:p w14:paraId="715BFD4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20、镀膜玻璃门，防凝露、可视效果好</w:t>
      </w:r>
    </w:p>
    <w:p w14:paraId="139C7F7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21、配置 LED 照明系统，视物更清晰</w:t>
      </w:r>
    </w:p>
    <w:p w14:paraId="5ACB234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22、箱体标配1个测试孔，便于安装外置温度监控模块</w:t>
      </w:r>
    </w:p>
    <w:p w14:paraId="664379F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23、配置4层4个高度可调浸塑搁架</w:t>
      </w:r>
    </w:p>
    <w:p w14:paraId="2E31AB1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24、安全门锁设计，防止随意开启，使用更安全</w:t>
      </w:r>
    </w:p>
    <w:p w14:paraId="5639B3A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25、箱体底部配2个万向轮+2个定向轮+2个底脚，便于移动和安放</w:t>
      </w:r>
    </w:p>
    <w:p w14:paraId="1F4BCCC6">
      <w:pPr>
        <w:rPr>
          <w:rFonts w:hint="eastAsia" w:ascii="宋体" w:hAnsi="宋体" w:eastAsia="宋体" w:cs="宋体"/>
          <w:color w:val="auto"/>
          <w:highlight w:val="none"/>
          <w:lang w:val="en-US" w:eastAsia="zh-CN"/>
        </w:rPr>
      </w:pPr>
    </w:p>
    <w:p w14:paraId="36D57552">
      <w:pPr>
        <w:jc w:val="center"/>
        <w:outlineLvl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品目14双门医用冰箱</w:t>
      </w:r>
    </w:p>
    <w:p w14:paraId="06C9659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1、工作条件：环境温度10～32℃，环境湿度≤80%，电压：220V±10%，频率50±1Hz</w:t>
      </w:r>
    </w:p>
    <w:p w14:paraId="6AF8D27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2、样式：立式，双门</w:t>
      </w:r>
    </w:p>
    <w:p w14:paraId="1712B1F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▲3、有效容积≥1000L</w:t>
      </w:r>
    </w:p>
    <w:p w14:paraId="7BD216C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4、箱内温度范围：2～8℃</w:t>
      </w:r>
    </w:p>
    <w:p w14:paraId="7161418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5、箱体材料：PCM板</w:t>
      </w:r>
    </w:p>
    <w:p w14:paraId="1D9429C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6、内胆材料：预涂铝板</w:t>
      </w:r>
    </w:p>
    <w:p w14:paraId="6F24B77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7、保温材料：无 CFC 聚氨酯发泡</w:t>
      </w:r>
    </w:p>
    <w:p w14:paraId="73481C2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8、无氟制冷剂，制冷效率高，节能环保</w:t>
      </w:r>
    </w:p>
    <w:p w14:paraId="6F469A4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9、温度控制：高精度微电脑温度控制系统，内置6个温度传感器，确保运行状态安全稳定。适用范围在2℃～8℃范围内，显示分辨率0.1℃</w:t>
      </w:r>
    </w:p>
    <w:p w14:paraId="52A908C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10、采用内嵌一体式把手符合人机工程学，单手实现开关门，更加省力</w:t>
      </w:r>
    </w:p>
    <w:p w14:paraId="061D305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11、按键屏功能：微电脑控制，标配宽幅面膜屏，可显示箱内温度、设定温度和环境温度，能设定高低温报警，具有故障指示灯，出现报警或故障时指示灯显示红色</w:t>
      </w:r>
    </w:p>
    <w:p w14:paraId="4B6940F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12、多种声光报警功能：高低温报警、开门报警、传感器故障报警、电池电量低报警、断电报警、远程报警</w:t>
      </w:r>
    </w:p>
    <w:p w14:paraId="22A03FC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13、两种报警方式：声音蜂鸣器报警，闪烁报警1秒/次</w:t>
      </w:r>
    </w:p>
    <w:p w14:paraId="4307F57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14.安全运行模式：当显示控制/报警传感器发生故障时，压缩机以正常开停规律运行，确保物 品存储安全</w:t>
      </w:r>
    </w:p>
    <w:p w14:paraId="1CE9756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15、采用高性能蒸发器，可以提高换热效率，制冷速度更快</w:t>
      </w:r>
    </w:p>
    <w:p w14:paraId="14CA31A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16、采用高性能保温材料，保温效果更卓越</w:t>
      </w:r>
    </w:p>
    <w:p w14:paraId="1BADDB9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17、采用高性能压缩机（1台），动力强劲</w:t>
      </w:r>
    </w:p>
    <w:p w14:paraId="2EE2924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18、整机低噪音运行，且配置了减噪措施</w:t>
      </w:r>
    </w:p>
    <w:p w14:paraId="06B54A0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19、镀膜玻璃门，防凝露效果好</w:t>
      </w:r>
    </w:p>
    <w:p w14:paraId="032E986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20、标配温度记录+USB接口</w:t>
      </w:r>
    </w:p>
    <w:p w14:paraId="4D825ED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21、标配蓄电池，断电后可为屏幕供电≥72小时</w:t>
      </w:r>
    </w:p>
    <w:p w14:paraId="7703FEA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22、产品无霜设计，热气化霜，冷凝水自动蒸发，便于日常维护</w:t>
      </w:r>
    </w:p>
    <w:p w14:paraId="190A45B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23、强制风冷设计，箱内温度更均匀稳定</w:t>
      </w:r>
    </w:p>
    <w:p w14:paraId="1C3CB2E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24、配置LED 照明系统，视物更清晰</w:t>
      </w:r>
    </w:p>
    <w:p w14:paraId="514644A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25、箱体标配1个测试孔，便于安装外置温度监控模块</w:t>
      </w:r>
    </w:p>
    <w:p w14:paraId="265298C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26、配置6层12个高度可调浸塑搁架</w:t>
      </w:r>
    </w:p>
    <w:p w14:paraId="57881CC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27、安全门锁设计，防止随意开启，使用更安全</w:t>
      </w:r>
    </w:p>
    <w:p w14:paraId="24CF49A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28、箱体底部配6个万向轮+2个底脚，便于移动和安放</w:t>
      </w:r>
    </w:p>
    <w:p w14:paraId="0E40A3A4">
      <w:pPr>
        <w:rPr>
          <w:rFonts w:hint="eastAsia" w:ascii="宋体" w:hAnsi="宋体" w:eastAsia="宋体" w:cs="宋体"/>
          <w:color w:val="auto"/>
          <w:highlight w:val="none"/>
          <w:lang w:val="en-US" w:eastAsia="zh-CN"/>
        </w:rPr>
      </w:pPr>
    </w:p>
    <w:p w14:paraId="102FC8CD">
      <w:pPr>
        <w:jc w:val="center"/>
        <w:outlineLvl w:val="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品目15低温医用冰箱</w:t>
      </w:r>
    </w:p>
    <w:p w14:paraId="1087276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1、工作条件：环境温度10～32℃，环境湿度≤83%，电压：220V±10%，频率50±1Hz</w:t>
      </w:r>
    </w:p>
    <w:p w14:paraId="08B9E8C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2、样式：立式，单门</w:t>
      </w:r>
    </w:p>
    <w:p w14:paraId="5853A04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▲3、有效容积≥140L</w:t>
      </w:r>
    </w:p>
    <w:p w14:paraId="0A5BD0F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▲4、冷冻温度-10℃～-25℃</w:t>
      </w:r>
    </w:p>
    <w:p w14:paraId="69BFF61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5、箱体外壳材料：PCM板</w:t>
      </w:r>
    </w:p>
    <w:p w14:paraId="4464B4A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6、内胆材料：HIPS板</w:t>
      </w:r>
    </w:p>
    <w:p w14:paraId="10ED14E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7、无氟制冷剂，节能高效</w:t>
      </w:r>
    </w:p>
    <w:p w14:paraId="1CBAB4B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8、温度控制：高精度微电脑温度控制系统，适用范围在-10℃～-25℃范围内，显示分辨率0.1℃</w:t>
      </w:r>
    </w:p>
    <w:p w14:paraId="77D3225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9、采用一体式把手符合人机工程学，单手实现开关门，更加省力</w:t>
      </w:r>
    </w:p>
    <w:p w14:paraId="2DD54CF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10、按键屏功能：微电脑控制，标配LED屏，可显示箱内温度、设定温度和环境温度，能设定高低温报警值等参数，具有故障指示灯，出现报警或故障时指示灯显示红色</w:t>
      </w:r>
    </w:p>
    <w:p w14:paraId="0244CE7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11、多种声光报警功能：高温报警、低温报警、传感器故障报警、开门报警、断电报警、电子温控器</w:t>
      </w:r>
    </w:p>
    <w:p w14:paraId="1B3885A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12、两种报警方式：声音蜂鸣器报警、闪烁报警1秒/次</w:t>
      </w:r>
    </w:p>
    <w:p w14:paraId="04CA38F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13、安全运行模式：当显示控制/报警传感器发生故障时，压缩机以正常开停规律运行，确保物品存储安全</w:t>
      </w:r>
    </w:p>
    <w:p w14:paraId="23B021A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14、采用高效压缩机，动力强劲</w:t>
      </w:r>
    </w:p>
    <w:p w14:paraId="78BEC02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15、采用高效蒸发器，可以提高换热效率，制冷速度更快</w:t>
      </w:r>
    </w:p>
    <w:p w14:paraId="32353F2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16、保温材料：无CFC 聚氨酯发泡</w:t>
      </w:r>
    </w:p>
    <w:p w14:paraId="056A37C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17、加厚保温层设计，采用高性能保温材料，保温效果更卓越</w:t>
      </w:r>
    </w:p>
    <w:p w14:paraId="6195936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18、箱体发泡层厚度≥75mm</w:t>
      </w:r>
    </w:p>
    <w:p w14:paraId="0A64A8D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19、配置4个冷冻抽屉，1个冷冻半抽屉</w:t>
      </w:r>
    </w:p>
    <w:p w14:paraId="6FD483B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20、配置2个底脚</w:t>
      </w:r>
    </w:p>
    <w:p w14:paraId="2A3F91B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21、安全门锁设计，感知随意开启，使用更安全，可以选配外挂锁</w:t>
      </w:r>
    </w:p>
    <w:p w14:paraId="25DEA6F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22、配置LED 照明系统，视物更清晰</w:t>
      </w:r>
    </w:p>
    <w:p w14:paraId="4FDCDCE8">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23、箱体标配1个测试孔，便于安装外置温度监控模块</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07AF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E99E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BE99E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71377"/>
    <w:multiLevelType w:val="singleLevel"/>
    <w:tmpl w:val="83471377"/>
    <w:lvl w:ilvl="0" w:tentative="0">
      <w:start w:val="15"/>
      <w:numFmt w:val="decimal"/>
      <w:suff w:val="nothing"/>
      <w:lvlText w:val="%1、"/>
      <w:lvlJc w:val="left"/>
    </w:lvl>
  </w:abstractNum>
  <w:abstractNum w:abstractNumId="1">
    <w:nsid w:val="B8803353"/>
    <w:multiLevelType w:val="singleLevel"/>
    <w:tmpl w:val="B8803353"/>
    <w:lvl w:ilvl="0" w:tentative="0">
      <w:start w:val="7"/>
      <w:numFmt w:val="decimal"/>
      <w:suff w:val="nothing"/>
      <w:lvlText w:val="%1、"/>
      <w:lvlJc w:val="left"/>
    </w:lvl>
  </w:abstractNum>
  <w:abstractNum w:abstractNumId="2">
    <w:nsid w:val="1C382727"/>
    <w:multiLevelType w:val="singleLevel"/>
    <w:tmpl w:val="1C38272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E7D1A"/>
    <w:rsid w:val="016D0A19"/>
    <w:rsid w:val="020A7CEE"/>
    <w:rsid w:val="027F0426"/>
    <w:rsid w:val="04AE1F6D"/>
    <w:rsid w:val="055C757F"/>
    <w:rsid w:val="073C32B6"/>
    <w:rsid w:val="084443E6"/>
    <w:rsid w:val="0AEE75C3"/>
    <w:rsid w:val="0B316DB7"/>
    <w:rsid w:val="0DB04B47"/>
    <w:rsid w:val="0F08107E"/>
    <w:rsid w:val="13015088"/>
    <w:rsid w:val="14D1764A"/>
    <w:rsid w:val="158B5F83"/>
    <w:rsid w:val="1671161F"/>
    <w:rsid w:val="171D2151"/>
    <w:rsid w:val="1A1D6E85"/>
    <w:rsid w:val="1B972C67"/>
    <w:rsid w:val="1D6016FD"/>
    <w:rsid w:val="20176124"/>
    <w:rsid w:val="21F52495"/>
    <w:rsid w:val="22FD78CA"/>
    <w:rsid w:val="23494970"/>
    <w:rsid w:val="272E26D1"/>
    <w:rsid w:val="2BF81500"/>
    <w:rsid w:val="2CBF274A"/>
    <w:rsid w:val="30B15879"/>
    <w:rsid w:val="33C0133A"/>
    <w:rsid w:val="3AB605BC"/>
    <w:rsid w:val="3E562933"/>
    <w:rsid w:val="40291830"/>
    <w:rsid w:val="41281AE7"/>
    <w:rsid w:val="417653B4"/>
    <w:rsid w:val="459A2148"/>
    <w:rsid w:val="472E7D1A"/>
    <w:rsid w:val="4995426D"/>
    <w:rsid w:val="4BD016F9"/>
    <w:rsid w:val="4BE42D83"/>
    <w:rsid w:val="4C526710"/>
    <w:rsid w:val="4F351183"/>
    <w:rsid w:val="50F814D6"/>
    <w:rsid w:val="5119769F"/>
    <w:rsid w:val="534947B5"/>
    <w:rsid w:val="54EA7388"/>
    <w:rsid w:val="5A837D50"/>
    <w:rsid w:val="5E622F17"/>
    <w:rsid w:val="5ED815F4"/>
    <w:rsid w:val="5F0308E8"/>
    <w:rsid w:val="61F23D20"/>
    <w:rsid w:val="66263F98"/>
    <w:rsid w:val="67696832"/>
    <w:rsid w:val="6D156B14"/>
    <w:rsid w:val="6EFF7A7C"/>
    <w:rsid w:val="71B36B7F"/>
    <w:rsid w:val="73243F55"/>
    <w:rsid w:val="73DC0A40"/>
    <w:rsid w:val="74CC0400"/>
    <w:rsid w:val="7640715B"/>
    <w:rsid w:val="768014A2"/>
    <w:rsid w:val="76E9529A"/>
    <w:rsid w:val="77E37F3B"/>
    <w:rsid w:val="7BE03DDE"/>
    <w:rsid w:val="7BE36A1F"/>
    <w:rsid w:val="7C5B41CE"/>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99"/>
    <w:pPr>
      <w:jc w:val="left"/>
    </w:pPr>
    <w:rPr>
      <w:rFonts w:ascii="仿宋_GB2312" w:hAnsi="宋体" w:eastAsia="仿宋_GB231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default" w:ascii="Times New Roman" w:hAnsi="Times New Roman" w:cs="Times New Roman"/>
      <w:color w:val="4B4C4D"/>
      <w:sz w:val="16"/>
      <w:szCs w:val="16"/>
      <w:u w:val="none"/>
    </w:rPr>
  </w:style>
  <w:style w:type="character" w:customStyle="1" w:styleId="10">
    <w:name w:val="font11"/>
    <w:basedOn w:val="8"/>
    <w:qFormat/>
    <w:uiPriority w:val="0"/>
    <w:rPr>
      <w:rFonts w:hint="eastAsia" w:ascii="微软雅黑" w:hAnsi="微软雅黑" w:eastAsia="微软雅黑" w:cs="微软雅黑"/>
      <w:color w:val="4B4C4D"/>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10490</Words>
  <Characters>12130</Characters>
  <Lines>0</Lines>
  <Paragraphs>0</Paragraphs>
  <TotalTime>30</TotalTime>
  <ScaleCrop>false</ScaleCrop>
  <LinksUpToDate>false</LinksUpToDate>
  <CharactersWithSpaces>12296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2025-08-07T07:28:00Z</dcterms:created>
  <dc:creator>茉莉</dc:creator>
  <cp:lastModifiedBy>茉莉</cp:lastModifiedBy>
  <dcterms:modified xsi:type="dcterms:W3CDTF">2025-09-04T08:55:23Z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365C3DE53B6D4018BA1259A7E2CF3D1B_13</vt:lpwstr>
  </property>
  <property fmtid="{D5CDD505-2E9C-101B-9397-08002B2CF9AE}" pid="4" name="KSOTemplateDocerSaveRecord">
    <vt:lpwstr>eyJoZGlkIjoiZGZlNzQ4ODMwMDYzNGJiY2Y3N2Y0NTc0ODhlNzBlYzciLCJ1c2VySWQiOiI0NTQwNzYzOTEifQ==</vt:lpwstr>
  </property>
</Properties>
</file>