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16.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oter9.xml" ContentType="application/vnd.openxmlformats-officedocument.wordprocessingml.foot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header17.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49"/>
        <w:ind w:firstLine="0"/>
        <w:jc w:val="center"/>
        <w:spacing w:before="0" w:after="0"/>
        <w:rPr>
          <w:rFonts w:hint="eastAsia" w:ascii="宋体" w:hAnsi="宋体" w:cs="宋体"/>
          <w:color w:val="000000" w:themeColor="text1"/>
          <w:sz w:val="32"/>
          <w:szCs w:val="32"/>
          <w:highlight w:val="none"/>
          <w14:textFill>
            <w14:solidFill>
              <w14:schemeClr w14:val="tx1"/>
            </w14:solidFill>
          </w14:textFill>
        </w:rPr>
      </w:pPr>
      <w:r/>
      <w:bookmarkStart w:id="269" w:name="_GoBack"/>
      <w:r/>
      <w:bookmarkEnd w:id="269"/>
      <w:r/>
      <w:r/>
    </w:p>
    <w:p>
      <w:pPr>
        <w:pStyle w:val="1349"/>
        <w:ind w:firstLine="0"/>
        <w:jc w:val="center"/>
        <w:spacing w:before="0" w:after="0"/>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pStyle w:val="1349"/>
        <w:ind w:firstLine="0"/>
        <w:jc w:val="center"/>
        <w:rPr>
          <w:rFonts w:ascii="宋体" w:hAnsi="宋体" w:cs="宋体"/>
          <w:b/>
          <w:bCs/>
          <w:color w:val="000000" w:themeColor="text1"/>
          <w:sz w:val="72"/>
          <w:szCs w:val="72"/>
          <w:highlight w:val="none"/>
          <w14:textFill>
            <w14:solidFill>
              <w14:schemeClr w14:val="tx1"/>
            </w14:solidFill>
          </w14:textFill>
        </w:rPr>
      </w:pPr>
      <w:r>
        <w:rPr>
          <w:rFonts w:hint="eastAsia" w:ascii="宋体" w:hAnsi="宋体" w:cs="宋体"/>
          <w:b/>
          <w:bCs/>
          <w:color w:val="000000" w:themeColor="text1"/>
          <w:sz w:val="72"/>
          <w:szCs w:val="72"/>
          <w:highlight w:val="none"/>
          <w14:textFill>
            <w14:solidFill>
              <w14:schemeClr w14:val="tx1"/>
            </w14:solidFill>
          </w14:textFill>
        </w:rPr>
        <w:t xml:space="preserve">招</w:t>
      </w:r>
      <w:r>
        <w:rPr>
          <w:rFonts w:hint="eastAsia" w:ascii="宋体" w:hAnsi="宋体" w:cs="宋体"/>
          <w:b/>
          <w:bCs/>
          <w:color w:val="000000" w:themeColor="text1"/>
          <w:sz w:val="72"/>
          <w:szCs w:val="72"/>
          <w:highlight w:val="none"/>
          <w:lang w:val="en-US" w:eastAsia="zh-CN"/>
          <w14:textFill>
            <w14:solidFill>
              <w14:schemeClr w14:val="tx1"/>
            </w14:solidFill>
          </w14:textFill>
        </w:rPr>
        <w:t xml:space="preserve">  </w:t>
      </w:r>
      <w:r>
        <w:rPr>
          <w:rFonts w:hint="eastAsia" w:ascii="宋体" w:hAnsi="宋体" w:cs="宋体"/>
          <w:b/>
          <w:bCs/>
          <w:color w:val="000000" w:themeColor="text1"/>
          <w:sz w:val="72"/>
          <w:szCs w:val="72"/>
          <w:highlight w:val="none"/>
          <w14:textFill>
            <w14:solidFill>
              <w14:schemeClr w14:val="tx1"/>
            </w14:solidFill>
          </w14:textFill>
        </w:rPr>
        <w:t xml:space="preserve">标</w:t>
      </w:r>
      <w:r>
        <w:rPr>
          <w:rFonts w:hint="eastAsia" w:ascii="宋体" w:hAnsi="宋体" w:cs="宋体"/>
          <w:b/>
          <w:bCs/>
          <w:color w:val="000000" w:themeColor="text1"/>
          <w:sz w:val="72"/>
          <w:szCs w:val="72"/>
          <w:highlight w:val="none"/>
          <w:lang w:val="en-US" w:eastAsia="zh-CN"/>
          <w14:textFill>
            <w14:solidFill>
              <w14:schemeClr w14:val="tx1"/>
            </w14:solidFill>
          </w14:textFill>
        </w:rPr>
        <w:t xml:space="preserve">  </w:t>
      </w:r>
      <w:r>
        <w:rPr>
          <w:rFonts w:hint="eastAsia" w:ascii="宋体" w:hAnsi="宋体" w:cs="宋体"/>
          <w:b/>
          <w:bCs/>
          <w:color w:val="000000" w:themeColor="text1"/>
          <w:sz w:val="72"/>
          <w:szCs w:val="72"/>
          <w:highlight w:val="none"/>
          <w14:textFill>
            <w14:solidFill>
              <w14:schemeClr w14:val="tx1"/>
            </w14:solidFill>
          </w14:textFill>
        </w:rPr>
        <w:t xml:space="preserve">文</w:t>
      </w:r>
      <w:r>
        <w:rPr>
          <w:rFonts w:hint="eastAsia" w:ascii="宋体" w:hAnsi="宋体" w:cs="宋体"/>
          <w:b/>
          <w:bCs/>
          <w:color w:val="000000" w:themeColor="text1"/>
          <w:sz w:val="72"/>
          <w:szCs w:val="72"/>
          <w:highlight w:val="none"/>
          <w:lang w:val="en-US" w:eastAsia="zh-CN"/>
          <w14:textFill>
            <w14:solidFill>
              <w14:schemeClr w14:val="tx1"/>
            </w14:solidFill>
          </w14:textFill>
        </w:rPr>
        <w:t xml:space="preserve">  </w:t>
      </w:r>
      <w:r>
        <w:rPr>
          <w:rFonts w:hint="eastAsia" w:ascii="宋体" w:hAnsi="宋体" w:cs="宋体"/>
          <w:b/>
          <w:bCs/>
          <w:color w:val="000000" w:themeColor="text1"/>
          <w:sz w:val="72"/>
          <w:szCs w:val="72"/>
          <w:highlight w:val="none"/>
          <w14:textFill>
            <w14:solidFill>
              <w14:schemeClr w14:val="tx1"/>
            </w14:solidFill>
          </w14:textFill>
        </w:rPr>
        <w:t xml:space="preserve">件 </w:t>
      </w:r>
      <w:r/>
    </w:p>
    <w:p>
      <w:pPr>
        <w:pStyle w:val="1349"/>
        <w:ind w:firstLine="0"/>
        <w:jc w:val="center"/>
        <w:spacing w:before="0" w:after="0"/>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1349"/>
        <w:ind w:firstLine="0"/>
        <w:jc w:val="center"/>
        <w:spacing w:before="0" w:after="0"/>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pStyle w:val="1349"/>
        <w:ind w:firstLine="0"/>
        <w:jc w:val="center"/>
        <w:spacing w:before="0" w:after="0"/>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pStyle w:val="1349"/>
        <w:ind w:firstLine="0"/>
        <w:jc w:val="center"/>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项目名称：</w:t>
      </w:r>
      <w:r>
        <w:rPr>
          <w:rFonts w:hint="eastAsia" w:ascii="宋体" w:hAnsi="宋体" w:cs="宋体"/>
          <w:b/>
          <w:bCs/>
          <w:color w:val="000000" w:themeColor="text1"/>
          <w:sz w:val="32"/>
          <w:szCs w:val="32"/>
          <w:highlight w:val="none"/>
          <w:lang w:eastAsia="zh-CN"/>
          <w14:textFill>
            <w14:solidFill>
              <w14:schemeClr w14:val="tx1"/>
            </w14:solidFill>
          </w14:textFill>
        </w:rPr>
        <w:t xml:space="preserve">2025年度白蚁等害堤动物普查及治理项目</w:t>
      </w:r>
      <w:r/>
    </w:p>
    <w:p>
      <w:pPr>
        <w:pStyle w:val="1349"/>
        <w:ind w:firstLine="0"/>
        <w:jc w:val="center"/>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标书编号：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JSZC-320582-SZRY-G2025-0012</w:t>
      </w:r>
      <w:r/>
    </w:p>
    <w:p>
      <w:pPr>
        <w:pStyle w:val="1349"/>
        <w:ind w:firstLine="0"/>
        <w:jc w:val="center"/>
        <w:spacing w:before="0" w:after="0"/>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项目属性：服务类</w:t>
      </w:r>
      <w:r/>
    </w:p>
    <w:p>
      <w:pPr>
        <w:pStyle w:val="1349"/>
        <w:ind w:firstLine="0"/>
        <w:jc w:val="center"/>
        <w:spacing w:before="0" w:after="0"/>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1349"/>
        <w:ind w:firstLine="0"/>
        <w:jc w:val="center"/>
        <w:spacing w:before="0" w:after="0"/>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1349"/>
        <w:ind w:firstLine="0"/>
        <w:jc w:val="center"/>
        <w:spacing w:before="0" w:after="0"/>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1349"/>
        <w:ind w:firstLine="0"/>
        <w:jc w:val="center"/>
        <w:spacing w:before="0" w:after="0"/>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1349"/>
        <w:ind w:firstLine="0"/>
        <w:jc w:val="center"/>
        <w:spacing w:before="0" w:after="0"/>
        <w:rPr>
          <w:rFonts w:ascii="宋体" w:hAnsi="宋体" w:cs="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821690" cy="875665"/>
                <wp:effectExtent l="0" t="0" r="3810" b="635"/>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r/>
                      </pic:nvPicPr>
                      <pic:blipFill>
                        <a:blip r:embed="rId38"/>
                        <a:stretch/>
                      </pic:blipFill>
                      <pic:spPr bwMode="auto">
                        <a:xfrm>
                          <a:off x="0" y="0"/>
                          <a:ext cx="821689" cy="875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4.7pt;height:69.0pt;mso-wrap-distance-left:0.0pt;mso-wrap-distance-top:0.0pt;mso-wrap-distance-right:0.0pt;mso-wrap-distance-bottom:0.0pt;" stroked="f">
                <v:path textboxrect="0,0,0,0"/>
                <v:imagedata r:id="rId38" o:title=""/>
              </v:shape>
            </w:pict>
          </mc:Fallback>
        </mc:AlternateContent>
      </w:r>
      <w:r/>
    </w:p>
    <w:p>
      <w:pPr>
        <w:pStyle w:val="1350"/>
        <w:jc w:val="center"/>
        <w:spacing w:line="360" w:lineRule="auto"/>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cs="宋体"/>
          <w:b/>
          <w:bCs/>
          <w:color w:val="000000" w:themeColor="text1"/>
          <w:sz w:val="32"/>
          <w:szCs w:val="32"/>
          <w:highlight w:val="none"/>
          <w:lang w:eastAsia="zh-CN"/>
          <w14:textFill>
            <w14:solidFill>
              <w14:schemeClr w14:val="tx1"/>
            </w14:solidFill>
          </w14:textFill>
        </w:rPr>
        <w:t xml:space="preserve">苏州润禹工程咨询管理有限公司</w:t>
      </w:r>
      <w:r/>
    </w:p>
    <w:p>
      <w:pPr>
        <w:pStyle w:val="1349"/>
        <w:ind w:firstLine="0"/>
        <w:jc w:val="center"/>
        <w:rPr>
          <w:rFonts w:ascii="宋体" w:hAnsi="宋体" w:cs="宋体"/>
          <w:b/>
          <w:bCs/>
          <w:color w:val="000000" w:themeColor="text1"/>
          <w:sz w:val="32"/>
          <w:highlight w:val="none"/>
          <w14:textFill>
            <w14:solidFill>
              <w14:schemeClr w14:val="tx1"/>
            </w14:solidFill>
          </w14:textFill>
        </w:rPr>
      </w:pPr>
      <w:r/>
      <w:bookmarkStart w:id="0" w:name="EB52307051e0d04806912e5842f73c8551"/>
      <w:r>
        <w:rPr>
          <w:rFonts w:hint="eastAsia" w:ascii="宋体" w:hAnsi="宋体" w:cs="宋体"/>
          <w:b/>
          <w:bCs/>
          <w:color w:val="000000" w:themeColor="text1"/>
          <w:sz w:val="32"/>
          <w:highlight w:val="none"/>
          <w14:textFill>
            <w14:solidFill>
              <w14:schemeClr w14:val="tx1"/>
            </w14:solidFill>
          </w14:textFill>
        </w:rPr>
        <w:t xml:space="preserve">202</w:t>
      </w:r>
      <w:r>
        <w:rPr>
          <w:rFonts w:hint="eastAsia" w:ascii="宋体" w:hAnsi="宋体" w:cs="宋体"/>
          <w:b/>
          <w:bCs/>
          <w:color w:val="000000" w:themeColor="text1"/>
          <w:sz w:val="32"/>
          <w:highlight w:val="none"/>
          <w:lang w:val="en-US" w:eastAsia="zh-CN"/>
          <w14:textFill>
            <w14:solidFill>
              <w14:schemeClr w14:val="tx1"/>
            </w14:solidFill>
          </w14:textFill>
        </w:rPr>
        <w:t xml:space="preserve">5</w:t>
      </w:r>
      <w:r>
        <w:rPr>
          <w:rFonts w:hint="eastAsia" w:ascii="宋体" w:hAnsi="宋体" w:cs="宋体"/>
          <w:b/>
          <w:bCs/>
          <w:color w:val="000000" w:themeColor="text1"/>
          <w:sz w:val="32"/>
          <w:highlight w:val="none"/>
          <w14:textFill>
            <w14:solidFill>
              <w14:schemeClr w14:val="tx1"/>
            </w14:solidFill>
          </w14:textFill>
        </w:rPr>
        <w:t xml:space="preserve">年</w:t>
      </w:r>
      <w:r>
        <w:rPr>
          <w:rFonts w:hint="eastAsia" w:ascii="宋体" w:hAnsi="宋体" w:cs="宋体"/>
          <w:b/>
          <w:bCs/>
          <w:color w:val="000000" w:themeColor="text1"/>
          <w:sz w:val="32"/>
          <w:highlight w:val="none"/>
          <w:lang w:val="en-US" w:eastAsia="zh-CN"/>
          <w14:textFill>
            <w14:solidFill>
              <w14:schemeClr w14:val="tx1"/>
            </w14:solidFill>
          </w14:textFill>
        </w:rPr>
        <w:t xml:space="preserve">8</w:t>
      </w:r>
      <w:r>
        <w:rPr>
          <w:rFonts w:hint="eastAsia" w:ascii="宋体" w:hAnsi="宋体" w:cs="宋体"/>
          <w:b/>
          <w:bCs/>
          <w:color w:val="000000" w:themeColor="text1"/>
          <w:sz w:val="32"/>
          <w:highlight w:val="none"/>
          <w14:textFill>
            <w14:solidFill>
              <w14:schemeClr w14:val="tx1"/>
            </w14:solidFill>
          </w14:textFill>
        </w:rPr>
        <w:t xml:space="preserve">月</w:t>
      </w:r>
      <w:r>
        <w:rPr>
          <w:rFonts w:hint="eastAsia" w:ascii="宋体" w:hAnsi="宋体" w:cs="宋体"/>
          <w:b/>
          <w:bCs/>
          <w:color w:val="000000" w:themeColor="text1"/>
          <w:sz w:val="32"/>
          <w:highlight w:val="none"/>
          <w:lang w:val="en-US" w:eastAsia="zh-CN"/>
          <w14:textFill>
            <w14:solidFill>
              <w14:schemeClr w14:val="tx1"/>
            </w14:solidFill>
          </w14:textFill>
        </w:rPr>
        <w:t xml:space="preserve">26</w:t>
      </w:r>
      <w:r>
        <w:rPr>
          <w:rFonts w:hint="eastAsia" w:ascii="宋体" w:hAnsi="宋体" w:cs="宋体"/>
          <w:b/>
          <w:bCs/>
          <w:color w:val="000000" w:themeColor="text1"/>
          <w:sz w:val="32"/>
          <w:highlight w:val="none"/>
          <w14:textFill>
            <w14:solidFill>
              <w14:schemeClr w14:val="tx1"/>
            </w14:solidFill>
          </w14:textFill>
        </w:rPr>
        <w:t xml:space="preserve">日</w:t>
      </w:r>
      <w:bookmarkEnd w:id="0"/>
      <w:r/>
      <w:r/>
    </w:p>
    <w:p>
      <w:pPr>
        <w:spacing w:before="120" w:after="120"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351"/>
        <w:rPr>
          <w:rFonts w:ascii="宋体" w:eastAsia="宋体" w:cs="宋体"/>
          <w:color w:val="000000" w:themeColor="text1"/>
          <w:highlight w:val="none"/>
          <w14:textFill>
            <w14:solidFill>
              <w14:schemeClr w14:val="tx1"/>
            </w14:solidFill>
          </w14:textFill>
        </w:rPr>
        <w:sectPr>
          <w:headerReference w:type="default" r:id="rId9"/>
          <w:footerReference w:type="even" r:id="rId26"/>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ascii="宋体" w:eastAsia="宋体" w:cs="宋体"/>
          <w:color w:val="000000" w:themeColor="text1"/>
          <w:highlight w:val="none"/>
          <w14:textFill>
            <w14:solidFill>
              <w14:schemeClr w14:val="tx1"/>
            </w14:solidFill>
          </w14:textFill>
        </w:rPr>
      </w:r>
      <w:r/>
    </w:p>
    <w:p>
      <w:pPr>
        <w:jc w:val="center"/>
        <w:spacing w:before="361" w:after="361"/>
        <w:rPr>
          <w:rFonts w:ascii="宋体" w:hAnsi="宋体" w:cs="宋体"/>
          <w:b/>
          <w:bCs/>
          <w:color w:val="000000" w:themeColor="text1"/>
          <w:sz w:val="44"/>
          <w:szCs w:val="44"/>
          <w:highlight w:val="none"/>
          <w14:textFill>
            <w14:solidFill>
              <w14:schemeClr w14:val="tx1"/>
            </w14:solidFill>
          </w14:textFill>
        </w:rPr>
      </w:pPr>
      <w:r/>
      <w:bookmarkStart w:id="1" w:name="_Toc120614210"/>
      <w:r/>
      <w:bookmarkStart w:id="2" w:name="_Toc20823272"/>
      <w:r/>
      <w:bookmarkStart w:id="3" w:name="_Toc523127445"/>
      <w:r/>
      <w:bookmarkStart w:id="4" w:name="_Toc513029200"/>
      <w:r/>
      <w:bookmarkStart w:id="5" w:name="_Toc479757206"/>
      <w:r/>
      <w:bookmarkStart w:id="6" w:name="_Toc16938516"/>
      <w:r>
        <w:rPr>
          <w:rFonts w:hint="eastAsia" w:ascii="宋体" w:hAnsi="宋体" w:cs="宋体"/>
          <w:b/>
          <w:bCs/>
          <w:color w:val="000000" w:themeColor="text1"/>
          <w:sz w:val="44"/>
          <w:szCs w:val="44"/>
          <w:highlight w:val="none"/>
          <w14:textFill>
            <w14:solidFill>
              <w14:schemeClr w14:val="tx1"/>
            </w14:solidFill>
          </w14:textFill>
        </w:rPr>
        <w:t xml:space="preserve">总  目  录</w:t>
      </w:r>
      <w:r/>
    </w:p>
    <w:p>
      <w:pPr>
        <w:pStyle w:val="1186"/>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TOC \o "1-2" \h \z \u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HYPERLINK \l _Toc10560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第一章  投标邀请</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_Toc10560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p>
    <w:p>
      <w:pPr>
        <w:pStyle w:val="1186"/>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instrText xml:space="preserve"> HYPERLINK \l _Toc20167 </w:instrTex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第二章  投标人须知</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_Toc20167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6</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end"/>
      </w:r>
      <w:r/>
    </w:p>
    <w:p>
      <w:pPr>
        <w:pStyle w:val="1192"/>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instrText xml:space="preserve"> HYPERLINK \l _Toc3250 </w:instrTex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Cs w:val="0"/>
          <w:color w:val="000000" w:themeColor="text1"/>
          <w:sz w:val="28"/>
          <w:szCs w:val="28"/>
          <w:highlight w:val="none"/>
          <w14:textFill>
            <w14:solidFill>
              <w14:schemeClr w14:val="tx1"/>
            </w14:solidFill>
          </w14:textFill>
        </w:rPr>
        <w:t xml:space="preserve">一、总则</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_Toc3250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6</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end"/>
      </w:r>
      <w:r/>
    </w:p>
    <w:p>
      <w:pPr>
        <w:pStyle w:val="1192"/>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instrText xml:space="preserve"> HYPERLINK \l _Toc2910 </w:instrTex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Cs w:val="0"/>
          <w:color w:val="000000" w:themeColor="text1"/>
          <w:sz w:val="28"/>
          <w:szCs w:val="28"/>
          <w:highlight w:val="none"/>
          <w14:textFill>
            <w14:solidFill>
              <w14:schemeClr w14:val="tx1"/>
            </w14:solidFill>
          </w14:textFill>
        </w:rPr>
        <w:t xml:space="preserve">二、招标文件</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_Toc2910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6</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end"/>
      </w:r>
      <w:r/>
    </w:p>
    <w:p>
      <w:pPr>
        <w:pStyle w:val="1192"/>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instrText xml:space="preserve"> HYPERLINK \l _Toc23101 </w:instrTex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Cs w:val="0"/>
          <w:color w:val="000000" w:themeColor="text1"/>
          <w:sz w:val="28"/>
          <w:szCs w:val="28"/>
          <w:highlight w:val="none"/>
          <w14:textFill>
            <w14:solidFill>
              <w14:schemeClr w14:val="tx1"/>
            </w14:solidFill>
          </w14:textFill>
        </w:rPr>
        <w:t xml:space="preserve">三、投标文件的编制</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_Toc23101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7</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end"/>
      </w:r>
      <w:r/>
    </w:p>
    <w:p>
      <w:pPr>
        <w:pStyle w:val="1192"/>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instrText xml:space="preserve"> HYPERLINK \l _Toc28778 </w:instrTex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Cs w:val="0"/>
          <w:color w:val="000000" w:themeColor="text1"/>
          <w:sz w:val="28"/>
          <w:szCs w:val="28"/>
          <w:highlight w:val="none"/>
          <w14:textFill>
            <w14:solidFill>
              <w14:schemeClr w14:val="tx1"/>
            </w14:solidFill>
          </w14:textFill>
        </w:rPr>
        <w:t xml:space="preserve">四、投标文件的制作、上传、递交</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_Toc28778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9</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end"/>
      </w:r>
      <w:r/>
    </w:p>
    <w:p>
      <w:pPr>
        <w:pStyle w:val="1192"/>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instrText xml:space="preserve"> HYPERLINK \l _Toc15158 </w:instrTex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Cs w:val="0"/>
          <w:color w:val="000000" w:themeColor="text1"/>
          <w:sz w:val="28"/>
          <w:szCs w:val="28"/>
          <w:highlight w:val="none"/>
          <w14:textFill>
            <w14:solidFill>
              <w14:schemeClr w14:val="tx1"/>
            </w14:solidFill>
          </w14:textFill>
        </w:rPr>
        <w:t xml:space="preserve">五、开标与评标</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_Toc15158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end"/>
      </w:r>
      <w:r/>
    </w:p>
    <w:p>
      <w:pPr>
        <w:pStyle w:val="1192"/>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instrText xml:space="preserve"> HYPERLINK \l _Toc12744 </w:instrTex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Cs w:val="0"/>
          <w:color w:val="000000" w:themeColor="text1"/>
          <w:sz w:val="28"/>
          <w:szCs w:val="28"/>
          <w:highlight w:val="none"/>
          <w14:textFill>
            <w14:solidFill>
              <w14:schemeClr w14:val="tx1"/>
            </w14:solidFill>
          </w14:textFill>
        </w:rPr>
        <w:t xml:space="preserve">六、定标</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_Toc12744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14</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end"/>
      </w:r>
      <w:r/>
    </w:p>
    <w:p>
      <w:pPr>
        <w:pStyle w:val="1192"/>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instrText xml:space="preserve"> HYPERLINK \l _Toc3165 </w:instrTex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Cs w:val="0"/>
          <w:color w:val="000000" w:themeColor="text1"/>
          <w:sz w:val="28"/>
          <w:szCs w:val="28"/>
          <w:highlight w:val="none"/>
          <w14:textFill>
            <w14:solidFill>
              <w14:schemeClr w14:val="tx1"/>
            </w14:solidFill>
          </w14:textFill>
        </w:rPr>
        <w:t xml:space="preserve">七、授予合同</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_Toc3165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17</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end"/>
      </w:r>
      <w:r/>
    </w:p>
    <w:p>
      <w:pPr>
        <w:pStyle w:val="1186"/>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instrText xml:space="preserve"> HYPERLINK \l _Toc14382 </w:instrTex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第三章 合同条款及格式</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_Toc14382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18</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end"/>
      </w:r>
      <w:r/>
    </w:p>
    <w:p>
      <w:pPr>
        <w:pStyle w:val="1186"/>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instrText xml:space="preserve"> HYPERLINK \l _Toc24253 </w:instrTex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第四章 项目需求</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_Toc24253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22</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end"/>
      </w:r>
      <w:r/>
    </w:p>
    <w:p>
      <w:pPr>
        <w:pStyle w:val="1186"/>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instrText xml:space="preserve"> HYPERLINK \l _Toc5882 </w:instrTex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第五章 评标方法与评标标准</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_Toc5882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31</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end"/>
      </w:r>
      <w:r/>
    </w:p>
    <w:p>
      <w:pPr>
        <w:pStyle w:val="1186"/>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instrText xml:space="preserve"> HYPERLINK \l _Toc11445 </w:instrTex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第六章 投标文件格式</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_Toc11445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33</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end"/>
      </w:r>
      <w:r/>
    </w:p>
    <w:p>
      <w:pPr>
        <w:pStyle w:val="1192"/>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instrText xml:space="preserve"> HYPERLINK \l _Toc10661 </w:instrTex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aps w:val="0"/>
          <w:smallCaps w:val="0"/>
          <w:color w:val="000000" w:themeColor="text1"/>
          <w:spacing w:val="0"/>
          <w:sz w:val="28"/>
          <w:szCs w:val="28"/>
          <w:highlight w:val="none"/>
          <w:shd w:val="clear" w:color="auto" w:fill="auto"/>
          <w14:textFill>
            <w14:solidFill>
              <w14:schemeClr w14:val="tx1"/>
            </w14:solidFill>
          </w14:textFill>
        </w:rPr>
        <w:t xml:space="preserve">一、封面</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_Toc10661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34</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end"/>
      </w:r>
      <w:r/>
    </w:p>
    <w:p>
      <w:pPr>
        <w:pStyle w:val="1192"/>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instrText xml:space="preserve"> HYPERLINK \l _Toc19488 </w:instrTex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aps w:val="0"/>
          <w:smallCaps w:val="0"/>
          <w:color w:val="000000" w:themeColor="text1"/>
          <w:spacing w:val="0"/>
          <w:sz w:val="28"/>
          <w:szCs w:val="28"/>
          <w:highlight w:val="none"/>
          <w:shd w:val="clear" w:color="auto" w:fill="auto"/>
          <w14:textFill>
            <w14:solidFill>
              <w14:schemeClr w14:val="tx1"/>
            </w14:solidFill>
          </w14:textFill>
        </w:rPr>
        <w:t xml:space="preserve">二、投标函格式</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_Toc19488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35</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end"/>
      </w:r>
      <w:r/>
    </w:p>
    <w:p>
      <w:pPr>
        <w:pStyle w:val="1192"/>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instrText xml:space="preserve"> HYPERLINK \l _Toc23994 </w:instrTex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aps w:val="0"/>
          <w:smallCaps w:val="0"/>
          <w:color w:val="000000" w:themeColor="text1"/>
          <w:spacing w:val="0"/>
          <w:sz w:val="28"/>
          <w:szCs w:val="28"/>
          <w:highlight w:val="none"/>
          <w:shd w:val="clear" w:color="auto" w:fill="auto"/>
          <w14:textFill>
            <w14:solidFill>
              <w14:schemeClr w14:val="tx1"/>
            </w14:solidFill>
          </w14:textFill>
        </w:rPr>
        <w:t xml:space="preserve">三、开标一览表</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_Toc23994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36</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end"/>
      </w:r>
      <w:r/>
    </w:p>
    <w:p>
      <w:pPr>
        <w:pStyle w:val="1192"/>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instrText xml:space="preserve"> HYPERLINK \l _Toc12028 </w:instrTex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aps w:val="0"/>
          <w:smallCaps w:val="0"/>
          <w:color w:val="000000" w:themeColor="text1"/>
          <w:spacing w:val="0"/>
          <w:sz w:val="28"/>
          <w:szCs w:val="28"/>
          <w:highlight w:val="none"/>
          <w:shd w:val="clear" w:color="auto" w:fill="auto"/>
          <w:lang w:val="en-US" w:eastAsia="zh-CN"/>
          <w14:textFill>
            <w14:solidFill>
              <w14:schemeClr w14:val="tx1"/>
            </w14:solidFill>
          </w14:textFill>
        </w:rPr>
        <w:t xml:space="preserve">四</w:t>
      </w:r>
      <w:r>
        <w:rPr>
          <w:rFonts w:hint="eastAsia" w:asciiTheme="minorEastAsia" w:hAnsiTheme="minorEastAsia" w:eastAsiaTheme="minorEastAsia" w:cstheme="minorEastAsia"/>
          <w:caps w:val="0"/>
          <w:smallCaps w:val="0"/>
          <w:color w:val="000000" w:themeColor="text1"/>
          <w:spacing w:val="0"/>
          <w:sz w:val="28"/>
          <w:szCs w:val="28"/>
          <w:highlight w:val="none"/>
          <w:shd w:val="clear" w:color="auto" w:fill="auto"/>
          <w14:textFill>
            <w14:solidFill>
              <w14:schemeClr w14:val="tx1"/>
            </w14:solidFill>
          </w14:textFill>
        </w:rPr>
        <w:t xml:space="preserve">、经费测算明细表</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_Toc12028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37</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end"/>
      </w:r>
      <w:r/>
    </w:p>
    <w:p>
      <w:pPr>
        <w:pStyle w:val="1192"/>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instrText xml:space="preserve"> HYPERLINK \l _Toc5493 </w:instrTex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aps w:val="0"/>
          <w:smallCaps w:val="0"/>
          <w:color w:val="000000" w:themeColor="text1"/>
          <w:spacing w:val="0"/>
          <w:sz w:val="28"/>
          <w:szCs w:val="28"/>
          <w:highlight w:val="none"/>
          <w:shd w:val="clear" w:color="auto" w:fill="auto"/>
          <w:lang w:val="en-US" w:eastAsia="zh-CN"/>
          <w14:textFill>
            <w14:solidFill>
              <w14:schemeClr w14:val="tx1"/>
            </w14:solidFill>
          </w14:textFill>
        </w:rPr>
        <w:t xml:space="preserve">五</w:t>
      </w:r>
      <w:r>
        <w:rPr>
          <w:rFonts w:hint="eastAsia" w:asciiTheme="minorEastAsia" w:hAnsiTheme="minorEastAsia" w:eastAsiaTheme="minorEastAsia" w:cstheme="minorEastAsia"/>
          <w:caps w:val="0"/>
          <w:smallCaps w:val="0"/>
          <w:color w:val="000000" w:themeColor="text1"/>
          <w:spacing w:val="0"/>
          <w:sz w:val="28"/>
          <w:szCs w:val="28"/>
          <w:highlight w:val="none"/>
          <w:shd w:val="clear" w:color="auto" w:fill="auto"/>
          <w14:textFill>
            <w14:solidFill>
              <w14:schemeClr w14:val="tx1"/>
            </w14:solidFill>
          </w14:textFill>
        </w:rPr>
        <w:t xml:space="preserve">、第四章项目需求中实质性要求响应对照表</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_Toc5493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38</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end"/>
      </w:r>
      <w:r/>
    </w:p>
    <w:p>
      <w:pPr>
        <w:pStyle w:val="1192"/>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instrText xml:space="preserve"> HYPERLINK \l _Toc19964 </w:instrTex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aps w:val="0"/>
          <w:smallCaps w:val="0"/>
          <w:color w:val="000000" w:themeColor="text1"/>
          <w:spacing w:val="0"/>
          <w:sz w:val="28"/>
          <w:szCs w:val="28"/>
          <w:highlight w:val="none"/>
          <w:shd w:val="clear" w:color="auto" w:fill="auto"/>
          <w:lang w:val="en-US" w:eastAsia="zh-CN"/>
          <w14:textFill>
            <w14:solidFill>
              <w14:schemeClr w14:val="tx1"/>
            </w14:solidFill>
          </w14:textFill>
        </w:rPr>
        <w:t xml:space="preserve">六</w:t>
      </w:r>
      <w:r>
        <w:rPr>
          <w:rFonts w:hint="eastAsia" w:asciiTheme="minorEastAsia" w:hAnsiTheme="minorEastAsia" w:eastAsiaTheme="minorEastAsia" w:cstheme="minorEastAsia"/>
          <w:caps w:val="0"/>
          <w:smallCaps w:val="0"/>
          <w:color w:val="000000" w:themeColor="text1"/>
          <w:spacing w:val="0"/>
          <w:sz w:val="28"/>
          <w:szCs w:val="28"/>
          <w:highlight w:val="none"/>
          <w:shd w:val="clear" w:color="auto" w:fill="auto"/>
          <w14:textFill>
            <w14:solidFill>
              <w14:schemeClr w14:val="tx1"/>
            </w14:solidFill>
          </w14:textFill>
        </w:rPr>
        <w:t xml:space="preserve">、服务方案</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_Toc19964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39</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end"/>
      </w:r>
      <w:r/>
    </w:p>
    <w:p>
      <w:pPr>
        <w:pStyle w:val="1192"/>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instrText xml:space="preserve"> HYPERLINK \l _Toc12415 </w:instrTex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aps w:val="0"/>
          <w:smallCaps w:val="0"/>
          <w:color w:val="000000" w:themeColor="text1"/>
          <w:spacing w:val="0"/>
          <w:sz w:val="28"/>
          <w:szCs w:val="28"/>
          <w:highlight w:val="none"/>
          <w:shd w:val="clear" w:color="auto" w:fill="auto"/>
          <w:lang w:val="en-US" w:eastAsia="zh-CN"/>
          <w14:textFill>
            <w14:solidFill>
              <w14:schemeClr w14:val="tx1"/>
            </w14:solidFill>
          </w14:textFill>
        </w:rPr>
        <w:t xml:space="preserve">七</w:t>
      </w:r>
      <w:r>
        <w:rPr>
          <w:rFonts w:hint="eastAsia" w:asciiTheme="minorEastAsia" w:hAnsiTheme="minorEastAsia" w:eastAsiaTheme="minorEastAsia" w:cstheme="minorEastAsia"/>
          <w:caps w:val="0"/>
          <w:smallCaps w:val="0"/>
          <w:color w:val="000000" w:themeColor="text1"/>
          <w:spacing w:val="0"/>
          <w:sz w:val="28"/>
          <w:szCs w:val="28"/>
          <w:highlight w:val="none"/>
          <w:shd w:val="clear" w:color="auto" w:fill="auto"/>
          <w14:textFill>
            <w14:solidFill>
              <w14:schemeClr w14:val="tx1"/>
            </w14:solidFill>
          </w14:textFill>
        </w:rPr>
        <w:t xml:space="preserve">、投标人情况介绍</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_Toc12415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40</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end"/>
      </w:r>
      <w:r/>
    </w:p>
    <w:p>
      <w:pPr>
        <w:pStyle w:val="1192"/>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instrText xml:space="preserve"> HYPERLINK \l _Toc29532 </w:instrTex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8"/>
          <w:szCs w:val="28"/>
          <w:highlight w:val="none"/>
          <w:lang w:val="en-US" w:eastAsia="zh-CN"/>
          <w14:textFill>
            <w14:solidFill>
              <w14:schemeClr w14:val="tx1"/>
            </w14:solidFill>
          </w14:textFill>
        </w:rPr>
        <w:t xml:space="preserve">八</w:t>
      </w:r>
      <w:r>
        <w:rPr>
          <w:rFonts w:hint="eastAsia" w:asciiTheme="minorEastAsia" w:hAnsiTheme="minorEastAsia" w:eastAsiaTheme="minorEastAsia" w:cstheme="minorEastAsia"/>
          <w:caps w:val="0"/>
          <w:smallCaps w:val="0"/>
          <w:color w:val="000000" w:themeColor="text1"/>
          <w:spacing w:val="0"/>
          <w:sz w:val="28"/>
          <w:szCs w:val="28"/>
          <w:highlight w:val="none"/>
          <w:shd w:val="clear" w:color="auto" w:fill="auto"/>
          <w14:textFill>
            <w14:solidFill>
              <w14:schemeClr w14:val="tx1"/>
            </w14:solidFill>
          </w14:textFill>
        </w:rPr>
        <w:t xml:space="preserve">、技术</w:t>
      </w:r>
      <w:r>
        <w:rPr>
          <w:rFonts w:hint="eastAsia" w:asciiTheme="minorEastAsia" w:hAnsiTheme="minorEastAsia" w:eastAsiaTheme="minorEastAsia" w:cstheme="minorEastAsia"/>
          <w:caps w:val="0"/>
          <w:smallCaps w:val="0"/>
          <w:color w:val="000000" w:themeColor="text1"/>
          <w:spacing w:val="0"/>
          <w:sz w:val="28"/>
          <w:szCs w:val="28"/>
          <w:highlight w:val="none"/>
          <w:shd w:val="clear" w:color="auto" w:fill="auto"/>
          <w:lang w:val="en-US" w:eastAsia="zh-CN"/>
          <w14:textFill>
            <w14:solidFill>
              <w14:schemeClr w14:val="tx1"/>
            </w14:solidFill>
          </w14:textFill>
        </w:rPr>
        <w:t xml:space="preserve">要求</w:t>
      </w:r>
      <w:r>
        <w:rPr>
          <w:rFonts w:hint="eastAsia" w:asciiTheme="minorEastAsia" w:hAnsiTheme="minorEastAsia" w:eastAsiaTheme="minorEastAsia" w:cstheme="minorEastAsia"/>
          <w:caps w:val="0"/>
          <w:smallCaps w:val="0"/>
          <w:color w:val="000000" w:themeColor="text1"/>
          <w:spacing w:val="0"/>
          <w:sz w:val="28"/>
          <w:szCs w:val="28"/>
          <w:highlight w:val="none"/>
          <w:shd w:val="clear" w:color="auto" w:fill="auto"/>
          <w14:textFill>
            <w14:solidFill>
              <w14:schemeClr w14:val="tx1"/>
            </w14:solidFill>
          </w14:textFill>
        </w:rPr>
        <w:t xml:space="preserve">响应及偏离表</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_Toc29532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46</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end"/>
      </w:r>
      <w:r/>
    </w:p>
    <w:p>
      <w:pPr>
        <w:pStyle w:val="1192"/>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bCs/>
          <w:color w:val="000000" w:themeColor="text1"/>
          <w:sz w:val="28"/>
          <w:szCs w:val="28"/>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lang w:val="en-US" w:eastAsia="zh-CN"/>
          <w14:textFill>
            <w14:solidFill>
              <w14:schemeClr w14:val="tx1"/>
            </w14:solidFill>
          </w14:textFill>
        </w:rPr>
        <w:t xml:space="preserve">九、商务条款响应及偏离表</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_Toc29532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46</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p>
    <w:p>
      <w:pPr>
        <w:pStyle w:val="1192"/>
        <w:keepLines w:val="0"/>
        <w:keepNext w:val="0"/>
        <w:pageBreakBefore w:val="0"/>
        <w:spacing w:before="181" w:after="181" w:line="360" w:lineRule="auto"/>
        <w:widowControl w:val="off"/>
        <w:tabs>
          <w:tab w:val="right" w:pos="9746" w:leader="dot"/>
        </w:tabs>
        <w:rPr>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instrText xml:space="preserve"> HYPERLINK \l _Toc9898 </w:instrText>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aps w:val="0"/>
          <w:smallCaps w:val="0"/>
          <w:color w:val="000000" w:themeColor="text1"/>
          <w:spacing w:val="0"/>
          <w:sz w:val="28"/>
          <w:szCs w:val="28"/>
          <w:highlight w:val="none"/>
          <w:shd w:val="clear" w:color="auto" w:fill="auto"/>
          <w14:textFill>
            <w14:solidFill>
              <w14:schemeClr w14:val="tx1"/>
            </w14:solidFill>
          </w14:textFill>
        </w:rPr>
        <w:t xml:space="preserve">十、其他材料</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instrText xml:space="preserve"> PAGEREF _Toc9898 \h </w:instrTex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48</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end"/>
      </w:r>
      <w:r/>
    </w:p>
    <w:p>
      <w:pPr>
        <w:keepLines w:val="0"/>
        <w:keepNext w:val="0"/>
        <w:pageBreakBefore w:val="0"/>
        <w:spacing w:line="400" w:lineRule="exact"/>
        <w:widowControl w:val="off"/>
        <w:tabs>
          <w:tab w:val="left" w:pos="1440" w:leader="none"/>
        </w:tabs>
        <w:rPr>
          <w:rFonts w:asciiTheme="minorEastAsia" w:hAnsiTheme="minorEastAsia" w:eastAsiaTheme="minorEastAsia" w:cstheme="minorEastAsia"/>
          <w:b/>
          <w:bCs/>
          <w:color w:val="000000" w:themeColor="text1"/>
          <w:sz w:val="22"/>
          <w:highlight w:val="none"/>
          <w14:textFill>
            <w14:solidFill>
              <w14:schemeClr w14:val="tx1"/>
            </w14:solidFill>
          </w14:textFill>
        </w:rPr>
        <w:sectPr>
          <w:headerReference w:type="first" r:id="rId10"/>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eastAsia" w:asciiTheme="minorEastAsia" w:hAnsiTheme="minorEastAsia" w:eastAsiaTheme="minorEastAsia" w:cstheme="minorEastAsia"/>
          <w:bCs/>
          <w:color w:val="000000" w:themeColor="text1"/>
          <w:sz w:val="28"/>
          <w:szCs w:val="28"/>
          <w:highlight w:val="none"/>
          <w14:textFill>
            <w14:solidFill>
              <w14:schemeClr w14:val="tx1"/>
            </w14:solidFill>
          </w14:textFill>
        </w:rPr>
        <w:fldChar w:fldCharType="end"/>
      </w:r>
      <w:bookmarkEnd w:id="1"/>
      <w:r/>
      <w:r/>
    </w:p>
    <w:p>
      <w:pPr>
        <w:pStyle w:val="1352"/>
        <w:spacing w:before="313" w:after="313"/>
        <w:rPr>
          <w:rFonts w:ascii="宋体" w:hAnsi="宋体" w:eastAsia="宋体" w:cs="宋体"/>
          <w:color w:val="000000" w:themeColor="text1"/>
          <w:highlight w:val="none"/>
          <w14:textFill>
            <w14:solidFill>
              <w14:schemeClr w14:val="tx1"/>
            </w14:solidFill>
          </w14:textFill>
        </w:rPr>
      </w:pPr>
      <w:r/>
      <w:bookmarkStart w:id="7" w:name="_Toc54615237"/>
      <w:r/>
      <w:bookmarkStart w:id="8" w:name="_Toc10560"/>
      <w:r/>
      <w:bookmarkStart w:id="9" w:name="_Toc38368118"/>
      <w:r/>
      <w:bookmarkStart w:id="10" w:name="_Toc35266018"/>
      <w:r>
        <w:rPr>
          <w:rFonts w:hint="eastAsia" w:ascii="宋体" w:hAnsi="宋体" w:eastAsia="宋体" w:cs="宋体"/>
          <w:color w:val="000000" w:themeColor="text1"/>
          <w:highlight w:val="none"/>
          <w14:textFill>
            <w14:solidFill>
              <w14:schemeClr w14:val="tx1"/>
            </w14:solidFill>
          </w14:textFill>
        </w:rPr>
        <w:t xml:space="preserve">第一章  投标邀请</w:t>
      </w:r>
      <w:bookmarkEnd w:id="7"/>
      <w:r/>
      <w:bookmarkEnd w:id="8"/>
      <w:r/>
      <w:bookmarkEnd w:id="9"/>
      <w:r/>
      <w:bookmarkEnd w:id="10"/>
      <w:r/>
      <w:bookmarkStart w:id="11" w:name="_Toc120614211"/>
      <w:r/>
      <w:r/>
    </w:p>
    <w:tbl>
      <w:tblPr>
        <w:tblStyle w:val="135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567"/>
        </w:trPr>
        <w:tc>
          <w:tcPr>
            <w:tcW w:w="5000" w:type="pct"/>
            <w:textDirection w:val="lrTb"/>
            <w:noWrap/>
          </w:tcPr>
          <w:p>
            <w:pPr>
              <w:spacing w:line="52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项目概况</w:t>
            </w:r>
            <w:r/>
          </w:p>
          <w:p>
            <w:pPr>
              <w:ind w:firstLine="480"/>
              <w:spacing w:line="52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2025年度白蚁等害堤动物普查及治理项目JSZC-320582-SZRY-G2025-0012</w:t>
            </w:r>
            <w:r>
              <w:rPr>
                <w:rFonts w:hint="eastAsia" w:ascii="宋体" w:hAnsi="宋体" w:cs="宋体"/>
                <w:color w:val="000000" w:themeColor="text1"/>
                <w:sz w:val="24"/>
                <w:szCs w:val="24"/>
                <w:highlight w:val="none"/>
                <w14:textFill>
                  <w14:solidFill>
                    <w14:schemeClr w14:val="tx1"/>
                  </w14:solidFill>
                </w14:textFill>
              </w:rPr>
              <w:t xml:space="preserve">招标项目的潜在投标人应在苏采云政府采购一体化平台（网址：http://jszfcg.jsczt.cn/）获取招标文件，并于20</w:t>
            </w: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16</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14:00</w:t>
            </w:r>
            <w:r>
              <w:rPr>
                <w:rFonts w:hint="eastAsia" w:ascii="宋体" w:hAnsi="宋体" w:cs="宋体"/>
                <w:color w:val="000000" w:themeColor="text1"/>
                <w:sz w:val="24"/>
                <w:szCs w:val="24"/>
                <w:highlight w:val="none"/>
                <w14:textFill>
                  <w14:solidFill>
                    <w14:schemeClr w14:val="tx1"/>
                  </w14:solidFill>
                </w14:textFill>
              </w:rPr>
              <w:t xml:space="preserve">（北京时间）前递交投标文件。</w:t>
            </w:r>
            <w:r/>
          </w:p>
        </w:tc>
      </w:tr>
    </w:tbl>
    <w:p>
      <w:pPr>
        <w:keepLines w:val="0"/>
        <w:keepNext w:val="0"/>
        <w:pageBreakBefore w:val="0"/>
        <w:spacing w:line="52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一、项目基本情况</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JSZC-320582-SZRY-G2025-0012</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2025年度白蚁等害堤动物普查及治理项目</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预算金额：</w:t>
      </w:r>
      <w:bookmarkStart w:id="12" w:name="EB1a0e1eba70434d918dcf5b8e03079bcd"/>
      <w:r>
        <w:rPr>
          <w:rFonts w:hint="eastAsia" w:ascii="宋体" w:hAnsi="宋体" w:cs="宋体"/>
          <w:color w:val="000000" w:themeColor="text1"/>
          <w:sz w:val="24"/>
          <w:szCs w:val="24"/>
          <w:highlight w:val="none"/>
          <w:lang w:val="en-US" w:eastAsia="zh-CN"/>
          <w14:textFill>
            <w14:solidFill>
              <w14:schemeClr w14:val="tx1"/>
            </w14:solidFill>
          </w14:textFill>
        </w:rPr>
        <w:t xml:space="preserve">247</w:t>
      </w:r>
      <w:r>
        <w:rPr>
          <w:rFonts w:hint="eastAsia" w:ascii="宋体" w:hAnsi="宋体" w:cs="宋体"/>
          <w:color w:val="000000" w:themeColor="text1"/>
          <w:sz w:val="24"/>
          <w:szCs w:val="24"/>
          <w:highlight w:val="none"/>
          <w14:textFill>
            <w14:solidFill>
              <w14:schemeClr w14:val="tx1"/>
            </w14:solidFill>
          </w14:textFill>
        </w:rPr>
        <w:t xml:space="preserve">0000.00元</w:t>
      </w:r>
      <w:bookmarkEnd w:id="12"/>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采购包1:1170000.00元；采购包2：1300000.00元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52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最高限价</w:t>
      </w:r>
      <w:bookmarkStart w:id="13" w:name="EB974fe10e1b834f1ab596364ccab62ca9"/>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247</w:t>
      </w:r>
      <w:r>
        <w:rPr>
          <w:rFonts w:hint="eastAsia" w:ascii="宋体" w:hAnsi="宋体" w:cs="宋体"/>
          <w:color w:val="000000" w:themeColor="text1"/>
          <w:sz w:val="24"/>
          <w:szCs w:val="24"/>
          <w:highlight w:val="none"/>
          <w14:textFill>
            <w14:solidFill>
              <w14:schemeClr w14:val="tx1"/>
            </w14:solidFill>
          </w14:textFill>
        </w:rPr>
        <w:t xml:space="preserve">0000.0元</w:t>
      </w:r>
      <w:bookmarkEnd w:id="13"/>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采购包1:1170000.00元；采购包2：1300000.00元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520" w:lineRule="exac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采购方式：公开招标 </w:t>
      </w:r>
      <w:r/>
    </w:p>
    <w:p>
      <w:pPr>
        <w:ind w:firstLine="480"/>
        <w:keepLines w:val="0"/>
        <w:keepNext w:val="0"/>
        <w:pageBreakBefore w:val="0"/>
        <w:spacing w:line="52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采购需求：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采购包1：</w:t>
      </w:r>
      <w:r>
        <w:rPr>
          <w:rFonts w:hint="eastAsia" w:ascii="宋体" w:hAnsi="宋体" w:cs="宋体"/>
          <w:color w:val="000000" w:themeColor="text1"/>
          <w:sz w:val="24"/>
          <w:szCs w:val="24"/>
          <w:highlight w:val="none"/>
          <w14:textFill>
            <w14:solidFill>
              <w14:schemeClr w14:val="tx1"/>
            </w14:solidFill>
          </w14:textFill>
        </w:rPr>
        <w:t xml:space="preserve">张家港市水务局就全市堤防开展</w:t>
      </w:r>
      <w:r>
        <w:rPr>
          <w:rFonts w:hint="eastAsia" w:ascii="宋体" w:hAnsi="宋体" w:cs="宋体"/>
          <w:color w:val="000000" w:themeColor="text1"/>
          <w:sz w:val="24"/>
          <w:szCs w:val="24"/>
          <w:highlight w:val="none"/>
          <w:lang w:val="en-US" w:eastAsia="zh-CN"/>
          <w14:textFill>
            <w14:solidFill>
              <w14:schemeClr w14:val="tx1"/>
            </w14:solidFill>
          </w14:textFill>
        </w:rPr>
        <w:t xml:space="preserve">白蚁等</w:t>
      </w:r>
      <w:r>
        <w:rPr>
          <w:rFonts w:hint="eastAsia" w:ascii="宋体" w:hAnsi="宋体" w:cs="宋体"/>
          <w:color w:val="000000" w:themeColor="text1"/>
          <w:sz w:val="24"/>
          <w:szCs w:val="24"/>
          <w:highlight w:val="none"/>
          <w14:textFill>
            <w14:solidFill>
              <w14:schemeClr w14:val="tx1"/>
            </w14:solidFill>
          </w14:textFill>
        </w:rPr>
        <w:t xml:space="preserve">害堤动物普查及治理工作</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拟采取公开招标的形式确定服务外包单位，根据采购人委托的内容和要求，对堤防进行</w:t>
      </w:r>
      <w:r>
        <w:rPr>
          <w:rFonts w:hint="eastAsia" w:ascii="宋体" w:hAnsi="宋体" w:cs="宋体"/>
          <w:color w:val="000000" w:themeColor="text1"/>
          <w:sz w:val="24"/>
          <w:szCs w:val="24"/>
          <w:highlight w:val="none"/>
          <w:lang w:val="en-US" w:eastAsia="zh-CN"/>
          <w14:textFill>
            <w14:solidFill>
              <w14:schemeClr w14:val="tx1"/>
            </w14:solidFill>
          </w14:textFill>
        </w:rPr>
        <w:t xml:space="preserve">白蚁等</w:t>
      </w:r>
      <w:r>
        <w:rPr>
          <w:rFonts w:hint="eastAsia" w:ascii="宋体" w:hAnsi="宋体" w:cs="宋体"/>
          <w:color w:val="000000" w:themeColor="text1"/>
          <w:sz w:val="24"/>
          <w:szCs w:val="24"/>
          <w:highlight w:val="none"/>
          <w14:textFill>
            <w14:solidFill>
              <w14:schemeClr w14:val="tx1"/>
            </w14:solidFill>
          </w14:textFill>
        </w:rPr>
        <w:t xml:space="preserve">害堤动物普查及治理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并对长江重点堤防进行安全健康评估</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1502"/>
        <w:keepLines w:val="0"/>
        <w:keepNext w:val="0"/>
        <w:pageBreakBefore w:val="0"/>
        <w:spacing w:line="520" w:lineRule="exact"/>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采购包2：张家港市水务局就全市堤防开展白蚁等害堤动物普查及治理工作，拟采取公开招标的形式确定服务外包单位，根据采购人委托的内容和要求，对堤防进行白蚁等害堤动物普查及治理。</w:t>
      </w:r>
      <w:r/>
    </w:p>
    <w:p>
      <w:pPr>
        <w:ind w:firstLine="480"/>
        <w:keepLines w:val="0"/>
        <w:keepNext w:val="0"/>
        <w:pageBreakBefore w:val="0"/>
        <w:spacing w:line="52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合同履行期限</w:t>
      </w:r>
      <w:bookmarkStart w:id="14" w:name="EBc1f6639250fe4c2294880160fa37a7de"/>
      <w:r>
        <w:rPr>
          <w:rFonts w:hint="eastAsia" w:ascii="宋体" w:hAnsi="宋体" w:cs="宋体"/>
          <w:color w:val="000000" w:themeColor="text1"/>
          <w:sz w:val="24"/>
          <w:szCs w:val="24"/>
          <w:highlight w:val="none"/>
          <w14:textFill>
            <w14:solidFill>
              <w14:schemeClr w14:val="tx1"/>
            </w14:solidFill>
          </w14:textFill>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合同签订之日起至2026年4月30日止（2025年11月15日前完成对《2024年度白蚁等害堤动物普查及治理项目》中已普查到的受害堤防的治理并出具报告。2026年4月底前完本标段堤防的普查并出具报告，同时完成对长江重点堤防进行安全健康评估。）采购包2：合同签订之日起至2026年4月30日止（2025年11月15日前完成对《2024年度白蚁等害堤动物普查及治理项目》中已普查到的受害堤防的治理并出具报告。2026年4月底前完成本标段堤防的普查并出具报告）。</w:t>
      </w:r>
      <w:r/>
      <w:r>
        <w:rPr>
          <w:rFonts w:hint="eastAsia" w:ascii="宋体" w:hAnsi="宋体" w:cs="宋体"/>
          <w:color w:val="000000" w:themeColor="text1"/>
          <w:sz w:val="24"/>
          <w:szCs w:val="24"/>
          <w:highlight w:val="none"/>
          <w:lang w:val="en-US" w:eastAsia="zh-CN"/>
          <w14:textFill>
            <w14:solidFill>
              <w14:schemeClr w14:val="tx1"/>
            </w14:solidFill>
          </w14:textFill>
        </w:rPr>
      </w:r>
      <w:r>
        <w:rPr>
          <w:rFonts w:hint="eastAsia" w:ascii="宋体" w:hAnsi="宋体" w:cs="宋体"/>
          <w:color w:val="000000" w:themeColor="text1"/>
          <w:sz w:val="24"/>
          <w:szCs w:val="24"/>
          <w:highlight w:val="none"/>
          <w:lang w:val="en-US" w:eastAsia="zh-CN"/>
          <w14:textFill>
            <w14:solidFill>
              <w14:schemeClr w14:val="tx1"/>
            </w14:solidFill>
          </w14:textFill>
        </w:rPr>
      </w:r>
      <w:r/>
      <w:r>
        <w:rPr>
          <w:sz w:val="21"/>
        </w:rPr>
      </w:r>
    </w:p>
    <w:p>
      <w:pPr>
        <w:ind w:firstLine="480"/>
        <w:keepLines w:val="0"/>
        <w:keepNext w:val="0"/>
        <w:pageBreakBefore w:val="0"/>
        <w:spacing w:line="520" w:lineRule="exact"/>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本项目（是/否）接受联合体投标：不接受联合体。</w:t>
      </w:r>
      <w:r/>
    </w:p>
    <w:p>
      <w:pPr>
        <w:keepLines w:val="0"/>
        <w:keepNext w:val="0"/>
        <w:pageBreakBefore w:val="0"/>
        <w:spacing w:line="52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二、申请人的资格要求</w:t>
      </w:r>
      <w:r/>
    </w:p>
    <w:p>
      <w:pPr>
        <w:ind w:firstLine="480"/>
        <w:keepLines w:val="0"/>
        <w:keepNext w:val="0"/>
        <w:pageBreakBefore w:val="0"/>
        <w:spacing w:line="52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满足《中华人民共和国政府采购法》第二十二条规定；</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52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2.财务状况报告（成立不满一年不需提供）。</w:t>
      </w:r>
      <w:r/>
    </w:p>
    <w:p>
      <w:pPr>
        <w:ind w:firstLine="480"/>
        <w:keepLines w:val="0"/>
        <w:keepNext w:val="0"/>
        <w:pageBreakBefore w:val="0"/>
        <w:spacing w:line="52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3.依法缴纳税收和社会保障资金的相关材料。</w:t>
      </w:r>
      <w:r/>
    </w:p>
    <w:p>
      <w:pPr>
        <w:ind w:firstLine="480"/>
        <w:keepLines w:val="0"/>
        <w:keepNext w:val="0"/>
        <w:pageBreakBefore w:val="0"/>
        <w:spacing w:line="52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4.具备履行合同所必需的设备和专业技术能力的书面声明。</w:t>
      </w:r>
      <w:r/>
    </w:p>
    <w:p>
      <w:pPr>
        <w:ind w:firstLine="480"/>
        <w:keepLines w:val="0"/>
        <w:keepNext w:val="0"/>
        <w:pageBreakBefore w:val="0"/>
        <w:spacing w:line="52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5.参加政府采购活动前3年内在经营活动中没有重大违法记录的书面声明。</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6.提供授权委托书</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7.关于资格证明文件的书面承诺</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520" w:lineRule="exac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8.中小企业声明函等。</w:t>
      </w:r>
      <w:r/>
    </w:p>
    <w:p>
      <w:pPr>
        <w:ind w:firstLine="480"/>
        <w:keepLines w:val="0"/>
        <w:keepNext w:val="0"/>
        <w:pageBreakBefore w:val="0"/>
        <w:spacing w:line="52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落实政府采购政策需满足的资格要求：</w:t>
      </w:r>
      <w:r/>
    </w:p>
    <w:p>
      <w:pPr>
        <w:ind w:firstLine="480"/>
        <w:keepLines w:val="0"/>
        <w:keepNext w:val="0"/>
        <w:pageBreakBefore w:val="0"/>
        <w:spacing w:line="52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本项目专门面向中小企业采购</w:t>
      </w:r>
      <w:r/>
    </w:p>
    <w:p>
      <w:pPr>
        <w:ind w:firstLine="480"/>
        <w:keepLines w:val="0"/>
        <w:keepNext w:val="0"/>
        <w:pageBreakBefore w:val="0"/>
        <w:spacing w:line="52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w:t>
      </w:r>
      <w:r/>
    </w:p>
    <w:p>
      <w:pPr>
        <w:ind w:firstLine="480"/>
        <w:keepLines w:val="0"/>
        <w:keepNext w:val="0"/>
        <w:pageBreakBefore w:val="0"/>
        <w:spacing w:line="52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（1）根据《关于促进残疾人就业政府采购政策的通知》（财库〔2017〕141号）的通知规定，在政府采购活动中，残疾人福利性单位视同小型、微型企业。</w:t>
      </w:r>
      <w:r/>
    </w:p>
    <w:p>
      <w:pPr>
        <w:ind w:firstLine="480"/>
        <w:keepLines w:val="0"/>
        <w:keepNext w:val="0"/>
        <w:pageBreakBefore w:val="0"/>
        <w:spacing w:line="52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（2）根据《关于政府采购支持监狱企业发展有关问题的通知》（财库〔2014〕68号）的通知规定，在政府采购活动中，监狱企业视同小型、微型企业。</w:t>
      </w:r>
      <w:r/>
    </w:p>
    <w:p>
      <w:pPr>
        <w:ind w:firstLine="480"/>
        <w:keepLines w:val="0"/>
        <w:keepNext w:val="0"/>
        <w:pageBreakBefore w:val="0"/>
        <w:spacing w:line="52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本项目的特定资格要求：</w:t>
      </w:r>
      <w:r/>
    </w:p>
    <w:p>
      <w:pPr>
        <w:ind w:firstLine="480"/>
        <w:keepLines w:val="0"/>
        <w:keepNext w:val="0"/>
        <w:pageBreakBefore w:val="0"/>
        <w:spacing w:line="52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bookmarkStart w:id="15" w:name="EB2e222552591745cd9af6e9d18c1a40c7"/>
      <w:r/>
      <w:bookmarkEnd w:id="15"/>
      <w:r>
        <w:rPr>
          <w:rFonts w:hint="eastAsia" w:ascii="宋体" w:hAnsi="宋体" w:cs="宋体"/>
          <w:color w:val="000000" w:themeColor="text1"/>
          <w:sz w:val="24"/>
          <w:szCs w:val="24"/>
          <w:highlight w:val="none"/>
          <w14:textFill>
            <w14:solidFill>
              <w14:schemeClr w14:val="tx1"/>
            </w14:solidFill>
          </w14:textFill>
        </w:rPr>
        <w:t xml:space="preserve">。</w:t>
      </w:r>
      <w:r/>
    </w:p>
    <w:p>
      <w:pPr>
        <w:keepLines w:val="0"/>
        <w:keepNext w:val="0"/>
        <w:pageBreakBefore w:val="0"/>
        <w:spacing w:line="52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三、获取招标文件</w:t>
      </w:r>
      <w:r/>
    </w:p>
    <w:p>
      <w:pPr>
        <w:ind w:firstLine="480"/>
        <w:keepLines w:val="0"/>
        <w:keepNext w:val="0"/>
        <w:pageBreakBefore w:val="0"/>
        <w:spacing w:line="52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时间：自公告发布之日起 5 个工作日。</w:t>
      </w:r>
      <w:r/>
    </w:p>
    <w:p>
      <w:pPr>
        <w:ind w:firstLine="480"/>
        <w:keepLines w:val="0"/>
        <w:keepNext w:val="0"/>
        <w:pageBreakBefore w:val="0"/>
        <w:spacing w:line="520" w:lineRule="exact"/>
        <w:widowControl/>
        <w:rPr>
          <w:rFonts w:hint="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地点：苏采云政府采购一体化平台（网址：http://jszfcg.jsczt.cn/）。</w:t>
      </w:r>
      <w:r/>
    </w:p>
    <w:p>
      <w:pPr>
        <w:ind w:firstLine="480"/>
        <w:keepLines w:val="0"/>
        <w:keepNext w:val="0"/>
        <w:pageBreakBefore w:val="0"/>
        <w:spacing w:line="520" w:lineRule="exact"/>
        <w:widowControl/>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方式：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80"/>
        <w:keepLines w:val="0"/>
        <w:keepNext w:val="0"/>
        <w:pageBreakBefore w:val="0"/>
        <w:spacing w:line="520" w:lineRule="exact"/>
        <w:widowControl/>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售价：</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0.00</w:t>
      </w:r>
      <w:r>
        <w:rPr>
          <w:rFonts w:hint="eastAsia"/>
          <w:color w:val="000000" w:themeColor="text1"/>
          <w:sz w:val="24"/>
          <w:szCs w:val="24"/>
          <w:highlight w:val="none"/>
          <w:lang w:val="en-US" w:eastAsia="zh-CN"/>
          <w14:textFill>
            <w14:solidFill>
              <w14:schemeClr w14:val="tx1"/>
            </w14:solidFill>
          </w14:textFill>
        </w:rPr>
        <w:t xml:space="preserve">元。</w:t>
      </w:r>
      <w:r/>
    </w:p>
    <w:p>
      <w:pPr>
        <w:keepLines w:val="0"/>
        <w:keepNext w:val="0"/>
        <w:pageBreakBefore w:val="0"/>
        <w:spacing w:line="520" w:lineRule="exact"/>
        <w:shd w:val="clear" w:color="auto"/>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四、提交投标文件截止时间、开标时间和地点</w:t>
      </w:r>
      <w:r/>
    </w:p>
    <w:p>
      <w:pPr>
        <w:pStyle w:val="1194"/>
        <w:ind w:left="0" w:right="0" w:firstLine="508"/>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000000" w:themeColor="text1"/>
          <w:spacing w:val="7"/>
          <w:sz w:val="24"/>
          <w:szCs w:val="24"/>
          <w:highlight w:val="none"/>
          <w:shd w:val="clear" w:color="auto" w:fill="ffffff"/>
          <w:lang w:val="en-US"/>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7"/>
          <w:sz w:val="24"/>
          <w:szCs w:val="24"/>
          <w:highlight w:val="none"/>
          <w:shd w:val="clear" w:color="auto" w:fill="ffffff"/>
          <w:lang w:val="en-US"/>
          <w14:textFill>
            <w14:solidFill>
              <w14:schemeClr w14:val="tx1"/>
            </w14:solidFill>
          </w14:textFill>
        </w:rPr>
        <w:t xml:space="preserve">时间：202</w:t>
      </w:r>
      <w:r>
        <w:rPr>
          <w:rFonts w:hint="eastAsia" w:ascii="宋体" w:hAnsi="宋体" w:cs="宋体"/>
          <w:i w:val="0"/>
          <w:iCs w:val="0"/>
          <w:caps w:val="0"/>
          <w:color w:val="000000" w:themeColor="text1"/>
          <w:spacing w:val="7"/>
          <w:sz w:val="24"/>
          <w:szCs w:val="24"/>
          <w:highlight w:val="none"/>
          <w:shd w:val="clear" w:color="auto" w:fill="ffffff"/>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7"/>
          <w:sz w:val="24"/>
          <w:szCs w:val="24"/>
          <w:highlight w:val="none"/>
          <w:shd w:val="clear" w:color="auto" w:fill="ffffff"/>
          <w:lang w:val="en-US"/>
          <w14:textFill>
            <w14:solidFill>
              <w14:schemeClr w14:val="tx1"/>
            </w14:solidFill>
          </w14:textFill>
        </w:rPr>
        <w:t xml:space="preserve">年10</w:t>
      </w:r>
      <w:r>
        <w:rPr>
          <w:rFonts w:hint="eastAsia" w:ascii="宋体" w:hAnsi="宋体" w:eastAsia="宋体" w:cs="宋体"/>
          <w:i w:val="0"/>
          <w:iCs w:val="0"/>
          <w:caps w:val="0"/>
          <w:color w:val="000000" w:themeColor="text1"/>
          <w:spacing w:val="7"/>
          <w:sz w:val="24"/>
          <w:szCs w:val="24"/>
          <w:highlight w:val="none"/>
          <w:shd w:val="clear" w:color="auto" w:fill="ffffff"/>
          <w:lang w:val="en-US"/>
          <w14:textFill>
            <w14:solidFill>
              <w14:schemeClr w14:val="tx1"/>
            </w14:solidFill>
          </w14:textFill>
        </w:rPr>
        <w:t xml:space="preserve">月</w:t>
      </w:r>
      <w:r>
        <w:rPr>
          <w:rFonts w:hint="eastAsia" w:ascii="宋体" w:hAnsi="宋体" w:cs="宋体"/>
          <w:i w:val="0"/>
          <w:iCs w:val="0"/>
          <w:caps w:val="0"/>
          <w:color w:val="000000" w:themeColor="text1"/>
          <w:spacing w:val="7"/>
          <w:sz w:val="24"/>
          <w:szCs w:val="24"/>
          <w:highlight w:val="none"/>
          <w:shd w:val="clear" w:color="auto" w:fill="ffffff"/>
          <w:lang w:val="en-US" w:eastAsia="zh-CN"/>
          <w14:textFill>
            <w14:solidFill>
              <w14:schemeClr w14:val="tx1"/>
            </w14:solidFill>
          </w14:textFill>
        </w:rPr>
        <w:t xml:space="preserve">10</w:t>
      </w:r>
      <w:r>
        <w:rPr>
          <w:rFonts w:hint="eastAsia" w:ascii="宋体" w:hAnsi="宋体" w:eastAsia="宋体" w:cs="宋体"/>
          <w:i w:val="0"/>
          <w:iCs w:val="0"/>
          <w:caps w:val="0"/>
          <w:color w:val="000000" w:themeColor="text1"/>
          <w:spacing w:val="7"/>
          <w:sz w:val="24"/>
          <w:szCs w:val="24"/>
          <w:highlight w:val="none"/>
          <w:shd w:val="clear" w:color="auto" w:fill="ffffff"/>
          <w:lang w:val="en-US"/>
          <w14:textFill>
            <w14:solidFill>
              <w14:schemeClr w14:val="tx1"/>
            </w14:solidFill>
          </w14:textFill>
        </w:rPr>
        <w:t xml:space="preserve">日09</w:t>
      </w:r>
      <w:r>
        <w:rPr>
          <w:rFonts w:hint="eastAsia" w:ascii="宋体" w:hAnsi="宋体" w:eastAsia="宋体" w:cs="宋体"/>
          <w:i w:val="0"/>
          <w:iCs w:val="0"/>
          <w:caps w:val="0"/>
          <w:color w:val="000000" w:themeColor="text1"/>
          <w:spacing w:val="7"/>
          <w:sz w:val="24"/>
          <w:szCs w:val="24"/>
          <w:highlight w:val="none"/>
          <w:shd w:val="clear" w:color="auto" w:fill="ffffff"/>
          <w:lang w:val="en-US"/>
          <w14:textFill>
            <w14:solidFill>
              <w14:schemeClr w14:val="tx1"/>
            </w14:solidFill>
          </w14:textFill>
        </w:rPr>
        <w:t xml:space="preserve">:3</w:t>
      </w:r>
      <w:r>
        <w:rPr>
          <w:rFonts w:hint="eastAsia" w:ascii="宋体" w:hAnsi="宋体" w:eastAsia="宋体" w:cs="宋体"/>
          <w:i w:val="0"/>
          <w:iCs w:val="0"/>
          <w:caps w:val="0"/>
          <w:color w:val="000000" w:themeColor="text1"/>
          <w:spacing w:val="7"/>
          <w:sz w:val="24"/>
          <w:szCs w:val="24"/>
          <w:highlight w:val="none"/>
          <w:shd w:val="clear" w:color="auto" w:fill="ffffff"/>
          <w:lang w:val="en-US" w:eastAsia="zh-CN"/>
          <w14:textFill>
            <w14:solidFill>
              <w14:schemeClr w14:val="tx1"/>
            </w14:solidFill>
          </w14:textFill>
        </w:rPr>
        <w:t xml:space="preserve">0</w:t>
      </w:r>
      <w:r>
        <w:rPr>
          <w:rFonts w:hint="eastAsia" w:ascii="宋体" w:hAnsi="宋体" w:eastAsia="宋体" w:cs="宋体"/>
          <w:i w:val="0"/>
          <w:iCs w:val="0"/>
          <w:caps w:val="0"/>
          <w:color w:val="000000" w:themeColor="text1"/>
          <w:spacing w:val="7"/>
          <w:sz w:val="24"/>
          <w:szCs w:val="24"/>
          <w:highlight w:val="none"/>
          <w:shd w:val="clear" w:color="auto" w:fill="ffffff"/>
          <w:lang w:val="en-US"/>
          <w14:textFill>
            <w14:solidFill>
              <w14:schemeClr w14:val="tx1"/>
            </w14:solidFill>
          </w14:textFill>
        </w:rPr>
        <w:t xml:space="preserve">（北京时间）</w:t>
      </w:r>
      <w:r/>
    </w:p>
    <w:p>
      <w:pPr>
        <w:pStyle w:val="1194"/>
        <w:ind w:left="0" w:right="0" w:firstLine="508"/>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000000" w:themeColor="text1"/>
          <w:spacing w:val="7"/>
          <w:sz w:val="24"/>
          <w:szCs w:val="24"/>
          <w:highlight w:val="none"/>
          <w:shd w:val="clear" w:color="auto" w:fill="ffffff"/>
          <w:lang w:val="en-US"/>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7"/>
          <w:sz w:val="24"/>
          <w:szCs w:val="24"/>
          <w:highlight w:val="none"/>
          <w:shd w:val="clear" w:color="auto" w:fill="ffffff"/>
          <w:lang w:val="en-US"/>
          <w14:textFill>
            <w14:solidFill>
              <w14:schemeClr w14:val="tx1"/>
            </w14:solidFill>
          </w14:textFill>
        </w:rPr>
        <w:t xml:space="preserve">地点：苏采云政府采购一体化平台（网址：http://jszfcg.jsczt.cn/）</w:t>
      </w:r>
      <w:r/>
    </w:p>
    <w:p>
      <w:pPr>
        <w:keepLines w:val="0"/>
        <w:keepNext w:val="0"/>
        <w:pageBreakBefore w:val="0"/>
        <w:spacing w:line="520" w:lineRule="exact"/>
        <w:shd w:val="clear" w:color="auto"/>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五、公告期限</w:t>
      </w:r>
      <w:r/>
    </w:p>
    <w:p>
      <w:pPr>
        <w:ind w:firstLine="555"/>
        <w:keepLines w:val="0"/>
        <w:keepNext w:val="0"/>
        <w:pageBreakBefore w:val="0"/>
        <w:spacing w:line="52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自本公告发布之日起5个工作日。</w:t>
      </w:r>
      <w:r/>
    </w:p>
    <w:p>
      <w:pPr>
        <w:keepLines w:val="0"/>
        <w:keepNext w:val="0"/>
        <w:pageBreakBefore w:val="0"/>
        <w:spacing w:line="52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六、其他补充事宜</w:t>
      </w:r>
      <w:r/>
    </w:p>
    <w:p>
      <w:pPr>
        <w:pStyle w:val="1194"/>
        <w:ind w:left="0" w:right="0" w:firstLine="480"/>
        <w:jc w:val="left"/>
        <w:keepLines w:val="0"/>
        <w:keepNext w:val="0"/>
        <w:pageBreakBefore w:val="0"/>
        <w:spacing w:before="0" w:beforeAutospacing="0" w:after="0" w:afterAutospacing="0" w:line="480" w:lineRule="atLeast"/>
        <w:shd w:val="clear" w:color="auto" w:fill="ffffff"/>
        <w:widowControl/>
        <w:rPr>
          <w:rFonts w:ascii="仿宋" w:hAnsi="仿宋" w:eastAsia="仿宋" w:cs="仿宋"/>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1.CA证书办理</w:t>
      </w:r>
      <w:r/>
    </w:p>
    <w:p>
      <w:pPr>
        <w:pStyle w:val="1194"/>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1194"/>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2.参与采购活动</w:t>
      </w:r>
      <w:r/>
    </w:p>
    <w:p>
      <w:pPr>
        <w:pStyle w:val="1194"/>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194"/>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3.电子投标准备</w:t>
      </w:r>
      <w:r/>
    </w:p>
    <w:p>
      <w:pPr>
        <w:pStyle w:val="1194"/>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194"/>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在系统操作过程中如有疑问，请按以下方式联系：</w:t>
      </w:r>
      <w:r/>
    </w:p>
    <w:p>
      <w:pPr>
        <w:pStyle w:val="1194"/>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注册咨询：18261002950；</w:t>
      </w:r>
      <w:r/>
    </w:p>
    <w:p>
      <w:pPr>
        <w:pStyle w:val="1194"/>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CA技术咨询电话：400-608-6099；</w:t>
      </w:r>
      <w:r/>
    </w:p>
    <w:p>
      <w:pPr>
        <w:pStyle w:val="1194"/>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签章使用问题：025-83633811、025-83633812、15380932027、15371015030；</w:t>
      </w:r>
      <w:r/>
    </w:p>
    <w:p>
      <w:pPr>
        <w:pStyle w:val="1194"/>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系统使用指导与咨询：18261002950、0512-69820854；QQ：3048755361、1315179389、895706745。</w:t>
      </w:r>
      <w:r/>
    </w:p>
    <w:p>
      <w:pPr>
        <w:pStyle w:val="1194"/>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194"/>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194"/>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请供应商确保电脑、系统及其他设备（视频输入输出设备等）无误，且开标直至项目结束始终保持系统在线状态。</w:t>
      </w:r>
      <w:r/>
    </w:p>
    <w:p>
      <w:pPr>
        <w:pStyle w:val="1194"/>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6.拒绝下述供应商参加本次采购活动：</w:t>
      </w:r>
      <w:r/>
    </w:p>
    <w:p>
      <w:pPr>
        <w:pStyle w:val="1194"/>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iCs/>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caps w:val="0"/>
          <w:color w:val="000000" w:themeColor="text1"/>
          <w:spacing w:val="0"/>
          <w:sz w:val="24"/>
          <w:szCs w:val="24"/>
          <w:highlight w:val="none"/>
          <w:u w:val="single"/>
          <w:shd w:val="clear" w:color="auto" w:fill="ffffff"/>
          <w:lang w:val="en-US" w:eastAsia="zh-CN" w:bidi="ar"/>
          <w14:textFill>
            <w14:solidFill>
              <w14:schemeClr w14:val="tx1"/>
            </w14:solidFill>
          </w14:textFill>
        </w:rPr>
        <w:t xml:space="preserve">6.1 单位负责人为同一人或者存在直接控股、管理关系的不同供应商，不得参加同一合同下的政府采购活动；</w:t>
      </w:r>
      <w:r/>
    </w:p>
    <w:p>
      <w:pPr>
        <w:pStyle w:val="1194"/>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caps w:val="0"/>
          <w:color w:val="000000" w:themeColor="text1"/>
          <w:spacing w:val="0"/>
          <w:sz w:val="24"/>
          <w:szCs w:val="24"/>
          <w:highlight w:val="none"/>
          <w:u w:val="single"/>
          <w:shd w:val="clear" w:color="auto" w:fill="ffffff"/>
          <w:lang w:val="en-US" w:eastAsia="zh-CN" w:bidi="ar"/>
          <w14:textFill>
            <w14:solidFill>
              <w14:schemeClr w14:val="tx1"/>
            </w14:solidFill>
          </w14:textFill>
        </w:rPr>
        <w:t xml:space="preserve">6.2 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r/>
    </w:p>
    <w:p>
      <w:pPr>
        <w:pStyle w:val="1194"/>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7.招标文件澄清或者修改内容的告知方式：招标文件的实质性变动或修改将在政府采购公告媒体网通知，投标人可自行下载。</w:t>
      </w:r>
      <w:r/>
    </w:p>
    <w:p>
      <w:pPr>
        <w:pStyle w:val="1194"/>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8.本次招标不收取投标保证金。</w:t>
      </w:r>
      <w:r/>
    </w:p>
    <w:p>
      <w:pPr>
        <w:pStyle w:val="1194"/>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 xml:space="preserve">9.本项目不允许进口产品投标。</w:t>
      </w:r>
      <w:r/>
    </w:p>
    <w:p>
      <w:pPr>
        <w:keepLines w:val="0"/>
        <w:keepNext w:val="0"/>
        <w:pageBreakBefore w:val="0"/>
        <w:spacing w:line="52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七、对本次招标提出询问，请按以下方式联系</w:t>
      </w:r>
      <w:r/>
    </w:p>
    <w:p>
      <w:pPr>
        <w:ind w:firstLine="480"/>
        <w:jc w:val="left"/>
        <w:keepLines w:val="0"/>
        <w:keepNext w:val="0"/>
        <w:pageBreakBefore w:val="0"/>
        <w:spacing w:line="52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采购人信息</w:t>
      </w:r>
      <w:r/>
    </w:p>
    <w:p>
      <w:pPr>
        <w:ind w:firstLine="480"/>
        <w:jc w:val="left"/>
        <w:keepLines w:val="0"/>
        <w:keepNext w:val="0"/>
        <w:pageBreakBefore w:val="0"/>
        <w:spacing w:line="52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cs="宋体"/>
          <w:color w:val="000000" w:themeColor="text1"/>
          <w:sz w:val="24"/>
          <w:szCs w:val="24"/>
          <w:highlight w:val="none"/>
          <w14:textFill>
            <w14:solidFill>
              <w14:schemeClr w14:val="tx1"/>
            </w14:solidFill>
          </w14:textFill>
        </w:rPr>
        <w:t xml:space="preserve">名称：张家港市水务局</w:t>
      </w:r>
      <w:r/>
    </w:p>
    <w:p>
      <w:pPr>
        <w:ind w:firstLine="480"/>
        <w:jc w:val="left"/>
        <w:keepLines w:val="0"/>
        <w:keepNext w:val="0"/>
        <w:pageBreakBefore w:val="0"/>
        <w:spacing w:line="52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cs="宋体"/>
          <w:color w:val="000000" w:themeColor="text1"/>
          <w:sz w:val="24"/>
          <w:szCs w:val="24"/>
          <w:highlight w:val="none"/>
          <w14:textFill>
            <w14:solidFill>
              <w14:schemeClr w14:val="tx1"/>
            </w14:solidFill>
          </w14:textFill>
        </w:rPr>
        <w:t xml:space="preserve">地址：张家港市人民中路60号国脉大厦</w:t>
      </w:r>
      <w:r/>
    </w:p>
    <w:p>
      <w:pPr>
        <w:ind w:firstLine="480"/>
        <w:jc w:val="left"/>
        <w:keepLines w:val="0"/>
        <w:keepNext w:val="0"/>
        <w:pageBreakBefore w:val="0"/>
        <w:spacing w:line="520" w:lineRule="exact"/>
        <w:widowControl/>
        <w:rPr>
          <w:rFonts w:hint="default" w:ascii="宋体" w:hAnsi="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王冰桐</w:t>
      </w:r>
      <w:r/>
    </w:p>
    <w:p>
      <w:pPr>
        <w:ind w:firstLine="480"/>
        <w:jc w:val="left"/>
        <w:keepLines w:val="0"/>
        <w:keepNext w:val="0"/>
        <w:pageBreakBefore w:val="0"/>
        <w:spacing w:line="520" w:lineRule="exac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联系电话：</w:t>
      </w:r>
      <w:r>
        <w:rPr>
          <w:rFonts w:hint="eastAsia" w:ascii="宋体" w:hAnsi="宋体" w:cs="宋体"/>
          <w:color w:val="000000" w:themeColor="text1"/>
          <w:sz w:val="24"/>
          <w:szCs w:val="24"/>
          <w:highlight w:val="none"/>
          <w14:textFill>
            <w14:solidFill>
              <w14:schemeClr w14:val="tx1"/>
            </w14:solidFill>
          </w14:textFill>
        </w:rPr>
        <w:t xml:space="preserve">0512-</w:t>
      </w:r>
      <w:r>
        <w:rPr>
          <w:rFonts w:hint="eastAsia" w:ascii="宋体" w:hAnsi="宋体" w:cs="宋体"/>
          <w:color w:val="000000" w:themeColor="text1"/>
          <w:sz w:val="24"/>
          <w:szCs w:val="24"/>
          <w:highlight w:val="none"/>
          <w:lang w:val="en-US" w:eastAsia="zh-CN"/>
          <w14:textFill>
            <w14:solidFill>
              <w14:schemeClr w14:val="tx1"/>
            </w14:solidFill>
          </w14:textFill>
        </w:rPr>
        <w:t xml:space="preserve">56992608</w:t>
      </w:r>
      <w:r/>
    </w:p>
    <w:p>
      <w:pPr>
        <w:ind w:firstLine="480"/>
        <w:jc w:val="left"/>
        <w:keepLines w:val="0"/>
        <w:keepNext w:val="0"/>
        <w:pageBreakBefore w:val="0"/>
        <w:spacing w:line="52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cs="宋体"/>
          <w:color w:val="000000" w:themeColor="text1"/>
          <w:sz w:val="24"/>
          <w:szCs w:val="24"/>
          <w:highlight w:val="none"/>
          <w14:textFill>
            <w14:solidFill>
              <w14:schemeClr w14:val="tx1"/>
            </w14:solidFill>
          </w14:textFill>
        </w:rPr>
        <w:t xml:space="preserve">名称：</w:t>
      </w:r>
      <w:r>
        <w:rPr>
          <w:rFonts w:hint="eastAsia" w:ascii="宋体" w:hAnsi="宋体" w:cs="宋体"/>
          <w:color w:val="000000" w:themeColor="text1"/>
          <w:sz w:val="24"/>
          <w:szCs w:val="24"/>
          <w:highlight w:val="none"/>
          <w:lang w:eastAsia="zh-CN"/>
          <w14:textFill>
            <w14:solidFill>
              <w14:schemeClr w14:val="tx1"/>
            </w14:solidFill>
          </w14:textFill>
        </w:rPr>
        <w:t xml:space="preserve">苏州润禹工程咨询管理有限公司</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cs="宋体"/>
          <w:color w:val="000000" w:themeColor="text1"/>
          <w:sz w:val="24"/>
          <w:szCs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lang w:eastAsia="zh-CN"/>
          <w14:textFill>
            <w14:solidFill>
              <w14:schemeClr w14:val="tx1"/>
            </w14:solidFill>
          </w14:textFill>
        </w:rPr>
        <w:t xml:space="preserve">吴中区重楼路9号</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孙佳</w:t>
      </w:r>
      <w:r/>
    </w:p>
    <w:p>
      <w:pPr>
        <w:ind w:firstLine="480"/>
        <w:keepLines w:val="0"/>
        <w:keepNext w:val="0"/>
        <w:pageBreakBefore w:val="0"/>
        <w:spacing w:line="520" w:lineRule="exac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联系电话：0512-65857193、15195644812</w:t>
      </w:r>
      <w:r/>
    </w:p>
    <w:p>
      <w:pPr>
        <w:ind w:firstLine="480"/>
        <w:keepLines w:val="0"/>
        <w:keepNext w:val="0"/>
        <w:pageBreakBefore w:val="0"/>
        <w:spacing w:line="52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项目联系方式</w:t>
      </w:r>
      <w:r/>
    </w:p>
    <w:p>
      <w:pPr>
        <w:ind w:firstLine="480"/>
        <w:keepLines w:val="0"/>
        <w:keepNext w:val="0"/>
        <w:pageBreakBefore w:val="0"/>
        <w:spacing w:line="52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孙佳</w:t>
      </w:r>
      <w:r/>
    </w:p>
    <w:p>
      <w:pPr>
        <w:ind w:firstLine="480"/>
        <w:keepLines w:val="0"/>
        <w:keepNext w:val="0"/>
        <w:pageBreakBefore w:val="0"/>
        <w:spacing w:line="52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电话：</w:t>
      </w:r>
      <w:r>
        <w:rPr>
          <w:rFonts w:hint="eastAsia" w:ascii="宋体" w:hAnsi="宋体" w:cs="宋体"/>
          <w:color w:val="000000" w:themeColor="text1"/>
          <w:sz w:val="24"/>
          <w:szCs w:val="24"/>
          <w:highlight w:val="none"/>
          <w:lang w:val="en-US" w:eastAsia="zh-CN"/>
          <w14:textFill>
            <w14:solidFill>
              <w14:schemeClr w14:val="tx1"/>
            </w14:solidFill>
          </w14:textFill>
        </w:rPr>
        <w:t xml:space="preserve">0512-65857193、15195644812</w:t>
      </w:r>
      <w:r/>
    </w:p>
    <w:p>
      <w:pPr>
        <w:jc w:val="right"/>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right"/>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348"/>
        <w:rPr>
          <w:rFonts w:hint="eastAsia"/>
          <w:color w:val="000000" w:themeColor="text1"/>
          <w:highlight w:val="none"/>
          <w14:textFill>
            <w14:solidFill>
              <w14:schemeClr w14:val="tx1"/>
            </w14:solidFill>
          </w14:textFill>
        </w:rPr>
        <w:sectPr>
          <w:headerReference w:type="default" r:id="rId11"/>
          <w:headerReference w:type="first" r:id="rId12"/>
          <w:footerReference w:type="default" r:id="rId27"/>
          <w:footerReference w:type="even" r:id="rId28"/>
          <w:footerReference w:type="first" r:id="rId29"/>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color w:val="000000" w:themeColor="text1"/>
          <w:highlight w:val="none"/>
          <w14:textFill>
            <w14:solidFill>
              <w14:schemeClr w14:val="tx1"/>
            </w14:solidFill>
          </w14:textFill>
        </w:rPr>
      </w:r>
      <w:r/>
    </w:p>
    <w:p>
      <w:pPr>
        <w:pStyle w:val="1352"/>
        <w:spacing w:before="313" w:after="313"/>
        <w:rPr>
          <w:rFonts w:ascii="宋体" w:hAnsi="宋体" w:eastAsia="宋体" w:cs="宋体"/>
          <w:color w:val="000000" w:themeColor="text1"/>
          <w:highlight w:val="none"/>
          <w14:textFill>
            <w14:solidFill>
              <w14:schemeClr w14:val="tx1"/>
            </w14:solidFill>
          </w14:textFill>
        </w:rPr>
      </w:pPr>
      <w:r/>
      <w:bookmarkStart w:id="16" w:name="_Toc38368119"/>
      <w:r/>
      <w:bookmarkStart w:id="17" w:name="_Toc20167"/>
      <w:r/>
      <w:bookmarkStart w:id="18" w:name="_Toc54615238"/>
      <w:r/>
      <w:bookmarkStart w:id="19" w:name="_Toc35266019"/>
      <w:r>
        <w:rPr>
          <w:rFonts w:hint="eastAsia" w:ascii="宋体" w:hAnsi="宋体" w:eastAsia="宋体" w:cs="宋体"/>
          <w:color w:val="000000" w:themeColor="text1"/>
          <w:highlight w:val="none"/>
          <w14:textFill>
            <w14:solidFill>
              <w14:schemeClr w14:val="tx1"/>
            </w14:solidFill>
          </w14:textFill>
        </w:rPr>
        <w:t xml:space="preserve">第二章  </w:t>
      </w:r>
      <w:bookmarkEnd w:id="2"/>
      <w:r/>
      <w:bookmarkEnd w:id="3"/>
      <w:r/>
      <w:bookmarkEnd w:id="4"/>
      <w:r/>
      <w:bookmarkEnd w:id="5"/>
      <w:r/>
      <w:bookmarkEnd w:id="6"/>
      <w:r/>
      <w:bookmarkEnd w:id="11"/>
      <w:r/>
      <w:bookmarkStart w:id="20" w:name="_Toc20823274"/>
      <w:r/>
      <w:bookmarkStart w:id="21" w:name="_Toc513029202"/>
      <w:r/>
      <w:bookmarkStart w:id="22" w:name="_Toc16938518"/>
      <w:r/>
      <w:bookmarkStart w:id="23" w:name="_Toc120614213"/>
      <w:r>
        <w:rPr>
          <w:rFonts w:hint="eastAsia" w:ascii="宋体" w:hAnsi="宋体" w:eastAsia="宋体" w:cs="宋体"/>
          <w:color w:val="000000" w:themeColor="text1"/>
          <w:highlight w:val="none"/>
          <w14:textFill>
            <w14:solidFill>
              <w14:schemeClr w14:val="tx1"/>
            </w14:solidFill>
          </w14:textFill>
        </w:rPr>
        <w:t xml:space="preserve">投标人须知</w:t>
      </w:r>
      <w:bookmarkEnd w:id="16"/>
      <w:r/>
      <w:bookmarkEnd w:id="17"/>
      <w:r/>
      <w:bookmarkEnd w:id="18"/>
      <w:r/>
      <w:bookmarkEnd w:id="19"/>
      <w:r/>
      <w:bookmarkEnd w:id="20"/>
      <w:r/>
      <w:bookmarkEnd w:id="21"/>
      <w:r/>
      <w:bookmarkEnd w:id="22"/>
      <w:r/>
      <w:bookmarkEnd w:id="23"/>
      <w:r/>
      <w:r/>
    </w:p>
    <w:p>
      <w:pPr>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pPr>
      <w:r/>
      <w:bookmarkStart w:id="24" w:name="_Toc54615239"/>
      <w:r/>
      <w:bookmarkStart w:id="25" w:name="_Toc120614214"/>
      <w:r/>
      <w:bookmarkStart w:id="26" w:name="_Toc20823275"/>
      <w:r/>
      <w:bookmarkStart w:id="27" w:name="_Toc35266020"/>
      <w:r/>
      <w:bookmarkStart w:id="28" w:name="_Toc16938519"/>
      <w:r/>
      <w:bookmarkStart w:id="29" w:name="_Toc513029203"/>
      <w:r/>
      <w:bookmarkStart w:id="30" w:name="_Toc38368120"/>
      <w:r/>
      <w:bookmarkStart w:id="31" w:name="_Toc3250"/>
      <w:r/>
      <w:bookmarkStart w:id="32" w:name="_Toc16938558"/>
      <w:r/>
      <w:bookmarkStart w:id="33" w:name="_Toc120614221"/>
      <w:r/>
      <w:bookmarkStart w:id="34" w:name="_Toc479757207"/>
      <w:r/>
      <w:bookmarkStart w:id="35" w:name="_Toc20823314"/>
      <w:r/>
      <w:bookmarkStart w:id="36" w:name="_Toc513029242"/>
      <w:r>
        <w:rPr>
          <w:rFonts w:hint="eastAsia" w:ascii="宋体" w:hAnsi="宋体" w:eastAsia="宋体" w:cs="宋体"/>
          <w:b/>
          <w:bCs/>
          <w:color w:val="000000" w:themeColor="text1"/>
          <w:sz w:val="28"/>
          <w:szCs w:val="28"/>
          <w:highlight w:val="none"/>
          <w14:textFill>
            <w14:solidFill>
              <w14:schemeClr w14:val="tx1"/>
            </w14:solidFill>
          </w14:textFill>
        </w:rPr>
        <w:t xml:space="preserve">一、总则</w:t>
      </w:r>
      <w:bookmarkEnd w:id="24"/>
      <w:r/>
      <w:bookmarkEnd w:id="25"/>
      <w:r/>
      <w:bookmarkEnd w:id="26"/>
      <w:r/>
      <w:bookmarkEnd w:id="27"/>
      <w:r/>
      <w:bookmarkEnd w:id="28"/>
      <w:r/>
      <w:bookmarkEnd w:id="29"/>
      <w:r/>
      <w:bookmarkEnd w:id="30"/>
      <w:r/>
      <w:bookmarkEnd w:id="31"/>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37" w:name="_Hlt16619475"/>
      <w:r/>
      <w:bookmarkEnd w:id="37"/>
      <w:r/>
      <w:bookmarkStart w:id="38" w:name="_Toc458694821"/>
      <w:r/>
      <w:bookmarkStart w:id="39" w:name="_Toc16938520"/>
      <w:r/>
      <w:bookmarkStart w:id="40" w:name="_Toc20823276"/>
      <w:r/>
      <w:bookmarkStart w:id="41" w:name="_Toc513029204"/>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bookmarkEnd w:id="38"/>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．招标方式</w:t>
      </w:r>
      <w:bookmarkEnd w:id="39"/>
      <w:r/>
      <w:bookmarkEnd w:id="40"/>
      <w:r/>
      <w:bookmarkEnd w:id="41"/>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 本次招标采取公开招标方式，本招标文件仅适用于招标公告中所述项目。</w:t>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42" w:name="_Toc16938521"/>
      <w:r/>
      <w:bookmarkStart w:id="43" w:name="_Toc513029205"/>
      <w:r/>
      <w:bookmarkStart w:id="44" w:name="_Toc20823277"/>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2．合格的投标人</w:t>
      </w:r>
      <w:bookmarkEnd w:id="42"/>
      <w:r/>
      <w:bookmarkEnd w:id="43"/>
      <w:r/>
      <w:bookmarkEnd w:id="44"/>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满足招标公告中投标人的资格要求的规定。</w:t>
      </w:r>
      <w:r/>
    </w:p>
    <w:p>
      <w:pPr>
        <w:ind w:firstLine="480"/>
        <w:keepLines w:val="0"/>
        <w:keepNext w:val="0"/>
        <w:pageBreakBefore w:val="0"/>
        <w:spacing w:line="5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 满足本文件实质性要求的规定</w:t>
      </w:r>
      <w:r>
        <w:rPr>
          <w:rFonts w:hint="eastAsia" w:ascii="宋体" w:hAnsi="宋体" w:cs="宋体"/>
          <w:b/>
          <w:bCs/>
          <w:color w:val="000000" w:themeColor="text1"/>
          <w:sz w:val="24"/>
          <w:szCs w:val="24"/>
          <w:highlight w:val="none"/>
          <w14:textFill>
            <w14:solidFill>
              <w14:schemeClr w14:val="tx1"/>
            </w14:solidFill>
          </w14:textFill>
        </w:rPr>
        <w:t xml:space="preserve">（本招标文件中斜体且有下划线部分为实质性要求）。</w:t>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45" w:name="_Toc513029206"/>
      <w:r/>
      <w:bookmarkStart w:id="46" w:name="_Toc20823278"/>
      <w:r/>
      <w:bookmarkStart w:id="47" w:name="_Toc16938522"/>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3．适用法律</w:t>
      </w:r>
      <w:bookmarkEnd w:id="45"/>
      <w:r/>
      <w:bookmarkEnd w:id="46"/>
      <w:r/>
      <w:bookmarkEnd w:id="47"/>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48" w:name="_Toc16938523"/>
      <w:r/>
      <w:bookmarkStart w:id="49" w:name="_Toc513029207"/>
      <w:r/>
      <w:bookmarkStart w:id="50" w:name="_Toc462564067"/>
      <w:r/>
      <w:bookmarkStart w:id="51" w:name="_Toc20823279"/>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4．投标费用</w:t>
      </w:r>
      <w:bookmarkEnd w:id="48"/>
      <w:r/>
      <w:bookmarkEnd w:id="49"/>
      <w:r/>
      <w:bookmarkEnd w:id="50"/>
      <w:r/>
      <w:bookmarkEnd w:id="51"/>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4.1</w:t>
      </w:r>
      <w:r>
        <w:rPr>
          <w:rFonts w:hint="eastAsia" w:ascii="宋体" w:hAnsi="宋体" w:cs="宋体"/>
          <w:color w:val="000000" w:themeColor="text1"/>
          <w:sz w:val="24"/>
          <w:szCs w:val="24"/>
          <w:highlight w:val="none"/>
          <w14:textFill>
            <w14:solidFill>
              <w14:schemeClr w14:val="tx1"/>
            </w14:solidFill>
          </w14:textFill>
        </w:rPr>
        <w:t xml:space="preserve"> 投标人应自行承担所有与参加投标有关的费用，无论投标过程中的做法和结果如何，</w:t>
      </w:r>
      <w:r>
        <w:rPr>
          <w:rFonts w:hint="eastAsia" w:ascii="宋体" w:hAnsi="宋体" w:cs="宋体"/>
          <w:color w:val="000000" w:themeColor="text1"/>
          <w:sz w:val="24"/>
          <w:szCs w:val="24"/>
          <w:highlight w:val="none"/>
          <w:lang w:eastAsia="zh-CN"/>
          <w14:textFill>
            <w14:solidFill>
              <w14:schemeClr w14:val="tx1"/>
            </w14:solidFill>
          </w14:textFill>
        </w:rPr>
        <w:t xml:space="preserve">苏州润禹工程咨询管理有限公司</w:t>
      </w:r>
      <w:r>
        <w:rPr>
          <w:rFonts w:hint="eastAsia" w:ascii="宋体" w:hAnsi="宋体" w:cs="宋体"/>
          <w:color w:val="000000" w:themeColor="text1"/>
          <w:sz w:val="24"/>
          <w:szCs w:val="24"/>
          <w:highlight w:val="none"/>
          <w14:textFill>
            <w14:solidFill>
              <w14:schemeClr w14:val="tx1"/>
            </w14:solidFill>
          </w14:textFill>
        </w:rPr>
        <w:t xml:space="preserve">在任何情况下均无义务和责任承担这些费用。</w:t>
      </w:r>
      <w:r/>
    </w:p>
    <w:p>
      <w:pPr>
        <w:pStyle w:val="1357"/>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4.2 本次招标采购代理机构收取代理服务费。</w:t>
      </w:r>
      <w:r/>
    </w:p>
    <w:p>
      <w:pPr>
        <w:pStyle w:val="1357"/>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4.2.1 本项目采购代理服务费由中标（成交）供应商支付。</w:t>
      </w:r>
      <w:r/>
    </w:p>
    <w:p>
      <w:pPr>
        <w:pStyle w:val="1357"/>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4.2.2 代理费用收取方式：公对公转账。</w:t>
      </w:r>
      <w:r/>
    </w:p>
    <w:p>
      <w:pPr>
        <w:pStyle w:val="1357"/>
        <w:ind w:firstLine="480"/>
        <w:keepLines w:val="0"/>
        <w:keepNext w:val="0"/>
        <w:pageBreakBefore w:val="0"/>
        <w:spacing w:line="520" w:lineRule="exact"/>
        <w:rPr>
          <w:rStyle w:val="1358"/>
          <w:rFonts w:hint="eastAsia" w:ascii="宋体" w:hAnsi="宋体" w:eastAsia="宋体" w:cs="宋体"/>
          <w:color w:val="000000" w:themeColor="text1"/>
          <w:sz w:val="24"/>
          <w:szCs w:val="24"/>
          <w:highlight w:val="none"/>
          <w:lang w:eastAsia="zh-CN"/>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4.2.3 收费金额：预算金额的1.5%</w:t>
      </w:r>
      <w:r>
        <w:rPr>
          <w:rStyle w:val="1358"/>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Style w:val="135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七折计取</w:t>
      </w:r>
      <w:r>
        <w:rPr>
          <w:rStyle w:val="1358"/>
          <w:rFonts w:hint="eastAsia" w:ascii="宋体" w:hAnsi="宋体" w:eastAsia="宋体" w:cs="宋体"/>
          <w:color w:val="000000" w:themeColor="text1"/>
          <w:sz w:val="24"/>
          <w:szCs w:val="24"/>
          <w:highlight w:val="none"/>
          <w14:textFill>
            <w14:solidFill>
              <w14:schemeClr w14:val="tx1"/>
            </w14:solidFill>
          </w14:textFill>
        </w:rPr>
        <w:t xml:space="preserve">,也</w:t>
      </w:r>
      <w:r>
        <w:rPr>
          <w:rStyle w:val="1358"/>
          <w:rFonts w:hint="eastAsia" w:ascii="宋体" w:hAnsi="宋体" w:eastAsia="宋体" w:cs="宋体"/>
          <w:color w:val="000000" w:themeColor="text1"/>
          <w:sz w:val="24"/>
          <w:szCs w:val="24"/>
          <w:highlight w:val="none"/>
          <w:lang w:eastAsia="zh-CN"/>
          <w14:textFill>
            <w14:solidFill>
              <w14:schemeClr w14:val="tx1"/>
            </w14:solidFill>
          </w14:textFill>
        </w:rPr>
        <w:t xml:space="preserve">即</w:t>
      </w:r>
      <w:r>
        <w:rPr>
          <w:rStyle w:val="135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12285</w:t>
      </w:r>
      <w:r>
        <w:rPr>
          <w:rStyle w:val="1358"/>
          <w:rFonts w:hint="eastAsia" w:ascii="宋体" w:hAnsi="宋体" w:eastAsia="宋体" w:cs="宋体"/>
          <w:color w:val="000000" w:themeColor="text1"/>
          <w:sz w:val="24"/>
          <w:szCs w:val="24"/>
          <w:highlight w:val="none"/>
          <w:lang w:eastAsia="zh-CN"/>
          <w14:textFill>
            <w14:solidFill>
              <w14:schemeClr w14:val="tx1"/>
            </w14:solidFill>
          </w14:textFill>
        </w:rPr>
        <w:t xml:space="preserve">元</w:t>
      </w:r>
      <w:bookmarkStart w:id="52" w:name="EB4bef91ec166246f78c716ddc8194a87a"/>
      <w:r/>
      <w:bookmarkEnd w:id="52"/>
      <w:r>
        <w:rPr>
          <w:rStyle w:val="1358"/>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Style w:val="135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一标段</w:t>
      </w:r>
      <w:r>
        <w:rPr>
          <w:rStyle w:val="1358"/>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357"/>
        <w:ind w:firstLine="2462"/>
        <w:keepLines w:val="0"/>
        <w:keepNext w:val="0"/>
        <w:pageBreakBefore w:val="0"/>
        <w:spacing w:line="520" w:lineRule="exact"/>
        <w:rPr>
          <w:rStyle w:val="1358"/>
          <w:rFonts w:hint="eastAsia" w:ascii="宋体" w:hAnsi="宋体" w:eastAsia="宋体" w:cs="宋体"/>
          <w:color w:val="000000" w:themeColor="text1"/>
          <w:sz w:val="24"/>
          <w:szCs w:val="24"/>
          <w:highlight w:val="none"/>
          <w:lang w:eastAsia="zh-CN"/>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预算金额的1.5%</w:t>
      </w:r>
      <w:r>
        <w:rPr>
          <w:rStyle w:val="1358"/>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Style w:val="135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七折计取</w:t>
      </w:r>
      <w:r>
        <w:rPr>
          <w:rStyle w:val="1358"/>
          <w:rFonts w:hint="eastAsia" w:ascii="宋体" w:hAnsi="宋体" w:eastAsia="宋体" w:cs="宋体"/>
          <w:color w:val="000000" w:themeColor="text1"/>
          <w:sz w:val="24"/>
          <w:szCs w:val="24"/>
          <w:highlight w:val="none"/>
          <w14:textFill>
            <w14:solidFill>
              <w14:schemeClr w14:val="tx1"/>
            </w14:solidFill>
          </w14:textFill>
        </w:rPr>
        <w:t xml:space="preserve">,也</w:t>
      </w:r>
      <w:r>
        <w:rPr>
          <w:rStyle w:val="1358"/>
          <w:rFonts w:hint="eastAsia" w:ascii="宋体" w:hAnsi="宋体" w:eastAsia="宋体" w:cs="宋体"/>
          <w:color w:val="000000" w:themeColor="text1"/>
          <w:sz w:val="24"/>
          <w:szCs w:val="24"/>
          <w:highlight w:val="none"/>
          <w:lang w:eastAsia="zh-CN"/>
          <w14:textFill>
            <w14:solidFill>
              <w14:schemeClr w14:val="tx1"/>
            </w14:solidFill>
          </w14:textFill>
        </w:rPr>
        <w:t xml:space="preserve">即</w:t>
      </w:r>
      <w:r>
        <w:rPr>
          <w:rStyle w:val="135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13650</w:t>
      </w:r>
      <w:r>
        <w:rPr>
          <w:rStyle w:val="1358"/>
          <w:rFonts w:hint="eastAsia" w:ascii="宋体" w:hAnsi="宋体" w:eastAsia="宋体" w:cs="宋体"/>
          <w:color w:val="000000" w:themeColor="text1"/>
          <w:sz w:val="24"/>
          <w:szCs w:val="24"/>
          <w:highlight w:val="none"/>
          <w:lang w:eastAsia="zh-CN"/>
          <w14:textFill>
            <w14:solidFill>
              <w14:schemeClr w14:val="tx1"/>
            </w14:solidFill>
          </w14:textFill>
        </w:rPr>
        <w:t xml:space="preserve">元（</w:t>
      </w:r>
      <w:r>
        <w:rPr>
          <w:rStyle w:val="135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二标段</w:t>
      </w:r>
      <w:r>
        <w:rPr>
          <w:rStyle w:val="1358"/>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5．招标文件的约束力</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5.1</w:t>
      </w:r>
      <w:r>
        <w:rPr>
          <w:rFonts w:hint="eastAsia" w:ascii="宋体" w:hAnsi="宋体" w:cs="宋体"/>
          <w:color w:val="000000" w:themeColor="text1"/>
          <w:sz w:val="24"/>
          <w:szCs w:val="24"/>
          <w:highlight w:val="none"/>
          <w14:textFill>
            <w14:solidFill>
              <w14:schemeClr w14:val="tx1"/>
            </w14:solidFill>
          </w14:textFill>
        </w:rPr>
        <w:t xml:space="preserve"> 投标人一旦在苏采云政府采购一体化平台下载本招标文件决定参加投标，即被认为接受了本招标文件的规定和约束，并且视为已经知道或应当知道自身权益是否受到了损害。</w:t>
      </w:r>
      <w:r/>
    </w:p>
    <w:p>
      <w:pPr>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pPr>
      <w:r/>
      <w:bookmarkStart w:id="53" w:name="_Toc513029209"/>
      <w:r/>
      <w:bookmarkStart w:id="54" w:name="_Toc54615240"/>
      <w:r/>
      <w:bookmarkStart w:id="55" w:name="_Toc16938525"/>
      <w:r/>
      <w:bookmarkStart w:id="56" w:name="_Toc35266021"/>
      <w:r/>
      <w:bookmarkStart w:id="57" w:name="_Toc2910"/>
      <w:r/>
      <w:bookmarkStart w:id="58" w:name="_Toc20823281"/>
      <w:r/>
      <w:bookmarkStart w:id="59" w:name="_Toc38368121"/>
      <w:r/>
      <w:bookmarkStart w:id="60" w:name="_Toc120614215"/>
      <w:r>
        <w:rPr>
          <w:rFonts w:hint="eastAsia" w:ascii="宋体" w:hAnsi="宋体" w:eastAsia="宋体" w:cs="宋体"/>
          <w:b/>
          <w:bCs/>
          <w:color w:val="000000" w:themeColor="text1"/>
          <w:sz w:val="28"/>
          <w:szCs w:val="28"/>
          <w:highlight w:val="none"/>
          <w14:textFill>
            <w14:solidFill>
              <w14:schemeClr w14:val="tx1"/>
            </w14:solidFill>
          </w14:textFill>
        </w:rPr>
        <w:t xml:space="preserve">二、招标文件</w:t>
      </w:r>
      <w:bookmarkEnd w:id="53"/>
      <w:r/>
      <w:bookmarkEnd w:id="54"/>
      <w:r/>
      <w:bookmarkEnd w:id="55"/>
      <w:r/>
      <w:bookmarkEnd w:id="56"/>
      <w:r/>
      <w:bookmarkEnd w:id="57"/>
      <w:r/>
      <w:bookmarkEnd w:id="58"/>
      <w:r/>
      <w:bookmarkEnd w:id="59"/>
      <w:r/>
      <w:bookmarkEnd w:id="60"/>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61" w:name="_Toc513029210"/>
      <w:r/>
      <w:bookmarkStart w:id="62" w:name="_Toc20823282"/>
      <w:r/>
      <w:bookmarkStart w:id="63" w:name="_Toc16938526"/>
      <w:r>
        <w:rPr>
          <w:rFonts w:hint="eastAsia" w:ascii="宋体" w:hAnsi="宋体" w:eastAsia="宋体" w:cs="宋体"/>
          <w:b w:val="0"/>
          <w:bCs w:val="0"/>
          <w:color w:val="000000" w:themeColor="text1"/>
          <w:sz w:val="24"/>
          <w:szCs w:val="24"/>
          <w:highlight w:val="none"/>
          <w14:textFill>
            <w14:solidFill>
              <w14:schemeClr w14:val="tx1"/>
            </w14:solidFill>
          </w14:textFill>
        </w:rPr>
        <w:t xml:space="preserve">6．招标文件构成</w:t>
      </w:r>
      <w:bookmarkEnd w:id="61"/>
      <w:r/>
      <w:bookmarkEnd w:id="62"/>
      <w:r/>
      <w:bookmarkEnd w:id="63"/>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w:t>
      </w:r>
      <w:r>
        <w:rPr>
          <w:rFonts w:hint="eastAsia" w:ascii="宋体" w:hAnsi="宋体" w:cs="宋体"/>
          <w:color w:val="000000" w:themeColor="text1"/>
          <w:sz w:val="24"/>
          <w:szCs w:val="24"/>
          <w:highlight w:val="none"/>
          <w14:textFill>
            <w14:solidFill>
              <w14:schemeClr w14:val="tx1"/>
            </w14:solidFill>
          </w14:textFill>
        </w:rPr>
        <w:t xml:space="preserve"> 招标文件有以下部分组成：</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（1）投标邀请</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（2）投标人须知</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（3）合同条款及格式</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（4）项目需求</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（5）评标方法与评标标准</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（6）投标文件格式</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请仔细检查招标文件是否齐全，如有缺漏请立即与</w:t>
      </w:r>
      <w:r>
        <w:rPr>
          <w:rFonts w:hint="eastAsia" w:ascii="宋体" w:hAnsi="宋体" w:cs="宋体"/>
          <w:color w:val="000000" w:themeColor="text1"/>
          <w:sz w:val="24"/>
          <w:szCs w:val="24"/>
          <w:highlight w:val="none"/>
          <w:lang w:eastAsia="zh-CN"/>
          <w14:textFill>
            <w14:solidFill>
              <w14:schemeClr w14:val="tx1"/>
            </w14:solidFill>
          </w14:textFill>
        </w:rPr>
        <w:t xml:space="preserve">苏州润禹工程咨询管理有限公司</w:t>
      </w:r>
      <w:r>
        <w:rPr>
          <w:rFonts w:hint="eastAsia" w:ascii="宋体" w:hAnsi="宋体" w:cs="宋体"/>
          <w:color w:val="000000" w:themeColor="text1"/>
          <w:sz w:val="24"/>
          <w:szCs w:val="24"/>
          <w:highlight w:val="none"/>
          <w14:textFill>
            <w14:solidFill>
              <w14:schemeClr w14:val="tx1"/>
            </w14:solidFill>
          </w14:textFill>
        </w:rPr>
        <w:t xml:space="preserve">联系解决。</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6.2</w:t>
      </w:r>
      <w:r>
        <w:rPr>
          <w:rFonts w:hint="eastAsia" w:ascii="宋体" w:hAnsi="宋体" w:cs="宋体"/>
          <w:color w:val="000000" w:themeColor="text1"/>
          <w:sz w:val="24"/>
          <w:szCs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64" w:name="_Toc513029212"/>
      <w:r/>
      <w:bookmarkStart w:id="65" w:name="_Toc16938528"/>
      <w:r/>
      <w:bookmarkStart w:id="66" w:name="_Toc462564071"/>
      <w:r/>
      <w:bookmarkStart w:id="67" w:name="_Toc20823284"/>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7．招标文件的澄清或修改</w:t>
      </w:r>
      <w:bookmarkEnd w:id="64"/>
      <w:r/>
      <w:bookmarkEnd w:id="65"/>
      <w:r/>
      <w:bookmarkEnd w:id="66"/>
      <w:r/>
      <w:bookmarkEnd w:id="67"/>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在投标截止时间前。</w:t>
      </w:r>
      <w:r>
        <w:rPr>
          <w:rFonts w:hint="eastAsia" w:ascii="宋体" w:hAnsi="宋体" w:cs="宋体"/>
          <w:color w:val="000000" w:themeColor="text1"/>
          <w:sz w:val="24"/>
          <w:szCs w:val="24"/>
          <w:highlight w:val="none"/>
          <w:lang w:eastAsia="zh-CN"/>
          <w14:textFill>
            <w14:solidFill>
              <w14:schemeClr w14:val="tx1"/>
            </w14:solidFill>
          </w14:textFill>
        </w:rPr>
        <w:t xml:space="preserve">苏州润禹工程咨询管理有限公司</w:t>
      </w:r>
      <w:r>
        <w:rPr>
          <w:rFonts w:hint="eastAsia" w:ascii="宋体" w:hAnsi="宋体" w:cs="宋体"/>
          <w:color w:val="000000" w:themeColor="text1"/>
          <w:sz w:val="24"/>
          <w:szCs w:val="24"/>
          <w:highlight w:val="none"/>
          <w14:textFill>
            <w14:solidFill>
              <w14:schemeClr w14:val="tx1"/>
            </w14:solidFill>
          </w14:textFill>
        </w:rPr>
        <w:t xml:space="preserve">可以对招标文件进行澄清或修改。</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7.2</w:t>
      </w:r>
      <w:bookmarkStart w:id="68" w:name="EB14f04c7329d342c2b5d53bfcbbeaa167"/>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bookmarkEnd w:id="68"/>
      <w:r>
        <w:rPr>
          <w:rFonts w:hint="eastAsia" w:ascii="宋体" w:hAnsi="宋体" w:cs="宋体"/>
          <w:bCs/>
          <w:color w:val="000000" w:themeColor="text1"/>
          <w:sz w:val="24"/>
          <w:szCs w:val="24"/>
          <w:highlight w:val="none"/>
          <w:lang w:eastAsia="zh-CN"/>
          <w14:textFill>
            <w14:solidFill>
              <w14:schemeClr w14:val="tx1"/>
            </w14:solidFill>
          </w14:textFill>
        </w:rPr>
        <w:t xml:space="preserve">苏州润禹工程咨询管理有限公司</w:t>
      </w:r>
      <w:r>
        <w:rPr>
          <w:rFonts w:hint="eastAsia" w:ascii="宋体" w:hAnsi="宋体" w:cs="宋体"/>
          <w:color w:val="000000" w:themeColor="text1"/>
          <w:sz w:val="24"/>
          <w:szCs w:val="24"/>
          <w:highlight w:val="none"/>
          <w14:textFill>
            <w14:solidFill>
              <w14:schemeClr w14:val="tx1"/>
            </w14:solidFill>
          </w14:textFill>
        </w:rPr>
        <w:t xml:space="preserve">有权按照法定的要求推迟投标截止日期和开标日期。</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7.3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招标文件的实质性变动或修改将在政府采购公告媒体网通知，投标人可自行下载。补充文件将作为招标文件的组成部分，并对投标人具有约束力。</w:t>
      </w:r>
      <w:r/>
    </w:p>
    <w:p>
      <w:pPr>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pPr>
      <w:r/>
      <w:bookmarkStart w:id="69" w:name="_Toc16938529"/>
      <w:r/>
      <w:bookmarkStart w:id="70" w:name="_Toc462564072"/>
      <w:r/>
      <w:bookmarkStart w:id="71" w:name="_Toc23101"/>
      <w:r/>
      <w:bookmarkStart w:id="72" w:name="_Toc38368122"/>
      <w:r/>
      <w:bookmarkStart w:id="73" w:name="_Toc20823285"/>
      <w:r/>
      <w:bookmarkStart w:id="74" w:name="_Toc54615241"/>
      <w:r/>
      <w:bookmarkStart w:id="75" w:name="_Toc120614216"/>
      <w:r/>
      <w:bookmarkStart w:id="76" w:name="_Toc35266022"/>
      <w:r/>
      <w:bookmarkStart w:id="77" w:name="_Toc513029213"/>
      <w:r>
        <w:rPr>
          <w:rFonts w:hint="eastAsia" w:ascii="宋体" w:hAnsi="宋体" w:eastAsia="宋体" w:cs="宋体"/>
          <w:b/>
          <w:bCs/>
          <w:color w:val="000000" w:themeColor="text1"/>
          <w:sz w:val="28"/>
          <w:szCs w:val="28"/>
          <w:highlight w:val="none"/>
          <w14:textFill>
            <w14:solidFill>
              <w14:schemeClr w14:val="tx1"/>
            </w14:solidFill>
          </w14:textFill>
        </w:rPr>
        <w:t xml:space="preserve">三、投标文件的编制</w:t>
      </w:r>
      <w:bookmarkEnd w:id="69"/>
      <w:r/>
      <w:bookmarkEnd w:id="70"/>
      <w:r/>
      <w:bookmarkEnd w:id="71"/>
      <w:r/>
      <w:bookmarkEnd w:id="72"/>
      <w:r/>
      <w:bookmarkEnd w:id="73"/>
      <w:r/>
      <w:bookmarkEnd w:id="74"/>
      <w:r/>
      <w:bookmarkEnd w:id="75"/>
      <w:r/>
      <w:bookmarkEnd w:id="76"/>
      <w:r/>
      <w:bookmarkEnd w:id="77"/>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78" w:name="_Toc462564073"/>
      <w:r/>
      <w:bookmarkStart w:id="79" w:name="_Toc20823286"/>
      <w:r/>
      <w:bookmarkStart w:id="80" w:name="_Toc16938530"/>
      <w:r/>
      <w:bookmarkStart w:id="81" w:name="_Toc513029214"/>
      <w:r>
        <w:rPr>
          <w:rFonts w:hint="eastAsia" w:ascii="宋体" w:hAnsi="宋体" w:eastAsia="宋体" w:cs="宋体"/>
          <w:b w:val="0"/>
          <w:bCs w:val="0"/>
          <w:color w:val="000000" w:themeColor="text1"/>
          <w:sz w:val="24"/>
          <w:szCs w:val="24"/>
          <w:highlight w:val="none"/>
          <w14:textFill>
            <w14:solidFill>
              <w14:schemeClr w14:val="tx1"/>
            </w14:solidFill>
          </w14:textFill>
        </w:rPr>
        <w:t xml:space="preserve">8．投标文件的语言及度量衡单位</w:t>
      </w:r>
      <w:bookmarkEnd w:id="78"/>
      <w:r/>
      <w:bookmarkEnd w:id="79"/>
      <w:r/>
      <w:bookmarkEnd w:id="80"/>
      <w:r/>
      <w:bookmarkEnd w:id="81"/>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8.1</w:t>
      </w:r>
      <w:r>
        <w:rPr>
          <w:rFonts w:hint="eastAsia" w:ascii="宋体" w:hAnsi="宋体" w:cs="宋体"/>
          <w:color w:val="000000" w:themeColor="text1"/>
          <w:sz w:val="24"/>
          <w:szCs w:val="24"/>
          <w:highlight w:val="none"/>
          <w14:textFill>
            <w14:solidFill>
              <w14:schemeClr w14:val="tx1"/>
            </w14:solidFill>
          </w14:textFill>
        </w:rPr>
        <w:t xml:space="preserve"> 投标人提交的投标文件以及投标人与</w:t>
      </w:r>
      <w:r>
        <w:rPr>
          <w:rFonts w:hint="eastAsia" w:ascii="宋体" w:hAnsi="宋体" w:cs="宋体"/>
          <w:color w:val="000000" w:themeColor="text1"/>
          <w:sz w:val="24"/>
          <w:szCs w:val="24"/>
          <w:highlight w:val="none"/>
          <w:lang w:eastAsia="zh-CN"/>
          <w14:textFill>
            <w14:solidFill>
              <w14:schemeClr w14:val="tx1"/>
            </w14:solidFill>
          </w14:textFill>
        </w:rPr>
        <w:t xml:space="preserve">苏州润禹工程咨询管理有限公司</w:t>
      </w:r>
      <w:r>
        <w:rPr>
          <w:rFonts w:hint="eastAsia" w:ascii="宋体" w:hAnsi="宋体" w:cs="宋体"/>
          <w:color w:val="000000" w:themeColor="text1"/>
          <w:sz w:val="24"/>
          <w:szCs w:val="24"/>
          <w:highlight w:val="none"/>
          <w14:textFill>
            <w14:solidFill>
              <w14:schemeClr w14:val="tx1"/>
            </w14:solidFill>
          </w14:textFill>
        </w:rPr>
        <w:t xml:space="preserve">就有关投标的所有来往通知、函件和文件均应使用</w:t>
      </w:r>
      <w:r>
        <w:rPr>
          <w:rFonts w:hint="eastAsia" w:ascii="宋体" w:hAnsi="宋体" w:cs="宋体"/>
          <w:b/>
          <w:bCs/>
          <w:color w:val="000000" w:themeColor="text1"/>
          <w:sz w:val="24"/>
          <w:szCs w:val="24"/>
          <w:highlight w:val="none"/>
          <w14:textFill>
            <w14:solidFill>
              <w14:schemeClr w14:val="tx1"/>
            </w14:solidFill>
          </w14:textFill>
        </w:rPr>
        <w:t xml:space="preserve">简体中文</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8.2</w:t>
      </w:r>
      <w:r>
        <w:rPr>
          <w:rFonts w:hint="eastAsia" w:ascii="宋体" w:hAnsi="宋体" w:cs="宋体"/>
          <w:color w:val="000000" w:themeColor="text1"/>
          <w:sz w:val="24"/>
          <w:szCs w:val="24"/>
          <w:highlight w:val="none"/>
          <w14:textFill>
            <w14:solidFill>
              <w14:schemeClr w14:val="tx1"/>
            </w14:solidFill>
          </w14:textFill>
        </w:rPr>
        <w:t xml:space="preserve"> 除技术性能另有规定外，投标文件所使用的度量衡单位，均须采用国家法定计量单位。</w:t>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82" w:name="_Toc513029215"/>
      <w:r/>
      <w:bookmarkStart w:id="83" w:name="_Toc20823287"/>
      <w:r/>
      <w:bookmarkStart w:id="84" w:name="_Toc16938531"/>
      <w:r/>
      <w:bookmarkStart w:id="85" w:name="_Toc462564074"/>
      <w:r>
        <w:rPr>
          <w:rFonts w:hint="eastAsia" w:ascii="宋体" w:hAnsi="宋体" w:eastAsia="宋体" w:cs="宋体"/>
          <w:b w:val="0"/>
          <w:bCs w:val="0"/>
          <w:color w:val="000000" w:themeColor="text1"/>
          <w:sz w:val="24"/>
          <w:szCs w:val="24"/>
          <w:highlight w:val="none"/>
          <w14:textFill>
            <w14:solidFill>
              <w14:schemeClr w14:val="tx1"/>
            </w14:solidFill>
          </w14:textFill>
        </w:rPr>
        <w:t xml:space="preserve">9．投标文件构成</w:t>
      </w:r>
      <w:bookmarkEnd w:id="82"/>
      <w:r/>
      <w:bookmarkEnd w:id="83"/>
      <w:r/>
      <w:bookmarkEnd w:id="84"/>
      <w:r/>
      <w:bookmarkEnd w:id="85"/>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9.1</w:t>
      </w:r>
      <w:r>
        <w:rPr>
          <w:rFonts w:hint="eastAsia" w:ascii="宋体" w:hAnsi="宋体" w:cs="宋体"/>
          <w:color w:val="000000" w:themeColor="text1"/>
          <w:sz w:val="24"/>
          <w:szCs w:val="24"/>
          <w:highlight w:val="none"/>
          <w14:textFill>
            <w14:solidFill>
              <w14:schemeClr w14:val="tx1"/>
            </w14:solidFill>
          </w14:textFill>
        </w:rPr>
        <w:t xml:space="preserve"> 投标人编写的投标文件应包括投标函、开标一览表、资格证明文件、技术人员介绍、第四章项目需求中实质性要求响应对照表、技术及服务方案、技术要求响应及偏离表、商务</w:t>
      </w:r>
      <w:r>
        <w:rPr>
          <w:rStyle w:val="1358"/>
          <w:rFonts w:hint="eastAsia" w:ascii="宋体" w:hAnsi="宋体" w:cs="宋体"/>
          <w:color w:val="000000" w:themeColor="text1"/>
          <w:sz w:val="24"/>
          <w:szCs w:val="24"/>
          <w:highlight w:val="none"/>
          <w14:textFill>
            <w14:solidFill>
              <w14:schemeClr w14:val="tx1"/>
            </w14:solidFill>
          </w14:textFill>
        </w:rPr>
        <w:t xml:space="preserve">条款</w:t>
      </w:r>
      <w:r>
        <w:rPr>
          <w:rFonts w:hint="eastAsia" w:ascii="宋体" w:hAnsi="宋体" w:cs="宋体"/>
          <w:color w:val="000000" w:themeColor="text1"/>
          <w:sz w:val="24"/>
          <w:szCs w:val="24"/>
          <w:highlight w:val="none"/>
          <w14:textFill>
            <w14:solidFill>
              <w14:schemeClr w14:val="tx1"/>
            </w14:solidFill>
          </w14:textFill>
        </w:rPr>
        <w:t xml:space="preserve">响应及偏离表投标人情况介绍等部分。</w:t>
      </w:r>
      <w:r/>
    </w:p>
    <w:p>
      <w:pPr>
        <w:ind w:firstLine="480"/>
        <w:keepLines w:val="0"/>
        <w:keepNext w:val="0"/>
        <w:pageBreakBefore w:val="0"/>
        <w:spacing w:line="5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9.2</w:t>
      </w:r>
      <w:r>
        <w:rPr>
          <w:rFonts w:hint="eastAsia" w:ascii="宋体" w:hAnsi="宋体" w:cs="宋体"/>
          <w:b/>
          <w:bCs/>
          <w:color w:val="000000" w:themeColor="text1"/>
          <w:sz w:val="24"/>
          <w:szCs w:val="24"/>
          <w:highlight w:val="none"/>
          <w14:textFill>
            <w14:solidFill>
              <w14:schemeClr w14:val="tx1"/>
            </w14:solidFill>
          </w14:textFill>
        </w:rPr>
        <w:t xml:space="preserve"> 特别提醒：投标人必须在投标文件接收截止时间之前在系统中提交所有与开评标相关的资料。开评标现场不接收任何资料。</w:t>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86" w:name="_Hlt26668975"/>
      <w:r/>
      <w:bookmarkEnd w:id="86"/>
      <w:r/>
      <w:bookmarkStart w:id="87" w:name="_Hlt26954838"/>
      <w:r/>
      <w:bookmarkEnd w:id="87"/>
      <w:r/>
      <w:bookmarkStart w:id="88" w:name="_Hlt26670360"/>
      <w:r/>
      <w:bookmarkEnd w:id="88"/>
      <w:r/>
      <w:bookmarkStart w:id="89" w:name="_Toc14577357"/>
      <w:r/>
      <w:bookmarkStart w:id="90" w:name="_Toc513029219"/>
      <w:r/>
      <w:bookmarkStart w:id="91" w:name="_Toc49090509"/>
      <w:r/>
      <w:bookmarkStart w:id="92" w:name="_Toc49090507"/>
      <w:r/>
      <w:bookmarkStart w:id="93" w:name="_Toc14577354"/>
      <w:r/>
      <w:bookmarkStart w:id="94" w:name="_Toc513029216"/>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10．投标函和开标一览表</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10.1</w:t>
      </w:r>
      <w:r>
        <w:rPr>
          <w:rFonts w:hint="eastAsia" w:ascii="宋体" w:hAnsi="宋体" w:cs="宋体"/>
          <w:color w:val="000000" w:themeColor="text1"/>
          <w:sz w:val="24"/>
          <w:szCs w:val="24"/>
          <w:highlight w:val="none"/>
          <w14:textFill>
            <w14:solidFill>
              <w14:schemeClr w14:val="tx1"/>
            </w14:solidFill>
          </w14:textFill>
        </w:rPr>
        <w:t xml:space="preserve"> 投标人应按照招标文件中提供的格式完整、正确填写投标函、开标一览表。</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cs="宋体"/>
          <w:b/>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11．投标人资格证明文件</w:t>
      </w:r>
      <w:bookmarkEnd w:id="89"/>
      <w:r/>
      <w:bookmarkEnd w:id="90"/>
      <w:r/>
      <w:bookmarkEnd w:id="91"/>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11.1</w:t>
      </w:r>
      <w:bookmarkStart w:id="95" w:name="_Hlt26668999"/>
      <w:r/>
      <w:bookmarkEnd w:id="95"/>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投标人应按招标文件的要求提交资格证明文件。</w:t>
      </w:r>
      <w:bookmarkEnd w:id="92"/>
      <w:r/>
      <w:bookmarkEnd w:id="93"/>
      <w:r/>
      <w:bookmarkEnd w:id="94"/>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96" w:name="_Toc49090508"/>
      <w:r/>
      <w:bookmarkStart w:id="97" w:name="_Toc14577355"/>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12</w:t>
      </w:r>
      <w:bookmarkEnd w:id="96"/>
      <w:r/>
      <w:bookmarkEnd w:id="97"/>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．投标配置与分项报价表（或经费测算表）</w:t>
      </w:r>
      <w:r/>
    </w:p>
    <w:p>
      <w:pPr>
        <w:ind w:firstLine="480"/>
        <w:keepLines w:val="0"/>
        <w:keepNext w:val="0"/>
        <w:pageBreakBefore w:val="0"/>
        <w:spacing w:line="52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12.1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投标人应按照招标文件规定格式填报。每项货物和服务等只允许有一个报价。</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12.2 标的物</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12.2.1</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采购人需求的有关服务等。</w:t>
      </w:r>
      <w:r/>
    </w:p>
    <w:p>
      <w:pPr>
        <w:pStyle w:val="1351"/>
        <w:ind w:firstLine="480"/>
        <w:keepLines w:val="0"/>
        <w:keepNext w:val="0"/>
        <w:pageBreakBefore w:val="0"/>
        <w:spacing w:line="520" w:lineRule="exact"/>
        <w:rPr>
          <w:rFonts w:ascii="宋体" w:eastAsia="宋体" w:cs="宋体"/>
          <w:color w:val="000000" w:themeColor="text1"/>
          <w:sz w:val="24"/>
          <w:szCs w:val="24"/>
          <w:highlight w:val="none"/>
          <w14:textFill>
            <w14:solidFill>
              <w14:schemeClr w14:val="tx1"/>
            </w14:solidFill>
          </w14:textFill>
        </w:rPr>
      </w:pPr>
      <w:r>
        <w:rPr>
          <w:rFonts w:hint="eastAsia" w:ascii="宋体" w:eastAsia="宋体" w:cs="宋体"/>
          <w:bCs/>
          <w:color w:val="000000" w:themeColor="text1"/>
          <w:sz w:val="24"/>
          <w:szCs w:val="24"/>
          <w:highlight w:val="none"/>
          <w14:textFill>
            <w14:solidFill>
              <w14:schemeClr w14:val="tx1"/>
            </w14:solidFill>
          </w14:textFill>
        </w:rPr>
        <w:t xml:space="preserve">12.2.2</w:t>
      </w:r>
      <w:r>
        <w:rPr>
          <w:rFonts w:hint="eastAsia" w:asci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eastAsia="宋体" w:cs="宋体"/>
          <w:bCs/>
          <w:color w:val="000000" w:themeColor="text1"/>
          <w:sz w:val="24"/>
          <w:szCs w:val="24"/>
          <w:highlight w:val="none"/>
          <w14:textFill>
            <w14:solidFill>
              <w14:schemeClr w14:val="tx1"/>
            </w14:solidFill>
          </w14:textFill>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12.3</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投标货币</w:t>
      </w:r>
      <w:r/>
    </w:p>
    <w:p>
      <w:pPr>
        <w:ind w:firstLine="480"/>
        <w:keepLines w:val="0"/>
        <w:keepNext w:val="0"/>
        <w:pageBreakBefore w:val="0"/>
        <w:spacing w:line="52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投标文件中的货物</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cs="宋体"/>
          <w:color w:val="000000" w:themeColor="text1"/>
          <w:sz w:val="24"/>
          <w:szCs w:val="24"/>
          <w:highlight w:val="none"/>
          <w14:textFill>
            <w14:solidFill>
              <w14:schemeClr w14:val="tx1"/>
            </w14:solidFill>
          </w14:textFill>
        </w:rPr>
        <w:t xml:space="preserve">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单价和总价无特殊规定的采用人民币报价，以元为</w:t>
      </w:r>
      <w:r>
        <w:rPr>
          <w:rFonts w:hint="eastAsia" w:ascii="宋体" w:hAnsi="宋体" w:cs="宋体"/>
          <w:bCs/>
          <w:color w:val="000000" w:themeColor="text1"/>
          <w:sz w:val="24"/>
          <w:szCs w:val="24"/>
          <w:highlight w:val="none"/>
          <w14:textFill>
            <w14:solidFill>
              <w14:schemeClr w14:val="tx1"/>
            </w14:solidFill>
          </w14:textFill>
        </w:rPr>
        <w:t xml:space="preserve">单位标注。招标文件中另有规定的按规定执行。</w:t>
      </w:r>
      <w:r/>
    </w:p>
    <w:p>
      <w:pPr>
        <w:pStyle w:val="1359"/>
        <w:ind w:firstLine="508"/>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0"/>
        <w:keepLines w:val="0"/>
        <w:keepNext w:val="0"/>
        <w:pageBreakBefore w:val="0"/>
        <w:spacing w:line="520" w:lineRule="exact"/>
        <w:rPr>
          <w:rFonts w:ascii="宋体" w:hAnsi="宋体" w:cs="宋体"/>
          <w:bCs/>
          <w:color w:val="000000" w:themeColor="text1"/>
          <w:sz w:val="24"/>
          <w:szCs w:val="24"/>
          <w:highlight w:val="none"/>
          <w14:textFill>
            <w14:solidFill>
              <w14:schemeClr w14:val="tx1"/>
            </w14:solidFill>
          </w14:textFill>
        </w:rPr>
      </w:pPr>
      <w:r/>
      <w:bookmarkStart w:id="98" w:name="EB8486dd9157984dc9aa62437fb6aa6f0f"/>
      <w:r/>
      <w:bookmarkEnd w:id="98"/>
      <w:r>
        <w:rPr>
          <w:rFonts w:hint="eastAsia" w:ascii="宋体" w:hAnsi="宋体" w:cs="宋体"/>
          <w:bCs/>
          <w:color w:val="000000" w:themeColor="text1"/>
          <w:sz w:val="24"/>
          <w:szCs w:val="24"/>
          <w:highlight w:val="none"/>
          <w14:textFill>
            <w14:solidFill>
              <w14:schemeClr w14:val="tx1"/>
            </w14:solidFill>
          </w14:textFill>
        </w:rPr>
        <w:t xml:space="preserve">12.5 本报价必须充分考虑所有可能影响到报价的价格因素，一旦投标结束最终成交，如发生漏、缺、少项，都将被认为是中标人的报价让利行为。</w:t>
      </w:r>
      <w:bookmarkStart w:id="99" w:name="_Hlt26954846"/>
      <w:r/>
      <w:bookmarkEnd w:id="99"/>
      <w:r/>
      <w:bookmarkStart w:id="100" w:name="_Hlt26954848"/>
      <w:r/>
      <w:bookmarkEnd w:id="100"/>
      <w:r/>
      <w:bookmarkStart w:id="101" w:name="_Hlt26670486"/>
      <w:r/>
      <w:bookmarkEnd w:id="101"/>
      <w:r/>
      <w:bookmarkStart w:id="102" w:name="_Hlt26954731"/>
      <w:r/>
      <w:bookmarkEnd w:id="102"/>
      <w:r/>
      <w:bookmarkStart w:id="103" w:name="_Hlt26670482"/>
      <w:r/>
      <w:bookmarkEnd w:id="103"/>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04" w:name="_Toc14577359"/>
      <w:r/>
      <w:bookmarkStart w:id="105" w:name="_Toc49090510"/>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13．技术及服务方案</w:t>
      </w:r>
      <w:r/>
    </w:p>
    <w:p>
      <w:pPr>
        <w:pStyle w:val="1360"/>
        <w:ind w:firstLine="480"/>
        <w:keepLines w:val="0"/>
        <w:keepNext w:val="0"/>
        <w:pageBreakBefore w:val="0"/>
        <w:spacing w:line="5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13.1</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根据自己对需求的理解撰写需求分析和服务方案。</w:t>
      </w:r>
      <w:r/>
    </w:p>
    <w:p>
      <w:pPr>
        <w:pStyle w:val="1360"/>
        <w:ind w:firstLine="480"/>
        <w:keepLines w:val="0"/>
        <w:keepNext w:val="0"/>
        <w:pageBreakBefore w:val="0"/>
        <w:spacing w:line="52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13.2</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14．技术要求响应及偏离表、商务条款响应及偏离表</w:t>
      </w:r>
      <w:r/>
    </w:p>
    <w:p>
      <w:pPr>
        <w:pStyle w:val="1361"/>
        <w:ind w:firstLine="480"/>
        <w:keepLines w:val="0"/>
        <w:keepNext w:val="0"/>
        <w:pageBreakBefore w:val="0"/>
        <w:spacing w:line="520" w:lineRule="exact"/>
        <w:widowControl/>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14.1 投标人需对招标文件中的技术要求与商务条款逐项作出响应或偏离，并说明原因。</w:t>
      </w:r>
      <w:r/>
    </w:p>
    <w:p>
      <w:pPr>
        <w:pStyle w:val="1361"/>
        <w:ind w:firstLine="480"/>
        <w:keepLines w:val="0"/>
        <w:keepNext w:val="0"/>
        <w:pageBreakBefore w:val="0"/>
        <w:spacing w:line="520" w:lineRule="exact"/>
        <w:widowControl/>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14.2 投标人可在电子投标文件中提供认为需要的其他技术文件或说明。</w:t>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15．投标人情况介绍</w:t>
      </w:r>
      <w:r/>
    </w:p>
    <w:p>
      <w:pPr>
        <w:pStyle w:val="1361"/>
        <w:ind w:firstLine="480"/>
        <w:keepLines w:val="0"/>
        <w:keepNext w:val="0"/>
        <w:pageBreakBefore w:val="0"/>
        <w:spacing w:line="520" w:lineRule="exact"/>
        <w:widowControl/>
        <w:rPr>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15.1 投标人的总体情况应在电子投标文件中作出说明。</w:t>
      </w:r>
      <w:bookmarkEnd w:id="104"/>
      <w:r/>
      <w:bookmarkEnd w:id="105"/>
      <w:r/>
      <w:bookmarkStart w:id="106" w:name="EBf6e5e332cb7245ab8f3a9801503c122b"/>
      <w:r/>
      <w:bookmarkEnd w:id="106"/>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07" w:name="_Hlt26954850"/>
      <w:r/>
      <w:bookmarkEnd w:id="107"/>
      <w:r/>
      <w:bookmarkStart w:id="108" w:name="_Hlt26954734"/>
      <w:r/>
      <w:bookmarkEnd w:id="108"/>
      <w:r/>
      <w:bookmarkStart w:id="109" w:name="_Hlt26670489"/>
      <w:r/>
      <w:bookmarkEnd w:id="109"/>
      <w:r/>
      <w:bookmarkStart w:id="110" w:name="_Toc49090511"/>
      <w:r/>
      <w:bookmarkStart w:id="111" w:name="_Toc14577360"/>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16．投标保证金</w:t>
      </w:r>
      <w:r/>
    </w:p>
    <w:p>
      <w:pPr>
        <w:pStyle w:val="1360"/>
        <w:ind w:firstLine="480"/>
        <w:keepLines w:val="0"/>
        <w:keepNext w:val="0"/>
        <w:pageBreakBefore w:val="0"/>
        <w:spacing w:line="52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15.1</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本次招标不收取投标保证金。</w:t>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17．投标有效期</w:t>
      </w:r>
      <w:bookmarkEnd w:id="110"/>
      <w:r/>
      <w:bookmarkEnd w:id="111"/>
      <w:r/>
      <w:r/>
    </w:p>
    <w:p>
      <w:pPr>
        <w:ind w:firstLine="480"/>
        <w:keepLines w:val="0"/>
        <w:keepNext w:val="0"/>
        <w:pageBreakBefore w:val="0"/>
        <w:spacing w:line="52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17.1</w:t>
      </w:r>
      <w:r>
        <w:rPr>
          <w:rFonts w:hint="eastAsia" w:ascii="宋体" w:hAnsi="宋体" w:cs="宋体"/>
          <w:bCs/>
          <w:color w:val="000000" w:themeColor="text1"/>
          <w:sz w:val="24"/>
          <w:szCs w:val="24"/>
          <w:highlight w:val="none"/>
          <w14:textFill>
            <w14:solidFill>
              <w14:schemeClr w14:val="tx1"/>
            </w14:solidFill>
          </w14:textFill>
        </w:rPr>
        <w:t xml:space="preserve"> 投标有效期为</w:t>
      </w:r>
      <w:r>
        <w:rPr>
          <w:rFonts w:hint="eastAsia" w:ascii="宋体" w:hAnsi="宋体" w:cs="宋体"/>
          <w:bCs/>
          <w:color w:val="000000" w:themeColor="text1"/>
          <w:sz w:val="24"/>
          <w:szCs w:val="24"/>
          <w:highlight w:val="none"/>
          <w:lang w:eastAsia="zh-CN"/>
          <w14:textFill>
            <w14:solidFill>
              <w14:schemeClr w14:val="tx1"/>
            </w14:solidFill>
          </w14:textFill>
        </w:rPr>
        <w:t xml:space="preserve">苏州润禹工程咨询管理有限公司</w:t>
      </w:r>
      <w:r>
        <w:rPr>
          <w:rFonts w:hint="eastAsia" w:ascii="宋体" w:hAnsi="宋体" w:cs="宋体"/>
          <w:bCs/>
          <w:color w:val="000000" w:themeColor="text1"/>
          <w:sz w:val="24"/>
          <w:szCs w:val="24"/>
          <w:highlight w:val="none"/>
          <w14:textFill>
            <w14:solidFill>
              <w14:schemeClr w14:val="tx1"/>
            </w14:solidFill>
          </w14:textFill>
        </w:rPr>
        <w:t xml:space="preserve">规定的开标之日后</w:t>
      </w:r>
      <w:r>
        <w:rPr>
          <w:rFonts w:hint="eastAsia" w:ascii="宋体" w:hAnsi="宋体" w:cs="宋体"/>
          <w:b/>
          <w:bCs/>
          <w:color w:val="000000" w:themeColor="text1"/>
          <w:sz w:val="24"/>
          <w:szCs w:val="24"/>
          <w:highlight w:val="none"/>
          <w14:textFill>
            <w14:solidFill>
              <w14:schemeClr w14:val="tx1"/>
            </w14:solidFill>
          </w14:textFill>
        </w:rPr>
        <w:t xml:space="preserve">九十（90）天</w:t>
      </w:r>
      <w:r>
        <w:rPr>
          <w:rFonts w:hint="eastAsia" w:ascii="宋体" w:hAnsi="宋体" w:cs="宋体"/>
          <w:bCs/>
          <w:color w:val="000000" w:themeColor="text1"/>
          <w:sz w:val="24"/>
          <w:szCs w:val="24"/>
          <w:highlight w:val="none"/>
          <w14:textFill>
            <w14:solidFill>
              <w14:schemeClr w14:val="tx1"/>
            </w14:solidFill>
          </w14:textFill>
        </w:rPr>
        <w:t xml:space="preserve">。投标有效期比规定短的将被视为非响应性投标而予以拒绝。</w:t>
      </w:r>
      <w:r/>
    </w:p>
    <w:p>
      <w:pPr>
        <w:ind w:firstLine="480"/>
        <w:keepLines w:val="0"/>
        <w:keepNext w:val="0"/>
        <w:pageBreakBefore w:val="0"/>
        <w:spacing w:line="52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17.2</w:t>
      </w:r>
      <w:r>
        <w:rPr>
          <w:rFonts w:hint="eastAsia" w:ascii="宋体" w:hAnsi="宋体" w:cs="宋体"/>
          <w:bCs/>
          <w:color w:val="000000" w:themeColor="text1"/>
          <w:sz w:val="24"/>
          <w:szCs w:val="24"/>
          <w:highlight w:val="none"/>
          <w14:textFill>
            <w14:solidFill>
              <w14:schemeClr w14:val="tx1"/>
            </w14:solidFill>
          </w14:textFill>
        </w:rPr>
        <w:t xml:space="preserve"> 在特殊情况下，</w:t>
      </w:r>
      <w:r>
        <w:rPr>
          <w:rFonts w:hint="eastAsia" w:ascii="宋体" w:hAnsi="宋体" w:cs="宋体"/>
          <w:bCs/>
          <w:color w:val="000000" w:themeColor="text1"/>
          <w:sz w:val="24"/>
          <w:szCs w:val="24"/>
          <w:highlight w:val="none"/>
          <w:lang w:eastAsia="zh-CN"/>
          <w14:textFill>
            <w14:solidFill>
              <w14:schemeClr w14:val="tx1"/>
            </w14:solidFill>
          </w14:textFill>
        </w:rPr>
        <w:t xml:space="preserve">苏州润禹工程咨询管理有限公司</w:t>
      </w:r>
      <w:r>
        <w:rPr>
          <w:rFonts w:hint="eastAsia" w:ascii="宋体" w:hAnsi="宋体" w:cs="宋体"/>
          <w:bCs/>
          <w:color w:val="000000" w:themeColor="text1"/>
          <w:sz w:val="24"/>
          <w:szCs w:val="24"/>
          <w:highlight w:val="none"/>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cs="宋体"/>
          <w:bCs/>
          <w:color w:val="000000" w:themeColor="text1"/>
          <w:sz w:val="24"/>
          <w:szCs w:val="24"/>
          <w:highlight w:val="none"/>
          <w:lang w:eastAsia="zh-CN"/>
          <w14:textFill>
            <w14:solidFill>
              <w14:schemeClr w14:val="tx1"/>
            </w14:solidFill>
          </w14:textFill>
        </w:rPr>
        <w:t xml:space="preserve">苏州润禹工程咨询管理有限公司</w:t>
      </w:r>
      <w:r>
        <w:rPr>
          <w:rFonts w:hint="eastAsia" w:ascii="宋体" w:hAnsi="宋体" w:cs="宋体"/>
          <w:bCs/>
          <w:color w:val="000000" w:themeColor="text1"/>
          <w:sz w:val="24"/>
          <w:szCs w:val="24"/>
          <w:highlight w:val="none"/>
          <w14:textFill>
            <w14:solidFill>
              <w14:schemeClr w14:val="tx1"/>
            </w14:solidFill>
          </w14:textFill>
        </w:rPr>
        <w:t xml:space="preserve">的这一要求而放弃投标</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同意延长投标有效期的投标人既不能要求也不允许修改其投标文件。</w:t>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18．投标文件的签署</w:t>
      </w:r>
      <w:r/>
    </w:p>
    <w:p>
      <w:pPr>
        <w:pStyle w:val="1362"/>
        <w:ind w:firstLine="508"/>
        <w:keepLines w:val="0"/>
        <w:keepNext w:val="0"/>
        <w:pageBreakBefore w:val="0"/>
        <w:spacing w:line="520" w:lineRule="exact"/>
        <w:rPr>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18.1 本招标文件所表述（指定）的公章是指法定名称章，不包括合同专用章、业务专用章等印章。</w:t>
      </w:r>
      <w:bookmarkStart w:id="112" w:name="EBfdb2e00cf1ee477a9cdb47d13b603829"/>
      <w:r/>
      <w:bookmarkEnd w:id="112"/>
      <w:r/>
      <w:bookmarkStart w:id="113" w:name="_Hlt26954739"/>
      <w:r/>
      <w:bookmarkEnd w:id="113"/>
      <w:r/>
      <w:bookmarkStart w:id="114" w:name="_Hlt26954852"/>
      <w:r/>
      <w:bookmarkEnd w:id="114"/>
      <w:r/>
      <w:r/>
    </w:p>
    <w:p>
      <w:pPr>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pPr>
      <w:r/>
      <w:bookmarkStart w:id="115" w:name="_Toc38368123"/>
      <w:r/>
      <w:bookmarkStart w:id="116" w:name="_Toc6389296"/>
      <w:r/>
      <w:bookmarkStart w:id="117" w:name="_Toc28778"/>
      <w:r/>
      <w:bookmarkStart w:id="118" w:name="_Toc54615242"/>
      <w:r/>
      <w:bookmarkStart w:id="119" w:name="_Toc6388848"/>
      <w:r/>
      <w:bookmarkStart w:id="120" w:name="_Toc35266023"/>
      <w:r/>
      <w:bookmarkStart w:id="121" w:name="_Toc120614217"/>
      <w:r/>
      <w:bookmarkStart w:id="122" w:name="_Toc20823296"/>
      <w:r/>
      <w:bookmarkStart w:id="123" w:name="_Toc16938540"/>
      <w:r/>
      <w:bookmarkStart w:id="124" w:name="_Toc513029224"/>
      <w:r>
        <w:rPr>
          <w:rFonts w:hint="eastAsia" w:ascii="宋体" w:hAnsi="宋体" w:eastAsia="宋体" w:cs="宋体"/>
          <w:b/>
          <w:bCs/>
          <w:color w:val="000000" w:themeColor="text1"/>
          <w:sz w:val="28"/>
          <w:szCs w:val="28"/>
          <w:highlight w:val="none"/>
          <w14:textFill>
            <w14:solidFill>
              <w14:schemeClr w14:val="tx1"/>
            </w14:solidFill>
          </w14:textFill>
        </w:rPr>
        <w:t xml:space="preserve">四、投标文件的制作、上传、递交</w:t>
      </w:r>
      <w:bookmarkEnd w:id="115"/>
      <w:r/>
      <w:bookmarkEnd w:id="116"/>
      <w:r/>
      <w:bookmarkEnd w:id="117"/>
      <w:r/>
      <w:bookmarkEnd w:id="118"/>
      <w:r/>
      <w:bookmarkEnd w:id="119"/>
      <w:r/>
      <w:bookmarkEnd w:id="120"/>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19．投标文件的递交</w:t>
      </w:r>
      <w:r/>
    </w:p>
    <w:p>
      <w:pPr>
        <w:pStyle w:val="1363"/>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19.1 电子投标文件的递交</w:t>
      </w:r>
      <w:r/>
    </w:p>
    <w:p>
      <w:pPr>
        <w:pStyle w:val="1363"/>
        <w:ind w:firstLine="480"/>
        <w:keepLines w:val="0"/>
        <w:keepNext w:val="0"/>
        <w:pageBreakBefore w:val="0"/>
        <w:spacing w:line="520" w:lineRule="exact"/>
        <w:rPr>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投标人应当按照《操作手册》规定，在投标截止时间前制作并上传电子投标文件。</w:t>
      </w:r>
      <w:bookmarkStart w:id="125" w:name="EB5e78b12e89984a20ab881c475623475b"/>
      <w:r/>
      <w:bookmarkEnd w:id="125"/>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26" w:name="_Toc6389298"/>
      <w:r/>
      <w:bookmarkStart w:id="127" w:name="_Toc6388850"/>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20．投标截止</w:t>
      </w:r>
      <w:bookmarkEnd w:id="126"/>
      <w:r/>
      <w:bookmarkEnd w:id="127"/>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时间</w:t>
      </w:r>
      <w:r/>
    </w:p>
    <w:p>
      <w:pPr>
        <w:pStyle w:val="1364"/>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20.1 投标人上传电子投标文件的时间不得迟于招标公告中规定的投标截止时间。</w:t>
      </w:r>
      <w:r/>
    </w:p>
    <w:p>
      <w:pPr>
        <w:pStyle w:val="1364"/>
        <w:ind w:firstLine="480"/>
        <w:keepLines w:val="0"/>
        <w:keepNext w:val="0"/>
        <w:pageBreakBefore w:val="0"/>
        <w:spacing w:line="520" w:lineRule="exact"/>
        <w:rPr>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投标人应充分考虑到网络环境、网络带宽等风险因素，如因投标人自身原因造成的电子投标文件上传不成功由投标人自行承担全部责任。</w:t>
      </w:r>
      <w:bookmarkStart w:id="128" w:name="EB4c6421107b4c4e38bf2769d0237905a7"/>
      <w:r/>
      <w:bookmarkEnd w:id="128"/>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29" w:name="_Toc6389299"/>
      <w:r/>
      <w:bookmarkStart w:id="130" w:name="_Toc6388851"/>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21</w:t>
      </w:r>
      <w:bookmarkEnd w:id="129"/>
      <w:r/>
      <w:bookmarkEnd w:id="130"/>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．投标文件的拒收</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21.1</w:t>
      </w:r>
      <w:bookmarkStart w:id="131" w:name="EBfffe463a2deb4e7cad93cb8e37ffda5e"/>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bookmarkEnd w:id="131"/>
      <w:r>
        <w:rPr>
          <w:rFonts w:hint="eastAsia" w:ascii="宋体" w:hAnsi="宋体" w:cs="宋体"/>
          <w:color w:val="000000" w:themeColor="text1"/>
          <w:sz w:val="24"/>
          <w:szCs w:val="24"/>
          <w:highlight w:val="none"/>
          <w:lang w:eastAsia="zh-CN"/>
          <w14:textFill>
            <w14:solidFill>
              <w14:schemeClr w14:val="tx1"/>
            </w14:solidFill>
          </w14:textFill>
        </w:rPr>
        <w:t xml:space="preserve">苏州润禹工程咨询管理有限公司</w:t>
      </w:r>
      <w:r>
        <w:rPr>
          <w:rFonts w:hint="eastAsia" w:ascii="宋体" w:hAnsi="宋体" w:cs="宋体"/>
          <w:color w:val="000000" w:themeColor="text1"/>
          <w:sz w:val="24"/>
          <w:szCs w:val="24"/>
          <w:highlight w:val="none"/>
          <w14:textFill>
            <w14:solidFill>
              <w14:schemeClr w14:val="tx1"/>
            </w14:solidFill>
          </w14:textFill>
        </w:rPr>
        <w:t xml:space="preserve">拒绝接收在其规定的投标截止时间后递交的任何投标文件。</w:t>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32" w:name="_Toc6389300"/>
      <w:r/>
      <w:bookmarkStart w:id="133" w:name="_Toc6388852"/>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22．投标文件的修改和撤回</w:t>
      </w:r>
      <w:bookmarkEnd w:id="132"/>
      <w:r/>
      <w:bookmarkEnd w:id="133"/>
      <w:r/>
      <w:r/>
    </w:p>
    <w:p>
      <w:pPr>
        <w:pStyle w:val="1365"/>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22.1 投标人在递交投标文件后，可以修改或撤回其投标文件，但这种修改和撤回，必须在规定的投标截止时间前，具体操作方法见《操作手册》。</w:t>
      </w:r>
      <w:r/>
    </w:p>
    <w:p>
      <w:pPr>
        <w:pStyle w:val="1365"/>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22.2 投标人撤回电子投标文件，则认为其不再参与本项目投标活动。</w:t>
      </w:r>
      <w:r/>
    </w:p>
    <w:p>
      <w:pPr>
        <w:pStyle w:val="1365"/>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22.3 在投标截止时间之后，投标人不得对其电子投标文件作任何修改。</w:t>
      </w:r>
      <w:r/>
    </w:p>
    <w:p>
      <w:pPr>
        <w:pStyle w:val="1365"/>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22.4 在投标截止时间至招标文件中规定的投标有效期满之间的这段时间内，投标人不得撤销其投标。</w:t>
      </w:r>
      <w:r/>
    </w:p>
    <w:p>
      <w:pPr>
        <w:pStyle w:val="1365"/>
        <w:ind w:firstLine="480"/>
        <w:keepLines w:val="0"/>
        <w:keepNext w:val="0"/>
        <w:pageBreakBefore w:val="0"/>
        <w:spacing w:line="520" w:lineRule="exact"/>
        <w:rPr>
          <w:rFonts w:ascii="宋体" w:hAnsi="宋体" w:eastAsia="宋体" w:cs="宋体"/>
          <w:bCs/>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22.5 不论投标人中标与否，投标文件均不退回。</w:t>
      </w:r>
      <w:bookmarkEnd w:id="121"/>
      <w:r/>
      <w:bookmarkEnd w:id="122"/>
      <w:r/>
      <w:bookmarkEnd w:id="123"/>
      <w:r/>
      <w:bookmarkEnd w:id="124"/>
      <w:r/>
      <w:bookmarkStart w:id="134" w:name="EB7c302f080cf342679641097daf23b42b"/>
      <w:r/>
      <w:bookmarkEnd w:id="134"/>
      <w:r/>
      <w:r/>
    </w:p>
    <w:p>
      <w:pPr>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pPr>
      <w:r/>
      <w:bookmarkStart w:id="135" w:name="_Toc120614218"/>
      <w:r/>
      <w:bookmarkStart w:id="136" w:name="_Toc54615243"/>
      <w:r/>
      <w:bookmarkStart w:id="137" w:name="_Toc38368124"/>
      <w:r/>
      <w:bookmarkStart w:id="138" w:name="_Toc16938545"/>
      <w:r/>
      <w:bookmarkStart w:id="139" w:name="_Toc15158"/>
      <w:r/>
      <w:bookmarkStart w:id="140" w:name="_Toc513029229"/>
      <w:r/>
      <w:bookmarkStart w:id="141" w:name="_Toc35266024"/>
      <w:r/>
      <w:bookmarkStart w:id="142" w:name="_Toc20823301"/>
      <w:r>
        <w:rPr>
          <w:rFonts w:hint="eastAsia" w:ascii="宋体" w:hAnsi="宋体" w:eastAsia="宋体" w:cs="宋体"/>
          <w:b/>
          <w:bCs/>
          <w:color w:val="000000" w:themeColor="text1"/>
          <w:sz w:val="28"/>
          <w:szCs w:val="28"/>
          <w:highlight w:val="none"/>
          <w14:textFill>
            <w14:solidFill>
              <w14:schemeClr w14:val="tx1"/>
            </w14:solidFill>
          </w14:textFill>
        </w:rPr>
        <w:t xml:space="preserve">五、开标与评标</w:t>
      </w:r>
      <w:bookmarkEnd w:id="135"/>
      <w:r/>
      <w:bookmarkEnd w:id="136"/>
      <w:r/>
      <w:bookmarkEnd w:id="137"/>
      <w:r/>
      <w:bookmarkEnd w:id="138"/>
      <w:r/>
      <w:bookmarkEnd w:id="139"/>
      <w:r/>
      <w:bookmarkEnd w:id="140"/>
      <w:r/>
      <w:bookmarkEnd w:id="141"/>
      <w:r/>
      <w:bookmarkEnd w:id="142"/>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43" w:name="_Toc513029230"/>
      <w:r/>
      <w:bookmarkStart w:id="144" w:name="_Toc16938546"/>
      <w:r/>
      <w:bookmarkStart w:id="145" w:name="_Toc20823302"/>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23．开标</w:t>
      </w:r>
      <w:bookmarkEnd w:id="143"/>
      <w:r/>
      <w:bookmarkEnd w:id="144"/>
      <w:r/>
      <w:bookmarkEnd w:id="145"/>
      <w:r/>
      <w:r/>
    </w:p>
    <w:p>
      <w:pPr>
        <w:pStyle w:val="1366"/>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23.1 </w:t>
      </w:r>
      <w:r>
        <w:rPr>
          <w:rStyle w:val="1358"/>
          <w:rFonts w:hint="eastAsia" w:ascii="宋体" w:hAnsi="宋体" w:eastAsia="宋体" w:cs="宋体"/>
          <w:color w:val="000000" w:themeColor="text1"/>
          <w:sz w:val="24"/>
          <w:szCs w:val="24"/>
          <w:highlight w:val="none"/>
          <w:lang w:eastAsia="zh-CN"/>
          <w14:textFill>
            <w14:solidFill>
              <w14:schemeClr w14:val="tx1"/>
            </w14:solidFill>
          </w14:textFill>
        </w:rPr>
        <w:t xml:space="preserve">苏州润禹工程咨询管理有限公司</w:t>
      </w:r>
      <w:r>
        <w:rPr>
          <w:rStyle w:val="1358"/>
          <w:rFonts w:hint="eastAsia" w:ascii="宋体" w:hAnsi="宋体" w:eastAsia="宋体" w:cs="宋体"/>
          <w:color w:val="000000" w:themeColor="text1"/>
          <w:sz w:val="24"/>
          <w:szCs w:val="24"/>
          <w:highlight w:val="none"/>
          <w14:textFill>
            <w14:solidFill>
              <w14:schemeClr w14:val="tx1"/>
            </w14:solidFill>
          </w14:textFill>
        </w:rPr>
        <w:t xml:space="preserve">将在招标公告中规定的时间和地点组织公开开标。投标人应当按照《操作手册》规定，参加开标活动和</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Style w:val="1358"/>
          <w:rFonts w:hint="eastAsia" w:ascii="宋体" w:hAnsi="宋体" w:eastAsia="宋体" w:cs="宋体"/>
          <w:color w:val="000000" w:themeColor="text1"/>
          <w:sz w:val="24"/>
          <w:szCs w:val="24"/>
          <w:highlight w:val="none"/>
          <w14:textFill>
            <w14:solidFill>
              <w14:schemeClr w14:val="tx1"/>
            </w14:solidFill>
          </w14:textFill>
        </w:rPr>
        <w:t xml:space="preserve">规定的时间内对投标文件进行解密。</w:t>
      </w:r>
      <w:r/>
    </w:p>
    <w:p>
      <w:pPr>
        <w:pStyle w:val="1366"/>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23.2 开标仪式由</w:t>
      </w:r>
      <w:r>
        <w:rPr>
          <w:rStyle w:val="1358"/>
          <w:rFonts w:hint="eastAsia" w:ascii="宋体" w:hAnsi="宋体" w:eastAsia="宋体" w:cs="宋体"/>
          <w:color w:val="000000" w:themeColor="text1"/>
          <w:sz w:val="24"/>
          <w:szCs w:val="24"/>
          <w:highlight w:val="none"/>
          <w:lang w:eastAsia="zh-CN"/>
          <w14:textFill>
            <w14:solidFill>
              <w14:schemeClr w14:val="tx1"/>
            </w14:solidFill>
          </w14:textFill>
        </w:rPr>
        <w:t xml:space="preserve">苏州润禹工程咨询管理有限公司</w:t>
      </w:r>
      <w:r>
        <w:rPr>
          <w:rStyle w:val="1358"/>
          <w:rFonts w:hint="eastAsia" w:ascii="宋体" w:hAnsi="宋体" w:eastAsia="宋体" w:cs="宋体"/>
          <w:color w:val="000000" w:themeColor="text1"/>
          <w:sz w:val="24"/>
          <w:szCs w:val="24"/>
          <w:highlight w:val="none"/>
          <w14:textFill>
            <w14:solidFill>
              <w14:schemeClr w14:val="tx1"/>
            </w14:solidFill>
          </w14:textFill>
        </w:rPr>
        <w:t xml:space="preserve">主持，</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Style w:val="1358"/>
          <w:rFonts w:hint="eastAsia" w:ascii="宋体" w:hAnsi="宋体" w:eastAsia="宋体" w:cs="宋体"/>
          <w:color w:val="000000" w:themeColor="text1"/>
          <w:sz w:val="24"/>
          <w:szCs w:val="24"/>
          <w:highlight w:val="none"/>
          <w14:textFill>
            <w14:solidFill>
              <w14:schemeClr w14:val="tx1"/>
            </w14:solidFill>
          </w14:textFill>
        </w:rPr>
        <w:t xml:space="preserve">将自动对项目进行开标，宣布投标人名称、投标价格和招标文件规定的需要宣布的其他内容。</w:t>
      </w:r>
      <w:r/>
    </w:p>
    <w:p>
      <w:pPr>
        <w:pStyle w:val="1366"/>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23.3 投标人在开标过程中涉及到的投标文件解密等工作，应按照《操作手册》规定执行。</w:t>
      </w:r>
      <w:bookmarkStart w:id="146" w:name="EB45a41a7a147945c0bb92535f2d40058d"/>
      <w:r/>
      <w:bookmarkEnd w:id="146"/>
      <w:r/>
      <w:bookmarkStart w:id="147" w:name="_Toc20823303"/>
      <w:r/>
      <w:bookmarkStart w:id="148" w:name="_Toc513029231"/>
      <w:r/>
      <w:bookmarkStart w:id="149" w:name="_Toc16938547"/>
      <w:r/>
      <w:r/>
    </w:p>
    <w:p>
      <w:pPr>
        <w:pStyle w:val="1366"/>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23.4 投标人如果对开标过程和开标记录有疑义，应当根据《操作手册》规定提出。</w:t>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24．评标委员会</w:t>
      </w:r>
      <w:r/>
    </w:p>
    <w:p>
      <w:pPr>
        <w:ind w:firstLine="480"/>
        <w:keepLines w:val="0"/>
        <w:keepNext w:val="0"/>
        <w:pageBreakBefore w:val="0"/>
        <w:spacing w:line="52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开标后，</w:t>
      </w:r>
      <w:r>
        <w:rPr>
          <w:rFonts w:hint="eastAsia" w:ascii="宋体" w:hAnsi="宋体" w:cs="宋体"/>
          <w:color w:val="000000" w:themeColor="text1"/>
          <w:sz w:val="24"/>
          <w:szCs w:val="24"/>
          <w:highlight w:val="none"/>
          <w:lang w:eastAsia="zh-CN"/>
          <w14:textFill>
            <w14:solidFill>
              <w14:schemeClr w14:val="tx1"/>
            </w14:solidFill>
          </w14:textFill>
        </w:rPr>
        <w:t xml:space="preserve">苏州润禹工程咨询管理有限公司</w:t>
      </w:r>
      <w:r>
        <w:rPr>
          <w:rFonts w:hint="eastAsia" w:ascii="宋体" w:hAnsi="宋体" w:cs="宋体"/>
          <w:color w:val="000000" w:themeColor="text1"/>
          <w:sz w:val="24"/>
          <w:szCs w:val="24"/>
          <w:highlight w:val="none"/>
          <w14:textFill>
            <w14:solidFill>
              <w14:schemeClr w14:val="tx1"/>
            </w14:solidFill>
          </w14:textFill>
        </w:rPr>
        <w:t xml:space="preserve">将立即组织评标委员会（以下简称评委会）进行评标。</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 评委会由评审专家、采购人代表组成，且人员构成符合政府采购有关规定。</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24.3</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评委会应以科学、公正的态度参加评审工作并推荐中标候选人。评审专家和采购人代表在评审过程中不受任何干扰，独立、负责地提出评审意见，并对自己的评审意见承担责任。</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24.4</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评委会将对投标人的商业、技术秘密予以保密。</w:t>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25．评标过程的保密</w:t>
      </w:r>
      <w:bookmarkEnd w:id="147"/>
      <w:r/>
      <w:bookmarkEnd w:id="148"/>
      <w:r/>
      <w:bookmarkEnd w:id="149"/>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与公正</w:t>
      </w:r>
      <w:r/>
    </w:p>
    <w:p>
      <w:pPr>
        <w:ind w:firstLine="480"/>
        <w:keepLines w:val="0"/>
        <w:keepNext w:val="0"/>
        <w:pageBreakBefore w:val="0"/>
        <w:spacing w:line="52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25.1</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公开开标后，直至向中标的投标人授予合同时止，凡是与审查、澄清、评价和比较投标的有关资料以及授标建议等，均不得向投标人或与评标无关的其他人员透露。</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25.2</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在评标过程中，如果投标人试图向</w:t>
      </w:r>
      <w:r>
        <w:rPr>
          <w:rFonts w:hint="eastAsia" w:ascii="宋体" w:hAnsi="宋体" w:cs="宋体"/>
          <w:color w:val="000000" w:themeColor="text1"/>
          <w:sz w:val="24"/>
          <w:szCs w:val="24"/>
          <w:highlight w:val="none"/>
          <w:lang w:eastAsia="zh-CN"/>
          <w14:textFill>
            <w14:solidFill>
              <w14:schemeClr w14:val="tx1"/>
            </w14:solidFill>
          </w14:textFill>
        </w:rPr>
        <w:t xml:space="preserve">苏州润禹工程咨询管理有限公司</w:t>
      </w:r>
      <w:r>
        <w:rPr>
          <w:rFonts w:hint="eastAsia" w:ascii="宋体" w:hAnsi="宋体" w:cs="宋体"/>
          <w:color w:val="000000" w:themeColor="text1"/>
          <w:sz w:val="24"/>
          <w:szCs w:val="24"/>
          <w:highlight w:val="none"/>
          <w14:textFill>
            <w14:solidFill>
              <w14:schemeClr w14:val="tx1"/>
            </w14:solidFill>
          </w14:textFill>
        </w:rPr>
        <w:t xml:space="preserve">和参与评标的人员施加任何影响，都将会导致其投标被拒绝。</w:t>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50" w:name="_Toc513029232"/>
      <w:r/>
      <w:bookmarkStart w:id="151" w:name="_Toc16938548"/>
      <w:r/>
      <w:bookmarkStart w:id="152" w:name="_Toc20823304"/>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26．投标的澄清</w:t>
      </w:r>
      <w:bookmarkEnd w:id="150"/>
      <w:r/>
      <w:bookmarkEnd w:id="151"/>
      <w:r/>
      <w:bookmarkEnd w:id="152"/>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 评标期间，评委会对投标文件中含义不明确、同类问题表述不一致或者有明显文字和计算错误的内容等，有权要求投标人作出必要的澄清、说明或者更正。</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投标人的澄清、说明或者更正不得超出投标文件的范围或者改变投标文件的实质性内容。</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评委会并非对每个供应商都作澄清要求。</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26.2</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需要投标人进行澄清、说明和更正的，评委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接到评委会澄清要求的投标人如未按规定做出澄清，其风险由投标人自行承担。</w:t>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53" w:name="_Toc20823305"/>
      <w:r/>
      <w:bookmarkStart w:id="154" w:name="_Toc16938549"/>
      <w:r/>
      <w:bookmarkStart w:id="155" w:name="_Toc513029233"/>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27</w:t>
      </w:r>
      <w:bookmarkEnd w:id="153"/>
      <w:r/>
      <w:bookmarkEnd w:id="154"/>
      <w:r/>
      <w:bookmarkEnd w:id="155"/>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．对投标文件的初审</w:t>
      </w:r>
      <w:r/>
    </w:p>
    <w:p>
      <w:pPr>
        <w:ind w:firstLine="480"/>
        <w:jc w:val="left"/>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投标文件初审分为资格审查和符合性审查。</w:t>
      </w:r>
      <w:r/>
    </w:p>
    <w:p>
      <w:pPr>
        <w:ind w:firstLine="480"/>
        <w:keepLines w:val="0"/>
        <w:keepNext w:val="0"/>
        <w:pageBreakBefore w:val="0"/>
        <w:spacing w:line="52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27.1.1</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资格性审查</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采购人或者采购代理机构依法对投标人的资格进行审查。</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lang w:val="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1.1</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关于信用查询：</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lang w:val="zh-CN"/>
          <w14:textFill>
            <w14:solidFill>
              <w14:schemeClr w14:val="tx1"/>
            </w14:solidFill>
          </w14:textFill>
        </w:rPr>
        <w:t xml:space="preserve">.1.1.1.1</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lang w:val="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1.1.2</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查询时间：投标文件递交截止时间。</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lang w:val="zh-CN"/>
          <w14:textFill>
            <w14:solidFill>
              <w14:schemeClr w14:val="tx1"/>
            </w14:solidFill>
          </w14:textFill>
        </w:rPr>
        <w:t xml:space="preserve">.1.1.1.</w:t>
      </w: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查询渠道：将在“信用中国”网站（www.creditchina.gov.cn）查询</w:t>
      </w:r>
      <w:r>
        <w:rPr>
          <w:rFonts w:hint="eastAsia" w:ascii="宋体" w:hAnsi="宋体" w:cs="宋体"/>
          <w:color w:val="000000" w:themeColor="text1"/>
          <w:sz w:val="24"/>
          <w:szCs w:val="24"/>
          <w:highlight w:val="none"/>
          <w14:textFill>
            <w14:solidFill>
              <w14:schemeClr w14:val="tx1"/>
            </w14:solidFill>
          </w14:textFill>
        </w:rPr>
        <w:t xml:space="preserve">投标人</w:t>
      </w:r>
      <w:r>
        <w:rPr>
          <w:rFonts w:hint="eastAsia" w:ascii="宋体" w:hAnsi="宋体" w:cs="宋体"/>
          <w:color w:val="000000" w:themeColor="text1"/>
          <w:sz w:val="24"/>
          <w:szCs w:val="24"/>
          <w:highlight w:val="none"/>
          <w:lang w:val="zh-CN"/>
          <w14:textFill>
            <w14:solidFill>
              <w14:schemeClr w14:val="tx1"/>
            </w14:solidFill>
          </w14:textFill>
        </w:rPr>
        <w:t xml:space="preserve">的信用记录，以确定</w:t>
      </w:r>
      <w:r>
        <w:rPr>
          <w:rFonts w:hint="eastAsia" w:ascii="宋体" w:hAnsi="宋体" w:cs="宋体"/>
          <w:color w:val="000000" w:themeColor="text1"/>
          <w:sz w:val="24"/>
          <w:szCs w:val="24"/>
          <w:highlight w:val="none"/>
          <w14:textFill>
            <w14:solidFill>
              <w14:schemeClr w14:val="tx1"/>
            </w14:solidFill>
          </w14:textFill>
        </w:rPr>
        <w:t xml:space="preserve">投标人</w:t>
      </w:r>
      <w:r>
        <w:rPr>
          <w:rFonts w:hint="eastAsia" w:ascii="宋体" w:hAnsi="宋体" w:cs="宋体"/>
          <w:color w:val="000000" w:themeColor="text1"/>
          <w:sz w:val="24"/>
          <w:szCs w:val="24"/>
          <w:highlight w:val="none"/>
          <w:lang w:val="zh-CN"/>
          <w14:textFill>
            <w14:solidFill>
              <w14:schemeClr w14:val="tx1"/>
            </w14:solidFill>
          </w14:textFill>
        </w:rPr>
        <w:t xml:space="preserve">是否具备</w:t>
      </w:r>
      <w:r>
        <w:rPr>
          <w:rFonts w:hint="eastAsia" w:ascii="宋体" w:hAnsi="宋体" w:cs="宋体"/>
          <w:color w:val="000000" w:themeColor="text1"/>
          <w:sz w:val="24"/>
          <w:szCs w:val="24"/>
          <w:highlight w:val="none"/>
          <w14:textFill>
            <w14:solidFill>
              <w14:schemeClr w14:val="tx1"/>
            </w14:solidFill>
          </w14:textFill>
        </w:rPr>
        <w:t xml:space="preserve">投标</w:t>
      </w:r>
      <w:r>
        <w:rPr>
          <w:rFonts w:hint="eastAsia" w:ascii="宋体" w:hAnsi="宋体" w:cs="宋体"/>
          <w:color w:val="000000" w:themeColor="text1"/>
          <w:sz w:val="24"/>
          <w:szCs w:val="24"/>
          <w:highlight w:val="none"/>
          <w:lang w:val="zh-CN"/>
          <w14:textFill>
            <w14:solidFill>
              <w14:schemeClr w14:val="tx1"/>
            </w14:solidFill>
          </w14:textFill>
        </w:rPr>
        <w:t xml:space="preserve">资格，查询结果留存并归档。</w:t>
      </w:r>
      <w:r/>
    </w:p>
    <w:p>
      <w:pPr>
        <w:ind w:firstLine="480"/>
        <w:keepLines w:val="0"/>
        <w:keepNext w:val="0"/>
        <w:pageBreakBefore w:val="0"/>
        <w:spacing w:line="52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27.1.2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符合性审查：</w:t>
      </w:r>
      <w:r/>
    </w:p>
    <w:p>
      <w:pPr>
        <w:ind w:firstLine="480"/>
        <w:keepLines w:val="0"/>
        <w:keepNext w:val="0"/>
        <w:pageBreakBefore w:val="0"/>
        <w:spacing w:line="52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依据招标文件的规定，由评委会对投标文件进行审查，以确定是否对招标文件的实质性要求作出响应。</w:t>
      </w:r>
      <w:r/>
    </w:p>
    <w:p>
      <w:pPr>
        <w:ind w:firstLine="480"/>
        <w:keepLines w:val="0"/>
        <w:keepNext w:val="0"/>
        <w:pageBreakBefore w:val="0"/>
        <w:spacing w:line="52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27.1.3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2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cs="宋体"/>
          <w:bCs/>
          <w:color w:val="000000" w:themeColor="text1"/>
          <w:sz w:val="24"/>
          <w:szCs w:val="24"/>
          <w:highlight w:val="none"/>
          <w14:textFill>
            <w14:solidFill>
              <w14:schemeClr w14:val="tx1"/>
            </w14:solidFill>
          </w14:textFill>
        </w:rPr>
        <w:t xml:space="preserve">评委会决定投标文件的响应性只根据投标文件本身的内容，而不寻求外部的证据。</w:t>
      </w:r>
      <w:r/>
    </w:p>
    <w:p>
      <w:pPr>
        <w:ind w:firstLine="480"/>
        <w:keepLines w:val="0"/>
        <w:keepNext w:val="0"/>
        <w:pageBreakBefore w:val="0"/>
        <w:spacing w:line="52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27.3 </w:t>
      </w:r>
      <w:r>
        <w:rPr>
          <w:rFonts w:hint="eastAsia" w:ascii="宋体" w:hAnsi="宋体" w:cs="宋体"/>
          <w:bCs/>
          <w:color w:val="000000" w:themeColor="text1"/>
          <w:sz w:val="24"/>
          <w:szCs w:val="24"/>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52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27.4 投标文件报价出现前后不一致的，按下列规定修正：</w:t>
      </w:r>
      <w:r/>
    </w:p>
    <w:p>
      <w:pPr>
        <w:ind w:firstLine="480"/>
        <w:jc w:val="left"/>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jc w:val="left"/>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（2）大写金额和小写金额不一致的，以大写金额为准；</w:t>
      </w:r>
      <w:r/>
    </w:p>
    <w:p>
      <w:pPr>
        <w:ind w:firstLine="480"/>
        <w:jc w:val="left"/>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80"/>
        <w:jc w:val="left"/>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ind w:firstLine="480"/>
        <w:jc w:val="left"/>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同时出现两种以上不一致的，按照前款规定的顺序修正。修正后的报价按照财政部87号令第五十一条第二款的规定经投标人确认后产生约束力。</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27.5 评委会将允许修正投标文件中不构成重大偏离的、微小的、非正规的、不一致的或不规则的地方，但这些修改不能影响任何投标人相应的名次排列。</w:t>
      </w:r>
      <w:r/>
    </w:p>
    <w:p>
      <w:pPr>
        <w:pStyle w:val="1367"/>
        <w:ind w:firstLine="480"/>
        <w:keepLines w:val="0"/>
        <w:keepNext w:val="0"/>
        <w:pageBreakBefore w:val="0"/>
        <w:spacing w:line="520" w:lineRule="exact"/>
        <w:rPr>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27.6 投标人在开、评标全过程中应保持通讯畅通，并安排专人与采购代理机构及评标委员会联系。</w:t>
      </w:r>
      <w:bookmarkStart w:id="156" w:name="EB8e3ec86c09a94dac9cc9034e6027ee19"/>
      <w:r/>
      <w:bookmarkEnd w:id="156"/>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57" w:name="_Toc20823306"/>
      <w:r/>
      <w:bookmarkStart w:id="158" w:name="_Toc513029234"/>
      <w:r/>
      <w:bookmarkStart w:id="159" w:name="_Toc16938550"/>
      <w:r/>
      <w:bookmarkStart w:id="160" w:name="_Toc200451960"/>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28</w:t>
      </w:r>
      <w:bookmarkEnd w:id="157"/>
      <w:r/>
      <w:bookmarkEnd w:id="158"/>
      <w:r/>
      <w:bookmarkEnd w:id="159"/>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．无效投标条款和废标条款</w:t>
      </w:r>
      <w:r/>
    </w:p>
    <w:p>
      <w:pPr>
        <w:pStyle w:val="1368"/>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 无效投标条款</w:t>
      </w:r>
      <w:r/>
    </w:p>
    <w:p>
      <w:pPr>
        <w:pStyle w:val="1368"/>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28.1.1 投标人未按照招标文件要求上传电子投标文件的；</w:t>
      </w:r>
      <w:r/>
    </w:p>
    <w:p>
      <w:pPr>
        <w:pStyle w:val="1368"/>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28.1.2 投标人在规定时间内不解密投标文件或未成功解密投标文件的（因系统原因导致的除外)；</w:t>
      </w:r>
      <w:r/>
    </w:p>
    <w:p>
      <w:pPr>
        <w:pStyle w:val="1368"/>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28.1.3 投标文件中没有《开标一览表》或《开标一览表》未加盖投标人公章的；</w:t>
      </w:r>
      <w:r/>
    </w:p>
    <w:p>
      <w:pPr>
        <w:pStyle w:val="1368"/>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28.1.4 投标文件中任何有选择的报价；</w:t>
      </w:r>
      <w:r/>
    </w:p>
    <w:p>
      <w:pPr>
        <w:pStyle w:val="1368"/>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28.1.5 投标文件报价出现前后不一致的，按招标文件规定修正后投标人不确认的；</w:t>
      </w:r>
      <w:r/>
    </w:p>
    <w:p>
      <w:pPr>
        <w:pStyle w:val="1368"/>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28.1.6 不同投标人的投标文件由同一单位或者个人编制；</w:t>
      </w:r>
      <w:r/>
    </w:p>
    <w:p>
      <w:pPr>
        <w:pStyle w:val="1368"/>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28.1.7 不同投标人委托同一单位或者个人办理投标事宜；</w:t>
      </w:r>
      <w:r/>
    </w:p>
    <w:p>
      <w:pPr>
        <w:pStyle w:val="1368"/>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28.1.8 不同投标人的投标文件载明的项目管理成员或者联系人员为同一人；</w:t>
      </w:r>
      <w:r/>
    </w:p>
    <w:p>
      <w:pPr>
        <w:pStyle w:val="1368"/>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28.1.9 不同投标人的投标文件异常一致或者投标报价呈规律性差异；</w:t>
      </w:r>
      <w:r/>
    </w:p>
    <w:p>
      <w:pPr>
        <w:pStyle w:val="1368"/>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28.1.10 不同投标人的投标文件制作机器码一致的；</w:t>
      </w:r>
      <w:r/>
    </w:p>
    <w:p>
      <w:pPr>
        <w:pStyle w:val="1368"/>
        <w:ind w:firstLine="480"/>
        <w:keepLines w:val="0"/>
        <w:keepNext w:val="0"/>
        <w:pageBreakBefore w:val="0"/>
        <w:spacing w:line="520" w:lineRule="exact"/>
        <w:rPr>
          <w:rStyle w:val="1358"/>
          <w:rFonts w:hint="eastAsia"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368"/>
        <w:ind w:firstLine="480"/>
        <w:keepLines w:val="0"/>
        <w:keepNext w:val="0"/>
        <w:pageBreakBefore w:val="0"/>
        <w:spacing w:line="520" w:lineRule="exact"/>
        <w:rPr>
          <w:rStyle w:val="1358"/>
          <w:rFonts w:hint="eastAsia"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368"/>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pStyle w:val="1369"/>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28.1.14 不同供应商的单位负责人为同一人或者存在直接控股、管理关系的；</w:t>
      </w:r>
      <w:r/>
    </w:p>
    <w:p>
      <w:pPr>
        <w:pStyle w:val="1369"/>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28.1.15 为采购项目提供整体设计、规范编制或者项目管理、监理、检测等服务的；</w:t>
      </w:r>
      <w:r/>
    </w:p>
    <w:p>
      <w:pPr>
        <w:pStyle w:val="1369"/>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28.1.16 资格证明文件中要求加盖公章而未加盖公章的；</w:t>
      </w:r>
      <w:r/>
    </w:p>
    <w:p>
      <w:pPr>
        <w:pStyle w:val="1369"/>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28.1.17 投标文件未按招标文件要求签署、盖章的；</w:t>
      </w:r>
      <w:r/>
    </w:p>
    <w:p>
      <w:pPr>
        <w:pStyle w:val="1369"/>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28.1.18 不具备招标文件中规定的资格要求或未按招标文件规定的要求提供资格证明文件的；</w:t>
      </w:r>
      <w:r/>
    </w:p>
    <w:p>
      <w:pPr>
        <w:pStyle w:val="1369"/>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28.1.19 报价超过招标文件中规定的预算金额或者最高限价的；</w:t>
      </w:r>
      <w:r/>
    </w:p>
    <w:p>
      <w:pPr>
        <w:pStyle w:val="1369"/>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28.1.20 投标文件含有采购人不能接受的附加条件的；</w:t>
      </w:r>
      <w:r/>
    </w:p>
    <w:p>
      <w:pPr>
        <w:pStyle w:val="1369"/>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28.1.21 不响应招标文件中规定的实质性要求的（本招标文件中斜体且有下划线部分为实质性要求）；</w:t>
      </w:r>
      <w:r/>
    </w:p>
    <w:p>
      <w:pPr>
        <w:pStyle w:val="1369"/>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28.1.22 法律、法规和采购文件规定的其他无效情形；</w:t>
      </w:r>
      <w:r/>
    </w:p>
    <w:p>
      <w:pPr>
        <w:pStyle w:val="1370"/>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28.2 废标条款：</w:t>
      </w:r>
      <w:r/>
    </w:p>
    <w:p>
      <w:pPr>
        <w:pStyle w:val="1370"/>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(1)符合专业条件的供应商或者对招标文件作实质响应的供应商不足三家的； </w:t>
      </w:r>
      <w:r/>
    </w:p>
    <w:p>
      <w:pPr>
        <w:pStyle w:val="1370"/>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pStyle w:val="1370"/>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(3)投标人的报价均超过了采购预算，采购人不能支付的；</w:t>
      </w:r>
      <w:r/>
    </w:p>
    <w:p>
      <w:pPr>
        <w:pStyle w:val="1370"/>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(4)因重大变故，采购任务取消的。</w:t>
      </w:r>
      <w:r/>
    </w:p>
    <w:p>
      <w:pPr>
        <w:pStyle w:val="1370"/>
        <w:ind w:firstLine="480"/>
        <w:keepLines w:val="0"/>
        <w:keepNext w:val="0"/>
        <w:pageBreakBefore w:val="0"/>
        <w:spacing w:line="520" w:lineRule="exact"/>
        <w:rPr>
          <w:rStyle w:val="1358"/>
          <w:rFonts w:ascii="宋体" w:hAnsi="宋体" w:eastAsia="宋体" w:cs="宋体"/>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28.3 投标截止时间结束后参加投标的供应商不足三家的处理：</w:t>
      </w:r>
      <w:r/>
    </w:p>
    <w:p>
      <w:pPr>
        <w:pStyle w:val="1370"/>
        <w:ind w:firstLine="480"/>
        <w:keepLines w:val="0"/>
        <w:keepNext w:val="0"/>
        <w:pageBreakBefore w:val="0"/>
        <w:spacing w:line="520" w:lineRule="exact"/>
        <w:rPr>
          <w:rFonts w:ascii="宋体" w:hAnsi="宋体" w:eastAsia="宋体" w:cs="宋体"/>
          <w:bCs/>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28.3.1 如出现投标截止时间结束后参加投标的供应商或者在评标期间对招标文件做出实质响应的供应商不足三家情况，按财政部第87号令第四十三条的规定执行。</w:t>
      </w:r>
      <w:bookmarkStart w:id="161" w:name="EB369a3ca3706348fd9a6451dab4968a5b"/>
      <w:r/>
      <w:bookmarkEnd w:id="161"/>
      <w:r/>
      <w:r/>
    </w:p>
    <w:p>
      <w:pPr>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pPr>
      <w:r/>
      <w:bookmarkStart w:id="162" w:name="_Toc513029235"/>
      <w:r/>
      <w:bookmarkStart w:id="163" w:name="_Toc16938551"/>
      <w:r/>
      <w:bookmarkStart w:id="164" w:name="_Toc20823307"/>
      <w:r/>
      <w:bookmarkStart w:id="165" w:name="_Toc35266025"/>
      <w:r/>
      <w:bookmarkStart w:id="166" w:name="_Toc12744"/>
      <w:r/>
      <w:bookmarkStart w:id="167" w:name="_Toc38368125"/>
      <w:r/>
      <w:bookmarkStart w:id="168" w:name="_Toc54615244"/>
      <w:r/>
      <w:bookmarkStart w:id="169" w:name="_Toc120614219"/>
      <w:r>
        <w:rPr>
          <w:rFonts w:hint="eastAsia" w:ascii="宋体" w:hAnsi="宋体" w:eastAsia="宋体" w:cs="宋体"/>
          <w:b/>
          <w:bCs/>
          <w:color w:val="000000" w:themeColor="text1"/>
          <w:sz w:val="28"/>
          <w:szCs w:val="28"/>
          <w:highlight w:val="none"/>
          <w14:textFill>
            <w14:solidFill>
              <w14:schemeClr w14:val="tx1"/>
            </w14:solidFill>
          </w14:textFill>
        </w:rPr>
        <w:t xml:space="preserve">六、</w:t>
      </w:r>
      <w:bookmarkEnd w:id="162"/>
      <w:r/>
      <w:bookmarkEnd w:id="163"/>
      <w:r/>
      <w:bookmarkEnd w:id="164"/>
      <w:r>
        <w:rPr>
          <w:rFonts w:hint="eastAsia" w:ascii="宋体" w:hAnsi="宋体" w:eastAsia="宋体" w:cs="宋体"/>
          <w:b/>
          <w:bCs/>
          <w:color w:val="000000" w:themeColor="text1"/>
          <w:sz w:val="28"/>
          <w:szCs w:val="28"/>
          <w:highlight w:val="none"/>
          <w14:textFill>
            <w14:solidFill>
              <w14:schemeClr w14:val="tx1"/>
            </w14:solidFill>
          </w14:textFill>
        </w:rPr>
        <w:t xml:space="preserve">定标</w:t>
      </w:r>
      <w:bookmarkEnd w:id="165"/>
      <w:r/>
      <w:bookmarkEnd w:id="166"/>
      <w:r/>
      <w:bookmarkEnd w:id="167"/>
      <w:r/>
      <w:bookmarkEnd w:id="168"/>
      <w:r/>
      <w:bookmarkEnd w:id="169"/>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70" w:name="_Toc513029238"/>
      <w:r/>
      <w:bookmarkStart w:id="171" w:name="_Toc16938554"/>
      <w:r/>
      <w:bookmarkStart w:id="172" w:name="_Toc20823310"/>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29</w:t>
      </w:r>
      <w:bookmarkEnd w:id="170"/>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．确定</w:t>
      </w:r>
      <w:bookmarkEnd w:id="171"/>
      <w:r/>
      <w:bookmarkEnd w:id="172"/>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中标单位</w:t>
      </w:r>
      <w:r/>
    </w:p>
    <w:p>
      <w:pPr>
        <w:ind w:firstLine="480"/>
        <w:keepLines w:val="0"/>
        <w:keepNext w:val="0"/>
        <w:pageBreakBefore w:val="0"/>
        <w:spacing w:line="52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29.1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评委会根据本招标文件规定评标办法与评标标准向采购人推荐出3名中标候选人。</w:t>
      </w:r>
      <w:r/>
    </w:p>
    <w:p>
      <w:pPr>
        <w:pStyle w:val="1371"/>
        <w:ind w:firstLine="508"/>
        <w:keepLines w:val="0"/>
        <w:keepNext w:val="0"/>
        <w:pageBreakBefore w:val="0"/>
        <w:spacing w:line="520" w:lineRule="exact"/>
        <w:rPr>
          <w:rFonts w:ascii="宋体" w:hAnsi="宋体" w:eastAsia="宋体" w:cs="宋体"/>
          <w:bCs/>
          <w:color w:val="000000" w:themeColor="text1"/>
          <w:sz w:val="24"/>
          <w:szCs w:val="24"/>
          <w:highlight w:val="none"/>
          <w14:textFill>
            <w14:solidFill>
              <w14:schemeClr w14:val="tx1"/>
            </w14:solidFill>
          </w14:textFill>
        </w:rPr>
      </w:pPr>
      <w:r>
        <w:rPr>
          <w:rStyle w:val="1358"/>
          <w:rFonts w:hint="eastAsia" w:ascii="宋体" w:hAnsi="宋体" w:eastAsia="宋体" w:cs="宋体"/>
          <w:color w:val="000000" w:themeColor="text1"/>
          <w:sz w:val="24"/>
          <w:szCs w:val="24"/>
          <w:highlight w:val="none"/>
          <w14:textFill>
            <w14:solidFill>
              <w14:schemeClr w14:val="tx1"/>
            </w14:solidFill>
          </w14:textFill>
        </w:rPr>
        <w:t xml:space="preserve">29.2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bookmarkEnd w:id="160"/>
      <w:r/>
      <w:bookmarkStart w:id="173" w:name="EBfa38c9fe4db84c47a946c1558a3ddb8f"/>
      <w:r/>
      <w:bookmarkEnd w:id="173"/>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29.3</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自中标人确定之日起2个工作日内，中标结果将在省级以上财政部门指定的媒体上进行公告，公告期限为1个工作日。</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29.4</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若有充分证据证明，中标人出现下列情况之一的，一经查实，中标无效：</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（1）提供虚假材料谋取中标的；</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（2）采取不正当手段诋毁、排挤其他供应商的；</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（3）与采购人、其他供应商或者采购代理机构恶意串通的；</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（4）向采购人、采购代理机构行贿或者提供其他不正当利益的；</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（5）在招标采购过程中与采购人进行协商谈判的；</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（6）向评标委员会行贿或者提供其他不正当利益。</w:t>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30．</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质疑</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30.1</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30.2</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本次招标文件要求供应商在法定质疑期内一次性提出针对同一采购程序环节的质疑，否则不予受理。</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30.3</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供应商提出质疑应当提交质疑函和必要的证明材料，质疑函应当包括下列内容：</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（1）供应商的姓名或者名称（以提供的营业执照副本复印件为准）、地址、邮编、联系人及联系电话；</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（2）质疑项目的名称、编号；</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（3）具体、明确的质疑事项和与质疑事项相关的请求；</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（4）事实依据；</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（5）必要的法律依据；</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（6）提出质疑的日期。</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供应商提交的质疑函必须按照《政府采购供应商质疑函范本》要求的格式和内容进行填写。</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30.4</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30.5</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接收质疑函的方式：书面形式（当场送达或邮寄方式），具体联系方式祥见招标公告。</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30.6 以下情形的质疑不予受理：</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30.6.1 内容不符合《政府采购质疑和投诉办法》第十二条规定的质疑。</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30.6.2 超出政府采购法定期限的质疑。</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30.6.3 以传真、电子邮件等方式递交的非原件形式的质疑。</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30.6.4 未参加投标活动的供应商或在投标活动中自身权益未受到损害的供应商所提出的质疑。</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30.6.5</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供应商组成联合体参加投标，联合体中任何一方或多方未按要求签字、盖章、加盖公章的质疑。</w:t>
      </w:r>
      <w:r/>
    </w:p>
    <w:p>
      <w:pPr>
        <w:ind w:firstLine="480"/>
        <w:keepLines w:val="0"/>
        <w:keepNext w:val="0"/>
        <w:pageBreakBefore w:val="0"/>
        <w:spacing w:line="52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30.7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31．中标通知书</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31.l</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在中标结果确定后2个工作日内，</w:t>
      </w:r>
      <w:r>
        <w:rPr>
          <w:rFonts w:hint="eastAsia" w:ascii="宋体" w:hAnsi="宋体" w:cs="宋体"/>
          <w:color w:val="000000" w:themeColor="text1"/>
          <w:sz w:val="24"/>
          <w:szCs w:val="24"/>
          <w:highlight w:val="none"/>
          <w:lang w:eastAsia="zh-CN"/>
          <w14:textFill>
            <w14:solidFill>
              <w14:schemeClr w14:val="tx1"/>
            </w14:solidFill>
          </w14:textFill>
        </w:rPr>
        <w:t xml:space="preserve">苏州润禹工程咨询管理有限公司</w:t>
      </w:r>
      <w:r>
        <w:rPr>
          <w:rFonts w:hint="eastAsia" w:ascii="宋体" w:hAnsi="宋体" w:cs="宋体"/>
          <w:color w:val="000000" w:themeColor="text1"/>
          <w:sz w:val="24"/>
          <w:szCs w:val="24"/>
          <w:highlight w:val="none"/>
          <w14:textFill>
            <w14:solidFill>
              <w14:schemeClr w14:val="tx1"/>
            </w14:solidFill>
          </w14:textFill>
        </w:rPr>
        <w:t xml:space="preserve">向中标供应商发出中标通知书。</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31.2 中标通知书将是合同的一个组成部分。对采购人和中标供应商均具有法律效力。中标通知书发出后，采购人改变中标结果的，或者中标供应商放弃中标项目的，应当依法承担法律责任。</w:t>
      </w:r>
      <w:r/>
    </w:p>
    <w:p>
      <w:pPr>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pPr>
      <w:r/>
      <w:bookmarkStart w:id="174" w:name="_Toc3165"/>
      <w:r>
        <w:rPr>
          <w:rFonts w:hint="eastAsia" w:ascii="宋体" w:hAnsi="宋体" w:eastAsia="宋体" w:cs="宋体"/>
          <w:b/>
          <w:bCs/>
          <w:color w:val="000000" w:themeColor="text1"/>
          <w:sz w:val="28"/>
          <w:szCs w:val="28"/>
          <w:highlight w:val="none"/>
          <w14:textFill>
            <w14:solidFill>
              <w14:schemeClr w14:val="tx1"/>
            </w14:solidFill>
          </w14:textFill>
        </w:rPr>
        <w:t xml:space="preserve">七、授予合同</w:t>
      </w:r>
      <w:bookmarkEnd w:id="174"/>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32．签订合同</w:t>
      </w:r>
      <w:r/>
    </w:p>
    <w:p>
      <w:pPr>
        <w:ind w:firstLine="480"/>
        <w:keepLines w:val="0"/>
        <w:keepNext w:val="0"/>
        <w:pageBreakBefore w:val="0"/>
        <w:spacing w:line="52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32.l</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中标人应按中标通知书规定的时间、地点,按照招标文件确定的事项与采购人签订政府采购合同，且原则上不得迟于中标通知书发出之日起十五日，否则给采购人造成损失的，中标人应承担赔偿责任。</w:t>
      </w:r>
      <w:r/>
    </w:p>
    <w:p>
      <w:pPr>
        <w:ind w:firstLine="480"/>
        <w:keepLines w:val="0"/>
        <w:keepNext w:val="0"/>
        <w:pageBreakBefore w:val="0"/>
        <w:spacing w:line="52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32.2 招标文件、中标人的投标文件及招标过程中有关澄清、承诺文件均应作为合同附件。</w:t>
      </w:r>
      <w:r/>
    </w:p>
    <w:p>
      <w:pPr>
        <w:ind w:firstLine="480"/>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32.3 签订合同后，中标人不得将合同标的进行转包和分包</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33．履约保证金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highlight w:val="none"/>
          <w14:textFill>
            <w14:solidFill>
              <w14:schemeClr w14:val="tx1"/>
            </w14:solidFill>
          </w14:textFill>
        </w:rPr>
        <w:t xml:space="preserve">    33.1 </w:t>
      </w:r>
      <w:r>
        <w:rPr>
          <w:rFonts w:ascii="宋体" w:hAnsi="宋体" w:cs="宋体"/>
          <w:color w:val="000000" w:themeColor="text1"/>
          <w:sz w:val="24"/>
          <w:szCs w:val="24"/>
          <w:highlight w:val="none"/>
          <w14:textFill>
            <w14:solidFill>
              <w14:schemeClr w14:val="tx1"/>
            </w14:solidFill>
          </w14:textFill>
        </w:rPr>
      </w:r>
      <w:r>
        <w:rPr>
          <w:rFonts w:ascii="SimSun" w:hAnsi="SimSun" w:eastAsia="SimSun" w:cs="SimSun"/>
          <w:color w:val="000000"/>
          <w:sz w:val="24"/>
        </w:rPr>
        <w:t xml:space="preserve">本项目收取履约保证金,保证金金额为5万元，缴纳形式：支票、汇票、本票或者金融机构、担保机构出具的保函等非现金形式提交</w:t>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34．货物和服务的追加、减少和添购</w:t>
      </w:r>
      <w:r/>
    </w:p>
    <w:p>
      <w:pPr>
        <w:ind w:firstLine="480"/>
        <w:keepLines w:val="0"/>
        <w:keepNext w:val="0"/>
        <w:pageBreakBefore w:val="0"/>
        <w:spacing w:line="52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34.1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政府采购合同履行中，采购人需追加与合同标的相同的货物和服务的，在不改变合同其他条款的前提下，可以与中标人协商签订补充合同，但所有补充合同的采购金额不超过原合同金额10%。</w:t>
      </w:r>
      <w:r/>
    </w:p>
    <w:p>
      <w:pPr>
        <w:ind w:firstLine="480"/>
        <w:keepLines w:val="0"/>
        <w:keepNext w:val="0"/>
        <w:pageBreakBefore w:val="0"/>
        <w:spacing w:line="52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34.2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keepLines w:val="0"/>
        <w:keepNext w:val="0"/>
        <w:pageBreakBefore w:val="0"/>
        <w:spacing w:line="520" w:lineRule="exact"/>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35．监督</w:t>
      </w:r>
      <w:r/>
    </w:p>
    <w:p>
      <w:pPr>
        <w:ind w:firstLine="480"/>
        <w:keepLines w:val="0"/>
        <w:keepNext w:val="0"/>
        <w:pageBreakBefore w:val="0"/>
        <w:spacing w:line="520" w:lineRule="exact"/>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35.1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政府有关监督部门将对投标全过程进行监督。</w:t>
      </w:r>
      <w:r/>
    </w:p>
    <w:p>
      <w:pPr>
        <w:pStyle w:val="1348"/>
        <w:keepLines w:val="0"/>
        <w:keepNext w:val="0"/>
        <w:pageBreakBefore w:val="0"/>
        <w:spacing w:line="52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544"/>
        <w:keepLines w:val="0"/>
        <w:keepNext w:val="0"/>
        <w:pageBreakBefore w:val="0"/>
        <w:spacing w:line="520" w:lineRule="exact"/>
        <w:rPr>
          <w:rFonts w:ascii="宋体" w:hAnsi="宋体" w:cs="宋体"/>
          <w:color w:val="000000" w:themeColor="text1"/>
          <w:sz w:val="24"/>
          <w:szCs w:val="24"/>
          <w:highlight w:val="none"/>
          <w14:textFill>
            <w14:solidFill>
              <w14:schemeClr w14:val="tx1"/>
            </w14:solidFill>
          </w14:textFill>
        </w:rPr>
        <w:sectPr>
          <w:headerReference w:type="default" r:id="rId13"/>
          <w:footnotePr/>
          <w:endnotePr/>
          <w:type w:val="nextPage"/>
          <w:pgSz w:w="11906" w:h="16838" w:orient="portrait"/>
          <w:pgMar w:top="1440" w:right="1083" w:bottom="1440" w:left="1083" w:header="851" w:footer="992" w:gutter="0"/>
          <w:cols w:num="1" w:sep="0" w:space="1701" w:equalWidth="1"/>
          <w:docGrid w:linePitch="360"/>
          <w:titlePg/>
        </w:sectPr>
      </w:pPr>
      <w:r/>
      <w:bookmarkStart w:id="175" w:name="EB0f9f45dd5e234a13a81c333deb906690"/>
      <w:r/>
      <w:bookmarkEnd w:id="175"/>
      <w:r/>
      <w:r/>
    </w:p>
    <w:p>
      <w:pPr>
        <w:pStyle w:val="1352"/>
        <w:spacing w:before="313" w:after="313"/>
        <w:rPr>
          <w:rFonts w:ascii="宋体" w:hAnsi="宋体" w:eastAsia="宋体" w:cs="宋体"/>
          <w:color w:val="000000" w:themeColor="text1"/>
          <w:highlight w:val="none"/>
          <w14:textFill>
            <w14:solidFill>
              <w14:schemeClr w14:val="tx1"/>
            </w14:solidFill>
          </w14:textFill>
        </w:rPr>
      </w:pPr>
      <w:r/>
      <w:bookmarkStart w:id="176" w:name="_Toc54615245"/>
      <w:r/>
      <w:bookmarkStart w:id="177" w:name="_Toc35266027"/>
      <w:r/>
      <w:bookmarkStart w:id="178" w:name="_Toc38368127"/>
      <w:r/>
      <w:bookmarkStart w:id="179" w:name="_Toc14382"/>
      <w:r>
        <w:rPr>
          <w:rFonts w:hint="eastAsia" w:ascii="宋体" w:hAnsi="宋体" w:eastAsia="宋体" w:cs="宋体"/>
          <w:color w:val="000000" w:themeColor="text1"/>
          <w:highlight w:val="none"/>
          <w14:textFill>
            <w14:solidFill>
              <w14:schemeClr w14:val="tx1"/>
            </w14:solidFill>
          </w14:textFill>
        </w:rPr>
        <w:t xml:space="preserve">第三章 合同条款及</w:t>
      </w:r>
      <w:bookmarkEnd w:id="32"/>
      <w:r/>
      <w:bookmarkEnd w:id="33"/>
      <w:r/>
      <w:bookmarkEnd w:id="34"/>
      <w:r/>
      <w:bookmarkEnd w:id="35"/>
      <w:r/>
      <w:bookmarkEnd w:id="36"/>
      <w:r>
        <w:rPr>
          <w:rFonts w:hint="eastAsia" w:ascii="宋体" w:hAnsi="宋体" w:eastAsia="宋体" w:cs="宋体"/>
          <w:color w:val="000000" w:themeColor="text1"/>
          <w:highlight w:val="none"/>
          <w14:textFill>
            <w14:solidFill>
              <w14:schemeClr w14:val="tx1"/>
            </w14:solidFill>
          </w14:textFill>
        </w:rPr>
        <w:t xml:space="preserve">格式</w:t>
      </w:r>
      <w:bookmarkEnd w:id="176"/>
      <w:r/>
      <w:bookmarkEnd w:id="177"/>
      <w:r/>
      <w:bookmarkEnd w:id="178"/>
      <w:r/>
      <w:bookmarkEnd w:id="179"/>
      <w:r/>
      <w:r/>
    </w:p>
    <w:p>
      <w:pPr>
        <w:pStyle w:val="1373"/>
        <w:ind w:firstLine="0"/>
        <w:jc w:val="center"/>
        <w:spacing w:line="520" w:lineRule="exact"/>
        <w:rPr>
          <w:rStyle w:val="1358"/>
          <w:rFonts w:ascii="宋体" w:hAnsi="宋体" w:cs="宋体"/>
          <w:bCs/>
          <w:color w:val="000000" w:themeColor="text1"/>
          <w:sz w:val="24"/>
          <w:highlight w:val="none"/>
          <w14:textFill>
            <w14:solidFill>
              <w14:schemeClr w14:val="tx1"/>
            </w14:solidFill>
          </w14:textFill>
        </w:rPr>
      </w:pPr>
      <w:r/>
      <w:bookmarkStart w:id="180" w:name="EB445c3bd035294764b52dfc379b7b9568"/>
      <w:r>
        <w:rPr>
          <w:rStyle w:val="1358"/>
          <w:rFonts w:hint="eastAsia" w:ascii="宋体" w:hAnsi="宋体" w:cs="宋体"/>
          <w:bCs/>
          <w:color w:val="000000" w:themeColor="text1"/>
          <w:sz w:val="24"/>
          <w:highlight w:val="none"/>
          <w14:textFill>
            <w14:solidFill>
              <w14:schemeClr w14:val="tx1"/>
            </w14:solidFill>
          </w14:textFill>
        </w:rPr>
        <w:t xml:space="preserve">以下为中标(成交)后签定本项目合同的通用条款，中标(成交)供应商不得提出实质性的修改。</w:t>
      </w:r>
      <w:r/>
    </w:p>
    <w:p>
      <w:pPr>
        <w:pStyle w:val="1373"/>
        <w:ind w:firstLine="0"/>
        <w:jc w:val="center"/>
        <w:spacing w:before="181" w:after="181" w:line="240" w:lineRule="auto"/>
        <w:rPr>
          <w:rStyle w:val="1358"/>
          <w:rFonts w:ascii="宋体" w:hAnsi="宋体" w:cs="宋体"/>
          <w:b/>
          <w:bCs/>
          <w:color w:val="000000" w:themeColor="text1"/>
          <w:sz w:val="32"/>
          <w:szCs w:val="32"/>
          <w:highlight w:val="none"/>
          <w14:textFill>
            <w14:solidFill>
              <w14:schemeClr w14:val="tx1"/>
            </w14:solidFill>
          </w14:textFill>
        </w:rPr>
      </w:pPr>
      <w:r>
        <w:rPr>
          <w:rStyle w:val="1358"/>
          <w:rFonts w:hint="eastAsia" w:ascii="宋体" w:hAnsi="宋体" w:cs="宋体"/>
          <w:b/>
          <w:bCs/>
          <w:color w:val="000000" w:themeColor="text1"/>
          <w:sz w:val="32"/>
          <w:szCs w:val="32"/>
          <w:highlight w:val="none"/>
          <w14:textFill>
            <w14:solidFill>
              <w14:schemeClr w14:val="tx1"/>
            </w14:solidFill>
          </w14:textFill>
        </w:rPr>
        <w:t xml:space="preserve">张家港市政府采购合同</w:t>
      </w:r>
      <w:r/>
    </w:p>
    <w:p>
      <w:pPr>
        <w:pStyle w:val="1373"/>
        <w:ind w:firstLine="480"/>
        <w:spacing w:line="520" w:lineRule="exac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项目名称：</w:t>
      </w:r>
      <w:bookmarkStart w:id="181" w:name="biaoduanname_1"/>
      <w:r/>
      <w:bookmarkEnd w:id="181"/>
      <w:r>
        <w:rPr>
          <w:rStyle w:val="1358"/>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p>
    <w:p>
      <w:pPr>
        <w:pStyle w:val="1373"/>
        <w:ind w:firstLine="480"/>
        <w:spacing w:line="520" w:lineRule="atLeast"/>
        <w:rPr>
          <w:rStyle w:val="1358"/>
          <w:rFonts w:ascii="宋体" w:hAnsi="宋体" w:cs="宋体"/>
          <w:color w:val="000000" w:themeColor="text1"/>
          <w:sz w:val="24"/>
          <w:highlight w:val="none"/>
          <w:u w:val="singl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项目编号：</w:t>
      </w:r>
      <w:bookmarkStart w:id="182" w:name="projectno"/>
      <w:r/>
      <w:bookmarkEnd w:id="182"/>
      <w:r>
        <w:rPr>
          <w:rStyle w:val="1358"/>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甲方：（买方）</w:t>
      </w:r>
      <w:bookmarkStart w:id="183" w:name="jianshedanwei_1"/>
      <w:r/>
      <w:bookmarkEnd w:id="183"/>
      <w:r>
        <w:rPr>
          <w:rStyle w:val="1358"/>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乙方：（卖方）</w:t>
      </w:r>
      <w:bookmarkStart w:id="184" w:name="zhongbiaodanweiname_1"/>
      <w:r/>
      <w:bookmarkEnd w:id="184"/>
      <w:r>
        <w:rPr>
          <w:rStyle w:val="1358"/>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p>
    <w:p>
      <w:pPr>
        <w:pStyle w:val="1373"/>
        <w:ind w:firstLine="480"/>
        <w:spacing w:line="520" w:lineRule="atLeast"/>
        <w:rPr>
          <w:rStyle w:val="1358"/>
          <w:rFonts w:ascii="宋体" w:hAnsi="宋体" w:cs="宋体"/>
          <w:b/>
          <w:bCs/>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甲、乙双方根据</w:t>
      </w:r>
      <w:bookmarkStart w:id="185" w:name="biaoduanname_2"/>
      <w:r/>
      <w:bookmarkEnd w:id="185"/>
      <w:r>
        <w:rPr>
          <w:rStyle w:val="1358"/>
          <w:rFonts w:hint="eastAsia" w:ascii="宋体" w:hAnsi="宋体" w:cs="宋体"/>
          <w:color w:val="000000" w:themeColor="text1"/>
          <w:sz w:val="24"/>
          <w:highlight w:val="none"/>
          <w:lang w:eastAsia="zh-CN"/>
          <w14:textFill>
            <w14:solidFill>
              <w14:schemeClr w14:val="tx1"/>
            </w14:solidFill>
          </w14:textFill>
        </w:rPr>
        <w:t xml:space="preserve">苏州润禹工程咨询管理有限公司</w:t>
      </w:r>
      <w:r>
        <w:rPr>
          <w:rStyle w:val="1358"/>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358"/>
          <w:rFonts w:hint="eastAsia" w:ascii="宋体" w:hAnsi="宋体" w:cs="宋体"/>
          <w:color w:val="000000" w:themeColor="text1"/>
          <w:sz w:val="24"/>
          <w:highlight w:val="none"/>
          <w14:textFill>
            <w14:solidFill>
              <w14:schemeClr w14:val="tx1"/>
            </w14:solidFill>
          </w14:textFill>
        </w:rPr>
        <w:t xml:space="preserve">项目公开招标的结果，签署本合同。</w:t>
      </w:r>
      <w:r/>
    </w:p>
    <w:p>
      <w:pPr>
        <w:spacing w:line="520" w:lineRule="atLeas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一、服务内容</w:t>
      </w:r>
      <w:r/>
    </w:p>
    <w:tbl>
      <w:tblPr>
        <w:tblStyle w:val="1173"/>
        <w:tblW w:w="49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76"/>
        <w:gridCol w:w="3374"/>
        <w:gridCol w:w="3068"/>
      </w:tblGrid>
      <w:tr>
        <w:trPr>
          <w:cantSplit/>
          <w:jc w:val="center"/>
          <w:trHeight w:val="567"/>
        </w:trPr>
        <w:tc>
          <w:tcPr>
            <w:tcW w:w="3376" w:type="dxa"/>
            <w:vAlign w:val="center"/>
            <w:textDirection w:val="lrTb"/>
            <w:noWrap/>
          </w:tcPr>
          <w:p>
            <w:pPr>
              <w:pStyle w:val="1373"/>
              <w:ind w:firstLine="0"/>
              <w:jc w:val="center"/>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项目名称</w:t>
            </w:r>
            <w:r/>
          </w:p>
        </w:tc>
        <w:tc>
          <w:tcPr>
            <w:tcW w:w="3374" w:type="dxa"/>
            <w:vAlign w:val="center"/>
            <w:textDirection w:val="lrTb"/>
            <w:noWrap/>
          </w:tcPr>
          <w:p>
            <w:pPr>
              <w:pStyle w:val="1373"/>
              <w:ind w:firstLine="480"/>
              <w:jc w:val="center"/>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总价（元）</w:t>
            </w:r>
            <w:r/>
          </w:p>
        </w:tc>
        <w:tc>
          <w:tcPr>
            <w:tcW w:w="3068" w:type="dxa"/>
            <w:vAlign w:val="center"/>
            <w:textDirection w:val="lrTb"/>
            <w:noWrap/>
          </w:tcPr>
          <w:p>
            <w:pPr>
              <w:pStyle w:val="1373"/>
              <w:ind w:firstLine="240"/>
              <w:jc w:val="center"/>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服务内容</w:t>
            </w:r>
            <w:r/>
          </w:p>
        </w:tc>
      </w:tr>
      <w:tr>
        <w:trPr>
          <w:cantSplit/>
          <w:jc w:val="center"/>
          <w:trHeight w:val="567"/>
        </w:trPr>
        <w:tc>
          <w:tcPr>
            <w:tcW w:w="3376" w:type="dxa"/>
            <w:vAlign w:val="center"/>
            <w:textDirection w:val="lrTb"/>
            <w:noWrap/>
          </w:tcPr>
          <w:p>
            <w:pPr>
              <w:pStyle w:val="1373"/>
              <w:ind w:firstLine="0"/>
              <w:jc w:val="center"/>
              <w:rPr>
                <w:rStyle w:val="1358"/>
                <w:rFonts w:ascii="宋体" w:hAnsi="宋体" w:cs="宋体"/>
                <w:color w:val="000000" w:themeColor="text1"/>
                <w:sz w:val="24"/>
                <w:highlight w:val="none"/>
                <w14:textFill>
                  <w14:solidFill>
                    <w14:schemeClr w14:val="tx1"/>
                  </w14:solidFill>
                </w14:textFill>
              </w:rPr>
            </w:pPr>
            <w:r/>
            <w:bookmarkStart w:id="186" w:name="biaoduanname_3"/>
            <w:r/>
            <w:bookmarkEnd w:id="186"/>
            <w:r/>
            <w:r/>
          </w:p>
        </w:tc>
        <w:tc>
          <w:tcPr>
            <w:tcW w:w="3374" w:type="dxa"/>
            <w:vAlign w:val="center"/>
            <w:textDirection w:val="lrTb"/>
            <w:noWrap/>
          </w:tcPr>
          <w:p>
            <w:pPr>
              <w:pStyle w:val="1373"/>
              <w:ind w:firstLine="0"/>
              <w:jc w:val="center"/>
              <w:rPr>
                <w:rStyle w:val="1358"/>
                <w:rFonts w:ascii="宋体" w:hAnsi="宋体" w:cs="宋体"/>
                <w:color w:val="000000" w:themeColor="text1"/>
                <w:sz w:val="24"/>
                <w:highlight w:val="none"/>
                <w14:textFill>
                  <w14:solidFill>
                    <w14:schemeClr w14:val="tx1"/>
                  </w14:solidFill>
                </w14:textFill>
              </w:rPr>
            </w:pPr>
            <w:r/>
            <w:bookmarkStart w:id="187" w:name="zhongbiaopricelow_1"/>
            <w:r/>
            <w:bookmarkEnd w:id="187"/>
            <w:r/>
            <w:r/>
          </w:p>
        </w:tc>
        <w:tc>
          <w:tcPr>
            <w:tcW w:w="3068" w:type="dxa"/>
            <w:vAlign w:val="center"/>
            <w:textDirection w:val="lrTb"/>
            <w:noWrap/>
          </w:tcPr>
          <w:p>
            <w:pPr>
              <w:pStyle w:val="1373"/>
              <w:ind w:firstLine="0"/>
              <w:jc w:val="center"/>
              <w:rPr>
                <w:rStyle w:val="1358"/>
                <w:rFonts w:ascii="宋体" w:hAnsi="宋体" w:cs="宋体"/>
                <w:color w:val="000000" w:themeColor="text1"/>
                <w:sz w:val="24"/>
                <w:highlight w:val="none"/>
                <w14:textFill>
                  <w14:solidFill>
                    <w14:schemeClr w14:val="tx1"/>
                  </w14:solidFill>
                </w14:textFill>
              </w:rPr>
            </w:pPr>
            <w:r/>
            <w:bookmarkStart w:id="188" w:name="fuwuneirong"/>
            <w:r/>
            <w:bookmarkEnd w:id="188"/>
            <w:r/>
            <w:r/>
          </w:p>
        </w:tc>
      </w:tr>
    </w:tbl>
    <w:p>
      <w:pPr>
        <w:spacing w:line="520" w:lineRule="atLeas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二、合同金额</w:t>
      </w:r>
      <w:r/>
    </w:p>
    <w:p>
      <w:pPr>
        <w:pStyle w:val="1373"/>
        <w:ind w:firstLine="480"/>
        <w:jc w:val="left"/>
        <w:spacing w:line="520" w:lineRule="atLeast"/>
        <w:rPr>
          <w:rStyle w:val="1358"/>
          <w:rFonts w:ascii="宋体" w:hAnsi="宋体" w:cs="宋体"/>
          <w:b/>
          <w:bCs/>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2.1 本合同金额为（大写）：</w:t>
      </w:r>
      <w:bookmarkStart w:id="189" w:name="zhongbiaopriceup"/>
      <w:r/>
      <w:bookmarkEnd w:id="189"/>
      <w:r>
        <w:rPr>
          <w:rStyle w:val="1358"/>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358"/>
          <w:rFonts w:hint="eastAsia" w:ascii="宋体" w:hAnsi="宋体" w:cs="宋体"/>
          <w:color w:val="000000" w:themeColor="text1"/>
          <w:sz w:val="24"/>
          <w:highlight w:val="none"/>
          <w14:textFill>
            <w14:solidFill>
              <w14:schemeClr w14:val="tx1"/>
            </w14:solidFill>
          </w14:textFill>
        </w:rPr>
        <w:t xml:space="preserve">（</w:t>
      </w:r>
      <w:bookmarkStart w:id="190" w:name="zhongbiaopricelow_2"/>
      <w:r/>
      <w:bookmarkEnd w:id="190"/>
      <w:r>
        <w:rPr>
          <w:rStyle w:val="1358"/>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358"/>
          <w:rFonts w:hint="eastAsia" w:ascii="宋体" w:hAnsi="宋体" w:cs="宋体"/>
          <w:color w:val="000000" w:themeColor="text1"/>
          <w:sz w:val="24"/>
          <w:highlight w:val="none"/>
          <w14:textFill>
            <w14:solidFill>
              <w14:schemeClr w14:val="tx1"/>
            </w14:solidFill>
          </w14:textFill>
        </w:rPr>
        <w:t xml:space="preserve">元）人民币。</w:t>
      </w:r>
      <w:r/>
    </w:p>
    <w:p>
      <w:pPr>
        <w:pStyle w:val="1373"/>
        <w:ind w:firstLine="480"/>
        <w:jc w:val="left"/>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spacing w:line="520" w:lineRule="atLeas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三、履约保证金</w:t>
      </w:r>
      <w:r/>
    </w:p>
    <w:p>
      <w:pPr>
        <w:ind w:firstLine="480"/>
        <w:spacing w:line="52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 合同签订前，乙方向采购单位交纳人民币</w:t>
      </w:r>
      <w:bookmarkStart w:id="191" w:name="lvbzj"/>
      <w:r/>
      <w:bookmarkEnd w:id="191"/>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元作为本合同的履约保证金。履约保证金应当以支票、汇票、本票或者金融机构、担保机构出具的保函等非现金形式提交。</w:t>
      </w:r>
      <w:r/>
    </w:p>
    <w:p>
      <w:pPr>
        <w:ind w:firstLine="480"/>
        <w:spacing w:line="52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 合同履行完毕退还履约保证金。</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3.3</w:t>
      </w:r>
      <w:r>
        <w:rPr>
          <w:rStyle w:val="1358"/>
          <w:rFonts w:hint="eastAsia" w:ascii="宋体" w:hAnsi="宋体" w:cs="宋体"/>
          <w:color w:val="000000" w:themeColor="text1"/>
          <w:sz w:val="24"/>
          <w:highlight w:val="none"/>
          <w:lang w:val="en-US" w:eastAsia="zh-CN"/>
          <w14:textFill>
            <w14:solidFill>
              <w14:schemeClr w14:val="tx1"/>
            </w14:solidFill>
          </w14:textFill>
        </w:rPr>
        <w:t xml:space="preserve"> </w:t>
      </w:r>
      <w:r>
        <w:rPr>
          <w:rStyle w:val="1358"/>
          <w:rFonts w:hint="eastAsia" w:ascii="宋体" w:hAnsi="宋体" w:cs="宋体"/>
          <w:color w:val="000000" w:themeColor="text1"/>
          <w:sz w:val="24"/>
          <w:highlight w:val="none"/>
          <w14:textFill>
            <w14:solidFill>
              <w14:schemeClr w14:val="tx1"/>
            </w14:solidFill>
          </w14:textFill>
        </w:rPr>
        <w:t xml:space="preserve">乙方不履行与甲方订立的合同的，履约保证金不予退还。</w:t>
      </w:r>
      <w:r/>
    </w:p>
    <w:p>
      <w:pPr>
        <w:spacing w:line="520" w:lineRule="atLeas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四、转包或分包</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4.1 本合同范围的服务，应由乙方直接提供，不得转让他人提供；</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4.2 如有转包和分包行为，甲方有权给予终止合同。</w:t>
      </w:r>
      <w:r/>
    </w:p>
    <w:p>
      <w:pPr>
        <w:spacing w:line="520" w:lineRule="atLeas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五、服务期限</w:t>
      </w:r>
      <w:r/>
    </w:p>
    <w:p>
      <w:pPr>
        <w:pStyle w:val="1373"/>
        <w:ind w:firstLine="480"/>
        <w:spacing w:line="520" w:lineRule="atLeast"/>
        <w:rPr>
          <w:rStyle w:val="1358"/>
          <w:rFonts w:ascii="宋体" w:hAnsi="宋体" w:cs="宋体"/>
          <w:bCs/>
          <w:color w:val="000000" w:themeColor="text1"/>
          <w:sz w:val="24"/>
          <w:highlight w:val="none"/>
          <w14:textFill>
            <w14:solidFill>
              <w14:schemeClr w14:val="tx1"/>
            </w14:solidFill>
          </w14:textFill>
        </w:rPr>
      </w:pPr>
      <w:r>
        <w:rPr>
          <w:rStyle w:val="1358"/>
          <w:rFonts w:hint="eastAsia" w:ascii="宋体" w:hAnsi="宋体" w:cs="宋体"/>
          <w:bCs/>
          <w:color w:val="000000" w:themeColor="text1"/>
          <w:sz w:val="24"/>
          <w:highlight w:val="none"/>
          <w14:textFill>
            <w14:solidFill>
              <w14:schemeClr w14:val="tx1"/>
            </w14:solidFill>
          </w14:textFill>
        </w:rPr>
        <w:t xml:space="preserve">5.1 服务期限：</w:t>
      </w:r>
      <w:bookmarkStart w:id="192" w:name="fuwuqixian"/>
      <w:r/>
      <w:bookmarkEnd w:id="192"/>
      <w:r>
        <w:rPr>
          <w:rStyle w:val="1358"/>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358"/>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1358"/>
          <w:rFonts w:hint="eastAsia" w:ascii="宋体" w:hAnsi="宋体" w:eastAsia="宋体" w:cs="宋体"/>
          <w:bCs/>
          <w:caps w:val="0"/>
          <w:smallCaps w:val="0"/>
          <w:color w:val="000000" w:themeColor="text1"/>
          <w:spacing w:val="0"/>
          <w:sz w:val="24"/>
          <w:highlight w:val="none"/>
          <w:shd w:val="clear" w:color="auto" w:fill="auto"/>
          <w:lang w:val="en-US" w:eastAsia="zh-CN"/>
          <w14:textFill>
            <w14:solidFill>
              <w14:schemeClr w14:val="tx1"/>
            </w14:solidFill>
          </w14:textFill>
        </w:rPr>
        <w:t xml:space="preserve">。</w:t>
      </w:r>
      <w:r/>
    </w:p>
    <w:p>
      <w:pPr>
        <w:pStyle w:val="1373"/>
        <w:ind w:firstLine="480"/>
        <w:spacing w:line="520" w:lineRule="atLeast"/>
        <w:rPr>
          <w:rStyle w:val="1358"/>
          <w:rFonts w:ascii="宋体" w:hAnsi="宋体" w:cs="宋体"/>
          <w:bCs/>
          <w:color w:val="000000" w:themeColor="text1"/>
          <w:sz w:val="24"/>
          <w:highlight w:val="none"/>
          <w14:textFill>
            <w14:solidFill>
              <w14:schemeClr w14:val="tx1"/>
            </w14:solidFill>
          </w14:textFill>
        </w:rPr>
      </w:pPr>
      <w:r>
        <w:rPr>
          <w:rStyle w:val="1358"/>
          <w:rFonts w:hint="eastAsia" w:ascii="宋体" w:hAnsi="宋体" w:cs="宋体"/>
          <w:bCs/>
          <w:color w:val="000000" w:themeColor="text1"/>
          <w:sz w:val="24"/>
          <w:highlight w:val="none"/>
          <w14:textFill>
            <w14:solidFill>
              <w14:schemeClr w14:val="tx1"/>
            </w14:solidFill>
          </w14:textFill>
        </w:rPr>
        <w:t xml:space="preserve">5.2 服务响应：</w:t>
      </w:r>
      <w:r>
        <w:rPr>
          <w:rStyle w:val="1358"/>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358"/>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1358"/>
          <w:rFonts w:hint="eastAsia" w:ascii="宋体" w:hAnsi="宋体" w:eastAsia="宋体" w:cs="宋体"/>
          <w:bCs/>
          <w:caps w:val="0"/>
          <w:smallCaps w:val="0"/>
          <w:color w:val="000000" w:themeColor="text1"/>
          <w:spacing w:val="0"/>
          <w:sz w:val="24"/>
          <w:highlight w:val="none"/>
          <w:shd w:val="clear" w:color="auto" w:fill="auto"/>
          <w:lang w:val="en-US" w:eastAsia="zh-CN"/>
          <w14:textFill>
            <w14:solidFill>
              <w14:schemeClr w14:val="tx1"/>
            </w14:solidFill>
          </w14:textFill>
        </w:rPr>
        <w:t xml:space="preserve">。</w:t>
      </w:r>
      <w:r/>
    </w:p>
    <w:p>
      <w:pPr>
        <w:spacing w:line="520" w:lineRule="atLeas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六、货款支付</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bCs/>
          <w:color w:val="000000" w:themeColor="text1"/>
          <w:sz w:val="24"/>
          <w:highlight w:val="none"/>
          <w14:textFill>
            <w14:solidFill>
              <w14:schemeClr w14:val="tx1"/>
            </w14:solidFill>
          </w14:textFill>
        </w:rPr>
        <w:t xml:space="preserve">6.1 </w:t>
      </w:r>
      <w:r>
        <w:rPr>
          <w:rStyle w:val="1358"/>
          <w:rFonts w:hint="eastAsia" w:ascii="宋体" w:hAnsi="宋体" w:cs="宋体"/>
          <w:color w:val="000000" w:themeColor="text1"/>
          <w:sz w:val="24"/>
          <w:highlight w:val="none"/>
          <w14:textFill>
            <w14:solidFill>
              <w14:schemeClr w14:val="tx1"/>
            </w14:solidFill>
          </w14:textFill>
        </w:rPr>
        <w:t xml:space="preserve">结付程序：</w:t>
      </w:r>
      <w:bookmarkStart w:id="193" w:name="jiefuchengxu"/>
      <w:r/>
      <w:bookmarkEnd w:id="193"/>
      <w:r>
        <w:rPr>
          <w:rStyle w:val="1358"/>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358"/>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1358"/>
          <w:rFonts w:hint="eastAsia" w:ascii="宋体" w:hAnsi="宋体" w:eastAsia="宋体" w:cs="宋体"/>
          <w:bCs/>
          <w:caps w:val="0"/>
          <w:smallCaps w:val="0"/>
          <w:color w:val="000000" w:themeColor="text1"/>
          <w:spacing w:val="0"/>
          <w:sz w:val="24"/>
          <w:highlight w:val="none"/>
          <w:shd w:val="clear" w:color="auto" w:fill="auto"/>
          <w:lang w:val="en-US" w:eastAsia="zh-CN"/>
          <w14:textFill>
            <w14:solidFill>
              <w14:schemeClr w14:val="tx1"/>
            </w14:solidFill>
          </w14:textFill>
        </w:rPr>
        <w:t xml:space="preserve">。</w:t>
      </w:r>
      <w:r/>
    </w:p>
    <w:p>
      <w:pPr>
        <w:pStyle w:val="1373"/>
        <w:ind w:firstLine="480"/>
        <w:spacing w:line="520" w:lineRule="atLeast"/>
        <w:rPr>
          <w:rStyle w:val="1358"/>
          <w:rFonts w:ascii="宋体" w:hAnsi="宋体" w:cs="宋体"/>
          <w:bCs/>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6.2结付期限：</w:t>
      </w:r>
      <w:bookmarkStart w:id="194" w:name="jiefuqixian"/>
      <w:r/>
      <w:bookmarkEnd w:id="194"/>
      <w:r>
        <w:rPr>
          <w:rStyle w:val="1358"/>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358"/>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1358"/>
          <w:rFonts w:hint="eastAsia" w:ascii="宋体" w:hAnsi="宋体" w:eastAsia="宋体" w:cs="宋体"/>
          <w:bCs/>
          <w:caps w:val="0"/>
          <w:smallCaps w:val="0"/>
          <w:color w:val="000000" w:themeColor="text1"/>
          <w:spacing w:val="0"/>
          <w:sz w:val="24"/>
          <w:highlight w:val="none"/>
          <w:shd w:val="clear" w:color="auto" w:fill="auto"/>
          <w:lang w:val="en-US" w:eastAsia="zh-CN"/>
          <w14:textFill>
            <w14:solidFill>
              <w14:schemeClr w14:val="tx1"/>
            </w14:solidFill>
          </w14:textFill>
        </w:rPr>
        <w:t xml:space="preserve">。</w:t>
      </w:r>
      <w:r/>
    </w:p>
    <w:p>
      <w:pPr>
        <w:pStyle w:val="1373"/>
        <w:ind w:firstLine="47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6.3乙方收款账户：</w:t>
      </w:r>
      <w:bookmarkStart w:id="195" w:name="yifangzhanghao"/>
      <w:r/>
      <w:bookmarkEnd w:id="195"/>
      <w:r>
        <w:rPr>
          <w:rStyle w:val="1358"/>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358"/>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1358"/>
          <w:rFonts w:hint="eastAsia" w:ascii="宋体" w:hAnsi="宋体" w:cs="宋体"/>
          <w:color w:val="000000" w:themeColor="text1"/>
          <w:sz w:val="24"/>
          <w:highlight w:val="none"/>
          <w14:textFill>
            <w14:solidFill>
              <w14:schemeClr w14:val="tx1"/>
            </w14:solidFill>
          </w14:textFill>
        </w:rPr>
        <w:t xml:space="preserve">。</w:t>
      </w:r>
      <w:r/>
    </w:p>
    <w:p>
      <w:pPr>
        <w:pStyle w:val="1374"/>
        <w:spacing w:line="520" w:lineRule="atLeast"/>
        <w:rPr>
          <w:rStyle w:val="1358"/>
          <w:rFonts w:cs="宋体"/>
          <w:color w:val="000000" w:themeColor="text1"/>
          <w:highlight w:val="none"/>
          <w14:textFill>
            <w14:solidFill>
              <w14:schemeClr w14:val="tx1"/>
            </w14:solidFill>
          </w14:textFill>
        </w:rPr>
      </w:pPr>
      <w:r>
        <w:rPr>
          <w:rStyle w:val="1358"/>
          <w:rFonts w:hint="eastAsia" w:cs="宋体"/>
          <w:color w:val="000000" w:themeColor="text1"/>
          <w:highlight w:val="none"/>
          <w14:textFill>
            <w14:solidFill>
              <w14:schemeClr w14:val="tx1"/>
            </w14:solidFill>
          </w14:textFill>
        </w:rPr>
        <w:t xml:space="preserve">6.4甲方合同款支付方式：</w:t>
      </w:r>
      <w:bookmarkStart w:id="196" w:name="hetongzhifutype"/>
      <w:r/>
      <w:bookmarkEnd w:id="196"/>
      <w:r>
        <w:rPr>
          <w:rStyle w:val="1358"/>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358"/>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1358"/>
          <w:rFonts w:hint="eastAsia" w:ascii="宋体" w:hAnsi="宋体" w:eastAsia="宋体" w:cs="宋体"/>
          <w:bCs/>
          <w:caps w:val="0"/>
          <w:smallCaps w:val="0"/>
          <w:color w:val="000000" w:themeColor="text1"/>
          <w:spacing w:val="0"/>
          <w:sz w:val="24"/>
          <w:highlight w:val="none"/>
          <w:shd w:val="clear" w:color="auto" w:fill="auto"/>
          <w:lang w:val="en-US" w:eastAsia="zh-CN"/>
          <w14:textFill>
            <w14:solidFill>
              <w14:schemeClr w14:val="tx1"/>
            </w14:solidFill>
          </w14:textFill>
        </w:rPr>
        <w:t xml:space="preserve">。</w:t>
      </w:r>
      <w:r>
        <w:rPr>
          <w:rStyle w:val="1358"/>
          <w:rFonts w:hint="eastAsia" w:cs="宋体"/>
          <w:color w:val="000000" w:themeColor="text1"/>
          <w:highlight w:val="none"/>
          <w14:textFill>
            <w14:solidFill>
              <w14:schemeClr w14:val="tx1"/>
            </w14:solidFill>
          </w14:textFill>
        </w:rPr>
        <w:t xml:space="preserve">（若乙方为中小企业，不得强制其接受非现金支付方式）。</w:t>
      </w:r>
      <w:r/>
    </w:p>
    <w:p>
      <w:pPr>
        <w:spacing w:line="520" w:lineRule="atLeas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七、税</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7.1 本合同执行中相关的一切税费均由乙方负担。</w:t>
      </w:r>
      <w:r/>
    </w:p>
    <w:p>
      <w:pPr>
        <w:spacing w:line="520" w:lineRule="atLeas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八、管理事项</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8.1 按招标内容要求以及响应单位的承诺项目阐述。</w:t>
      </w:r>
      <w:r/>
    </w:p>
    <w:p>
      <w:pPr>
        <w:spacing w:line="520" w:lineRule="atLeas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九、双方权利义务</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9.1 甲方的权利和义务</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(1)甲方制定的委托乙方承担的项目管理内容（详见项目需求）。</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(2)检查监督乙方管理工作的实施及制度的执行情况，并进行考核。</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(3)审定乙方提出的项目管理计划。</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(4)协调处理本合同生效前发生的管理遗留问题。</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(5)协助乙方做好项目管理工作的宣传教育。</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(6)乙方有违约行为的，甲方有权解除合同并没收履约保证金及向乙方支付实际合同期内扣除考核扣款后的全部余款。</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(7)甲方有权对中标后再转包或分包的乙方终止承包合同。</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(8)甲方有权在服务期内根据实际情况提出修改考核细则，并经与乙方协商确认后，按新的考核细则执行考核。</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9.2 乙方的权利和义务</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(1)根据有关法律、法规及本合同的约定，制订项目管理制度。</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(2)按合同约定，履行项目管理职责。</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(3)负责编制项目管理年度管理计划。</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(4)工作人员统一着装，并作好相关劳动安全防护工作，严格遵守各项管理规定。</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(5)乙方必须规范用工，签订用工合同。</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(6)本合同终止时，乙方须向甲方移交项目管理全部档案资料。</w:t>
      </w:r>
      <w:r/>
    </w:p>
    <w:p>
      <w:pPr>
        <w:spacing w:line="520" w:lineRule="atLeas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十、服务质量</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10.1 乙方提供的管理服务应达到投标文件所约定的目标。对达标的理解有异议的，由双方共同认可的第三方予以评定。</w:t>
      </w:r>
      <w:r/>
    </w:p>
    <w:p>
      <w:pPr>
        <w:spacing w:line="520" w:lineRule="atLeas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十一、违约责任</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11.1</w:t>
      </w:r>
      <w:r>
        <w:rPr>
          <w:rStyle w:val="1358"/>
          <w:rFonts w:hint="eastAsia" w:ascii="宋体" w:hAnsi="宋体" w:cs="宋体"/>
          <w:color w:val="000000" w:themeColor="text1"/>
          <w:sz w:val="24"/>
          <w:highlight w:val="none"/>
          <w:lang w:val="en-US" w:eastAsia="zh-CN"/>
          <w14:textFill>
            <w14:solidFill>
              <w14:schemeClr w14:val="tx1"/>
            </w14:solidFill>
          </w14:textFill>
        </w:rPr>
        <w:t xml:space="preserve"> </w:t>
      </w:r>
      <w:r>
        <w:rPr>
          <w:rStyle w:val="1358"/>
          <w:rFonts w:hint="eastAsia" w:ascii="宋体" w:hAnsi="宋体" w:cs="宋体"/>
          <w:color w:val="000000" w:themeColor="text1"/>
          <w:sz w:val="24"/>
          <w:highlight w:val="none"/>
          <w14:textFill>
            <w14:solidFill>
              <w14:schemeClr w14:val="tx1"/>
            </w14:solidFill>
          </w14:textFill>
        </w:rPr>
        <w:t xml:space="preserve">甲方违反合同的约定，使乙方未完成规定管理目标，乙方有权要求甲方在一定期限内解决，逾期未解决的，乙方有权终止合同，造成乙方经济损失的，甲方给予乙方经济赔偿。</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11.2</w:t>
      </w:r>
      <w:r>
        <w:rPr>
          <w:rStyle w:val="1358"/>
          <w:rFonts w:hint="eastAsia" w:ascii="宋体" w:hAnsi="宋体" w:cs="宋体"/>
          <w:color w:val="000000" w:themeColor="text1"/>
          <w:sz w:val="24"/>
          <w:highlight w:val="none"/>
          <w:lang w:val="en-US" w:eastAsia="zh-CN"/>
          <w14:textFill>
            <w14:solidFill>
              <w14:schemeClr w14:val="tx1"/>
            </w14:solidFill>
          </w14:textFill>
        </w:rPr>
        <w:t xml:space="preserve"> </w:t>
      </w:r>
      <w:r>
        <w:rPr>
          <w:rStyle w:val="1358"/>
          <w:rFonts w:hint="eastAsia" w:ascii="宋体" w:hAnsi="宋体" w:cs="宋体"/>
          <w:color w:val="000000" w:themeColor="text1"/>
          <w:sz w:val="24"/>
          <w:highlight w:val="none"/>
          <w14:textFill>
            <w14:solidFill>
              <w14:schemeClr w14:val="tx1"/>
            </w14:solidFill>
          </w14:textFill>
        </w:rPr>
        <w:t xml:space="preserve">甲方对乙方进行考核</w:t>
      </w:r>
      <w:r>
        <w:rPr>
          <w:rStyle w:val="1358"/>
          <w:rFonts w:hint="eastAsia" w:ascii="宋体" w:hAnsi="宋体" w:cs="宋体"/>
          <w:b/>
          <w:color w:val="000000" w:themeColor="text1"/>
          <w:sz w:val="24"/>
          <w:highlight w:val="none"/>
          <w14:textFill>
            <w14:solidFill>
              <w14:schemeClr w14:val="tx1"/>
            </w14:solidFill>
          </w14:textFill>
        </w:rPr>
        <w:t xml:space="preserve">，</w:t>
      </w:r>
      <w:r>
        <w:rPr>
          <w:rStyle w:val="1358"/>
          <w:rFonts w:hint="eastAsia" w:ascii="宋体" w:hAnsi="宋体" w:cs="宋体"/>
          <w:bCs/>
          <w:color w:val="000000" w:themeColor="text1"/>
          <w:sz w:val="24"/>
          <w:highlight w:val="none"/>
          <w14:textFill>
            <w14:solidFill>
              <w14:schemeClr w14:val="tx1"/>
            </w14:solidFill>
          </w14:textFill>
        </w:rPr>
        <w:t xml:space="preserve">按考核结果给付费用。</w:t>
      </w:r>
      <w:r>
        <w:rPr>
          <w:rStyle w:val="1358"/>
          <w:rFonts w:hint="eastAsia" w:ascii="宋体" w:hAnsi="宋体" w:cs="宋体"/>
          <w:color w:val="000000" w:themeColor="text1"/>
          <w:sz w:val="24"/>
          <w:highlight w:val="none"/>
          <w14:textFill>
            <w14:solidFill>
              <w14:schemeClr w14:val="tx1"/>
            </w14:solidFill>
          </w14:textFill>
        </w:rPr>
        <w:t xml:space="preserve">甲方逾期办理合同款支付的</w:t>
      </w:r>
      <w:r>
        <w:rPr>
          <w:rStyle w:val="1358"/>
          <w:rFonts w:hint="eastAsia" w:ascii="宋体" w:hAnsi="宋体" w:cs="宋体"/>
          <w:color w:val="000000" w:themeColor="text1"/>
          <w:sz w:val="24"/>
          <w:highlight w:val="none"/>
          <w:lang w:eastAsia="zh-CN"/>
          <w14:textFill>
            <w14:solidFill>
              <w14:schemeClr w14:val="tx1"/>
            </w14:solidFill>
          </w14:textFill>
        </w:rPr>
        <w:t xml:space="preserve">，</w:t>
      </w:r>
      <w:r>
        <w:rPr>
          <w:rStyle w:val="1358"/>
          <w:rFonts w:hint="eastAsia" w:ascii="宋体" w:hAnsi="宋体" w:cs="宋体"/>
          <w:color w:val="000000" w:themeColor="text1"/>
          <w:sz w:val="24"/>
          <w:highlight w:val="none"/>
          <w14:textFill>
            <w14:solidFill>
              <w14:schemeClr w14:val="tx1"/>
            </w14:solidFill>
          </w14:textFill>
        </w:rPr>
        <w:t xml:space="preserve">应当支付逾期利息，且逾期利息的利率不得低于合同订立时1年期贷款市场报价利率。</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11.3</w:t>
      </w:r>
      <w:r>
        <w:rPr>
          <w:rStyle w:val="1358"/>
          <w:rFonts w:hint="eastAsia" w:ascii="宋体" w:hAnsi="宋体" w:cs="宋体"/>
          <w:color w:val="000000" w:themeColor="text1"/>
          <w:sz w:val="24"/>
          <w:highlight w:val="none"/>
          <w:lang w:val="en-US" w:eastAsia="zh-CN"/>
          <w14:textFill>
            <w14:solidFill>
              <w14:schemeClr w14:val="tx1"/>
            </w14:solidFill>
          </w14:textFill>
        </w:rPr>
        <w:t xml:space="preserve"> </w:t>
      </w:r>
      <w:r>
        <w:rPr>
          <w:rStyle w:val="1358"/>
          <w:rFonts w:hint="eastAsia" w:ascii="宋体" w:hAnsi="宋体" w:cs="宋体"/>
          <w:color w:val="000000" w:themeColor="text1"/>
          <w:sz w:val="24"/>
          <w:highlight w:val="none"/>
          <w14:textFill>
            <w14:solidFill>
              <w14:schemeClr w14:val="tx1"/>
            </w14:solidFill>
          </w14:textFill>
        </w:rPr>
        <w:t xml:space="preserve">乙方违反合同的约定，未能达到约定的管理目标，甲方有权要求乙方限期整改，逾期未整改的，甲方有权终止合同，造成甲方经济损失的，乙方给予甲方赔偿。</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spacing w:line="520" w:lineRule="atLeas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十二、不可抗力事件处理</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12.1 在合同有效期内，任何一方因不可抗力事件导致不能履行合同，则合同履行期可延长，其延长期与不可抗力影响期相同。</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12.2 不可抗力事件发生后，应立即通知对方，并寄送有关权威机构出具的证明。</w:t>
      </w:r>
      <w:r/>
    </w:p>
    <w:p>
      <w:pPr>
        <w:pStyle w:val="1373"/>
        <w:ind w:firstLine="47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12.3 不可抗力事件延续120天以上，双方应通过友好协商，确定是否继续履行合同。</w:t>
      </w:r>
      <w:r/>
    </w:p>
    <w:p>
      <w:pPr>
        <w:spacing w:line="520" w:lineRule="atLeas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十三、诉讼</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13.1 双方在执行合同中所发生的一切争议，应通过协商解决。如协商不成，可向合同签订地法院起诉，合同签订地在此约定为张家港市。</w:t>
      </w:r>
      <w:r/>
    </w:p>
    <w:p>
      <w:pPr>
        <w:spacing w:line="520" w:lineRule="atLeas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十四、合同其他文件</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14.1下列文件为本合同不可分割部份，与本合同具有同等效力。</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(1)中标通知书；</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(2)乙方中标的投标文件；</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(3)招标文件；</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(4)乙方在招投标过程中所作的其他承诺、声明、书面澄清等。</w:t>
      </w:r>
      <w:r/>
    </w:p>
    <w:p>
      <w:pPr>
        <w:spacing w:line="520" w:lineRule="atLeas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十五、合同生效及其它</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15.1合同经双方法定代表人</w:t>
      </w:r>
      <w:r>
        <w:rPr>
          <w:rStyle w:val="1358"/>
          <w:rFonts w:hint="eastAsia" w:ascii="宋体" w:hAnsi="宋体" w:cs="宋体"/>
          <w:bCs/>
          <w:color w:val="000000" w:themeColor="text1"/>
          <w:sz w:val="24"/>
          <w:highlight w:val="none"/>
          <w14:textFill>
            <w14:solidFill>
              <w14:schemeClr w14:val="tx1"/>
            </w14:solidFill>
          </w14:textFill>
        </w:rPr>
        <w:t xml:space="preserve">（或负责人）</w:t>
      </w:r>
      <w:r>
        <w:rPr>
          <w:rStyle w:val="1358"/>
          <w:rFonts w:hint="eastAsia" w:ascii="宋体" w:hAnsi="宋体" w:cs="宋体"/>
          <w:color w:val="000000" w:themeColor="text1"/>
          <w:sz w:val="24"/>
          <w:highlight w:val="none"/>
          <w14:textFill>
            <w14:solidFill>
              <w14:schemeClr w14:val="tx1"/>
            </w14:solidFill>
          </w14:textFill>
        </w:rPr>
        <w:t xml:space="preserve">或授权委托代表人签字并加盖单位公章后生效,生效后至张家港市政府采购管理中心备案。</w:t>
      </w:r>
      <w:r/>
    </w:p>
    <w:p>
      <w:pPr>
        <w:pStyle w:val="1373"/>
        <w:ind w:firstLine="48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15.2 本合同未尽事宜，遵照《民法典》合同编经甲乙双方协商一致可签订补充协议。</w:t>
      </w:r>
      <w:r/>
    </w:p>
    <w:p>
      <w:pPr>
        <w:pStyle w:val="1373"/>
        <w:ind w:firstLine="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甲方：</w:t>
      </w:r>
      <w:bookmarkStart w:id="197" w:name="jianshedanwei_2"/>
      <w:r/>
      <w:bookmarkEnd w:id="197"/>
      <w:r/>
      <w:r/>
    </w:p>
    <w:p>
      <w:pPr>
        <w:pStyle w:val="1373"/>
        <w:ind w:firstLine="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地址：</w:t>
      </w:r>
      <w:bookmarkStart w:id="198" w:name="jianshedanweiaddress"/>
      <w:r/>
      <w:bookmarkEnd w:id="198"/>
      <w:r/>
      <w:r/>
    </w:p>
    <w:p>
      <w:pPr>
        <w:pStyle w:val="1373"/>
        <w:ind w:firstLine="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法定代表人或授权代表：</w:t>
      </w:r>
      <w:bookmarkStart w:id="199" w:name="jianshedanweifaren"/>
      <w:r/>
      <w:bookmarkEnd w:id="199"/>
      <w:r/>
      <w:r/>
    </w:p>
    <w:p>
      <w:pPr>
        <w:pStyle w:val="1373"/>
        <w:ind w:firstLine="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联系电话：</w:t>
      </w:r>
      <w:bookmarkStart w:id="200" w:name="jianshedanweifarentel"/>
      <w:r/>
      <w:bookmarkEnd w:id="200"/>
      <w:r/>
      <w:r/>
    </w:p>
    <w:p>
      <w:pPr>
        <w:pStyle w:val="1373"/>
        <w:ind w:firstLine="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签订日期：</w:t>
      </w:r>
      <w:bookmarkStart w:id="201" w:name="jiafangqiandingdate"/>
      <w:r>
        <w:rPr>
          <w:rStyle w:val="1358"/>
          <w:rFonts w:hint="eastAsia" w:ascii="宋体" w:hAnsi="宋体" w:cs="宋体"/>
          <w:color w:val="000000" w:themeColor="text1"/>
          <w:sz w:val="24"/>
          <w:highlight w:val="none"/>
          <w14:textFill>
            <w14:solidFill>
              <w14:schemeClr w14:val="tx1"/>
            </w14:solidFill>
          </w14:textFill>
        </w:rPr>
        <w:t xml:space="preserve">      年    月  日</w:t>
      </w:r>
      <w:bookmarkEnd w:id="201"/>
      <w:r/>
      <w:r/>
    </w:p>
    <w:p>
      <w:pPr>
        <w:pStyle w:val="1373"/>
        <w:ind w:firstLine="0"/>
        <w:spacing w:line="520" w:lineRule="atLeast"/>
        <w:rPr>
          <w:rStyle w:val="1358"/>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373"/>
        <w:ind w:firstLine="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乙方：</w:t>
      </w:r>
      <w:bookmarkStart w:id="202" w:name="zhongbiaodanweiname_2"/>
      <w:r/>
      <w:bookmarkEnd w:id="202"/>
      <w:r/>
      <w:r/>
    </w:p>
    <w:p>
      <w:pPr>
        <w:pStyle w:val="1374"/>
        <w:ind w:firstLine="0"/>
        <w:spacing w:line="520" w:lineRule="atLeast"/>
        <w:rPr>
          <w:rStyle w:val="1358"/>
          <w:rFonts w:cs="宋体"/>
          <w:color w:val="000000" w:themeColor="text1"/>
          <w:highlight w:val="none"/>
          <w14:textFill>
            <w14:solidFill>
              <w14:schemeClr w14:val="tx1"/>
            </w14:solidFill>
          </w14:textFill>
        </w:rPr>
      </w:pPr>
      <w:r>
        <w:rPr>
          <w:rStyle w:val="1358"/>
          <w:rFonts w:hint="eastAsia" w:cs="宋体"/>
          <w:color w:val="000000" w:themeColor="text1"/>
          <w:highlight w:val="none"/>
          <w14:textFill>
            <w14:solidFill>
              <w14:schemeClr w14:val="tx1"/>
            </w14:solidFill>
          </w14:textFill>
        </w:rPr>
        <w:t xml:space="preserve">地址：</w:t>
      </w:r>
      <w:bookmarkStart w:id="203" w:name="zhongbiaodanweiaddress"/>
      <w:r/>
      <w:bookmarkEnd w:id="203"/>
      <w:r/>
      <w:r/>
    </w:p>
    <w:p>
      <w:pPr>
        <w:pStyle w:val="1373"/>
        <w:ind w:firstLine="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法定代表人</w:t>
      </w:r>
      <w:r>
        <w:rPr>
          <w:rStyle w:val="1358"/>
          <w:rFonts w:hint="eastAsia" w:ascii="宋体" w:hAnsi="宋体" w:cs="宋体"/>
          <w:bCs/>
          <w:color w:val="000000" w:themeColor="text1"/>
          <w:sz w:val="24"/>
          <w:highlight w:val="none"/>
          <w14:textFill>
            <w14:solidFill>
              <w14:schemeClr w14:val="tx1"/>
            </w14:solidFill>
          </w14:textFill>
        </w:rPr>
        <w:t xml:space="preserve">（或负责人）</w:t>
      </w:r>
      <w:r>
        <w:rPr>
          <w:rStyle w:val="1358"/>
          <w:rFonts w:hint="eastAsia" w:ascii="宋体" w:hAnsi="宋体" w:cs="宋体"/>
          <w:color w:val="000000" w:themeColor="text1"/>
          <w:sz w:val="24"/>
          <w:highlight w:val="none"/>
          <w14:textFill>
            <w14:solidFill>
              <w14:schemeClr w14:val="tx1"/>
            </w14:solidFill>
          </w14:textFill>
        </w:rPr>
        <w:t xml:space="preserve">或授权代表：</w:t>
      </w:r>
      <w:bookmarkStart w:id="204" w:name="zhongbiaodanweifaren"/>
      <w:r/>
      <w:bookmarkEnd w:id="204"/>
      <w:r/>
      <w:r/>
    </w:p>
    <w:p>
      <w:pPr>
        <w:pStyle w:val="1373"/>
        <w:ind w:firstLine="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联系电话：</w:t>
      </w:r>
      <w:bookmarkStart w:id="205" w:name="zhongbiaodanweifarentel"/>
      <w:r/>
      <w:bookmarkEnd w:id="205"/>
      <w:r/>
      <w:r/>
    </w:p>
    <w:p>
      <w:pPr>
        <w:pStyle w:val="1373"/>
        <w:ind w:firstLine="0"/>
        <w:spacing w:line="520" w:lineRule="atLeast"/>
        <w:rPr>
          <w:rStyle w:val="1358"/>
          <w:rFonts w:ascii="宋体" w:hAnsi="宋体" w:cs="宋体"/>
          <w:color w:val="000000" w:themeColor="text1"/>
          <w:sz w:val="24"/>
          <w:highlight w:val="none"/>
          <w14:textFill>
            <w14:solidFill>
              <w14:schemeClr w14:val="tx1"/>
            </w14:solidFill>
          </w14:textFill>
        </w:rPr>
      </w:pPr>
      <w:r>
        <w:rPr>
          <w:rStyle w:val="1358"/>
          <w:rFonts w:hint="eastAsia" w:ascii="宋体" w:hAnsi="宋体" w:cs="宋体"/>
          <w:color w:val="000000" w:themeColor="text1"/>
          <w:sz w:val="24"/>
          <w:highlight w:val="none"/>
          <w14:textFill>
            <w14:solidFill>
              <w14:schemeClr w14:val="tx1"/>
            </w14:solidFill>
          </w14:textFill>
        </w:rPr>
        <w:t xml:space="preserve">签订日期： </w:t>
      </w:r>
      <w:bookmarkStart w:id="206" w:name="yifangqiandingdate"/>
      <w:r>
        <w:rPr>
          <w:rStyle w:val="1358"/>
          <w:rFonts w:hint="eastAsia" w:ascii="宋体" w:hAnsi="宋体" w:cs="宋体"/>
          <w:color w:val="000000" w:themeColor="text1"/>
          <w:sz w:val="24"/>
          <w:highlight w:val="none"/>
          <w14:textFill>
            <w14:solidFill>
              <w14:schemeClr w14:val="tx1"/>
            </w14:solidFill>
          </w14:textFill>
        </w:rPr>
        <w:t xml:space="preserve">     年    月  日</w:t>
      </w:r>
      <w:bookmarkEnd w:id="180"/>
      <w:r/>
      <w:bookmarkEnd w:id="206"/>
      <w:r/>
      <w:r/>
    </w:p>
    <w:p>
      <w:pPr>
        <w:pStyle w:val="1374"/>
        <w:ind w:firstLine="0"/>
        <w:rPr>
          <w:rStyle w:val="1358"/>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spacing w:line="520" w:lineRule="atLeast"/>
        <w:rPr>
          <w:rFonts w:ascii="宋体" w:hAnsi="宋体" w:cs="宋体"/>
          <w:color w:val="000000" w:themeColor="text1"/>
          <w:sz w:val="20"/>
          <w:highlight w:val="none"/>
          <w14:textFill>
            <w14:solidFill>
              <w14:schemeClr w14:val="tx1"/>
            </w14:solidFill>
          </w14:textFill>
        </w:rPr>
        <w:sectPr>
          <w:headerReference w:type="default" r:id="rId14"/>
          <w:headerReference w:type="first" r:id="rId15"/>
          <w:footnotePr/>
          <w:endnotePr/>
          <w:type w:val="nextPage"/>
          <w:pgSz w:w="11906" w:h="16838" w:orient="portrait"/>
          <w:pgMar w:top="1440" w:right="1083" w:bottom="1440" w:left="1083" w:header="851" w:footer="992" w:gutter="0"/>
          <w:cols w:num="1" w:sep="0" w:space="1701" w:equalWidth="1"/>
          <w:docGrid w:linePitch="360"/>
          <w:titlePg/>
        </w:sectPr>
      </w:pPr>
      <w:r>
        <w:rPr>
          <w:rFonts w:ascii="宋体" w:hAnsi="宋体" w:cs="宋体"/>
          <w:color w:val="000000" w:themeColor="text1"/>
          <w:sz w:val="20"/>
          <w:highlight w:val="none"/>
          <w14:textFill>
            <w14:solidFill>
              <w14:schemeClr w14:val="tx1"/>
            </w14:solidFill>
          </w14:textFill>
        </w:rPr>
      </w:r>
      <w:r/>
    </w:p>
    <w:p>
      <w:pPr>
        <w:pStyle w:val="1352"/>
        <w:spacing w:before="313" w:after="313"/>
        <w:rPr>
          <w:rFonts w:ascii="宋体" w:hAnsi="宋体" w:eastAsia="宋体" w:cs="宋体"/>
          <w:color w:val="000000" w:themeColor="text1"/>
          <w:highlight w:val="none"/>
          <w14:textFill>
            <w14:solidFill>
              <w14:schemeClr w14:val="tx1"/>
            </w14:solidFill>
          </w14:textFill>
        </w:rPr>
      </w:pPr>
      <w:r/>
      <w:bookmarkStart w:id="207" w:name="_Hlt16619350"/>
      <w:r/>
      <w:bookmarkStart w:id="208" w:name="_Toc24253"/>
      <w:r/>
      <w:bookmarkStart w:id="209" w:name="_Toc54615246"/>
      <w:r/>
      <w:bookmarkStart w:id="210" w:name="_Toc16938590"/>
      <w:r/>
      <w:bookmarkStart w:id="211" w:name="_Toc35266028"/>
      <w:r/>
      <w:bookmarkStart w:id="212" w:name="_Toc38368128"/>
      <w:r/>
      <w:bookmarkStart w:id="213" w:name="_Toc120614244"/>
      <w:r/>
      <w:bookmarkStart w:id="214" w:name="_Toc20823346"/>
      <w:r>
        <w:rPr>
          <w:rFonts w:hint="eastAsia" w:ascii="宋体" w:hAnsi="宋体" w:eastAsia="宋体" w:cs="宋体"/>
          <w:color w:val="000000" w:themeColor="text1"/>
          <w:highlight w:val="none"/>
          <w14:textFill>
            <w14:solidFill>
              <w14:schemeClr w14:val="tx1"/>
            </w14:solidFill>
          </w14:textFill>
        </w:rPr>
        <w:t xml:space="preserve">第</w:t>
      </w:r>
      <w:bookmarkEnd w:id="207"/>
      <w:r>
        <w:rPr>
          <w:rFonts w:hint="eastAsia" w:ascii="宋体" w:hAnsi="宋体" w:eastAsia="宋体" w:cs="宋体"/>
          <w:color w:val="000000" w:themeColor="text1"/>
          <w:highlight w:val="none"/>
          <w14:textFill>
            <w14:solidFill>
              <w14:schemeClr w14:val="tx1"/>
            </w14:solidFill>
          </w14:textFill>
        </w:rPr>
        <w:t xml:space="preserve">四章 项目需求</w:t>
      </w:r>
      <w:bookmarkEnd w:id="208"/>
      <w:r/>
      <w:bookmarkEnd w:id="209"/>
      <w:r/>
      <w:bookmarkEnd w:id="210"/>
      <w:r/>
      <w:bookmarkEnd w:id="211"/>
      <w:r/>
      <w:bookmarkEnd w:id="212"/>
      <w:r/>
      <w:bookmarkEnd w:id="213"/>
      <w:r/>
      <w:bookmarkEnd w:id="214"/>
      <w:r/>
      <w:bookmarkStart w:id="215" w:name="_Toc274321794"/>
      <w:r/>
      <w:bookmarkEnd w:id="215"/>
      <w:r/>
      <w:bookmarkStart w:id="216" w:name="_Toc483515625"/>
      <w:r/>
      <w:bookmarkEnd w:id="216"/>
      <w:r/>
      <w:bookmarkStart w:id="217" w:name="_Toc350255489"/>
      <w:r/>
      <w:bookmarkEnd w:id="217"/>
      <w:r/>
      <w:bookmarkStart w:id="218" w:name="_Toc319429198"/>
      <w:r/>
      <w:bookmarkEnd w:id="218"/>
      <w:r/>
      <w:bookmarkStart w:id="219" w:name="_Toc49090575"/>
      <w:r/>
      <w:bookmarkStart w:id="220" w:name="_Toc26554093"/>
      <w:r/>
      <w:r/>
    </w:p>
    <w:p>
      <w:pPr>
        <w:spacing w:line="360" w:lineRule="auto"/>
        <w:rPr>
          <w:rFonts w:ascii="宋体" w:hAnsi="宋体" w:cs="宋体"/>
          <w:b/>
          <w:color w:val="000000" w:themeColor="text1"/>
          <w:sz w:val="28"/>
          <w:szCs w:val="28"/>
          <w:highlight w:val="none"/>
          <w14:textFill>
            <w14:solidFill>
              <w14:schemeClr w14:val="tx1"/>
            </w14:solidFill>
          </w14:textFill>
        </w:rPr>
      </w:pPr>
      <w:r/>
      <w:bookmarkStart w:id="221" w:name="_Toc120614281"/>
      <w:r>
        <w:rPr>
          <w:rFonts w:hint="eastAsia" w:ascii="宋体" w:hAnsi="宋体" w:cs="宋体"/>
          <w:b/>
          <w:color w:val="000000" w:themeColor="text1"/>
          <w:sz w:val="28"/>
          <w:szCs w:val="28"/>
          <w:highlight w:val="none"/>
          <w14:textFill>
            <w14:solidFill>
              <w14:schemeClr w14:val="tx1"/>
            </w14:solidFill>
          </w14:textFill>
        </w:rPr>
        <w:t xml:space="preserve">一、清单</w:t>
      </w:r>
      <w:r/>
    </w:p>
    <w:p>
      <w:pPr>
        <w:pStyle w:val="1375"/>
        <w:ind w:firstLine="500"/>
        <w:spacing w:line="440" w:lineRule="exact"/>
        <w:rPr>
          <w:rStyle w:val="1358"/>
          <w:rFonts w:ascii="宋体" w:hAnsi="宋体" w:eastAsia="宋体" w:cs="宋体"/>
          <w:b/>
          <w:bCs/>
          <w:color w:val="000000" w:themeColor="text1"/>
          <w:highlight w:val="none"/>
          <w14:textFill>
            <w14:solidFill>
              <w14:schemeClr w14:val="tx1"/>
            </w14:solidFill>
          </w14:textFill>
        </w:rPr>
      </w:pPr>
      <w:r>
        <w:rPr>
          <w:rStyle w:val="1358"/>
          <w:rFonts w:hint="eastAsia" w:ascii="宋体" w:hAnsi="宋体" w:eastAsia="宋体" w:cs="宋体"/>
          <w:b/>
          <w:bCs/>
          <w:color w:val="000000" w:themeColor="text1"/>
          <w:highlight w:val="none"/>
          <w14:textFill>
            <w14:solidFill>
              <w14:schemeClr w14:val="tx1"/>
            </w14:solidFill>
          </w14:textFill>
        </w:rPr>
        <w:t xml:space="preserve">1.清单</w:t>
      </w:r>
      <w:r/>
    </w:p>
    <w:tbl>
      <w:tblPr>
        <w:tblStyle w:val="1173"/>
        <w:tblW w:w="49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14"/>
        <w:gridCol w:w="1432"/>
        <w:gridCol w:w="795"/>
        <w:gridCol w:w="555"/>
        <w:gridCol w:w="525"/>
        <w:gridCol w:w="4515"/>
        <w:gridCol w:w="788"/>
        <w:gridCol w:w="653"/>
      </w:tblGrid>
      <w:tr>
        <w:trPr>
          <w:jc w:val="center"/>
          <w:trHeight w:val="567"/>
        </w:trPr>
        <w:tc>
          <w:tcPr>
            <w:tcMar>
              <w:top w:w="100" w:type="dxa"/>
              <w:bottom w:w="100" w:type="dxa"/>
            </w:tcMar>
            <w:tcW w:w="514" w:type="dxa"/>
            <w:vAlign w:val="center"/>
            <w:textDirection w:val="lrTb"/>
            <w:noWrap/>
          </w:tcPr>
          <w:p>
            <w:pPr>
              <w:pStyle w:val="1376"/>
              <w:jc w:val="center"/>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序号</w:t>
            </w:r>
            <w:r/>
          </w:p>
        </w:tc>
        <w:tc>
          <w:tcPr>
            <w:tcMar>
              <w:top w:w="100" w:type="dxa"/>
              <w:bottom w:w="100" w:type="dxa"/>
            </w:tcMar>
            <w:tcW w:w="1432" w:type="dxa"/>
            <w:vAlign w:val="center"/>
            <w:textDirection w:val="lrTb"/>
            <w:noWrap/>
          </w:tcPr>
          <w:p>
            <w:pPr>
              <w:pStyle w:val="1376"/>
              <w:jc w:val="center"/>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名称</w:t>
            </w:r>
            <w:r/>
          </w:p>
        </w:tc>
        <w:tc>
          <w:tcPr>
            <w:tcMar>
              <w:top w:w="100" w:type="dxa"/>
              <w:bottom w:w="100" w:type="dxa"/>
            </w:tcMar>
            <w:tcW w:w="795" w:type="dxa"/>
            <w:vAlign w:val="center"/>
            <w:textDirection w:val="lrTb"/>
            <w:noWrap/>
          </w:tcPr>
          <w:p>
            <w:pPr>
              <w:pStyle w:val="1376"/>
              <w:jc w:val="center"/>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数量</w:t>
            </w:r>
            <w:r/>
          </w:p>
        </w:tc>
        <w:tc>
          <w:tcPr>
            <w:tcMar>
              <w:top w:w="100" w:type="dxa"/>
              <w:bottom w:w="100" w:type="dxa"/>
            </w:tcMar>
            <w:tcW w:w="555" w:type="dxa"/>
            <w:vAlign w:val="center"/>
            <w:textDirection w:val="lrTb"/>
            <w:noWrap/>
          </w:tcPr>
          <w:p>
            <w:pPr>
              <w:pStyle w:val="1376"/>
              <w:jc w:val="center"/>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单位</w:t>
            </w:r>
            <w:r/>
          </w:p>
        </w:tc>
        <w:tc>
          <w:tcPr>
            <w:tcMar>
              <w:top w:w="100" w:type="dxa"/>
              <w:bottom w:w="100" w:type="dxa"/>
            </w:tcMar>
            <w:tcW w:w="525" w:type="dxa"/>
            <w:vAlign w:val="center"/>
            <w:textDirection w:val="lrTb"/>
            <w:noWrap/>
          </w:tcPr>
          <w:p>
            <w:pPr>
              <w:pStyle w:val="1376"/>
              <w:jc w:val="center"/>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图片</w:t>
            </w:r>
            <w:r/>
          </w:p>
        </w:tc>
        <w:tc>
          <w:tcPr>
            <w:tcMar>
              <w:top w:w="100" w:type="dxa"/>
              <w:bottom w:w="100" w:type="dxa"/>
            </w:tcMar>
            <w:tcW w:w="4515" w:type="dxa"/>
            <w:vAlign w:val="center"/>
            <w:textDirection w:val="lrTb"/>
            <w:noWrap/>
          </w:tcPr>
          <w:p>
            <w:pPr>
              <w:pStyle w:val="1376"/>
              <w:jc w:val="center"/>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所属行业</w:t>
            </w:r>
            <w:r/>
          </w:p>
        </w:tc>
        <w:tc>
          <w:tcPr>
            <w:tcMar>
              <w:top w:w="100" w:type="dxa"/>
              <w:bottom w:w="100" w:type="dxa"/>
            </w:tcMar>
            <w:tcW w:w="788" w:type="dxa"/>
            <w:vAlign w:val="center"/>
            <w:textDirection w:val="lrTb"/>
            <w:noWrap/>
          </w:tcPr>
          <w:p>
            <w:pPr>
              <w:pStyle w:val="1376"/>
              <w:jc w:val="center"/>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标的类型</w:t>
            </w:r>
            <w:r/>
          </w:p>
        </w:tc>
        <w:tc>
          <w:tcPr>
            <w:tcMar>
              <w:top w:w="100" w:type="dxa"/>
              <w:bottom w:w="100" w:type="dxa"/>
            </w:tcMar>
            <w:tcW w:w="653" w:type="dxa"/>
            <w:vAlign w:val="center"/>
            <w:textDirection w:val="lrTb"/>
            <w:noWrap/>
          </w:tcPr>
          <w:p>
            <w:pPr>
              <w:pStyle w:val="1376"/>
              <w:jc w:val="center"/>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标的属性</w:t>
            </w:r>
            <w:r/>
          </w:p>
        </w:tc>
      </w:tr>
      <w:tr>
        <w:trPr>
          <w:jc w:val="center"/>
          <w:trHeight w:val="567"/>
        </w:trPr>
        <w:tc>
          <w:tcPr>
            <w:tcMar>
              <w:top w:w="100" w:type="dxa"/>
              <w:bottom w:w="100" w:type="dxa"/>
            </w:tcMar>
            <w:tcW w:w="514" w:type="dxa"/>
            <w:vAlign w:val="center"/>
            <w:textDirection w:val="lrTb"/>
            <w:noWrap/>
          </w:tcPr>
          <w:p>
            <w:pPr>
              <w:pStyle w:val="1376"/>
              <w:jc w:val="center"/>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1</w:t>
            </w:r>
            <w:r/>
          </w:p>
        </w:tc>
        <w:tc>
          <w:tcPr>
            <w:tcMar>
              <w:top w:w="100" w:type="dxa"/>
              <w:bottom w:w="100" w:type="dxa"/>
            </w:tcMar>
            <w:tcW w:w="1432" w:type="dxa"/>
            <w:vAlign w:val="center"/>
            <w:textDirection w:val="lrTb"/>
            <w:noWrap/>
          </w:tcPr>
          <w:p>
            <w:pPr>
              <w:pStyle w:val="1376"/>
              <w:jc w:val="center"/>
              <w:rPr>
                <w:rStyle w:val="1358"/>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2025年度白蚁等害堤动物普查及治理项目</w:t>
            </w:r>
            <w:r/>
          </w:p>
        </w:tc>
        <w:tc>
          <w:tcPr>
            <w:tcMar>
              <w:top w:w="100" w:type="dxa"/>
              <w:bottom w:w="100" w:type="dxa"/>
            </w:tcMar>
            <w:tcW w:w="795" w:type="dxa"/>
            <w:vAlign w:val="center"/>
            <w:textDirection w:val="lrTb"/>
            <w:noWrap/>
          </w:tcPr>
          <w:p>
            <w:pPr>
              <w:pStyle w:val="1376"/>
              <w:jc w:val="center"/>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1.00</w:t>
            </w:r>
            <w:r/>
          </w:p>
        </w:tc>
        <w:tc>
          <w:tcPr>
            <w:tcMar>
              <w:top w:w="100" w:type="dxa"/>
              <w:bottom w:w="100" w:type="dxa"/>
            </w:tcMar>
            <w:tcW w:w="555" w:type="dxa"/>
            <w:vAlign w:val="center"/>
            <w:textDirection w:val="lrTb"/>
            <w:noWrap/>
          </w:tcPr>
          <w:p>
            <w:pPr>
              <w:pStyle w:val="1376"/>
              <w:jc w:val="center"/>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项</w:t>
            </w:r>
            <w:r/>
          </w:p>
        </w:tc>
        <w:tc>
          <w:tcPr>
            <w:tcMar>
              <w:top w:w="100" w:type="dxa"/>
              <w:bottom w:w="100" w:type="dxa"/>
            </w:tcMar>
            <w:tcW w:w="525" w:type="dxa"/>
            <w:vAlign w:val="center"/>
            <w:textDirection w:val="lrTb"/>
            <w:noWrap/>
          </w:tcPr>
          <w:p>
            <w:pPr>
              <w:pStyle w:val="1376"/>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无</w:t>
            </w:r>
            <w:r/>
          </w:p>
        </w:tc>
        <w:tc>
          <w:tcPr>
            <w:tcMar>
              <w:top w:w="100" w:type="dxa"/>
              <w:bottom w:w="100" w:type="dxa"/>
            </w:tcMar>
            <w:tcW w:w="4515" w:type="dxa"/>
            <w:vAlign w:val="center"/>
            <w:textDirection w:val="lrTb"/>
            <w:noWrap/>
          </w:tcPr>
          <w:p>
            <w:pPr>
              <w:pStyle w:val="1376"/>
              <w:jc w:val="center"/>
              <w:rPr>
                <w:rStyle w:val="1358"/>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788" w:type="dxa"/>
            <w:vAlign w:val="center"/>
            <w:textDirection w:val="lrTb"/>
            <w:noWrap/>
          </w:tcPr>
          <w:p>
            <w:pPr>
              <w:pStyle w:val="1376"/>
              <w:jc w:val="center"/>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主要采购标的</w:t>
            </w:r>
            <w:r/>
          </w:p>
        </w:tc>
        <w:tc>
          <w:tcPr>
            <w:tcMar>
              <w:top w:w="100" w:type="dxa"/>
              <w:bottom w:w="100" w:type="dxa"/>
            </w:tcMar>
            <w:tcW w:w="653" w:type="dxa"/>
            <w:vAlign w:val="center"/>
            <w:textDirection w:val="lrTb"/>
            <w:noWrap/>
          </w:tcPr>
          <w:p>
            <w:pPr>
              <w:pStyle w:val="1376"/>
              <w:jc w:val="center"/>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服务类</w:t>
            </w:r>
            <w:r/>
          </w:p>
        </w:tc>
      </w:tr>
    </w:tbl>
    <w:p>
      <w:pPr>
        <w:pStyle w:val="1377"/>
        <w:ind w:firstLine="500"/>
        <w:keepLines w:val="0"/>
        <w:keepNext w:val="0"/>
        <w:pageBreakBefore w:val="0"/>
        <w:spacing w:line="520" w:lineRule="exact"/>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w:t>
      </w:r>
      <w:r>
        <w:rPr>
          <w:rFonts w:hint="eastAsia" w:ascii="宋体" w:hAnsi="宋体" w:eastAsia="宋体" w:cs="宋体"/>
          <w:color w:val="000000" w:themeColor="text1"/>
          <w:highlight w:val="none"/>
          <w14:textFill>
            <w14:solidFill>
              <w14:schemeClr w14:val="tx1"/>
            </w14:solidFill>
          </w14:textFill>
        </w:rPr>
        <w:t xml:space="preserve">其他未列明行业（包括科学研究和技术服务业，水利、环境和公共设施管理业，居民服务、修理和其他服务业，社会工作，文化、体育和娱乐业等）</w:t>
      </w:r>
      <w:r>
        <w:rPr>
          <w:rStyle w:val="1358"/>
          <w:rFonts w:hint="eastAsia" w:ascii="宋体" w:hAnsi="宋体" w:eastAsia="宋体" w:cs="宋体"/>
          <w:color w:val="000000" w:themeColor="text1"/>
          <w:highlight w:val="none"/>
          <w14:textFill>
            <w14:solidFill>
              <w14:schemeClr w14:val="tx1"/>
            </w14:solidFill>
          </w14:textFill>
        </w:rPr>
        <w:t xml:space="preserve">。</w:t>
      </w:r>
      <w:r/>
    </w:p>
    <w:p>
      <w:pPr>
        <w:pStyle w:val="1378"/>
        <w:ind w:firstLine="500"/>
        <w:keepLines w:val="0"/>
        <w:keepNext w:val="0"/>
        <w:pageBreakBefore w:val="0"/>
        <w:spacing w:line="520" w:lineRule="exact"/>
        <w:rPr>
          <w:rStyle w:val="1358"/>
          <w:rFonts w:ascii="宋体" w:hAnsi="宋体" w:eastAsia="宋体" w:cs="宋体"/>
          <w:b/>
          <w:bCs/>
          <w:color w:val="000000" w:themeColor="text1"/>
          <w:highlight w:val="none"/>
          <w14:textFill>
            <w14:solidFill>
              <w14:schemeClr w14:val="tx1"/>
            </w14:solidFill>
          </w14:textFill>
        </w:rPr>
      </w:pPr>
      <w:r>
        <w:rPr>
          <w:rStyle w:val="1358"/>
          <w:rFonts w:hint="eastAsia" w:ascii="宋体" w:hAnsi="宋体" w:eastAsia="宋体" w:cs="宋体"/>
          <w:b/>
          <w:bCs/>
          <w:color w:val="000000" w:themeColor="text1"/>
          <w:highlight w:val="none"/>
          <w14:textFill>
            <w14:solidFill>
              <w14:schemeClr w14:val="tx1"/>
            </w14:solidFill>
          </w14:textFill>
        </w:rPr>
        <w:t xml:space="preserve">2.核心产品清单</w:t>
      </w:r>
      <w:r/>
    </w:p>
    <w:p>
      <w:pPr>
        <w:pStyle w:val="1378"/>
        <w:ind w:firstLine="500"/>
        <w:keepLines w:val="0"/>
        <w:keepNext w:val="0"/>
        <w:pageBreakBefore w:val="0"/>
        <w:spacing w:line="520" w:lineRule="exact"/>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无</w:t>
      </w:r>
      <w:r/>
    </w:p>
    <w:p>
      <w:pPr>
        <w:pStyle w:val="1379"/>
        <w:ind w:firstLine="500"/>
        <w:keepLines w:val="0"/>
        <w:keepNext w:val="0"/>
        <w:pageBreakBefore w:val="0"/>
        <w:spacing w:line="520" w:lineRule="exact"/>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b/>
          <w:bCs/>
          <w:color w:val="000000" w:themeColor="text1"/>
          <w:highlight w:val="none"/>
          <w14:textFill>
            <w14:solidFill>
              <w14:schemeClr w14:val="tx1"/>
            </w14:solidFill>
          </w14:textFill>
        </w:rPr>
        <w:t xml:space="preserve">3.节能、环境标志产品清单(请提供国家确定的认证机构出具的、处于有效期之内的节能产品、环境标志产品认证证书（若证书有附件（附录）的，附件（附录）须随证书一起提供）</w:t>
      </w:r>
      <w:r/>
    </w:p>
    <w:p>
      <w:pPr>
        <w:pStyle w:val="1379"/>
        <w:ind w:firstLine="500"/>
        <w:keepLines w:val="0"/>
        <w:keepNext w:val="0"/>
        <w:pageBreakBefore w:val="0"/>
        <w:spacing w:line="520" w:lineRule="exact"/>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节能产品政府采购品目清单：</w:t>
      </w:r>
      <w:r/>
    </w:p>
    <w:p>
      <w:pPr>
        <w:pStyle w:val="1379"/>
        <w:ind w:firstLine="500"/>
        <w:keepLines w:val="0"/>
        <w:keepNext w:val="0"/>
        <w:pageBreakBefore w:val="0"/>
        <w:spacing w:line="520" w:lineRule="exact"/>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无</w:t>
      </w:r>
      <w:r/>
    </w:p>
    <w:p>
      <w:pPr>
        <w:pStyle w:val="1380"/>
        <w:ind w:firstLine="500"/>
        <w:keepLines w:val="0"/>
        <w:keepNext w:val="0"/>
        <w:pageBreakBefore w:val="0"/>
        <w:spacing w:line="520" w:lineRule="exact"/>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环境标志产品政府采购品目清单：</w:t>
      </w:r>
      <w:r/>
    </w:p>
    <w:p>
      <w:pPr>
        <w:pStyle w:val="1379"/>
        <w:ind w:firstLine="500"/>
        <w:keepLines w:val="0"/>
        <w:keepNext w:val="0"/>
        <w:pageBreakBefore w:val="0"/>
        <w:spacing w:line="520" w:lineRule="exact"/>
        <w:rPr>
          <w:rStyle w:val="1358"/>
          <w:rFonts w:ascii="宋体" w:hAnsi="宋体" w:eastAsia="宋体" w:cs="宋体"/>
          <w:color w:val="000000" w:themeColor="text1"/>
          <w:highlight w:val="none"/>
          <w14:textFill>
            <w14:solidFill>
              <w14:schemeClr w14:val="tx1"/>
            </w14:solidFill>
          </w14:textFill>
        </w:rPr>
      </w:pPr>
      <w:r/>
      <w:bookmarkStart w:id="222" w:name="EB408f2104b2e44804a6615a1921eee37c"/>
      <w:r/>
      <w:bookmarkEnd w:id="222"/>
      <w:r>
        <w:rPr>
          <w:rStyle w:val="1358"/>
          <w:rFonts w:hint="eastAsia" w:ascii="宋体" w:hAnsi="宋体" w:eastAsia="宋体" w:cs="宋体"/>
          <w:color w:val="000000" w:themeColor="text1"/>
          <w:highlight w:val="none"/>
          <w14:textFill>
            <w14:solidFill>
              <w14:schemeClr w14:val="tx1"/>
            </w14:solidFill>
          </w14:textFill>
        </w:rPr>
        <w:t xml:space="preserve">无</w:t>
      </w:r>
      <w:r/>
    </w:p>
    <w:p>
      <w:pPr>
        <w:spacing w:before="120" w:after="120" w:line="440" w:lineRule="exact"/>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二、技术要求</w:t>
      </w:r>
      <w:r>
        <w:rPr>
          <w:rFonts w:hint="eastAsia" w:ascii="宋体" w:hAnsi="宋体" w:cs="宋体"/>
          <w:b/>
          <w:color w:val="000000" w:themeColor="text1"/>
          <w:sz w:val="28"/>
          <w:szCs w:val="28"/>
          <w:highlight w:val="none"/>
          <w:lang w:eastAsia="zh-CN"/>
          <w14:textFill>
            <w14:solidFill>
              <w14:schemeClr w14:val="tx1"/>
            </w14:solidFill>
          </w14:textFill>
        </w:rPr>
        <w:t xml:space="preserve">（</w:t>
      </w:r>
      <w:r>
        <w:rPr>
          <w:rFonts w:hint="eastAsia" w:ascii="宋体" w:hAnsi="宋体" w:cs="宋体"/>
          <w:b/>
          <w:color w:val="000000" w:themeColor="text1"/>
          <w:sz w:val="28"/>
          <w:szCs w:val="28"/>
          <w:highlight w:val="none"/>
          <w:lang w:val="en-US" w:eastAsia="zh-CN"/>
          <w14:textFill>
            <w14:solidFill>
              <w14:schemeClr w14:val="tx1"/>
            </w14:solidFill>
          </w14:textFill>
        </w:rPr>
        <w:t xml:space="preserve">采购包1</w:t>
      </w:r>
      <w:r>
        <w:rPr>
          <w:rFonts w:hint="eastAsia" w:ascii="宋体" w:hAnsi="宋体" w:cs="宋体"/>
          <w:b/>
          <w:color w:val="000000" w:themeColor="text1"/>
          <w:sz w:val="28"/>
          <w:szCs w:val="28"/>
          <w:highlight w:val="none"/>
          <w:lang w:eastAsia="zh-CN"/>
          <w14:textFill>
            <w14:solidFill>
              <w14:schemeClr w14:val="tx1"/>
            </w14:solidFill>
          </w14:textFill>
        </w:rPr>
        <w:t xml:space="preserve">）</w:t>
      </w:r>
      <w:r/>
    </w:p>
    <w:tbl>
      <w:tblPr>
        <w:tblStyle w:val="1173"/>
        <w:tblW w:w="50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77"/>
        <w:gridCol w:w="1300"/>
        <w:gridCol w:w="8261"/>
      </w:tblGrid>
      <w:tr>
        <w:trPr>
          <w:jc w:val="center"/>
          <w:trHeight w:val="567"/>
        </w:trPr>
        <w:tc>
          <w:tcPr>
            <w:shd w:val="clear" w:color="auto" w:fill="b5c7ea" w:themeFill="accent1" w:themeFillTint="66"/>
            <w:tcMar>
              <w:top w:w="100" w:type="dxa"/>
              <w:bottom w:w="100" w:type="dxa"/>
            </w:tcMar>
            <w:tcW w:w="577" w:type="dxa"/>
            <w:vAlign w:val="center"/>
            <w:textDirection w:val="lrTb"/>
            <w:noWrap/>
          </w:tcPr>
          <w:p>
            <w:pPr>
              <w:pStyle w:val="1381"/>
              <w:jc w:val="center"/>
              <w:keepLines w:val="0"/>
              <w:keepNext w:val="0"/>
              <w:pageBreakBefore w:val="0"/>
              <w:widowControl/>
              <w:rPr>
                <w:rStyle w:val="1358"/>
                <w:rFonts w:ascii="宋体" w:hAnsi="宋体" w:eastAsia="宋体" w:cs="宋体"/>
                <w:b/>
                <w:bCs/>
                <w:color w:val="000000" w:themeColor="text1"/>
                <w:highlight w:val="none"/>
                <w14:textFill>
                  <w14:solidFill>
                    <w14:schemeClr w14:val="tx1"/>
                  </w14:solidFill>
                </w14:textFill>
              </w:rPr>
            </w:pPr>
            <w:r>
              <w:rPr>
                <w:rStyle w:val="1358"/>
                <w:rFonts w:hint="eastAsia" w:ascii="宋体" w:hAnsi="宋体" w:eastAsia="宋体" w:cs="宋体"/>
                <w:b/>
                <w:bCs/>
                <w:color w:val="000000" w:themeColor="text1"/>
                <w:highlight w:val="none"/>
                <w14:textFill>
                  <w14:solidFill>
                    <w14:schemeClr w14:val="tx1"/>
                  </w14:solidFill>
                </w14:textFill>
              </w:rPr>
              <w:t xml:space="preserve">序号</w:t>
            </w:r>
            <w:r/>
          </w:p>
        </w:tc>
        <w:tc>
          <w:tcPr>
            <w:shd w:val="clear" w:color="auto" w:fill="b5c7ea" w:themeFill="accent1" w:themeFillTint="66"/>
            <w:tcMar>
              <w:top w:w="100" w:type="dxa"/>
              <w:bottom w:w="100" w:type="dxa"/>
            </w:tcMar>
            <w:tcW w:w="1300" w:type="dxa"/>
            <w:vAlign w:val="center"/>
            <w:textDirection w:val="lrTb"/>
            <w:noWrap/>
          </w:tcPr>
          <w:p>
            <w:pPr>
              <w:pStyle w:val="1381"/>
              <w:jc w:val="center"/>
              <w:keepLines w:val="0"/>
              <w:keepNext w:val="0"/>
              <w:pageBreakBefore w:val="0"/>
              <w:widowControl/>
              <w:rPr>
                <w:rStyle w:val="1358"/>
                <w:rFonts w:ascii="宋体" w:hAnsi="宋体" w:eastAsia="宋体" w:cs="宋体"/>
                <w:b/>
                <w:bCs/>
                <w:color w:val="000000" w:themeColor="text1"/>
                <w:highlight w:val="none"/>
                <w14:textFill>
                  <w14:solidFill>
                    <w14:schemeClr w14:val="tx1"/>
                  </w14:solidFill>
                </w14:textFill>
              </w:rPr>
            </w:pPr>
            <w:r>
              <w:rPr>
                <w:rStyle w:val="1358"/>
                <w:rFonts w:hint="eastAsia" w:ascii="宋体" w:hAnsi="宋体" w:eastAsia="宋体" w:cs="宋体"/>
                <w:b/>
                <w:bCs/>
                <w:color w:val="000000" w:themeColor="text1"/>
                <w:highlight w:val="none"/>
                <w14:textFill>
                  <w14:solidFill>
                    <w14:schemeClr w14:val="tx1"/>
                  </w14:solidFill>
                </w14:textFill>
              </w:rPr>
              <w:t xml:space="preserve">名称</w:t>
            </w:r>
            <w:r/>
          </w:p>
        </w:tc>
        <w:tc>
          <w:tcPr>
            <w:shd w:val="clear" w:color="auto" w:fill="b5c7ea" w:themeFill="accent1" w:themeFillTint="66"/>
            <w:tcMar>
              <w:top w:w="100" w:type="dxa"/>
              <w:bottom w:w="100" w:type="dxa"/>
            </w:tcMar>
            <w:tcW w:w="8261" w:type="dxa"/>
            <w:vAlign w:val="center"/>
            <w:textDirection w:val="lrTb"/>
            <w:noWrap/>
          </w:tcPr>
          <w:p>
            <w:pPr>
              <w:pStyle w:val="1381"/>
              <w:jc w:val="center"/>
              <w:keepLines w:val="0"/>
              <w:keepNext w:val="0"/>
              <w:pageBreakBefore w:val="0"/>
              <w:widowControl/>
              <w:rPr>
                <w:rStyle w:val="1358"/>
                <w:rFonts w:ascii="宋体" w:hAnsi="宋体" w:eastAsia="宋体" w:cs="宋体"/>
                <w:b/>
                <w:bCs/>
                <w:color w:val="000000" w:themeColor="text1"/>
                <w:highlight w:val="none"/>
                <w14:textFill>
                  <w14:solidFill>
                    <w14:schemeClr w14:val="tx1"/>
                  </w14:solidFill>
                </w14:textFill>
              </w:rPr>
            </w:pPr>
            <w:r>
              <w:rPr>
                <w:rStyle w:val="1358"/>
                <w:rFonts w:hint="eastAsia" w:ascii="宋体" w:hAnsi="宋体" w:eastAsia="宋体" w:cs="宋体"/>
                <w:b/>
                <w:bCs/>
                <w:color w:val="000000" w:themeColor="text1"/>
                <w:highlight w:val="none"/>
                <w14:textFill>
                  <w14:solidFill>
                    <w14:schemeClr w14:val="tx1"/>
                  </w14:solidFill>
                </w14:textFill>
              </w:rPr>
              <w:t xml:space="preserve">内容</w:t>
            </w:r>
            <w:r/>
          </w:p>
        </w:tc>
      </w:tr>
      <w:tr>
        <w:trPr>
          <w:jc w:val="center"/>
          <w:trHeight w:val="567"/>
        </w:trPr>
        <w:tc>
          <w:tcPr>
            <w:tcMar>
              <w:top w:w="100" w:type="dxa"/>
              <w:bottom w:w="100" w:type="dxa"/>
            </w:tcMar>
            <w:tcW w:w="577" w:type="dxa"/>
            <w:vAlign w:val="center"/>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1</w:t>
            </w:r>
            <w:r/>
          </w:p>
        </w:tc>
        <w:tc>
          <w:tcPr>
            <w:tcMar>
              <w:top w:w="100" w:type="dxa"/>
              <w:bottom w:w="100" w:type="dxa"/>
            </w:tcMar>
            <w:tcW w:w="1300" w:type="dxa"/>
            <w:vAlign w:val="center"/>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项目概况</w:t>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对本</w:t>
            </w:r>
            <w:r>
              <w:rPr>
                <w:rStyle w:val="1358"/>
                <w:rFonts w:hint="eastAsia" w:ascii="宋体" w:hAnsi="宋体" w:eastAsia="宋体" w:cs="宋体"/>
                <w:color w:val="000000" w:themeColor="text1"/>
                <w:highlight w:val="none"/>
                <w14:textFill>
                  <w14:solidFill>
                    <w14:schemeClr w14:val="tx1"/>
                  </w14:solidFill>
                </w14:textFill>
              </w:rPr>
              <w:t xml:space="preserve">标段的</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张家港市长江及市级河道各级别水利堤防进行白蚁等害堤动物普查及治理。对项目范围内的沿线堤防进行拉网式普查，在白蚁等害堤动物危害区域设置标记牌，详细记录普查区域段的白蚁与其他害堤动物危害等级情况，制定出目前整个白蚁与其他害堤动物危害等级</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的</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详细报告，并对堤防内存在的白蚁等害堤动物进行防治处理，编写害堤动物防治报告，</w:t>
            </w:r>
            <w:r>
              <w:rPr>
                <w:rFonts w:hint="eastAsia" w:ascii="宋体" w:hAnsi="宋体" w:cs="宋体"/>
                <w:color w:val="000000" w:themeColor="text1"/>
                <w:sz w:val="24"/>
                <w:szCs w:val="24"/>
                <w:highlight w:val="none"/>
                <w:lang w:val="en-US" w:eastAsia="zh-CN"/>
                <w14:textFill>
                  <w14:solidFill>
                    <w14:schemeClr w14:val="tx1"/>
                  </w14:solidFill>
                </w14:textFill>
              </w:rPr>
              <w:t xml:space="preserve">同时完成对长江重点堤防进行安全健康评估。</w:t>
            </w:r>
            <w:r/>
          </w:p>
        </w:tc>
      </w:tr>
      <w:tr>
        <w:trPr>
          <w:jc w:val="center"/>
          <w:trHeight w:val="567"/>
        </w:trPr>
        <w:tc>
          <w:tcPr>
            <w:tcMar>
              <w:top w:w="100" w:type="dxa"/>
              <w:bottom w:w="100" w:type="dxa"/>
            </w:tcMar>
            <w:tcW w:w="577" w:type="dxa"/>
            <w:vAlign w:val="center"/>
            <w:vMerge w:val="restart"/>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2</w:t>
            </w:r>
            <w:r/>
          </w:p>
        </w:tc>
        <w:tc>
          <w:tcPr>
            <w:tcMar>
              <w:top w:w="100" w:type="dxa"/>
              <w:bottom w:w="100" w:type="dxa"/>
            </w:tcMar>
            <w:tcW w:w="1300" w:type="dxa"/>
            <w:vAlign w:val="center"/>
            <w:vMerge w:val="restart"/>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ascii="宋体" w:hAnsi="宋体" w:eastAsia="宋体" w:cs="宋体"/>
                <w:color w:val="000000" w:themeColor="text1"/>
                <w:highlight w:val="none"/>
                <w14:textFill>
                  <w14:solidFill>
                    <w14:schemeClr w14:val="tx1"/>
                  </w14:solidFill>
                </w14:textFill>
              </w:rPr>
              <w:t xml:space="preserve">实施</w:t>
            </w:r>
            <w:r>
              <w:rPr>
                <w:rStyle w:val="1358"/>
                <w:rFonts w:hint="eastAsia" w:ascii="宋体" w:hAnsi="宋体" w:eastAsia="宋体" w:cs="宋体"/>
                <w:color w:val="000000" w:themeColor="text1"/>
                <w:highlight w:val="none"/>
                <w14:textFill>
                  <w14:solidFill>
                    <w14:schemeClr w14:val="tx1"/>
                  </w14:solidFill>
                </w14:textFill>
              </w:rPr>
              <w:t xml:space="preserve">要求</w:t>
            </w:r>
            <w:r/>
          </w:p>
        </w:tc>
        <w:tc>
          <w:tcPr>
            <w:tcMar>
              <w:top w:w="100" w:type="dxa"/>
              <w:bottom w:w="100" w:type="dxa"/>
            </w:tcMar>
            <w:tcW w:w="8261" w:type="dxa"/>
            <w:vAlign w:val="center"/>
            <w:textDirection w:val="lrTb"/>
            <w:noWrap/>
          </w:tcPr>
          <w:p>
            <w:pPr>
              <w:pStyle w:val="1381"/>
              <w:numPr>
                <w:ilvl w:val="0"/>
                <w:numId w:val="1"/>
              </w:numPr>
              <w:keepLines w:val="0"/>
              <w:keepNext w:val="0"/>
              <w:pageBreakBefore w:val="0"/>
              <w:widowControl/>
              <w:rPr>
                <w:rStyle w:val="1358"/>
                <w:rFonts w:hint="eastAsia"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按照《江苏省堤坝白蚁防治办法》、《堤坝白蚁防治技术规程》和《水利工程白蚁防治技术指南（试行）》开展</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项目范围</w:t>
            </w:r>
            <w:r>
              <w:rPr>
                <w:rStyle w:val="1358"/>
                <w:rFonts w:hint="eastAsia" w:ascii="宋体" w:hAnsi="宋体" w:eastAsia="宋体" w:cs="宋体"/>
                <w:color w:val="000000" w:themeColor="text1"/>
                <w:highlight w:val="none"/>
                <w14:textFill>
                  <w14:solidFill>
                    <w14:schemeClr w14:val="tx1"/>
                  </w14:solidFill>
                </w14:textFill>
              </w:rPr>
              <w:t xml:space="preserve">内堤防白蚁等害堤动物普查及防治处理，内容包括：对白蚁外露特征、白蚁活动痕迹查找、判断分布范围及深度、确定白蚁等害堤动物危害等级、对普查发现白蚁危害严重区域进行诱杀、埋设引诱〈堆〉桩、埋设部分信息化智能监测装置、诱杀剂投放、蚁道灌浆、机械打孔灌浆、巢位确定、破巢开挖、蚁患处土方夯实回填、獾等害堤动物普查及治理等相关工作；中标人须提供白蚁等害堤动物普查及防治台账（日常工作检查记录、采食检查记录、图纸图片资料汇总、总结、验收报告等）。</w:t>
            </w:r>
            <w:r/>
          </w:p>
        </w:tc>
      </w:tr>
      <w:tr>
        <w:trPr>
          <w:jc w:val="center"/>
          <w:trHeight w:val="1114"/>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numPr>
                <w:ilvl w:val="0"/>
                <w:numId w:val="0"/>
              </w:numPr>
              <w:keepLines w:val="0"/>
              <w:keepNext w:val="0"/>
              <w:pageBreakBefore w:val="0"/>
              <w:widowControl/>
              <w:rPr>
                <w:rStyle w:val="1358"/>
                <w:rFonts w:hint="eastAsia" w:ascii="宋体" w:hAnsi="宋体" w:eastAsia="宋体" w:cs="宋体"/>
                <w:color w:val="000000" w:themeColor="text1"/>
                <w:highlight w:val="none"/>
                <w:lang w:val="en-US" w:eastAsia="zh-CN"/>
                <w14:textFill>
                  <w14:solidFill>
                    <w14:schemeClr w14:val="tx1"/>
                  </w14:solidFill>
                </w14:textFill>
              </w:rPr>
            </w:pP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（2）中标人须对《2024年度白蚁等害堤动物普查及治理项目》中已普查到的受害堤防实施治理，并开展白蚁等害堤动物普查工作，</w:t>
            </w:r>
            <w:r>
              <w:rPr>
                <w:rFonts w:hint="eastAsia" w:ascii="宋体" w:hAnsi="宋体" w:cs="宋体"/>
                <w:color w:val="000000" w:themeColor="text1"/>
                <w:sz w:val="24"/>
                <w:szCs w:val="24"/>
                <w:highlight w:val="none"/>
                <w:lang w:val="en-US" w:eastAsia="zh-CN"/>
                <w14:textFill>
                  <w14:solidFill>
                    <w14:schemeClr w14:val="tx1"/>
                  </w14:solidFill>
                </w14:textFill>
              </w:rPr>
              <w:t xml:space="preserve">同时完成对长江重点堤防进行安全健康评估。</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具体工作量如下：</w:t>
            </w:r>
            <w:r/>
          </w:p>
          <w:tbl>
            <w:tblPr>
              <w:tblStyle w:val="1173"/>
              <w:tblW w:w="7942" w:type="dxa"/>
              <w:tblInd w:w="-1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4"/>
              <w:gridCol w:w="1516"/>
              <w:gridCol w:w="1117"/>
              <w:gridCol w:w="1167"/>
              <w:gridCol w:w="1483"/>
              <w:gridCol w:w="2095"/>
            </w:tblGrid>
            <w:tr>
              <w:trPr>
                <w:trHeight w:val="600"/>
              </w:trPr>
              <w:tc>
                <w:tcPr>
                  <w:gridSpan w:val="6"/>
                  <w:shd w:val="clear" w:color="auto" w:fill="auto"/>
                  <w:tcBorders>
                    <w:top w:val="single" w:color="000000" w:sz="4" w:space="0"/>
                    <w:left w:val="single" w:color="000000" w:sz="4" w:space="0"/>
                    <w:bottom w:val="single" w:color="000000" w:sz="4" w:space="0"/>
                    <w:right w:val="single" w:color="000000" w:sz="4" w:space="0"/>
                  </w:tcBorders>
                  <w:tcW w:w="794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一标段</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河流名称</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堤防等级</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对</w:t>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24年</w:t>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受害堤防</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治理工作量/km</w:t>
                  </w:r>
                  <w:r/>
                </w:p>
              </w:tc>
              <w:tc>
                <w:tcPr>
                  <w:shd w:val="clear" w:color="auto" w:fill="auto"/>
                  <w:tcBorders>
                    <w:top w:val="single" w:color="000000" w:sz="4" w:space="0"/>
                    <w:left w:val="non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白蚁等害堤动物</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普查工作量/km</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备注</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北中心河</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至七干河止</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盐铁塘</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华妙河</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自二干河始，至西旸塘止</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三丈浦</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七干河</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自六干河始，至走马塘止</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六干河</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四干河</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五干河</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走马塘</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永南河</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14.86</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自四干河始，至六干河止</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新奚浦塘</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自沙漕交界河始，至张家港止</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三干河</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农场河</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常沙河</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12.24</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西旸塘</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自华妙河始，至七干河止</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张家港河（凤凰段）</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长江（一干河东面）</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2级</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39.11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39.11</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自一干河始，至三干河止，包含港堤</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37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长江健康普查（沙洲电厂至三干河），江堤长度5km</w:t>
                  </w:r>
                  <w:r/>
                </w:p>
              </w:tc>
            </w:tr>
          </w:tbl>
          <w:p>
            <w:pPr>
              <w:pStyle w:val="1381"/>
              <w:numPr>
                <w:ilvl w:val="0"/>
                <w:numId w:val="0"/>
              </w:numPr>
              <w:keepLines w:val="0"/>
              <w:keepNext w:val="0"/>
              <w:pageBreakBefore w:val="0"/>
              <w:widowControl/>
              <w:rPr>
                <w:rStyle w:val="1358"/>
                <w:rFonts w:hint="default" w:ascii="宋体" w:hAnsi="宋体" w:eastAsia="宋体" w:cs="宋体"/>
                <w:color w:val="000000" w:themeColor="text1"/>
                <w:highlight w:val="none"/>
                <w:lang w:val="en-US" w:eastAsia="zh-CN"/>
                <w14:textFill>
                  <w14:solidFill>
                    <w14:schemeClr w14:val="tx1"/>
                  </w14:solidFill>
                </w14:textFill>
              </w:rPr>
            </w:pPr>
            <w:r>
              <w:rPr>
                <w:rFonts w:hint="default" w:ascii="宋体" w:hAnsi="宋体" w:eastAsia="宋体" w:cs="宋体"/>
                <w:color w:val="000000" w:themeColor="text1"/>
                <w:highlight w:val="none"/>
                <w:lang w:val="en-US" w:eastAsia="zh-CN"/>
                <w14:textFill>
                  <w14:solidFill>
                    <w14:schemeClr w14:val="tx1"/>
                  </w14:solidFill>
                </w14:textFill>
              </w:rPr>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合同签订之日起至202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cs="宋体"/>
                <w:color w:val="000000" w:themeColor="text1"/>
                <w:sz w:val="24"/>
                <w:szCs w:val="24"/>
                <w:highlight w:val="none"/>
                <w14:textFill>
                  <w14:solidFill>
                    <w14:schemeClr w14:val="tx1"/>
                  </w14:solidFill>
                </w14:textFill>
              </w:rPr>
              <w:t xml:space="preserve">日止（</w:t>
            </w:r>
            <w:r>
              <w:rPr>
                <w:rStyle w:val="1358"/>
                <w:rFonts w:hint="eastAsia" w:ascii="宋体" w:hAnsi="宋体" w:eastAsia="宋体" w:cs="宋体"/>
                <w:color w:val="000000" w:themeColor="text1"/>
                <w:highlight w:val="none"/>
                <w:lang w:val="en-US" w:eastAsia="zh-CN"/>
                <w14:textFill>
                  <w14:solidFill>
                    <w14:schemeClr w14:val="tx1"/>
                  </w14:solidFill>
                </w14:textFill>
              </w:rPr>
            </w:r>
            <w:r>
              <w:rPr>
                <w:rFonts w:ascii="SimSun" w:hAnsi="SimSun" w:eastAsia="SimSun" w:cs="SimSun"/>
                <w:color w:val="000000"/>
                <w:sz w:val="24"/>
              </w:rPr>
              <w:t xml:space="preserve">2025年11月15日前</w:t>
            </w:r>
            <w:r/>
            <w:r>
              <w:rPr>
                <w:rFonts w:hint="eastAsia" w:ascii="宋体" w:hAnsi="宋体" w:cs="宋体"/>
                <w:color w:val="000000" w:themeColor="text1"/>
                <w:sz w:val="24"/>
                <w:szCs w:val="24"/>
                <w:highlight w:val="none"/>
                <w14:textFill>
                  <w14:solidFill>
                    <w14:schemeClr w14:val="tx1"/>
                  </w14:solidFill>
                </w14:textFill>
              </w:rPr>
            </w:r>
            <w:r>
              <w:rPr>
                <w:rFonts w:hint="eastAsia" w:ascii="宋体" w:hAnsi="宋体" w:cs="宋体"/>
                <w:color w:val="000000" w:themeColor="text1"/>
                <w:sz w:val="24"/>
                <w:szCs w:val="24"/>
                <w:highlight w:val="none"/>
                <w:lang w:val="en-US" w:eastAsia="zh-CN"/>
                <w14:textFill>
                  <w14:solidFill>
                    <w14:schemeClr w14:val="tx1"/>
                  </w14:solidFill>
                </w14:textFill>
              </w:rPr>
              <w:t xml:space="preserve">完成对《2024年度白蚁等害堤动物普查及治理项目》中已普查到的受害堤防的治理并出具报告。</w:t>
            </w:r>
            <w:r>
              <w:rPr>
                <w:rFonts w:hint="eastAsia" w:ascii="宋体" w:hAnsi="宋体" w:cs="宋体"/>
                <w:color w:val="000000" w:themeColor="text1"/>
                <w:sz w:val="24"/>
                <w:szCs w:val="24"/>
                <w:highlight w:val="none"/>
                <w14:textFill>
                  <w14:solidFill>
                    <w14:schemeClr w14:val="tx1"/>
                  </w14:solidFill>
                </w14:textFill>
              </w:rPr>
              <w:t xml:space="preserve">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底前完成本标段堤防的普查并出具报告，同时完成对长江重点堤防进行安全健康评估。</w:t>
            </w:r>
            <w:r>
              <w:rPr>
                <w:rFonts w:hint="eastAsia" w:ascii="宋体" w:hAnsi="宋体" w:cs="宋体"/>
                <w:color w:val="000000" w:themeColor="text1"/>
                <w:sz w:val="24"/>
                <w:szCs w:val="24"/>
                <w:highlight w:val="none"/>
                <w14:textFill>
                  <w14:solidFill>
                    <w14:schemeClr w14:val="tx1"/>
                  </w14:solidFill>
                </w14:textFill>
              </w:rPr>
              <w:t xml:space="preserve">）</w:t>
            </w:r>
            <w:r>
              <w:rPr>
                <w:rStyle w:val="1358"/>
                <w:rFonts w:hint="eastAsia" w:ascii="宋体" w:hAnsi="宋体" w:eastAsia="宋体" w:cs="宋体"/>
                <w:color w:val="000000" w:themeColor="text1"/>
                <w:highlight w:val="none"/>
                <w14:textFill>
                  <w14:solidFill>
                    <w14:schemeClr w14:val="tx1"/>
                  </w14:solidFill>
                </w14:textFill>
              </w:rPr>
              <w:t xml:space="preserve">对确定有白蚁等害堤动物活动区域设置引诱桩、埋设地下引诱装置、安装地下型信息化智能预警监测装置；并提供诱杀剂投放、蚁道灌浆、机械打孔灌浆、巢位确定、破巢开挖、蚁患处土方夯实回填、安装地下型信息化智能预警监测装置。</w:t>
            </w:r>
            <w:r/>
            <w:r/>
            <w:r>
              <w:rPr>
                <w:sz w:val="21"/>
              </w:rP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4</w:t>
            </w: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i/>
                <w:iCs/>
                <w:color w:val="000000" w:themeColor="text1"/>
                <w:highlight w:val="none"/>
                <w:u w:val="single"/>
                <w14:textFill>
                  <w14:solidFill>
                    <w14:schemeClr w14:val="tx1"/>
                  </w14:solidFill>
                </w14:textFill>
              </w:rPr>
              <w:t xml:space="preserve">投标人拟投入本项目</w:t>
            </w:r>
            <w:r>
              <w:rPr>
                <w:rStyle w:val="1358"/>
                <w:rFonts w:hint="eastAsia" w:ascii="宋体" w:hAnsi="宋体" w:eastAsia="宋体" w:cs="宋体"/>
                <w:i/>
                <w:iCs/>
                <w:color w:val="000000" w:themeColor="text1"/>
                <w:highlight w:val="none"/>
                <w:u w:val="single"/>
                <w:lang w:val="en-US" w:eastAsia="zh-CN"/>
                <w14:textFill>
                  <w14:solidFill>
                    <w14:schemeClr w14:val="tx1"/>
                  </w14:solidFill>
                </w14:textFill>
              </w:rPr>
              <w:t xml:space="preserve">的项目负责人</w:t>
            </w:r>
            <w:r>
              <w:rPr>
                <w:rStyle w:val="1358"/>
                <w:rFonts w:hint="eastAsia" w:ascii="宋体" w:hAnsi="宋体" w:eastAsia="宋体" w:cs="宋体"/>
                <w:i/>
                <w:iCs/>
                <w:color w:val="000000" w:themeColor="text1"/>
                <w:highlight w:val="none"/>
                <w:u w:val="single"/>
                <w14:textFill>
                  <w14:solidFill>
                    <w14:schemeClr w14:val="tx1"/>
                  </w14:solidFill>
                </w14:textFill>
              </w:rPr>
              <w:t xml:space="preserve">负责人必须为投标人正式员工，具有负责或参与过类似项目的经验</w:t>
            </w:r>
            <w:r>
              <w:rPr>
                <w:rStyle w:val="1358"/>
                <w:rFonts w:hint="eastAsia" w:ascii="宋体" w:hAnsi="宋体" w:eastAsia="宋体" w:cs="宋体"/>
                <w:i/>
                <w:iCs/>
                <w:color w:val="000000" w:themeColor="text1"/>
                <w:highlight w:val="none"/>
                <w:u w:val="single"/>
                <w:lang w:eastAsia="zh-CN"/>
                <w14:textFill>
                  <w14:solidFill>
                    <w14:schemeClr w14:val="tx1"/>
                  </w14:solidFill>
                </w14:textFill>
              </w:rPr>
              <w:t xml:space="preserve">（</w:t>
            </w:r>
            <w:r>
              <w:rPr>
                <w:rStyle w:val="1358"/>
                <w:rFonts w:hint="eastAsia" w:ascii="宋体" w:hAnsi="宋体" w:eastAsia="宋体" w:cs="宋体"/>
                <w:i/>
                <w:iCs/>
                <w:color w:val="000000" w:themeColor="text1"/>
                <w:highlight w:val="none"/>
                <w:u w:val="single"/>
                <w:lang w:val="en-US" w:eastAsia="zh-CN"/>
                <w14:textFill>
                  <w14:solidFill>
                    <w14:schemeClr w14:val="tx1"/>
                  </w14:solidFill>
                </w14:textFill>
              </w:rPr>
              <w:t xml:space="preserve">请在投标文件中提供验收报告原件扫描件</w:t>
            </w:r>
            <w:r>
              <w:rPr>
                <w:rStyle w:val="1358"/>
                <w:rFonts w:hint="eastAsia" w:ascii="宋体" w:hAnsi="宋体" w:eastAsia="宋体" w:cs="宋体"/>
                <w:i/>
                <w:iCs/>
                <w:color w:val="000000" w:themeColor="text1"/>
                <w:highlight w:val="none"/>
                <w:u w:val="singl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14:textFill>
                  <w14:solidFill>
                    <w14:schemeClr w14:val="tx1"/>
                  </w14:solidFill>
                </w14:textFill>
              </w:rPr>
              <w:t xml:space="preserve">，具有省级（含）以上白蚁防治中心培训的从业人员证或相关</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机构颁发的白蚁防治能力证书</w:t>
            </w:r>
            <w:r>
              <w:rPr>
                <w:rStyle w:val="1358"/>
                <w:rFonts w:hint="eastAsia" w:ascii="宋体" w:hAnsi="宋体" w:eastAsia="宋体" w:cs="宋体"/>
                <w:color w:val="000000" w:themeColor="text1"/>
                <w:highlight w:val="none"/>
                <w14:textFill>
                  <w14:solidFill>
                    <w14:schemeClr w14:val="tx1"/>
                  </w14:solidFill>
                </w14:textFill>
              </w:rPr>
              <w:t xml:space="preserve">，担任本项目负责人工作期间，必须每天到达现场打卡，在服务合同约定期间，采购人根据项目需要有权要求项目负责人随时到达项目现场配合采购人完成项目工作。</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5</w:t>
            </w: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对《2024年度害堤动物普查及治理项目》中已普查到的受害堤防</w:t>
            </w:r>
            <w:r>
              <w:rPr>
                <w:rStyle w:val="1358"/>
                <w:rFonts w:hint="eastAsia" w:ascii="宋体" w:hAnsi="宋体" w:eastAsia="宋体" w:cs="宋体"/>
                <w:color w:val="000000" w:themeColor="text1"/>
                <w:highlight w:val="none"/>
                <w:lang w:eastAsia="zh-CN"/>
                <w14:textFill>
                  <w14:solidFill>
                    <w14:schemeClr w14:val="tx1"/>
                  </w14:solidFill>
                </w14:textFill>
              </w:rPr>
              <w:t xml:space="preserve">实施系统性治理</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w:t>
            </w:r>
            <w:r>
              <w:rPr>
                <w:rStyle w:val="1358"/>
                <w:rFonts w:hint="eastAsia" w:ascii="宋体" w:hAnsi="宋体" w:eastAsia="宋体" w:cs="宋体"/>
                <w:color w:val="000000" w:themeColor="text1"/>
                <w:highlight w:val="none"/>
                <w:lang w:eastAsia="zh-CN"/>
                <w14:textFill>
                  <w14:solidFill>
                    <w14:schemeClr w14:val="tx1"/>
                  </w14:solidFill>
                </w14:textFill>
              </w:rPr>
              <w:t xml:space="preserve">具体包括以下工作内容：</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1、</w:t>
            </w:r>
            <w:r>
              <w:rPr>
                <w:rStyle w:val="1358"/>
                <w:rFonts w:hint="eastAsia" w:ascii="宋体" w:hAnsi="宋体" w:eastAsia="宋体" w:cs="宋体"/>
                <w:color w:val="000000" w:themeColor="text1"/>
                <w:highlight w:val="none"/>
                <w:lang w:eastAsia="zh-CN"/>
                <w14:textFill>
                  <w14:solidFill>
                    <w14:schemeClr w14:val="tx1"/>
                  </w14:solidFill>
                </w14:textFill>
              </w:rPr>
              <w:t xml:space="preserve">‌复查</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核查</w:t>
            </w:r>
            <w:r>
              <w:rPr>
                <w:rStyle w:val="1358"/>
                <w:rFonts w:hint="eastAsia" w:ascii="宋体" w:hAnsi="宋体" w:eastAsia="宋体" w:cs="宋体"/>
                <w:color w:val="000000" w:themeColor="text1"/>
                <w:highlight w:val="none"/>
                <w:lang w:eastAsia="zh-CN"/>
                <w14:textFill>
                  <w14:solidFill>
                    <w14:schemeClr w14:val="tx1"/>
                  </w14:solidFill>
                </w14:textFill>
              </w:rPr>
              <w:t xml:space="preserve">工作：沿着堤防一字行排开，运用人工普查法、引诱法、仪器探测法等方式，对临、背河两侧、背河堤脚外 20m 采用拉网式检查，</w:t>
            </w:r>
            <w:r>
              <w:rPr>
                <w:rStyle w:val="1358"/>
                <w:rFonts w:hint="eastAsia" w:ascii="宋体" w:hAnsi="宋体" w:eastAsia="宋体" w:cs="宋体"/>
                <w:color w:val="000000" w:themeColor="text1"/>
                <w:highlight w:val="none"/>
                <w14:textFill>
                  <w14:solidFill>
                    <w14:schemeClr w14:val="tx1"/>
                  </w14:solidFill>
                </w14:textFill>
              </w:rPr>
              <w:t xml:space="preserve">查清各危害堤防的白蚁</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等害堤动物</w:t>
            </w:r>
            <w:r>
              <w:rPr>
                <w:rStyle w:val="1358"/>
                <w:rFonts w:hint="eastAsia" w:ascii="宋体" w:hAnsi="宋体" w:eastAsia="宋体" w:cs="宋体"/>
                <w:color w:val="000000" w:themeColor="text1"/>
                <w:highlight w:val="none"/>
                <w14:textFill>
                  <w14:solidFill>
                    <w14:schemeClr w14:val="tx1"/>
                  </w14:solidFill>
                </w14:textFill>
              </w:rPr>
              <w:t xml:space="preserve">种类、位置及危害等级</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情况</w:t>
            </w:r>
            <w:r>
              <w:rPr>
                <w:rStyle w:val="1358"/>
                <w:rFonts w:hint="eastAsia" w:ascii="宋体" w:hAnsi="宋体" w:eastAsia="宋体" w:cs="宋体"/>
                <w:color w:val="000000" w:themeColor="text1"/>
                <w:highlight w:val="none"/>
                <w14:textFill>
                  <w14:solidFill>
                    <w14:schemeClr w14:val="tx1"/>
                  </w14:solidFill>
                </w14:textFill>
              </w:rPr>
              <w:t xml:space="preserve">，做好标示记录，</w:t>
            </w:r>
            <w:r>
              <w:rPr>
                <w:rStyle w:val="1358"/>
                <w:rFonts w:hint="eastAsia" w:ascii="宋体" w:hAnsi="宋体" w:eastAsia="宋体" w:cs="宋体"/>
                <w:color w:val="000000" w:themeColor="text1"/>
                <w:highlight w:val="none"/>
                <w:lang w:eastAsia="zh-CN"/>
                <w14:textFill>
                  <w14:solidFill>
                    <w14:schemeClr w14:val="tx1"/>
                  </w14:solidFill>
                </w14:textFill>
              </w:rPr>
              <w:t xml:space="preserve">同时检查獾、鼠、蛇等害堤动物，</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并</w:t>
            </w:r>
            <w:r>
              <w:rPr>
                <w:rStyle w:val="1358"/>
                <w:rFonts w:hint="eastAsia" w:ascii="宋体" w:hAnsi="宋体" w:eastAsia="宋体" w:cs="宋体"/>
                <w:color w:val="000000" w:themeColor="text1"/>
                <w:highlight w:val="none"/>
                <w:lang w:eastAsia="zh-CN"/>
                <w14:textFill>
                  <w14:solidFill>
                    <w14:schemeClr w14:val="tx1"/>
                  </w14:solidFill>
                </w14:textFill>
              </w:rPr>
              <w:t xml:space="preserve">对新发现区域进行</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害堤动物的</w:t>
            </w:r>
            <w:r>
              <w:rPr>
                <w:rStyle w:val="1358"/>
                <w:rFonts w:hint="eastAsia" w:ascii="宋体" w:hAnsi="宋体" w:eastAsia="宋体" w:cs="宋体"/>
                <w:color w:val="000000" w:themeColor="text1"/>
                <w:highlight w:val="none"/>
                <w:lang w:eastAsia="zh-CN"/>
                <w14:textFill>
                  <w14:solidFill>
                    <w14:schemeClr w14:val="tx1"/>
                  </w14:solidFill>
                </w14:textFill>
              </w:rPr>
              <w:t xml:space="preserve">种类分析、记录并做综合灭治投药处理。</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2、治理工作：</w:t>
            </w:r>
            <w:r>
              <w:rPr>
                <w:rStyle w:val="1358"/>
                <w:rFonts w:hint="eastAsia" w:ascii="宋体" w:hAnsi="宋体" w:eastAsia="宋体" w:cs="宋体"/>
                <w:color w:val="000000" w:themeColor="text1"/>
                <w:highlight w:val="none"/>
                <w:lang w:eastAsia="zh-CN"/>
                <w14:textFill>
                  <w14:solidFill>
                    <w14:schemeClr w14:val="tx1"/>
                  </w14:solidFill>
                </w14:textFill>
              </w:rPr>
              <w:t xml:space="preserve">据</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复查核查</w:t>
            </w:r>
            <w:r>
              <w:rPr>
                <w:rStyle w:val="1358"/>
                <w:rFonts w:hint="eastAsia" w:ascii="宋体" w:hAnsi="宋体" w:eastAsia="宋体" w:cs="宋体"/>
                <w:color w:val="000000" w:themeColor="text1"/>
                <w:highlight w:val="none"/>
                <w:lang w:eastAsia="zh-CN"/>
                <w14:textFill>
                  <w14:solidFill>
                    <w14:schemeClr w14:val="tx1"/>
                  </w14:solidFill>
                </w14:textFill>
              </w:rPr>
              <w:t xml:space="preserve">情况确定白蚁等害堤动物种类、危害等级后对白蚁进行诱杀剂投放、蚁道灌浆、机械打孔灌浆、巢位确定、破巢开挖、蚁患处土方夯实回填等综合治理，对獾、鼠、蛇等害堤动物进行捕捉、投药、巢穴开挖、巢穴封堵等综合治理。</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对2025年白蚁等害堤动物的普查工作，投标人应组织专业防治人员，沿着堤防一字行排开，运用人工普查法、引诱法、仪器探测法等方式，对临、背河两侧、背河堤脚外 20m 采用拉网式检查，查清危害各堤防的白蚁等害堤动物种类、位置及危害等级情况，做好标示记录，结合人工普查运用白蚁隐患探测仪，对堤防进行详细探测，确定白蚁巢位等隐患情况。</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对2025年白蚁等害堤动物的普查工作，</w:t>
            </w:r>
            <w:r>
              <w:rPr>
                <w:rStyle w:val="1358"/>
                <w:rFonts w:hint="eastAsia" w:ascii="宋体" w:hAnsi="宋体" w:eastAsia="宋体" w:cs="宋体"/>
                <w:color w:val="000000" w:themeColor="text1"/>
                <w:highlight w:val="none"/>
                <w14:textFill>
                  <w14:solidFill>
                    <w14:schemeClr w14:val="tx1"/>
                  </w14:solidFill>
                </w14:textFill>
              </w:rPr>
              <w:t xml:space="preserve">根据各堤防段现场环境情况设置松木监测引诱桩（地下深度50cm，地面高度</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50</w:t>
            </w:r>
            <w:r>
              <w:rPr>
                <w:rStyle w:val="1358"/>
                <w:rFonts w:hint="eastAsia" w:ascii="宋体" w:hAnsi="宋体" w:eastAsia="宋体" w:cs="宋体"/>
                <w:color w:val="000000" w:themeColor="text1"/>
                <w:highlight w:val="none"/>
                <w14:textFill>
                  <w14:solidFill>
                    <w14:schemeClr w14:val="tx1"/>
                  </w14:solidFill>
                </w14:textFill>
              </w:rPr>
              <w:t xml:space="preserve">cm），每根引诱桩做好警示提醒标识标牌，引诱桩设置</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根据现场情况，发现有白蚁痕迹的设置一根，无白蚁痕迹的200m一根</w:t>
            </w:r>
            <w:r>
              <w:rPr>
                <w:rStyle w:val="1358"/>
                <w:rFonts w:hint="eastAsia" w:ascii="宋体" w:hAnsi="宋体" w:eastAsia="宋体" w:cs="宋体"/>
                <w:color w:val="000000" w:themeColor="text1"/>
                <w:highlight w:val="none"/>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设置引诱桩不低于2100个，</w:t>
            </w:r>
            <w:r>
              <w:rPr>
                <w:rStyle w:val="1358"/>
                <w:rFonts w:hint="eastAsia" w:ascii="宋体" w:hAnsi="宋体" w:eastAsia="宋体" w:cs="宋体"/>
                <w:color w:val="000000" w:themeColor="text1"/>
                <w:highlight w:val="none"/>
                <w14:textFill>
                  <w14:solidFill>
                    <w14:schemeClr w14:val="tx1"/>
                  </w14:solidFill>
                </w14:textFill>
              </w:rPr>
              <w:t xml:space="preserve">每根点位水印相机记录。</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8</w:t>
            </w:r>
            <w:r>
              <w:rPr>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对2025年白蚁等害堤动物的普查工作，沿着堤防一字行排开，运用人工普查法、引诱法、仪器探测法等方式，对临、背河两侧、背河堤脚外20m采用拉网式检查外，重点要对引诱到白蚁的引诱桩要进行白蚁种类分析、记录，并做灭治处理；</w:t>
            </w:r>
            <w:r>
              <w:rPr>
                <w:rStyle w:val="1358"/>
                <w:rFonts w:hint="eastAsia" w:ascii="宋体" w:hAnsi="宋体" w:eastAsia="宋体" w:cs="宋体"/>
                <w:color w:val="000000" w:themeColor="text1"/>
                <w:highlight w:val="none"/>
                <w14:textFill>
                  <w14:solidFill>
                    <w14:schemeClr w14:val="tx1"/>
                  </w14:solidFill>
                </w14:textFill>
              </w:rPr>
              <w:t xml:space="preserve">根据各堤防现场环境情况</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合理规划</w:t>
            </w:r>
            <w:r>
              <w:rPr>
                <w:rStyle w:val="1358"/>
                <w:rFonts w:hint="eastAsia" w:ascii="宋体" w:hAnsi="宋体" w:eastAsia="宋体" w:cs="宋体"/>
                <w:color w:val="000000" w:themeColor="text1"/>
                <w:highlight w:val="none"/>
                <w14:textFill>
                  <w14:solidFill>
                    <w14:schemeClr w14:val="tx1"/>
                  </w14:solidFill>
                </w14:textFill>
              </w:rPr>
              <w:t xml:space="preserve">埋设规格不低于25*13*8cm地下引诱装置，装置内放置引诱块不低于3块，引诱棒2根，每个引诱装置点做好警示提醒标识标牌，</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发现有白蚁痕迹的设置一个，无白蚁痕迹的500m一个，设置</w:t>
            </w:r>
            <w:r>
              <w:rPr>
                <w:rStyle w:val="1358"/>
                <w:rFonts w:hint="eastAsia" w:ascii="宋体" w:hAnsi="宋体" w:eastAsia="宋体" w:cs="宋体"/>
                <w:color w:val="000000" w:themeColor="text1"/>
                <w:highlight w:val="none"/>
                <w14:textFill>
                  <w14:solidFill>
                    <w14:schemeClr w14:val="tx1"/>
                  </w14:solidFill>
                </w14:textFill>
              </w:rPr>
              <w:t xml:space="preserve">地下引诱装置</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不低于800个，</w:t>
            </w:r>
            <w:r>
              <w:rPr>
                <w:rStyle w:val="1358"/>
                <w:rFonts w:hint="eastAsia" w:ascii="宋体" w:hAnsi="宋体" w:eastAsia="宋体" w:cs="宋体"/>
                <w:color w:val="000000" w:themeColor="text1"/>
                <w:highlight w:val="none"/>
                <w14:textFill>
                  <w14:solidFill>
                    <w14:schemeClr w14:val="tx1"/>
                  </w14:solidFill>
                </w14:textFill>
              </w:rPr>
              <w:t xml:space="preserve">每个点位水印相机记录</w:t>
            </w: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根据普查情况确定白蚁等害堤动物种类、危害等级后对白蚁进行诱杀剂投放、蚁道灌浆、机械打孔灌浆、巢位确定、破巢开挖、蚁患处土方夯实回填等综合治理，对獾、鼠、蛇等害堤动物进行捕捉、投药、巢穴开挖、巢穴封堵等综合治理。</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hint="default" w:ascii="宋体" w:hAnsi="宋体" w:eastAsia="宋体" w:cs="宋体"/>
                <w:color w:val="000000" w:themeColor="text1"/>
                <w:highlight w:val="none"/>
                <w:lang w:val="en-US" w:eastAsia="zh-CN"/>
                <w14:textFill>
                  <w14:solidFill>
                    <w14:schemeClr w14:val="tx1"/>
                  </w14:solidFill>
                </w14:textFill>
              </w:rPr>
            </w:pP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（9）对2025白蚁等年害堤动物的普查工作，治理后监控各点位，</w:t>
            </w:r>
            <w:r>
              <w:rPr>
                <w:rStyle w:val="1358"/>
                <w:rFonts w:hint="eastAsia" w:ascii="宋体" w:hAnsi="宋体" w:eastAsia="宋体" w:cs="宋体"/>
                <w:color w:val="000000" w:themeColor="text1"/>
                <w:highlight w:val="none"/>
                <w14:textFill>
                  <w14:solidFill>
                    <w14:schemeClr w14:val="tx1"/>
                  </w14:solidFill>
                </w14:textFill>
              </w:rPr>
              <w:t xml:space="preserve">根据各堤防现场环境情况以及普查到的害堤动物危害情况等级，埋设地下型信息化智能预警监测装置，装置内放置监测料棒不低于</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3</w:t>
            </w:r>
            <w:r>
              <w:rPr>
                <w:rStyle w:val="1358"/>
                <w:rFonts w:hint="eastAsia" w:ascii="宋体" w:hAnsi="宋体" w:eastAsia="宋体" w:cs="宋体"/>
                <w:color w:val="000000" w:themeColor="text1"/>
                <w:highlight w:val="none"/>
                <w14:textFill>
                  <w14:solidFill>
                    <w14:schemeClr w14:val="tx1"/>
                  </w14:solidFill>
                </w14:textFill>
              </w:rPr>
              <w:t xml:space="preserve">块，引诱料棒不低于2根，信息化智能预警监测装置是基于物联网云端平台通过移动通信网络进行数据上传，每个预警监测装置内传感器探测到白蚁进入，会自动上传数据到系统平台报警，每个预警监测装置点做好警示提醒标识标牌，每台点位水印相机记录。</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hint="eastAsia" w:ascii="宋体" w:hAnsi="宋体" w:eastAsia="宋体" w:cs="宋体"/>
                <w:color w:val="000000" w:themeColor="text1"/>
                <w:highlight w:val="none"/>
                <w:lang w:eastAsia="zh-CN"/>
                <w14:textFill>
                  <w14:solidFill>
                    <w14:schemeClr w14:val="tx1"/>
                  </w14:solidFill>
                </w14:textFill>
              </w:rPr>
            </w:pPr>
            <w:r>
              <w:rPr>
                <w:rStyle w:val="1358"/>
                <w:rFonts w:hint="eastAsia" w:ascii="宋体" w:hAnsi="宋体" w:eastAsia="宋体" w:cs="宋体"/>
                <w:i/>
                <w:iCs/>
                <w:color w:val="000000" w:themeColor="text1"/>
                <w:highlight w:val="none"/>
                <w:u w:val="single"/>
                <w:lang w:eastAsia="zh-CN"/>
                <w14:textFill>
                  <w14:solidFill>
                    <w14:schemeClr w14:val="tx1"/>
                  </w14:solidFill>
                </w14:textFill>
              </w:rPr>
              <w:t xml:space="preserve">（</w:t>
            </w:r>
            <w:r>
              <w:rPr>
                <w:rStyle w:val="1358"/>
                <w:rFonts w:hint="eastAsia" w:ascii="宋体" w:hAnsi="宋体" w:eastAsia="宋体" w:cs="宋体"/>
                <w:i/>
                <w:iCs/>
                <w:color w:val="000000" w:themeColor="text1"/>
                <w:highlight w:val="none"/>
                <w:u w:val="single"/>
                <w:lang w:val="en-US" w:eastAsia="zh-CN"/>
                <w14:textFill>
                  <w14:solidFill>
                    <w14:schemeClr w14:val="tx1"/>
                  </w14:solidFill>
                </w14:textFill>
              </w:rPr>
              <w:t xml:space="preserve">10</w:t>
            </w:r>
            <w:r>
              <w:rPr>
                <w:rStyle w:val="1358"/>
                <w:rFonts w:hint="eastAsia" w:ascii="宋体" w:hAnsi="宋体" w:eastAsia="宋体" w:cs="宋体"/>
                <w:i/>
                <w:iCs/>
                <w:color w:val="000000" w:themeColor="text1"/>
                <w:highlight w:val="none"/>
                <w:u w:val="single"/>
                <w:lang w:eastAsia="zh-CN"/>
                <w14:textFill>
                  <w14:solidFill>
                    <w14:schemeClr w14:val="tx1"/>
                  </w14:solidFill>
                </w14:textFill>
              </w:rPr>
              <w:t xml:space="preserve">）</w:t>
            </w:r>
            <w:r>
              <w:rPr>
                <w:rStyle w:val="1358"/>
                <w:rFonts w:hint="eastAsia" w:ascii="宋体" w:hAnsi="宋体" w:eastAsia="宋体" w:cs="宋体"/>
                <w:i/>
                <w:iCs/>
                <w:color w:val="000000" w:themeColor="text1"/>
                <w:highlight w:val="none"/>
                <w:u w:val="single"/>
                <w14:textFill>
                  <w14:solidFill>
                    <w14:schemeClr w14:val="tx1"/>
                  </w14:solidFill>
                </w14:textFill>
              </w:rPr>
              <w:t xml:space="preserve">合同周期内中标人应提供24小时服务热线，在信息化智能预警监测装置系统报警后，要在</w:t>
            </w:r>
            <w:r>
              <w:rPr>
                <w:rStyle w:val="1358"/>
                <w:rFonts w:hint="eastAsia" w:ascii="宋体" w:hAnsi="宋体" w:eastAsia="宋体" w:cs="宋体"/>
                <w:i/>
                <w:iCs/>
                <w:color w:val="000000" w:themeColor="text1"/>
                <w:highlight w:val="none"/>
                <w:u w:val="single"/>
                <w:lang w:val="en-US" w:eastAsia="zh-CN"/>
                <w14:textFill>
                  <w14:solidFill>
                    <w14:schemeClr w14:val="tx1"/>
                  </w14:solidFill>
                </w14:textFill>
              </w:rPr>
              <w:t xml:space="preserve">24</w:t>
            </w:r>
            <w:r>
              <w:rPr>
                <w:rStyle w:val="1358"/>
                <w:rFonts w:hint="eastAsia" w:ascii="宋体" w:hAnsi="宋体" w:eastAsia="宋体" w:cs="宋体"/>
                <w:i/>
                <w:iCs/>
                <w:color w:val="000000" w:themeColor="text1"/>
                <w:highlight w:val="none"/>
                <w:u w:val="single"/>
                <w14:textFill>
                  <w14:solidFill>
                    <w14:schemeClr w14:val="tx1"/>
                  </w14:solidFill>
                </w14:textFill>
              </w:rPr>
              <w:t xml:space="preserve">小时内到达报警点，对监测装置内引诱的白蚁进行投放药物灭治处理；监测系统出现故障问题，中标人要在</w:t>
            </w:r>
            <w:r>
              <w:rPr>
                <w:rStyle w:val="1358"/>
                <w:rFonts w:hint="eastAsia" w:ascii="宋体" w:hAnsi="宋体" w:eastAsia="宋体" w:cs="宋体"/>
                <w:i/>
                <w:iCs/>
                <w:color w:val="000000" w:themeColor="text1"/>
                <w:highlight w:val="none"/>
                <w:u w:val="single"/>
                <w:lang w:val="en-US" w:eastAsia="zh-CN"/>
                <w14:textFill>
                  <w14:solidFill>
                    <w14:schemeClr w14:val="tx1"/>
                  </w14:solidFill>
                </w14:textFill>
              </w:rPr>
              <w:t xml:space="preserve">24</w:t>
            </w:r>
            <w:r>
              <w:rPr>
                <w:rStyle w:val="1358"/>
                <w:rFonts w:hint="eastAsia" w:ascii="宋体" w:hAnsi="宋体" w:eastAsia="宋体" w:cs="宋体"/>
                <w:i/>
                <w:iCs/>
                <w:color w:val="000000" w:themeColor="text1"/>
                <w:highlight w:val="none"/>
                <w:u w:val="single"/>
                <w14:textFill>
                  <w14:solidFill>
                    <w14:schemeClr w14:val="tx1"/>
                  </w14:solidFill>
                </w14:textFill>
              </w:rPr>
              <w:t xml:space="preserve">小时内安排技术人员到达现场进行维护解决，当场解决不了的技术故障要在12小时内给予解决。</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i w:val="0"/>
                <w:iCs w:val="0"/>
                <w:color w:val="000000" w:themeColor="text1"/>
                <w:highlight w:val="none"/>
                <w:u w:val="none"/>
                <w:lang w:eastAsia="zh-CN"/>
                <w14:textFill>
                  <w14:solidFill>
                    <w14:schemeClr w14:val="tx1"/>
                  </w14:solidFill>
                </w14:textFill>
              </w:rPr>
              <w:t xml:space="preserve">（</w:t>
            </w:r>
            <w:r>
              <w:rPr>
                <w:rStyle w:val="1358"/>
                <w:rFonts w:hint="eastAsia" w:ascii="宋体" w:hAnsi="宋体" w:eastAsia="宋体" w:cs="宋体"/>
                <w:i w:val="0"/>
                <w:iCs w:val="0"/>
                <w:color w:val="000000" w:themeColor="text1"/>
                <w:highlight w:val="none"/>
                <w:u w:val="none"/>
                <w:lang w:val="en-US" w:eastAsia="zh-CN"/>
                <w14:textFill>
                  <w14:solidFill>
                    <w14:schemeClr w14:val="tx1"/>
                  </w14:solidFill>
                </w14:textFill>
              </w:rPr>
              <w:t xml:space="preserve">11</w:t>
            </w:r>
            <w:r>
              <w:rPr>
                <w:rStyle w:val="1358"/>
                <w:rFonts w:hint="eastAsia" w:ascii="宋体" w:hAnsi="宋体" w:eastAsia="宋体" w:cs="宋体"/>
                <w:i w:val="0"/>
                <w:iCs w:val="0"/>
                <w:color w:val="000000" w:themeColor="text1"/>
                <w:highlight w:val="none"/>
                <w:u w:val="none"/>
                <w:lang w:eastAsia="zh-CN"/>
                <w14:textFill>
                  <w14:solidFill>
                    <w14:schemeClr w14:val="tx1"/>
                  </w14:solidFill>
                </w14:textFill>
              </w:rPr>
              <w:t xml:space="preserve">）</w:t>
            </w:r>
            <w:r>
              <w:rPr>
                <w:rStyle w:val="1358"/>
                <w:rFonts w:hint="eastAsia" w:ascii="宋体" w:hAnsi="宋体" w:eastAsia="宋体" w:cs="宋体"/>
                <w:i w:val="0"/>
                <w:iCs w:val="0"/>
                <w:color w:val="000000" w:themeColor="text1"/>
                <w:highlight w:val="none"/>
                <w:u w:val="none"/>
                <w14:textFill>
                  <w14:solidFill>
                    <w14:schemeClr w14:val="tx1"/>
                  </w14:solidFill>
                </w14:textFill>
              </w:rPr>
              <w:t xml:space="preserve">信息化智能预警监测装置系统要提供给采购人独立的存储平台、独立显示</w:t>
            </w:r>
            <w:r>
              <w:rPr>
                <w:rStyle w:val="1358"/>
                <w:rFonts w:hint="eastAsia" w:ascii="宋体" w:hAnsi="宋体" w:eastAsia="宋体" w:cs="宋体"/>
                <w:i w:val="0"/>
                <w:iCs w:val="0"/>
                <w:color w:val="000000" w:themeColor="text1"/>
                <w:highlight w:val="none"/>
                <w:u w:val="none"/>
                <w:lang w:val="en-US" w:eastAsia="zh-CN"/>
                <w14:textFill>
                  <w14:solidFill>
                    <w14:schemeClr w14:val="tx1"/>
                  </w14:solidFill>
                </w14:textFill>
              </w:rPr>
              <w:t xml:space="preserve">平台</w:t>
            </w:r>
            <w:r>
              <w:rPr>
                <w:rStyle w:val="1358"/>
                <w:rFonts w:hint="eastAsia" w:ascii="宋体" w:hAnsi="宋体" w:eastAsia="宋体" w:cs="宋体"/>
                <w:i w:val="0"/>
                <w:iCs w:val="0"/>
                <w:color w:val="000000" w:themeColor="text1"/>
                <w:highlight w:val="none"/>
                <w:u w:val="none"/>
                <w14:textFill>
                  <w14:solidFill>
                    <w14:schemeClr w14:val="tx1"/>
                  </w14:solidFill>
                </w14:textFill>
              </w:rPr>
              <w:t xml:space="preserve">、独立账号提供一年使用期，要包括流量传输、系统</w:t>
            </w:r>
            <w:r>
              <w:rPr>
                <w:rStyle w:val="1358"/>
                <w:rFonts w:hint="eastAsia" w:ascii="宋体" w:hAnsi="宋体" w:eastAsia="宋体" w:cs="宋体"/>
                <w:i w:val="0"/>
                <w:iCs w:val="0"/>
                <w:color w:val="000000" w:themeColor="text1"/>
                <w:highlight w:val="none"/>
                <w:u w:val="none"/>
                <w:lang w:val="en-US" w:eastAsia="zh-CN"/>
                <w14:textFill>
                  <w14:solidFill>
                    <w14:schemeClr w14:val="tx1"/>
                  </w14:solidFill>
                </w14:textFill>
              </w:rPr>
              <w:t xml:space="preserve">升级</w:t>
            </w:r>
            <w:r>
              <w:rPr>
                <w:rStyle w:val="1358"/>
                <w:rFonts w:hint="eastAsia" w:ascii="宋体" w:hAnsi="宋体" w:eastAsia="宋体" w:cs="宋体"/>
                <w:i w:val="0"/>
                <w:iCs w:val="0"/>
                <w:color w:val="000000" w:themeColor="text1"/>
                <w:highlight w:val="none"/>
                <w:u w:val="none"/>
                <w14:textFill>
                  <w14:solidFill>
                    <w14:schemeClr w14:val="tx1"/>
                  </w14:solidFill>
                </w14:textFill>
              </w:rPr>
              <w:t xml:space="preserve">维护提供等</w:t>
            </w:r>
            <w:r>
              <w:rPr>
                <w:rStyle w:val="1358"/>
                <w:rFonts w:hint="eastAsia" w:ascii="宋体" w:hAnsi="宋体" w:eastAsia="宋体" w:cs="宋体"/>
                <w:i w:val="0"/>
                <w:iCs w:val="0"/>
                <w:color w:val="000000" w:themeColor="text1"/>
                <w:highlight w:val="none"/>
                <w:u w:val="none"/>
                <w:lang w:eastAsia="zh-CN"/>
                <w14:textFill>
                  <w14:solidFill>
                    <w14:schemeClr w14:val="tx1"/>
                  </w14:solidFill>
                </w14:textFill>
              </w:rPr>
              <w:t xml:space="preserve">，</w:t>
            </w:r>
            <w:r>
              <w:rPr>
                <w:rStyle w:val="1358"/>
                <w:rFonts w:hint="eastAsia" w:ascii="宋体" w:hAnsi="宋体" w:eastAsia="宋体" w:cs="宋体"/>
                <w:i w:val="0"/>
                <w:iCs w:val="0"/>
                <w:color w:val="000000" w:themeColor="text1"/>
                <w:highlight w:val="none"/>
                <w:u w:val="none"/>
                <w:lang w:val="en-US" w:eastAsia="zh-CN"/>
                <w14:textFill>
                  <w14:solidFill>
                    <w14:schemeClr w14:val="tx1"/>
                  </w14:solidFill>
                </w14:textFill>
              </w:rPr>
              <w:t xml:space="preserve">具有</w:t>
            </w:r>
            <w:r>
              <w:rPr>
                <w:rStyle w:val="1358"/>
                <w:rFonts w:hint="eastAsia" w:ascii="宋体" w:hAnsi="宋体" w:eastAsia="宋体" w:cs="宋体"/>
                <w:i w:val="0"/>
                <w:iCs w:val="0"/>
                <w:color w:val="000000" w:themeColor="text1"/>
                <w:highlight w:val="none"/>
                <w:u w:val="none"/>
                <w:lang w:eastAsia="zh-CN"/>
                <w14:textFill>
                  <w14:solidFill>
                    <w14:schemeClr w14:val="tx1"/>
                  </w14:solidFill>
                </w14:textFill>
              </w:rPr>
              <w:t xml:space="preserve">升级与维护的工程师人员</w:t>
            </w:r>
            <w:r>
              <w:rPr>
                <w:rStyle w:val="1358"/>
                <w:rFonts w:hint="eastAsia" w:ascii="宋体" w:hAnsi="宋体" w:eastAsia="宋体" w:cs="宋体"/>
                <w:i w:val="0"/>
                <w:iCs w:val="0"/>
                <w:color w:val="000000" w:themeColor="text1"/>
                <w:highlight w:val="none"/>
                <w:u w:val="none"/>
                <w14:textFill>
                  <w14:solidFill>
                    <w14:schemeClr w14:val="tx1"/>
                  </w14:solidFill>
                </w14:textFill>
              </w:rPr>
              <w:t xml:space="preserve">；信息化智能预警监测装置设备提供三年免费质保。信息化智能预警监测参数要求详见四、其他部分 附件1。</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i w:val="0"/>
                <w:iCs w:val="0"/>
                <w:color w:val="000000" w:themeColor="text1"/>
                <w:highlight w:val="none"/>
                <w:u w:val="none"/>
                <w:lang w:eastAsia="zh-CN"/>
                <w14:textFill>
                  <w14:solidFill>
                    <w14:schemeClr w14:val="tx1"/>
                  </w14:solidFill>
                </w14:textFill>
              </w:rPr>
              <w:t xml:space="preserve">（</w:t>
            </w:r>
            <w:r>
              <w:rPr>
                <w:rStyle w:val="1358"/>
                <w:rFonts w:hint="eastAsia" w:ascii="宋体" w:hAnsi="宋体" w:eastAsia="宋体" w:cs="宋体"/>
                <w:i w:val="0"/>
                <w:iCs w:val="0"/>
                <w:color w:val="000000" w:themeColor="text1"/>
                <w:highlight w:val="none"/>
                <w:u w:val="none"/>
                <w:lang w:val="en-US" w:eastAsia="zh-CN"/>
                <w14:textFill>
                  <w14:solidFill>
                    <w14:schemeClr w14:val="tx1"/>
                  </w14:solidFill>
                </w14:textFill>
              </w:rPr>
              <w:t xml:space="preserve">12</w:t>
            </w:r>
            <w:r>
              <w:rPr>
                <w:rStyle w:val="1358"/>
                <w:rFonts w:hint="eastAsia" w:ascii="宋体" w:hAnsi="宋体" w:eastAsia="宋体" w:cs="宋体"/>
                <w:i w:val="0"/>
                <w:iCs w:val="0"/>
                <w:color w:val="000000" w:themeColor="text1"/>
                <w:highlight w:val="none"/>
                <w:u w:val="none"/>
                <w:lang w:eastAsia="zh-CN"/>
                <w14:textFill>
                  <w14:solidFill>
                    <w14:schemeClr w14:val="tx1"/>
                  </w14:solidFill>
                </w14:textFill>
              </w:rPr>
              <w:t xml:space="preserve">）</w:t>
            </w:r>
            <w:r>
              <w:rPr>
                <w:rStyle w:val="1358"/>
                <w:rFonts w:hint="eastAsia" w:ascii="宋体" w:hAnsi="宋体" w:eastAsia="宋体" w:cs="宋体"/>
                <w:i w:val="0"/>
                <w:iCs w:val="0"/>
                <w:color w:val="000000" w:themeColor="text1"/>
                <w:highlight w:val="none"/>
                <w:u w:val="none"/>
                <w14:textFill>
                  <w14:solidFill>
                    <w14:schemeClr w14:val="tx1"/>
                  </w14:solidFill>
                </w14:textFill>
              </w:rPr>
              <w:t xml:space="preserve">基本仪器设备（含履行应急任务设备）</w:t>
            </w:r>
            <w:r>
              <w:rPr>
                <w:rStyle w:val="1358"/>
                <w:rFonts w:hint="eastAsia" w:ascii="宋体" w:hAnsi="宋体" w:eastAsia="宋体" w:cs="宋体"/>
                <w:i w:val="0"/>
                <w:iCs w:val="0"/>
                <w:color w:val="000000" w:themeColor="text1"/>
                <w:highlight w:val="none"/>
                <w:u w:val="none"/>
                <w:lang w:val="en-US" w:eastAsia="zh-CN"/>
                <w14:textFill>
                  <w14:solidFill>
                    <w14:schemeClr w14:val="tx1"/>
                  </w14:solidFill>
                </w14:textFill>
              </w:rPr>
              <w:t xml:space="preserve">及作业车辆要求</w:t>
            </w:r>
            <w:r>
              <w:rPr>
                <w:rStyle w:val="1358"/>
                <w:rFonts w:hint="eastAsia" w:ascii="宋体" w:hAnsi="宋体" w:eastAsia="宋体" w:cs="宋体"/>
                <w:i w:val="0"/>
                <w:iCs w:val="0"/>
                <w:color w:val="000000" w:themeColor="text1"/>
                <w:highlight w:val="none"/>
                <w:u w:val="none"/>
                <w14:textFill>
                  <w14:solidFill>
                    <w14:schemeClr w14:val="tx1"/>
                  </w14:solidFill>
                </w14:textFill>
              </w:rPr>
              <w:t xml:space="preserve">：为满足本项目基本工作需求，投标人</w:t>
            </w:r>
            <w:r>
              <w:rPr>
                <w:rStyle w:val="1358"/>
                <w:rFonts w:hint="eastAsia" w:ascii="宋体" w:hAnsi="宋体" w:eastAsia="宋体" w:cs="宋体"/>
                <w:i w:val="0"/>
                <w:iCs w:val="0"/>
                <w:color w:val="000000" w:themeColor="text1"/>
                <w:highlight w:val="none"/>
                <w:u w:val="none"/>
                <w:lang w:val="en-US" w:eastAsia="zh-CN"/>
                <w14:textFill>
                  <w14:solidFill>
                    <w14:schemeClr w14:val="tx1"/>
                  </w14:solidFill>
                </w14:textFill>
              </w:rPr>
              <w:t xml:space="preserve">应</w:t>
            </w:r>
            <w:r>
              <w:rPr>
                <w:rStyle w:val="1358"/>
                <w:rFonts w:hint="eastAsia" w:ascii="宋体" w:hAnsi="宋体" w:eastAsia="宋体" w:cs="宋体"/>
                <w:i w:val="0"/>
                <w:iCs w:val="0"/>
                <w:color w:val="000000" w:themeColor="text1"/>
                <w:highlight w:val="none"/>
                <w:u w:val="none"/>
                <w14:textFill>
                  <w14:solidFill>
                    <w14:schemeClr w14:val="tx1"/>
                  </w14:solidFill>
                </w14:textFill>
              </w:rPr>
              <w:t xml:space="preserve">投入白蚁防治专用工具、钻孔机、车载喷药车、手电筒等基本仪器设备</w:t>
            </w:r>
            <w:r>
              <w:rPr>
                <w:rStyle w:val="1358"/>
                <w:rFonts w:hint="eastAsia" w:ascii="宋体" w:hAnsi="宋体" w:eastAsia="宋体" w:cs="宋体"/>
                <w:i w:val="0"/>
                <w:iCs w:val="0"/>
                <w:color w:val="000000" w:themeColor="text1"/>
                <w:highlight w:val="none"/>
                <w:u w:val="none"/>
                <w:lang w:eastAsia="zh-CN"/>
                <w14:textFill>
                  <w14:solidFill>
                    <w14:schemeClr w14:val="tx1"/>
                  </w14:solidFill>
                </w14:textFill>
              </w:rPr>
              <w:t xml:space="preserve">，</w:t>
            </w:r>
            <w:r>
              <w:rPr>
                <w:rStyle w:val="1358"/>
                <w:rFonts w:hint="eastAsia" w:ascii="宋体" w:hAnsi="宋体" w:eastAsia="宋体" w:cs="宋体"/>
                <w:i w:val="0"/>
                <w:iCs w:val="0"/>
                <w:color w:val="000000" w:themeColor="text1"/>
                <w:highlight w:val="none"/>
                <w:u w:val="none"/>
                <w:lang w:val="en-US" w:eastAsia="zh-CN"/>
                <w14:textFill>
                  <w14:solidFill>
                    <w14:schemeClr w14:val="tx1"/>
                  </w14:solidFill>
                </w14:textFill>
              </w:rPr>
              <w:t xml:space="preserve">应</w:t>
            </w:r>
            <w:r>
              <w:rPr>
                <w:rStyle w:val="1358"/>
                <w:rFonts w:hint="eastAsia" w:ascii="宋体" w:hAnsi="宋体" w:eastAsia="宋体" w:cs="宋体"/>
                <w:i w:val="0"/>
                <w:iCs w:val="0"/>
                <w:color w:val="000000" w:themeColor="text1"/>
                <w:highlight w:val="none"/>
                <w:u w:val="none"/>
                <w14:textFill>
                  <w14:solidFill>
                    <w14:schemeClr w14:val="tx1"/>
                  </w14:solidFill>
                </w14:textFill>
              </w:rPr>
              <w:t xml:space="preserve">投入</w:t>
            </w:r>
            <w:r>
              <w:rPr>
                <w:rStyle w:val="1358"/>
                <w:rFonts w:hint="eastAsia" w:ascii="宋体" w:hAnsi="宋体" w:eastAsia="宋体" w:cs="宋体"/>
                <w:i w:val="0"/>
                <w:iCs w:val="0"/>
                <w:color w:val="000000" w:themeColor="text1"/>
                <w:highlight w:val="none"/>
                <w:u w:val="none"/>
                <w:lang w:val="en-US" w:eastAsia="zh-CN"/>
                <w14:textFill>
                  <w14:solidFill>
                    <w14:schemeClr w14:val="tx1"/>
                  </w14:solidFill>
                </w14:textFill>
              </w:rPr>
              <w:t xml:space="preserve">不少于2辆</w:t>
            </w:r>
            <w:r>
              <w:rPr>
                <w:rStyle w:val="1358"/>
                <w:rFonts w:hint="eastAsia" w:ascii="宋体" w:hAnsi="宋体" w:eastAsia="宋体" w:cs="宋体"/>
                <w:i w:val="0"/>
                <w:iCs w:val="0"/>
                <w:color w:val="000000" w:themeColor="text1"/>
                <w:highlight w:val="none"/>
                <w:u w:val="none"/>
                <w:lang w:eastAsia="zh-CN"/>
                <w14:textFill>
                  <w14:solidFill>
                    <w14:schemeClr w14:val="tx1"/>
                  </w14:solidFill>
                </w14:textFill>
              </w:rPr>
              <w:t xml:space="preserve">施工作业车辆。</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numPr>
                <w:ilvl w:val="0"/>
                <w:numId w:val="0"/>
              </w:numPr>
              <w:keepLines w:val="0"/>
              <w:keepNext w:val="0"/>
              <w:pageBreakBefore w:val="0"/>
              <w:widowControl/>
              <w:rPr>
                <w:rStyle w:val="1358"/>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（13）受害江堤安全健康评估</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工作内容：</w:t>
            </w:r>
            <w:r/>
          </w:p>
          <w:p>
            <w:pPr>
              <w:pStyle w:val="1381"/>
              <w:numPr>
                <w:ilvl w:val="0"/>
                <w:numId w:val="0"/>
              </w:numPr>
              <w:ind w:firstLine="420"/>
              <w:keepLines w:val="0"/>
              <w:keepNext w:val="0"/>
              <w:pageBreakBefore w:val="0"/>
              <w:widowControl/>
              <w:rPr>
                <w:rStyle w:val="1358"/>
                <w:rFonts w:hint="eastAsia" w:ascii="宋体" w:hAnsi="宋体" w:eastAsia="宋体" w:cs="宋体"/>
                <w:color w:val="000000" w:themeColor="text1"/>
                <w:sz w:val="21"/>
                <w:szCs w:val="21"/>
                <w:highlight w:val="none"/>
                <w:lang w:val="en-US" w:eastAsia="zh-CN"/>
                <w14:textFill>
                  <w14:solidFill>
                    <w14:schemeClr w14:val="tx1"/>
                  </w14:solidFill>
                </w14:textFill>
              </w:rPr>
            </w:pPr>
            <w:r>
              <w:rPr>
                <w:rStyle w:val="1358"/>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根据《堤防工程安全评价导则》（SL/Z679-2015），堤防安全评价进行现状调查分析、复核计算、综合评价工作，编制“堤防安全现状调查分析报告”、“堤防安全复核计算分析报告”、“堤防安全综合评价报告”。根据导则要求工作内容如下：</w:t>
            </w:r>
            <w:r/>
          </w:p>
          <w:tbl>
            <w:tblPr>
              <w:tblStyle w:val="117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2"/>
              <w:gridCol w:w="1851"/>
              <w:gridCol w:w="5276"/>
            </w:tblGrid>
            <w:tr>
              <w:trPr>
                <w:trHeight w:val="806"/>
                <w:tblHeader/>
              </w:trPr>
              <w:tc>
                <w:tcPr>
                  <w:shd w:val="clear" w:color="auto" w:fill="auto"/>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5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工作内容</w:t>
                  </w:r>
                  <w:r/>
                </w:p>
              </w:tc>
              <w:tc>
                <w:tcPr>
                  <w:shd w:val="clear" w:color="auto" w:fill="auto"/>
                  <w:tcBorders>
                    <w:top w:val="single" w:color="auto" w:sz="4" w:space="0"/>
                    <w:left w:val="none" w:color="000000" w:sz="4" w:space="0"/>
                    <w:bottom w:val="single" w:color="auto" w:sz="4" w:space="0"/>
                    <w:right w:val="single" w:color="auto" w:sz="4" w:space="0"/>
                  </w:tcBorders>
                  <w:tcW w:w="52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备注</w:t>
                  </w:r>
                  <w:r/>
                </w:p>
              </w:tc>
            </w:tr>
            <w:tr>
              <w:trPr>
                <w:trHeight w:val="806"/>
              </w:trPr>
              <w:tc>
                <w:tcPr>
                  <w:shd w:val="clear" w:color="auto" w:fill="auto"/>
                  <w:tcBorders>
                    <w:top w:val="none" w:color="000000" w:sz="4" w:space="0"/>
                    <w:left w:val="single" w:color="auto" w:sz="4" w:space="0"/>
                    <w:bottom w:val="single" w:color="auto" w:sz="4" w:space="0"/>
                    <w:right w:val="single" w:color="auto" w:sz="4" w:space="0"/>
                  </w:tcBorders>
                  <w:tcW w:w="69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5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基础资料收集工作</w:t>
                  </w:r>
                  <w:r/>
                </w:p>
              </w:tc>
              <w:tc>
                <w:tcPr>
                  <w:shd w:val="clear" w:color="auto" w:fill="auto"/>
                  <w:tcBorders>
                    <w:top w:val="none" w:color="000000" w:sz="4" w:space="0"/>
                    <w:left w:val="none" w:color="000000" w:sz="4" w:space="0"/>
                    <w:bottom w:val="single" w:color="auto" w:sz="4" w:space="0"/>
                    <w:right w:val="single" w:color="auto" w:sz="4" w:space="0"/>
                  </w:tcBorders>
                  <w:tcW w:w="52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需要地勘报告、历年加固大修记录、沉降记录、设计资料、竣工图、历年鉴定报告、管理资料等。</w:t>
                  </w:r>
                  <w:r/>
                </w:p>
              </w:tc>
            </w:tr>
            <w:tr>
              <w:trPr>
                <w:trHeight w:val="1604"/>
              </w:trPr>
              <w:tc>
                <w:tcPr>
                  <w:shd w:val="clear" w:color="auto" w:fill="auto"/>
                  <w:tcBorders>
                    <w:top w:val="none" w:color="000000" w:sz="4" w:space="0"/>
                    <w:left w:val="single" w:color="auto" w:sz="4" w:space="0"/>
                    <w:bottom w:val="single" w:color="auto" w:sz="4" w:space="0"/>
                    <w:right w:val="single" w:color="auto" w:sz="4" w:space="0"/>
                  </w:tcBorders>
                  <w:tcW w:w="69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5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外观质量调查、测量工作</w:t>
                  </w:r>
                  <w:r/>
                </w:p>
              </w:tc>
              <w:tc>
                <w:tcPr>
                  <w:shd w:val="clear" w:color="auto" w:fill="auto"/>
                  <w:tcBorders>
                    <w:top w:val="none" w:color="000000" w:sz="4" w:space="0"/>
                    <w:left w:val="none" w:color="000000" w:sz="4" w:space="0"/>
                    <w:bottom w:val="single" w:color="auto" w:sz="4" w:space="0"/>
                    <w:right w:val="single" w:color="auto" w:sz="4" w:space="0"/>
                  </w:tcBorders>
                  <w:tcW w:w="5276"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对堤防外观进行调查，主要调查</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调查堤防断面尺寸、堤防裂缝、渗漏、冻融剥蚀、钢筋锈蚀、混凝土碳化以及沉降缝止水完好情况，</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测绘堤防断面及堤顶高程，按100m/断面进行测绘。</w:t>
                  </w:r>
                  <w:r/>
                </w:p>
              </w:tc>
            </w:tr>
            <w:tr>
              <w:trPr>
                <w:trHeight w:val="806"/>
              </w:trPr>
              <w:tc>
                <w:tcPr>
                  <w:shd w:val="clear" w:color="auto" w:fill="auto"/>
                  <w:tcBorders>
                    <w:top w:val="none" w:color="000000" w:sz="4" w:space="0"/>
                    <w:left w:val="single" w:color="auto" w:sz="4" w:space="0"/>
                    <w:bottom w:val="single" w:color="auto" w:sz="4" w:space="0"/>
                    <w:right w:val="single" w:color="auto" w:sz="4" w:space="0"/>
                  </w:tcBorders>
                  <w:tcW w:w="69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5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探测堤身内部隐患情况</w:t>
                  </w:r>
                  <w:r/>
                </w:p>
              </w:tc>
              <w:tc>
                <w:tcPr>
                  <w:shd w:val="clear" w:color="auto" w:fill="auto"/>
                  <w:tcBorders>
                    <w:top w:val="none" w:color="000000" w:sz="4" w:space="0"/>
                    <w:left w:val="none" w:color="000000" w:sz="4" w:space="0"/>
                    <w:bottom w:val="single" w:color="auto" w:sz="4" w:space="0"/>
                    <w:right w:val="single" w:color="auto" w:sz="4" w:space="0"/>
                  </w:tcBorders>
                  <w:tcW w:w="52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结合防治措施，对防治完成后的点位进行堤身内部隐患探测，确认防治效果</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9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5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勘探工作</w:t>
                  </w:r>
                  <w:r/>
                </w:p>
              </w:tc>
              <w:tc>
                <w:tcPr>
                  <w:shd w:val="clear" w:color="auto" w:fill="auto"/>
                  <w:tcBorders>
                    <w:top w:val="none" w:color="000000" w:sz="4" w:space="0"/>
                    <w:left w:val="none" w:color="000000" w:sz="4" w:space="0"/>
                    <w:bottom w:val="single" w:color="auto" w:sz="4" w:space="0"/>
                    <w:right w:val="single" w:color="auto" w:sz="4" w:space="0"/>
                  </w:tcBorders>
                  <w:tcW w:w="52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根据导则要求，对于资料缺失的需补充勘探</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9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5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交叉建筑物分析评价</w:t>
                  </w:r>
                  <w:r/>
                </w:p>
              </w:tc>
              <w:tc>
                <w:tcPr>
                  <w:shd w:val="clear" w:color="auto" w:fill="auto"/>
                  <w:tcBorders>
                    <w:top w:val="none" w:color="000000" w:sz="4" w:space="0"/>
                    <w:left w:val="none" w:color="000000" w:sz="4" w:space="0"/>
                    <w:bottom w:val="single" w:color="auto" w:sz="4" w:space="0"/>
                    <w:right w:val="single" w:color="auto" w:sz="4" w:space="0"/>
                  </w:tcBorders>
                  <w:tcW w:w="52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外观调查及现状调查分析</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69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85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安全复核专题报告</w:t>
                  </w:r>
                  <w:r/>
                </w:p>
              </w:tc>
              <w:tc>
                <w:tcPr>
                  <w:shd w:val="clear" w:color="auto" w:fill="auto"/>
                  <w:tcBorders>
                    <w:top w:val="none" w:color="000000" w:sz="4" w:space="0"/>
                    <w:left w:val="none" w:color="000000" w:sz="4" w:space="0"/>
                    <w:bottom w:val="single" w:color="auto" w:sz="4" w:space="0"/>
                    <w:right w:val="single" w:color="auto" w:sz="4" w:space="0"/>
                  </w:tcBorders>
                  <w:tcW w:w="52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防洪标准、渗流安全、结构安全复核计算</w:t>
                  </w:r>
                  <w:r/>
                </w:p>
              </w:tc>
            </w:tr>
            <w:tr>
              <w:trPr>
                <w:trHeight w:val="816"/>
              </w:trPr>
              <w:tc>
                <w:tcPr>
                  <w:shd w:val="clear" w:color="auto" w:fill="auto"/>
                  <w:tcBorders>
                    <w:top w:val="none" w:color="000000" w:sz="4" w:space="0"/>
                    <w:left w:val="single" w:color="auto" w:sz="4" w:space="0"/>
                    <w:bottom w:val="single" w:color="auto" w:sz="4" w:space="0"/>
                    <w:right w:val="single" w:color="auto" w:sz="4" w:space="0"/>
                  </w:tcBorders>
                  <w:tcW w:w="69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85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安全评价报告统稿汇编及评审汇报工作</w:t>
                  </w:r>
                  <w:r/>
                </w:p>
              </w:tc>
              <w:tc>
                <w:tcPr>
                  <w:shd w:val="clear" w:color="auto" w:fill="auto"/>
                  <w:tcBorders>
                    <w:top w:val="none" w:color="000000" w:sz="4" w:space="0"/>
                    <w:left w:val="none" w:color="000000" w:sz="4" w:space="0"/>
                    <w:bottom w:val="single" w:color="auto" w:sz="4" w:space="0"/>
                    <w:right w:val="single" w:color="auto" w:sz="4" w:space="0"/>
                  </w:tcBorders>
                  <w:tcW w:w="527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根据完成工作内容，进行安全评价报告统稿编制，并完成评审</w:t>
                  </w:r>
                  <w:r/>
                </w:p>
              </w:tc>
            </w:tr>
          </w:tbl>
          <w:p>
            <w:pPr>
              <w:pStyle w:val="1381"/>
              <w:numPr>
                <w:ilvl w:val="0"/>
                <w:numId w:val="0"/>
              </w:numPr>
              <w:keepLines w:val="0"/>
              <w:keepNext w:val="0"/>
              <w:pageBreakBefore w:val="0"/>
              <w:widowControl/>
              <w:rPr>
                <w:rStyle w:val="1358"/>
                <w:rFonts w:hint="eastAsia" w:ascii="宋体" w:hAnsi="宋体" w:eastAsia="宋体" w:cs="宋体"/>
                <w:color w:val="000000" w:themeColor="text1"/>
                <w:sz w:val="21"/>
                <w:szCs w:val="21"/>
                <w:highlight w:val="none"/>
                <w:lang w:val="en-US" w:eastAsia="zh-CN"/>
                <w14:textFill>
                  <w14:solidFill>
                    <w14:schemeClr w14:val="tx1"/>
                  </w14:solidFill>
                </w14:textFill>
              </w:rPr>
            </w:pPr>
            <w:r>
              <w:rPr>
                <w:rStyle w:val="1358"/>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工程量清单：</w:t>
            </w:r>
            <w:r/>
          </w:p>
          <w:tbl>
            <w:tblPr>
              <w:tblStyle w:val="1173"/>
              <w:tblW w:w="8463" w:type="dxa"/>
              <w:jc w:val="center"/>
              <w:tblLayout w:type="fixed"/>
              <w:tblCellMar>
                <w:left w:w="108" w:type="dxa"/>
                <w:top w:w="0" w:type="dxa"/>
                <w:right w:w="108" w:type="dxa"/>
                <w:bottom w:w="0" w:type="dxa"/>
              </w:tblCellMar>
              <w:tblLook w:val="04A0" w:firstRow="1" w:lastRow="0" w:firstColumn="1" w:lastColumn="0" w:noHBand="0" w:noVBand="1"/>
            </w:tblPr>
            <w:tblGrid>
              <w:gridCol w:w="936"/>
              <w:gridCol w:w="5629"/>
              <w:gridCol w:w="6"/>
              <w:gridCol w:w="80"/>
              <w:gridCol w:w="654"/>
              <w:gridCol w:w="740"/>
            </w:tblGrid>
            <w:tr>
              <w:trPr>
                <w:jc w:val="center"/>
                <w:trHeight w:val="300"/>
                <w:tblHeader/>
              </w:trPr>
              <w:tc>
                <w:tcPr>
                  <w:shd w:val="clear" w:color="auto" w:fill="c0c0c0"/>
                  <w:tcBorders>
                    <w:top w:val="single" w:color="auto" w:sz="4" w:space="0"/>
                    <w:left w:val="single" w:color="auto" w:sz="4" w:space="0"/>
                    <w:bottom w:val="single" w:color="auto" w:sz="4" w:space="0"/>
                    <w:right w:val="single" w:color="auto" w:sz="4" w:space="0"/>
                  </w:tcBorders>
                  <w:tcW w:w="979" w:type="dxa"/>
                  <w:vAlign w:val="center"/>
                  <w:textDirection w:val="lrTb"/>
                  <w:noWrap/>
                </w:tcPr>
                <w:p>
                  <w:pPr>
                    <w:pStyle w:val="1381"/>
                    <w:numPr>
                      <w:ilvl w:val="0"/>
                      <w:numId w:val="0"/>
                    </w:numPr>
                    <w:keepLines w:val="0"/>
                    <w:keepNext w:val="0"/>
                    <w:pageBreakBefore w:val="0"/>
                    <w:widowControl/>
                    <w:rPr>
                      <w:rStyle w:val="1358"/>
                      <w:rFonts w:hint="eastAsia" w:ascii="宋体" w:hAnsi="宋体" w:eastAsia="宋体" w:cs="宋体"/>
                      <w:color w:val="000000" w:themeColor="text1"/>
                      <w:sz w:val="21"/>
                      <w:szCs w:val="21"/>
                      <w:highlight w:val="none"/>
                      <w:lang w:val="en-US" w:eastAsia="zh-CN"/>
                      <w14:textFill>
                        <w14:solidFill>
                          <w14:schemeClr w14:val="tx1"/>
                        </w14:solidFill>
                      </w14:textFill>
                    </w:rPr>
                  </w:pPr>
                  <w:r>
                    <w:rPr>
                      <w:rStyle w:val="1358"/>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序号</w:t>
                  </w:r>
                  <w:r/>
                </w:p>
              </w:tc>
              <w:tc>
                <w:tcPr>
                  <w:shd w:val="clear" w:color="auto" w:fill="c0c0c0"/>
                  <w:tcBorders>
                    <w:top w:val="single" w:color="auto" w:sz="4" w:space="0"/>
                    <w:left w:val="none" w:color="000000" w:sz="4" w:space="0"/>
                    <w:bottom w:val="single" w:color="auto" w:sz="4" w:space="0"/>
                    <w:right w:val="single" w:color="auto" w:sz="4" w:space="0"/>
                  </w:tcBorders>
                  <w:tcW w:w="5944" w:type="dxa"/>
                  <w:vAlign w:val="center"/>
                  <w:textDirection w:val="lrTb"/>
                  <w:noWrap/>
                </w:tcPr>
                <w:p>
                  <w:pPr>
                    <w:pStyle w:val="1381"/>
                    <w:numPr>
                      <w:ilvl w:val="0"/>
                      <w:numId w:val="0"/>
                    </w:numPr>
                    <w:ind w:firstLine="420"/>
                    <w:jc w:val="center"/>
                    <w:keepLines w:val="0"/>
                    <w:keepNext w:val="0"/>
                    <w:pageBreakBefore w:val="0"/>
                    <w:widowControl/>
                    <w:rPr>
                      <w:rStyle w:val="1358"/>
                      <w:rFonts w:hint="eastAsia" w:ascii="宋体" w:hAnsi="宋体" w:eastAsia="宋体" w:cs="宋体"/>
                      <w:color w:val="000000" w:themeColor="text1"/>
                      <w:sz w:val="21"/>
                      <w:szCs w:val="21"/>
                      <w:highlight w:val="none"/>
                      <w:lang w:val="en-US" w:eastAsia="zh-CN"/>
                      <w14:textFill>
                        <w14:solidFill>
                          <w14:schemeClr w14:val="tx1"/>
                        </w14:solidFill>
                      </w14:textFill>
                    </w:rPr>
                  </w:pPr>
                  <w:r>
                    <w:rPr>
                      <w:rStyle w:val="1358"/>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w:t>
                  </w:r>
                  <w:r/>
                </w:p>
              </w:tc>
              <w:tc>
                <w:tcPr>
                  <w:gridSpan w:val="4"/>
                  <w:shd w:val="clear" w:color="auto" w:fill="c0c0c0"/>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pStyle w:val="1381"/>
                    <w:numPr>
                      <w:ilvl w:val="0"/>
                      <w:numId w:val="0"/>
                    </w:numPr>
                    <w:ind w:firstLine="420"/>
                    <w:keepLines w:val="0"/>
                    <w:keepNext w:val="0"/>
                    <w:pageBreakBefore w:val="0"/>
                    <w:widowControl/>
                    <w:rPr>
                      <w:rStyle w:val="1358"/>
                      <w:rFonts w:hint="eastAsia" w:ascii="宋体" w:hAnsi="宋体" w:eastAsia="宋体" w:cs="宋体"/>
                      <w:color w:val="000000" w:themeColor="text1"/>
                      <w:sz w:val="21"/>
                      <w:szCs w:val="21"/>
                      <w:highlight w:val="none"/>
                      <w:lang w:val="en-US" w:eastAsia="zh-CN"/>
                      <w14:textFill>
                        <w14:solidFill>
                          <w14:schemeClr w14:val="tx1"/>
                        </w14:solidFill>
                      </w14:textFill>
                    </w:rPr>
                  </w:pPr>
                  <w:r>
                    <w:rPr>
                      <w:rStyle w:val="1358"/>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数量</w:t>
                  </w:r>
                  <w:r/>
                </w:p>
              </w:tc>
            </w:tr>
            <w:tr>
              <w:trPr>
                <w:jc w:val="center"/>
                <w:trHeight w:val="405"/>
              </w:trPr>
              <w:tc>
                <w:tcPr>
                  <w:shd w:val="clear" w:color="auto" w:fill="cccccc"/>
                  <w:tcBorders>
                    <w:top w:val="none" w:color="000000" w:sz="4" w:space="0"/>
                    <w:left w:val="single" w:color="auto" w:sz="4" w:space="0"/>
                    <w:bottom w:val="single" w:color="auto" w:sz="4" w:space="0"/>
                    <w:right w:val="single" w:color="auto" w:sz="4" w:space="0"/>
                  </w:tcBorders>
                  <w:tcW w:w="979" w:type="dxa"/>
                  <w:vAlign w:val="center"/>
                  <w:textDirection w:val="lrTb"/>
                  <w:noWrap/>
                </w:tcPr>
                <w:p>
                  <w:pPr>
                    <w:pStyle w:val="1381"/>
                    <w:numPr>
                      <w:ilvl w:val="0"/>
                      <w:numId w:val="0"/>
                    </w:numPr>
                    <w:keepLines w:val="0"/>
                    <w:keepNext w:val="0"/>
                    <w:pageBreakBefore w:val="0"/>
                    <w:widowControl/>
                    <w:rPr>
                      <w:rStyle w:val="1358"/>
                      <w:rFonts w:hint="eastAsia" w:ascii="宋体" w:hAnsi="宋体" w:eastAsia="宋体" w:cs="宋体"/>
                      <w:color w:val="000000" w:themeColor="text1"/>
                      <w:sz w:val="21"/>
                      <w:szCs w:val="21"/>
                      <w:highlight w:val="none"/>
                      <w:lang w:val="en-US" w:eastAsia="zh-CN"/>
                      <w14:textFill>
                        <w14:solidFill>
                          <w14:schemeClr w14:val="tx1"/>
                        </w14:solidFill>
                      </w14:textFill>
                    </w:rPr>
                  </w:pPr>
                  <w:r>
                    <w:rPr>
                      <w:rStyle w:val="1358"/>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w:t>
                  </w:r>
                  <w:r/>
                </w:p>
              </w:tc>
              <w:tc>
                <w:tcPr>
                  <w:gridSpan w:val="5"/>
                  <w:shd w:val="clear" w:color="auto" w:fill="cccccc"/>
                  <w:tcBorders>
                    <w:top w:val="single" w:color="auto" w:sz="4" w:space="0"/>
                    <w:left w:val="none" w:color="000000" w:sz="4" w:space="0"/>
                    <w:bottom w:val="single" w:color="auto" w:sz="4" w:space="0"/>
                    <w:right w:val="single" w:color="auto" w:sz="4" w:space="0"/>
                  </w:tcBorders>
                  <w:tcW w:w="7484" w:type="dxa"/>
                  <w:vAlign w:val="center"/>
                  <w:textDirection w:val="lrTb"/>
                  <w:noWrap/>
                </w:tcPr>
                <w:p>
                  <w:pPr>
                    <w:pStyle w:val="1381"/>
                    <w:numPr>
                      <w:ilvl w:val="0"/>
                      <w:numId w:val="0"/>
                    </w:numPr>
                    <w:ind w:firstLine="420"/>
                    <w:keepLines w:val="0"/>
                    <w:keepNext w:val="0"/>
                    <w:pageBreakBefore w:val="0"/>
                    <w:widowControl/>
                    <w:rPr>
                      <w:rStyle w:val="1358"/>
                      <w:rFonts w:hint="eastAsia" w:ascii="宋体" w:hAnsi="宋体" w:eastAsia="宋体" w:cs="宋体"/>
                      <w:color w:val="000000" w:themeColor="text1"/>
                      <w:sz w:val="21"/>
                      <w:szCs w:val="21"/>
                      <w:highlight w:val="none"/>
                      <w:lang w:val="en-US" w:eastAsia="zh-CN"/>
                      <w14:textFill>
                        <w14:solidFill>
                          <w14:schemeClr w14:val="tx1"/>
                        </w14:solidFill>
                      </w14:textFill>
                    </w:rPr>
                  </w:pPr>
                  <w:r>
                    <w:rPr>
                      <w:rStyle w:val="1358"/>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堤防工程现状调查</w:t>
                  </w:r>
                  <w:r/>
                </w:p>
              </w:tc>
            </w:tr>
            <w:tr>
              <w:trPr>
                <w:jc w:val="center"/>
                <w:trHeight w:val="1740"/>
              </w:trPr>
              <w:tc>
                <w:tcPr>
                  <w:shd w:val="clear" w:color="auto" w:fill="auto"/>
                  <w:tcBorders>
                    <w:top w:val="none" w:color="000000" w:sz="4" w:space="0"/>
                    <w:left w:val="single" w:color="auto" w:sz="4" w:space="0"/>
                    <w:bottom w:val="single" w:color="auto" w:sz="4" w:space="0"/>
                    <w:right w:val="single" w:color="auto" w:sz="4" w:space="0"/>
                  </w:tcBorders>
                  <w:tcW w:w="979" w:type="dxa"/>
                  <w:vAlign w:val="center"/>
                  <w:textDirection w:val="lrTb"/>
                  <w:noWrap/>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5944" w:type="dxa"/>
                  <w:vAlign w:val="center"/>
                  <w:textDirection w:val="lrTb"/>
                  <w:noWrap w:val="false"/>
                </w:tcPr>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包括相关档案资料查阅和现场检查。现场检查应抓住影响工程安全的重点关键部位，对可能存在质量缺陷的部位应反复检查。现场踏勘的重点部位是：（1）防冲设施；（2）迎水面、堤顶、背水坡等护面结构；（3）镇压层、护堤地等护堤设施；（4）堤身填料、防渗土体等主要材料； （5）交叉建筑物与堤防结合部位；（6）对以空箱、框架等混凝土结构为主的堤防工程，着重调查地基处理方式、堤前护堤设施，混凝土的冲蚀、变形及结构止水等。</w:t>
                  </w:r>
                  <w:r/>
                </w:p>
              </w:tc>
              <w:tc>
                <w:tcPr>
                  <w:gridSpan w:val="4"/>
                  <w:shd w:val="clear" w:color="auto" w:fill="auto"/>
                  <w:tcBorders>
                    <w:top w:val="single" w:color="auto" w:sz="4" w:space="0"/>
                    <w:left w:val="none" w:color="000000" w:sz="4" w:space="0"/>
                    <w:bottom w:val="single" w:color="auto" w:sz="4" w:space="0"/>
                    <w:right w:val="single" w:color="auto" w:sz="4" w:space="0"/>
                  </w:tcBorders>
                  <w:tcW w:w="1540" w:type="dxa"/>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5km</w:t>
                  </w:r>
                  <w:r/>
                </w:p>
              </w:tc>
            </w:tr>
            <w:tr>
              <w:trPr>
                <w:jc w:val="center"/>
                <w:trHeight w:val="375"/>
              </w:trPr>
              <w:tc>
                <w:tcPr>
                  <w:shd w:val="clear" w:color="auto" w:fill="cccccc"/>
                  <w:tcBorders>
                    <w:top w:val="none" w:color="000000" w:sz="4" w:space="0"/>
                    <w:left w:val="single" w:color="auto" w:sz="4" w:space="0"/>
                    <w:bottom w:val="single" w:color="auto" w:sz="4" w:space="0"/>
                    <w:right w:val="single" w:color="auto" w:sz="4" w:space="0"/>
                  </w:tcBorders>
                  <w:tcW w:w="979" w:type="dxa"/>
                  <w:vAlign w:val="center"/>
                  <w:textDirection w:val="lrTb"/>
                  <w:noWrap/>
                </w:tcPr>
                <w:p>
                  <w:pPr>
                    <w:pStyle w:val="1381"/>
                    <w:numPr>
                      <w:ilvl w:val="0"/>
                      <w:numId w:val="0"/>
                    </w:numPr>
                    <w:keepLines w:val="0"/>
                    <w:keepNext w:val="0"/>
                    <w:pageBreakBefore w:val="0"/>
                    <w:widowControl/>
                    <w:rPr>
                      <w:rStyle w:val="1358"/>
                      <w:rFonts w:hint="eastAsia" w:ascii="宋体" w:hAnsi="宋体" w:eastAsia="宋体" w:cs="宋体"/>
                      <w:color w:val="000000" w:themeColor="text1"/>
                      <w:sz w:val="21"/>
                      <w:szCs w:val="21"/>
                      <w:highlight w:val="none"/>
                      <w:lang w:val="en-US" w:eastAsia="zh-CN"/>
                      <w14:textFill>
                        <w14:solidFill>
                          <w14:schemeClr w14:val="tx1"/>
                        </w14:solidFill>
                      </w14:textFill>
                    </w:rPr>
                  </w:pPr>
                  <w:r>
                    <w:rPr>
                      <w:rStyle w:val="1358"/>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二</w:t>
                  </w:r>
                  <w:r/>
                </w:p>
              </w:tc>
              <w:tc>
                <w:tcPr>
                  <w:gridSpan w:val="5"/>
                  <w:shd w:val="clear" w:color="auto" w:fill="cccccc"/>
                  <w:tcBorders>
                    <w:top w:val="single" w:color="auto" w:sz="4" w:space="0"/>
                    <w:left w:val="none" w:color="000000" w:sz="4" w:space="0"/>
                    <w:bottom w:val="single" w:color="auto" w:sz="4" w:space="0"/>
                    <w:right w:val="single" w:color="auto" w:sz="4" w:space="0"/>
                  </w:tcBorders>
                  <w:tcW w:w="7484" w:type="dxa"/>
                  <w:vAlign w:val="center"/>
                  <w:textDirection w:val="lrTb"/>
                  <w:noWrap/>
                </w:tcPr>
                <w:p>
                  <w:pPr>
                    <w:pStyle w:val="1381"/>
                    <w:numPr>
                      <w:ilvl w:val="0"/>
                      <w:numId w:val="0"/>
                    </w:numPr>
                    <w:ind w:firstLine="420"/>
                    <w:keepLines w:val="0"/>
                    <w:keepNext w:val="0"/>
                    <w:pageBreakBefore w:val="0"/>
                    <w:widowControl/>
                    <w:rPr>
                      <w:rStyle w:val="1358"/>
                      <w:rFonts w:hint="eastAsia" w:ascii="宋体" w:hAnsi="宋体" w:eastAsia="宋体" w:cs="宋体"/>
                      <w:color w:val="000000" w:themeColor="text1"/>
                      <w:sz w:val="21"/>
                      <w:szCs w:val="21"/>
                      <w:highlight w:val="none"/>
                      <w:lang w:val="en-US" w:eastAsia="zh-CN"/>
                      <w14:textFill>
                        <w14:solidFill>
                          <w14:schemeClr w14:val="tx1"/>
                        </w14:solidFill>
                      </w14:textFill>
                    </w:rPr>
                  </w:pPr>
                  <w:r>
                    <w:rPr>
                      <w:rStyle w:val="1358"/>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分项复核评价</w:t>
                  </w:r>
                  <w:r/>
                </w:p>
              </w:tc>
            </w:tr>
            <w:tr>
              <w:trPr>
                <w:jc w:val="center"/>
                <w:trHeight w:val="345"/>
              </w:trPr>
              <w:tc>
                <w:tcPr>
                  <w:shd w:val="clear" w:color="auto" w:fill="auto"/>
                  <w:tcBorders>
                    <w:top w:val="none" w:color="000000" w:sz="4" w:space="0"/>
                    <w:left w:val="single" w:color="auto" w:sz="4" w:space="0"/>
                    <w:bottom w:val="single" w:color="auto" w:sz="4" w:space="0"/>
                    <w:right w:val="single" w:color="auto" w:sz="4" w:space="0"/>
                  </w:tcBorders>
                  <w:tcW w:w="979" w:type="dxa"/>
                  <w:vAlign w:val="center"/>
                  <w:textDirection w:val="lrTb"/>
                  <w:noWrap/>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w:t>
                  </w:r>
                  <w:r/>
                </w:p>
              </w:tc>
              <w:tc>
                <w:tcPr>
                  <w:gridSpan w:val="5"/>
                  <w:shd w:val="clear" w:color="auto" w:fill="auto"/>
                  <w:tcBorders>
                    <w:top w:val="single" w:color="auto" w:sz="4" w:space="0"/>
                    <w:left w:val="none" w:color="000000" w:sz="4" w:space="0"/>
                    <w:bottom w:val="single" w:color="auto" w:sz="4" w:space="0"/>
                    <w:right w:val="single" w:color="auto" w:sz="4" w:space="0"/>
                  </w:tcBorders>
                  <w:tcW w:w="7484"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工程质量评价</w:t>
                  </w:r>
                  <w:r/>
                </w:p>
              </w:tc>
            </w:tr>
            <w:tr>
              <w:trPr>
                <w:jc w:val="center"/>
                <w:trHeight w:val="391"/>
              </w:trPr>
              <w:tc>
                <w:tcPr>
                  <w:shd w:val="clear" w:color="auto" w:fill="auto"/>
                  <w:tcBorders>
                    <w:top w:val="none" w:color="000000" w:sz="4" w:space="0"/>
                    <w:left w:val="single" w:color="auto" w:sz="4" w:space="0"/>
                    <w:bottom w:val="single" w:color="auto" w:sz="4" w:space="0"/>
                    <w:right w:val="single" w:color="auto" w:sz="4" w:space="0"/>
                  </w:tcBorders>
                  <w:tcW w:w="979" w:type="dxa"/>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44" w:type="dxa"/>
                  <w:vAlign w:val="center"/>
                  <w:textDirection w:val="lrTb"/>
                  <w:noWrap w:val="false"/>
                </w:tcPr>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尺寸测量，包括断面轮廓尺寸、坝顶高程等（</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按100米一个断面</w:t>
                  </w: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gridSpan w:val="3"/>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个</w:t>
                  </w:r>
                  <w:r/>
                </w:p>
              </w:tc>
            </w:tr>
            <w:tr>
              <w:trPr>
                <w:jc w:val="center"/>
                <w:trHeight w:val="594"/>
              </w:trPr>
              <w:tc>
                <w:tcPr>
                  <w:shd w:val="clear" w:color="auto" w:fill="auto"/>
                  <w:tcBorders>
                    <w:top w:val="none" w:color="000000" w:sz="4" w:space="0"/>
                    <w:left w:val="single" w:color="auto" w:sz="4" w:space="0"/>
                    <w:bottom w:val="single" w:color="auto" w:sz="4" w:space="0"/>
                    <w:right w:val="single" w:color="auto" w:sz="4" w:space="0"/>
                  </w:tcBorders>
                  <w:tcW w:w="979" w:type="dxa"/>
                  <w:vAlign w:val="center"/>
                  <w:textDirection w:val="lrTb"/>
                  <w:noWrap/>
                </w:tcPr>
                <w:p>
                  <w:pPr>
                    <w:jc w:val="center"/>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944" w:type="dxa"/>
                  <w:vAlign w:val="center"/>
                  <w:textDirection w:val="lrTb"/>
                  <w:noWrap w:val="false"/>
                </w:tcPr>
                <w:p>
                  <w:pPr>
                    <w:widowControl/>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探测堤身内部隐患情况，结合白蚁防治工程，对防治结束后的堤防进行内部隐患探查并对防治效果进行评价分析</w:t>
                  </w:r>
                  <w:r/>
                </w:p>
              </w:tc>
              <w:tc>
                <w:tcPr>
                  <w:gridSpan w:val="4"/>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5km</w:t>
                  </w:r>
                  <w:r/>
                </w:p>
              </w:tc>
            </w:tr>
            <w:tr>
              <w:trPr>
                <w:jc w:val="center"/>
                <w:trHeight w:val="378"/>
              </w:trPr>
              <w:tc>
                <w:tcPr>
                  <w:shd w:val="clear" w:color="auto" w:fill="auto"/>
                  <w:tcBorders>
                    <w:top w:val="none" w:color="000000" w:sz="4" w:space="0"/>
                    <w:left w:val="single" w:color="auto" w:sz="4" w:space="0"/>
                    <w:bottom w:val="single" w:color="auto" w:sz="4" w:space="0"/>
                    <w:right w:val="single" w:color="auto" w:sz="4" w:space="0"/>
                  </w:tcBorders>
                  <w:tcW w:w="979" w:type="dxa"/>
                  <w:vAlign w:val="center"/>
                  <w:textDirection w:val="lrTb"/>
                  <w:noWrap/>
                </w:tcPr>
                <w:p>
                  <w:pPr>
                    <w:jc w:val="center"/>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944" w:type="dxa"/>
                  <w:vAlign w:val="center"/>
                  <w:textDirection w:val="lrTb"/>
                  <w:noWrap w:val="false"/>
                </w:tcPr>
                <w:p>
                  <w:pPr>
                    <w:widowControl/>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对堤防范围到的交叉建筑物分析评价，进行外观调查及现状调查分析</w:t>
                  </w:r>
                  <w:r/>
                </w:p>
              </w:tc>
              <w:tc>
                <w:tcPr>
                  <w:gridSpan w:val="4"/>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5km</w:t>
                  </w:r>
                  <w:r/>
                </w:p>
              </w:tc>
            </w:tr>
            <w:tr>
              <w:trPr>
                <w:jc w:val="center"/>
                <w:trHeight w:val="1420"/>
              </w:trPr>
              <w:tc>
                <w:tcPr>
                  <w:shd w:val="clear" w:color="auto" w:fill="auto"/>
                  <w:tcBorders>
                    <w:top w:val="none" w:color="000000" w:sz="4" w:space="0"/>
                    <w:left w:val="single" w:color="auto" w:sz="4" w:space="0"/>
                    <w:bottom w:val="single" w:color="auto" w:sz="4" w:space="0"/>
                    <w:right w:val="single" w:color="auto" w:sz="4" w:space="0"/>
                  </w:tcBorders>
                  <w:tcW w:w="979" w:type="dxa"/>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5944" w:type="dxa"/>
                  <w:vAlign w:val="center"/>
                  <w:textDirection w:val="lrTb"/>
                  <w:noWrap w:val="false"/>
                </w:tcPr>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地质勘察，对堤基处理、堤身填筑、堤岸防护等现状质量进行评价，并提供各项复核或评价所需要的工程现状参数；对工程存在的结构变形和渗漏等质量缺陷进行分析、评价。</w:t>
                  </w:r>
                  <w:r>
                    <w:rPr>
                      <w:rFonts w:hint="eastAsia" w:ascii="宋体" w:hAnsi="宋体" w:eastAsia="宋体" w:cs="宋体"/>
                      <w:color w:val="000000" w:themeColor="text1"/>
                      <w:sz w:val="21"/>
                      <w:szCs w:val="21"/>
                      <w:highlight w:val="none"/>
                      <w14:textFill>
                        <w14:solidFill>
                          <w14:schemeClr w14:val="tx1"/>
                        </w14:solidFill>
                      </w14:textFill>
                    </w:rPr>
                    <w:br/>
                  </w:r>
                  <w:r>
                    <w:rPr>
                      <w:rFonts w:hint="eastAsia" w:ascii="宋体" w:hAnsi="宋体" w:eastAsia="宋体" w:cs="宋体"/>
                      <w:color w:val="000000" w:themeColor="text1"/>
                      <w:sz w:val="21"/>
                      <w:szCs w:val="21"/>
                      <w:highlight w:val="none"/>
                      <w14:textFill>
                        <w14:solidFill>
                          <w14:schemeClr w14:val="tx1"/>
                        </w14:solidFill>
                      </w14:textFill>
                    </w:rPr>
                    <w:t xml:space="preserve">选取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3-4</w:t>
                  </w:r>
                  <w:r>
                    <w:rPr>
                      <w:rFonts w:hint="eastAsia" w:ascii="宋体" w:hAnsi="宋体" w:eastAsia="宋体" w:cs="宋体"/>
                      <w:color w:val="000000" w:themeColor="text1"/>
                      <w:sz w:val="21"/>
                      <w:szCs w:val="21"/>
                      <w:highlight w:val="none"/>
                      <w14:textFill>
                        <w14:solidFill>
                          <w14:schemeClr w14:val="tx1"/>
                        </w14:solidFill>
                      </w14:textFill>
                    </w:rPr>
                    <w:t xml:space="preserve">个断面，间隔</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km，每个断面布设3个孔，钻孔深度一般为堤基以下堤身高度的1.5～2.0倍，当相对透水层较深或软土层较厚时，孔深应满足渗流及稳定分析的要求；基岩出露或浅埋段钻孔宜揭穿强风化层。</w:t>
                  </w:r>
                  <w:r/>
                </w:p>
              </w:tc>
              <w:tc>
                <w:tcPr>
                  <w:gridSpan w:val="3"/>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70" w:type="dxa"/>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孔</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979" w:type="dxa"/>
                  <w:vAlign w:val="center"/>
                  <w:textDirection w:val="lrTb"/>
                  <w:noWrap/>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w:t>
                  </w:r>
                  <w:r/>
                </w:p>
              </w:tc>
              <w:tc>
                <w:tcPr>
                  <w:gridSpan w:val="2"/>
                  <w:shd w:val="clear" w:color="auto" w:fill="auto"/>
                  <w:tcBorders>
                    <w:top w:val="single" w:color="auto" w:sz="4" w:space="0"/>
                    <w:left w:val="none" w:color="000000" w:sz="4" w:space="0"/>
                    <w:bottom w:val="single" w:color="auto" w:sz="4" w:space="0"/>
                    <w:right w:val="single" w:color="auto" w:sz="4" w:space="0"/>
                  </w:tcBorders>
                  <w:tcW w:w="595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防洪标准复核</w:t>
                  </w:r>
                  <w:r/>
                </w:p>
              </w:tc>
              <w:tc>
                <w:tcPr>
                  <w:gridSpan w:val="3"/>
                  <w:shd w:val="clear" w:color="auto" w:fill="auto"/>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5km</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979" w:type="dxa"/>
                  <w:vAlign w:val="center"/>
                  <w:textDirection w:val="lrTb"/>
                  <w:noWrap/>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w:t>
                  </w:r>
                  <w:r/>
                </w:p>
              </w:tc>
              <w:tc>
                <w:tcPr>
                  <w:gridSpan w:val="2"/>
                  <w:shd w:val="clear" w:color="auto" w:fill="auto"/>
                  <w:tcBorders>
                    <w:top w:val="single" w:color="auto" w:sz="4" w:space="0"/>
                    <w:left w:val="none" w:color="000000" w:sz="4" w:space="0"/>
                    <w:bottom w:val="single" w:color="auto" w:sz="4" w:space="0"/>
                    <w:right w:val="single" w:color="auto" w:sz="4" w:space="0"/>
                  </w:tcBorders>
                  <w:tcW w:w="595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渗流安全性复核</w:t>
                  </w:r>
                  <w:r/>
                </w:p>
              </w:tc>
              <w:tc>
                <w:tcPr>
                  <w:gridSpan w:val="3"/>
                  <w:shd w:val="clear" w:color="auto" w:fill="auto"/>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5km</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979" w:type="dxa"/>
                  <w:vAlign w:val="center"/>
                  <w:textDirection w:val="lrTb"/>
                  <w:noWrap/>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4</w:t>
                  </w:r>
                  <w:r/>
                </w:p>
              </w:tc>
              <w:tc>
                <w:tcPr>
                  <w:gridSpan w:val="2"/>
                  <w:shd w:val="clear" w:color="auto" w:fill="auto"/>
                  <w:tcBorders>
                    <w:top w:val="single" w:color="auto" w:sz="4" w:space="0"/>
                    <w:left w:val="none" w:color="000000" w:sz="4" w:space="0"/>
                    <w:bottom w:val="single" w:color="auto" w:sz="4" w:space="0"/>
                    <w:right w:val="single" w:color="auto" w:sz="4" w:space="0"/>
                  </w:tcBorders>
                  <w:tcW w:w="595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结构安全性复核</w:t>
                  </w:r>
                  <w:r/>
                </w:p>
              </w:tc>
              <w:tc>
                <w:tcPr>
                  <w:gridSpan w:val="3"/>
                  <w:shd w:val="clear" w:color="auto" w:fill="auto"/>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5km</w:t>
                  </w:r>
                  <w:r/>
                </w:p>
              </w:tc>
            </w:tr>
            <w:tr>
              <w:trPr>
                <w:jc w:val="center"/>
                <w:trHeight w:val="315"/>
              </w:trPr>
              <w:tc>
                <w:tcPr>
                  <w:shd w:val="clear" w:color="auto" w:fill="auto"/>
                  <w:tcBorders>
                    <w:top w:val="none" w:color="000000" w:sz="4" w:space="0"/>
                    <w:left w:val="single" w:color="auto" w:sz="4" w:space="0"/>
                    <w:bottom w:val="single" w:color="auto" w:sz="4" w:space="0"/>
                    <w:right w:val="single" w:color="auto" w:sz="4" w:space="0"/>
                  </w:tcBorders>
                  <w:tcW w:w="979" w:type="dxa"/>
                  <w:vAlign w:val="center"/>
                  <w:textDirection w:val="lrTb"/>
                  <w:noWrap/>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5</w:t>
                  </w:r>
                  <w:r/>
                </w:p>
              </w:tc>
              <w:tc>
                <w:tcPr>
                  <w:gridSpan w:val="2"/>
                  <w:shd w:val="clear" w:color="auto" w:fill="auto"/>
                  <w:tcBorders>
                    <w:top w:val="single" w:color="auto" w:sz="4" w:space="0"/>
                    <w:left w:val="none" w:color="000000" w:sz="4" w:space="0"/>
                    <w:bottom w:val="single" w:color="auto" w:sz="4" w:space="0"/>
                    <w:right w:val="single" w:color="auto" w:sz="4" w:space="0"/>
                  </w:tcBorders>
                  <w:tcW w:w="595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运行管理评价</w:t>
                  </w:r>
                  <w:r/>
                </w:p>
              </w:tc>
              <w:tc>
                <w:tcPr>
                  <w:gridSpan w:val="3"/>
                  <w:shd w:val="clear" w:color="auto" w:fill="auto"/>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5km</w:t>
                  </w:r>
                  <w:r/>
                </w:p>
              </w:tc>
            </w:tr>
            <w:tr>
              <w:trPr>
                <w:jc w:val="center"/>
                <w:trHeight w:val="375"/>
              </w:trPr>
              <w:tc>
                <w:tcPr>
                  <w:shd w:val="clear" w:color="auto" w:fill="cccccc"/>
                  <w:tcBorders>
                    <w:top w:val="single" w:color="auto" w:sz="4" w:space="0"/>
                    <w:left w:val="single" w:color="auto" w:sz="4" w:space="0"/>
                    <w:bottom w:val="single" w:color="auto" w:sz="4" w:space="0"/>
                    <w:right w:val="single" w:color="auto" w:sz="4" w:space="0"/>
                  </w:tcBorders>
                  <w:tcW w:w="979" w:type="dxa"/>
                  <w:vAlign w:val="center"/>
                  <w:textDirection w:val="lrTb"/>
                  <w:noWrap/>
                </w:tcPr>
                <w:p>
                  <w:pPr>
                    <w:jc w:val="lef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w:t>
                  </w:r>
                  <w:r/>
                </w:p>
              </w:tc>
              <w:tc>
                <w:tcPr>
                  <w:gridSpan w:val="5"/>
                  <w:shd w:val="clear" w:color="auto" w:fill="cccccc"/>
                  <w:tcBorders>
                    <w:top w:val="single" w:color="auto" w:sz="4" w:space="0"/>
                    <w:left w:val="none" w:color="000000" w:sz="4" w:space="0"/>
                    <w:bottom w:val="single" w:color="auto" w:sz="4" w:space="0"/>
                    <w:right w:val="single" w:color="auto" w:sz="4" w:space="0"/>
                  </w:tcBorders>
                  <w:tcW w:w="7484" w:type="dxa"/>
                  <w:vAlign w:val="center"/>
                  <w:textDirection w:val="lrTb"/>
                  <w:noWrap/>
                </w:tcPr>
                <w:p>
                  <w:pPr>
                    <w:jc w:val="lef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工程安全综合评价</w:t>
                  </w:r>
                  <w:r/>
                </w:p>
              </w:tc>
            </w:tr>
            <w:tr>
              <w:trPr>
                <w:jc w:val="center"/>
                <w:trHeight w:val="375"/>
              </w:trPr>
              <w:tc>
                <w:tcPr>
                  <w:shd w:val="clear" w:color="auto" w:fill="ffffff" w:themeFill="background1"/>
                  <w:tcBorders>
                    <w:top w:val="single" w:color="auto" w:sz="4" w:space="0"/>
                    <w:left w:val="single" w:color="auto" w:sz="4" w:space="0"/>
                    <w:bottom w:val="single" w:color="auto" w:sz="4" w:space="0"/>
                    <w:right w:val="single" w:color="auto" w:sz="4" w:space="0"/>
                  </w:tcBorders>
                  <w:tcW w:w="979" w:type="dxa"/>
                  <w:vAlign w:val="center"/>
                  <w:textDirection w:val="lrTb"/>
                  <w:noWrap/>
                </w:tcPr>
                <w:p>
                  <w:pPr>
                    <w:jc w:val="center"/>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w:t>
                  </w:r>
                  <w:r/>
                </w:p>
              </w:tc>
              <w:tc>
                <w:tcPr>
                  <w:gridSpan w:val="3"/>
                  <w:shd w:val="clear" w:color="auto" w:fill="ffffff" w:themeFill="background1"/>
                  <w:tcBorders>
                    <w:top w:val="single" w:color="auto" w:sz="4" w:space="0"/>
                    <w:left w:val="none" w:color="000000" w:sz="4" w:space="0"/>
                    <w:bottom w:val="single" w:color="auto" w:sz="4" w:space="0"/>
                    <w:right w:val="single" w:color="auto" w:sz="4" w:space="0"/>
                  </w:tcBorders>
                  <w:tcW w:w="6033" w:type="dxa"/>
                  <w:vAlign w:val="center"/>
                  <w:textDirection w:val="lrTb"/>
                  <w:noWrap/>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安全评价报告统稿汇编及评审汇报</w:t>
                  </w:r>
                  <w:r/>
                </w:p>
              </w:tc>
              <w:tc>
                <w:tcPr>
                  <w:gridSpan w:val="2"/>
                  <w:shd w:val="clear" w:color="auto" w:fill="ffffff" w:themeFill="background1"/>
                  <w:tcBorders>
                    <w:top w:val="single" w:color="auto" w:sz="4" w:space="0"/>
                    <w:left w:val="single" w:color="auto" w:sz="4" w:space="0"/>
                    <w:bottom w:val="single" w:color="auto" w:sz="4" w:space="0"/>
                    <w:right w:val="single" w:color="auto" w:sz="4" w:space="0"/>
                  </w:tcBorders>
                  <w:tcW w:w="1451" w:type="dxa"/>
                  <w:vAlign w:val="center"/>
                  <w:textDirection w:val="lrTb"/>
                  <w:noWrap/>
                </w:tcPr>
                <w:p>
                  <w:pPr>
                    <w:jc w:val="center"/>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1项</w:t>
                  </w:r>
                  <w:r/>
                </w:p>
              </w:tc>
            </w:tr>
          </w:tbl>
          <w:p>
            <w:pPr>
              <w:pStyle w:val="1381"/>
              <w:keepLines w:val="0"/>
              <w:keepNext w:val="0"/>
              <w:pageBreakBefore w:val="0"/>
              <w:widowControl/>
              <w:rPr>
                <w:rStyle w:val="1358"/>
                <w:rFonts w:hint="eastAsia" w:ascii="宋体" w:hAnsi="宋体" w:eastAsia="宋体" w:cs="宋体"/>
                <w:i w:val="0"/>
                <w:iCs w:val="0"/>
                <w:color w:val="000000" w:themeColor="text1"/>
                <w:highlight w:val="none"/>
                <w:u w:val="none"/>
                <w:lang w:eastAsia="zh-CN"/>
                <w14:textFill>
                  <w14:solidFill>
                    <w14:schemeClr w14:val="tx1"/>
                  </w14:solidFill>
                </w14:textFill>
              </w:rPr>
            </w:pPr>
            <w:r>
              <w:rPr>
                <w:rFonts w:hint="eastAsia" w:ascii="宋体" w:hAnsi="宋体" w:eastAsia="宋体" w:cs="宋体"/>
                <w:i w:val="0"/>
                <w:iCs w:val="0"/>
                <w:color w:val="000000" w:themeColor="text1"/>
                <w:highlight w:val="none"/>
                <w:u w:val="none"/>
                <w:lang w:eastAsia="zh-CN"/>
                <w14:textFill>
                  <w14:solidFill>
                    <w14:schemeClr w14:val="tx1"/>
                  </w14:solidFill>
                </w14:textFill>
              </w:rPr>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hint="eastAsia" w:ascii="宋体" w:hAnsi="宋体" w:eastAsia="宋体" w:cs="宋体"/>
                <w:i/>
                <w:iCs/>
                <w:color w:val="000000" w:themeColor="text1"/>
                <w:highlight w:val="none"/>
                <w:u w:val="single"/>
                <w:lang w:eastAsia="zh-CN"/>
                <w14:textFill>
                  <w14:solidFill>
                    <w14:schemeClr w14:val="tx1"/>
                  </w14:solidFill>
                </w14:textFill>
              </w:rPr>
            </w:pPr>
            <w:r>
              <w:rPr>
                <w:rStyle w:val="1358"/>
                <w:rFonts w:hint="eastAsia" w:ascii="宋体" w:hAnsi="宋体" w:eastAsia="宋体" w:cs="宋体"/>
                <w:i/>
                <w:iCs/>
                <w:color w:val="000000" w:themeColor="text1"/>
                <w:highlight w:val="none"/>
                <w:u w:val="single"/>
                <w:lang w:eastAsia="zh-CN"/>
                <w14:textFill>
                  <w14:solidFill>
                    <w14:schemeClr w14:val="tx1"/>
                  </w14:solidFill>
                </w14:textFill>
              </w:rPr>
              <w:t xml:space="preserve">（</w:t>
            </w:r>
            <w:r>
              <w:rPr>
                <w:rStyle w:val="1358"/>
                <w:rFonts w:hint="eastAsia" w:ascii="宋体" w:hAnsi="宋体" w:eastAsia="宋体" w:cs="宋体"/>
                <w:i/>
                <w:iCs/>
                <w:color w:val="000000" w:themeColor="text1"/>
                <w:highlight w:val="none"/>
                <w:u w:val="single"/>
                <w:lang w:val="en-US" w:eastAsia="zh-CN"/>
                <w14:textFill>
                  <w14:solidFill>
                    <w14:schemeClr w14:val="tx1"/>
                  </w14:solidFill>
                </w14:textFill>
              </w:rPr>
              <w:t xml:space="preserve">13</w:t>
            </w:r>
            <w:r>
              <w:rPr>
                <w:rStyle w:val="1358"/>
                <w:rFonts w:hint="eastAsia" w:ascii="宋体" w:hAnsi="宋体" w:eastAsia="宋体" w:cs="宋体"/>
                <w:i/>
                <w:iCs/>
                <w:color w:val="000000" w:themeColor="text1"/>
                <w:highlight w:val="none"/>
                <w:u w:val="single"/>
                <w:lang w:eastAsia="zh-CN"/>
                <w14:textFill>
                  <w14:solidFill>
                    <w14:schemeClr w14:val="tx1"/>
                  </w14:solidFill>
                </w14:textFill>
              </w:rPr>
              <w:t xml:space="preserve">）</w:t>
            </w:r>
            <w:r>
              <w:rPr>
                <w:rStyle w:val="1358"/>
                <w:rFonts w:hint="eastAsia" w:ascii="宋体" w:hAnsi="宋体" w:eastAsia="宋体" w:cs="宋体"/>
                <w:i/>
                <w:iCs/>
                <w:color w:val="000000" w:themeColor="text1"/>
                <w:highlight w:val="none"/>
                <w:u w:val="single"/>
                <w14:textFill>
                  <w14:solidFill>
                    <w14:schemeClr w14:val="tx1"/>
                  </w14:solidFill>
                </w14:textFill>
              </w:rPr>
              <w:t xml:space="preserve">普查结束</w:t>
            </w:r>
            <w:r>
              <w:rPr>
                <w:rStyle w:val="1358"/>
                <w:rFonts w:hint="eastAsia" w:ascii="宋体" w:hAnsi="宋体" w:eastAsia="宋体" w:cs="宋体"/>
                <w:i/>
                <w:iCs/>
                <w:color w:val="000000" w:themeColor="text1"/>
                <w:highlight w:val="none"/>
                <w:u w:val="single"/>
                <w:lang w:val="en-US" w:eastAsia="zh-CN"/>
                <w14:textFill>
                  <w14:solidFill>
                    <w14:schemeClr w14:val="tx1"/>
                  </w14:solidFill>
                </w14:textFill>
              </w:rPr>
              <w:t xml:space="preserve">后</w:t>
            </w:r>
            <w:r>
              <w:rPr>
                <w:rStyle w:val="1358"/>
                <w:rFonts w:hint="eastAsia" w:ascii="宋体" w:hAnsi="宋体" w:eastAsia="宋体" w:cs="宋体"/>
                <w:i/>
                <w:iCs/>
                <w:color w:val="000000" w:themeColor="text1"/>
                <w:highlight w:val="none"/>
                <w:u w:val="single"/>
                <w14:textFill>
                  <w14:solidFill>
                    <w14:schemeClr w14:val="tx1"/>
                  </w14:solidFill>
                </w14:textFill>
              </w:rPr>
              <w:t xml:space="preserve">中标人</w:t>
            </w:r>
            <w:r>
              <w:rPr>
                <w:rStyle w:val="1358"/>
                <w:rFonts w:hint="eastAsia" w:ascii="宋体" w:hAnsi="宋体" w:eastAsia="宋体" w:cs="宋体"/>
                <w:i/>
                <w:iCs/>
                <w:color w:val="000000" w:themeColor="text1"/>
                <w:highlight w:val="none"/>
                <w:u w:val="single"/>
                <w:lang w:val="en-US" w:eastAsia="zh-CN"/>
                <w14:textFill>
                  <w14:solidFill>
                    <w14:schemeClr w14:val="tx1"/>
                  </w14:solidFill>
                </w14:textFill>
              </w:rPr>
              <w:t xml:space="preserve">按采购人指定时间要求</w:t>
            </w:r>
            <w:r>
              <w:rPr>
                <w:rStyle w:val="1358"/>
                <w:rFonts w:hint="eastAsia" w:ascii="宋体" w:hAnsi="宋体" w:eastAsia="宋体" w:cs="宋体"/>
                <w:i/>
                <w:iCs/>
                <w:color w:val="000000" w:themeColor="text1"/>
                <w:highlight w:val="none"/>
                <w:u w:val="single"/>
                <w14:textFill>
                  <w14:solidFill>
                    <w14:schemeClr w14:val="tx1"/>
                  </w14:solidFill>
                </w14:textFill>
              </w:rPr>
              <w:t xml:space="preserve">提交符合各级检查单位检查要求的普查报告，报告要详细列明堤防白蚁等害堤动物种类、危害等级、现场记录的数据、照片、文字资料等，对报告内容真实性负责。</w:t>
            </w:r>
            <w:r/>
          </w:p>
        </w:tc>
      </w:tr>
      <w:tr>
        <w:trPr>
          <w:jc w:val="center"/>
          <w:trHeight w:val="567"/>
        </w:trPr>
        <w:tc>
          <w:tcPr>
            <w:tcMar>
              <w:top w:w="100" w:type="dxa"/>
              <w:bottom w:w="100" w:type="dxa"/>
            </w:tcMar>
            <w:tcW w:w="577" w:type="dxa"/>
            <w:vAlign w:val="center"/>
            <w:vMerge w:val="restart"/>
            <w:textDirection w:val="lrTb"/>
            <w:noWrap/>
          </w:tcPr>
          <w:p>
            <w:pPr>
              <w:pStyle w:val="1381"/>
              <w:jc w:val="center"/>
              <w:keepLines w:val="0"/>
              <w:keepNext w:val="0"/>
              <w:pageBreakBefore w:val="0"/>
              <w:widowControl/>
              <w:rPr>
                <w:rStyle w:val="1358"/>
                <w:rFonts w:hint="eastAsia" w:ascii="宋体" w:hAnsi="宋体" w:eastAsia="宋体" w:cs="宋体"/>
                <w:color w:val="000000" w:themeColor="text1"/>
                <w:highlight w:val="none"/>
                <w:lang w:eastAsia="zh-CN"/>
                <w14:textFill>
                  <w14:solidFill>
                    <w14:schemeClr w14:val="tx1"/>
                  </w14:solidFill>
                </w14:textFill>
              </w:rPr>
            </w:pP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tcMar>
              <w:top w:w="100" w:type="dxa"/>
              <w:bottom w:w="100" w:type="dxa"/>
            </w:tcMar>
            <w:tcW w:w="1300" w:type="dxa"/>
            <w:vAlign w:val="center"/>
            <w:vMerge w:val="restart"/>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其他要求</w:t>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ascii="宋体" w:hAnsi="宋体" w:eastAsia="宋体" w:cs="宋体"/>
                <w:i/>
                <w:iCs/>
                <w:color w:val="000000" w:themeColor="text1"/>
                <w:highlight w:val="none"/>
                <w:u w:val="single"/>
                <w14:textFill>
                  <w14:solidFill>
                    <w14:schemeClr w14:val="tx1"/>
                  </w14:solidFill>
                </w14:textFill>
              </w:rPr>
            </w:pPr>
            <w:r>
              <w:rPr>
                <w:rStyle w:val="1358"/>
                <w:rFonts w:hint="eastAsia" w:ascii="宋体" w:hAnsi="宋体" w:eastAsia="宋体" w:cs="宋体"/>
                <w:i/>
                <w:iCs/>
                <w:color w:val="000000" w:themeColor="text1"/>
                <w:highlight w:val="none"/>
                <w:u w:val="single"/>
                <w:lang w:val="en-US" w:eastAsia="zh-CN"/>
                <w14:textFill>
                  <w14:solidFill>
                    <w14:schemeClr w14:val="tx1"/>
                  </w14:solidFill>
                </w14:textFill>
              </w:rPr>
              <w:t xml:space="preserve">（1</w:t>
            </w:r>
            <w:r>
              <w:rPr>
                <w:rStyle w:val="1358"/>
                <w:rFonts w:hint="eastAsia" w:ascii="宋体" w:hAnsi="宋体" w:eastAsia="宋体" w:cs="宋体"/>
                <w:i/>
                <w:iCs/>
                <w:color w:val="000000" w:themeColor="text1"/>
                <w:highlight w:val="none"/>
                <w:u w:val="single"/>
                <w:lang w:eastAsia="zh-CN"/>
                <w14:textFill>
                  <w14:solidFill>
                    <w14:schemeClr w14:val="tx1"/>
                  </w14:solidFill>
                </w14:textFill>
              </w:rPr>
              <w:t xml:space="preserve">）</w:t>
            </w:r>
            <w:r>
              <w:rPr>
                <w:rStyle w:val="1358"/>
                <w:rFonts w:hint="eastAsia" w:ascii="宋体" w:hAnsi="宋体" w:eastAsia="宋体" w:cs="宋体"/>
                <w:i/>
                <w:iCs/>
                <w:color w:val="000000" w:themeColor="text1"/>
                <w:highlight w:val="none"/>
                <w:u w:val="single"/>
                <w14:textFill>
                  <w14:solidFill>
                    <w14:schemeClr w14:val="tx1"/>
                  </w14:solidFill>
                </w14:textFill>
              </w:rPr>
              <w:t xml:space="preserve">签订合同前置条件：</w:t>
            </w:r>
            <w:r/>
          </w:p>
          <w:p>
            <w:pPr>
              <w:pStyle w:val="1381"/>
              <w:keepLines w:val="0"/>
              <w:keepNext w:val="0"/>
              <w:pageBreakBefore w:val="0"/>
              <w:widowControl/>
              <w:rPr>
                <w:rStyle w:val="1358"/>
                <w:rFonts w:ascii="宋体" w:hAnsi="宋体" w:eastAsia="宋体" w:cs="宋体"/>
                <w:i/>
                <w:iCs/>
                <w:strike/>
                <w:color w:val="000000" w:themeColor="text1"/>
                <w:highlight w:val="none"/>
                <w:u w:val="single"/>
                <w14:textFill>
                  <w14:solidFill>
                    <w14:schemeClr w14:val="tx1"/>
                  </w14:solidFill>
                </w14:textFill>
              </w:rPr>
            </w:pPr>
            <w:r>
              <w:rPr>
                <w:rStyle w:val="1358"/>
                <w:rFonts w:hint="eastAsia" w:ascii="宋体" w:hAnsi="宋体" w:eastAsia="宋体" w:cs="宋体"/>
                <w:i/>
                <w:iCs/>
                <w:strike w:val="0"/>
                <w:color w:val="000000" w:themeColor="text1"/>
                <w:highlight w:val="none"/>
                <w:u w:val="single"/>
                <w:lang w:val="en-US" w:eastAsia="zh-CN"/>
                <w14:textFill>
                  <w14:solidFill>
                    <w14:schemeClr w14:val="tx1"/>
                  </w14:solidFill>
                </w14:textFill>
              </w:rPr>
              <w:t xml:space="preserve">①</w:t>
            </w:r>
            <w:r>
              <w:rPr>
                <w:rStyle w:val="1358"/>
                <w:rFonts w:hint="eastAsia" w:ascii="宋体" w:hAnsi="宋体" w:eastAsia="宋体" w:cs="宋体"/>
                <w:i/>
                <w:iCs/>
                <w:strike w:val="0"/>
                <w:color w:val="000000" w:themeColor="text1"/>
                <w:highlight w:val="none"/>
                <w:u w:val="single"/>
                <w14:textFill>
                  <w14:solidFill>
                    <w14:schemeClr w14:val="tx1"/>
                  </w14:solidFill>
                </w14:textFill>
              </w:rPr>
              <w:t xml:space="preserve">投标人中标后，在合同签订前，须现场提供信息化智能预警监测装置平台系统的现场演示证明，若演示不符合本次采购需求的，采购人有权解除合同，所造成的一切损失由中标人承担。</w:t>
            </w:r>
            <w:r/>
          </w:p>
          <w:p>
            <w:pPr>
              <w:pStyle w:val="1381"/>
              <w:keepLines w:val="0"/>
              <w:keepNext w:val="0"/>
              <w:pageBreakBefore w:val="0"/>
              <w:widowControl/>
              <w:rPr>
                <w:rStyle w:val="1358"/>
                <w:rFonts w:ascii="宋体" w:hAnsi="宋体" w:eastAsia="宋体" w:cs="宋体"/>
                <w:i/>
                <w:iCs/>
                <w:color w:val="000000" w:themeColor="text1"/>
                <w:highlight w:val="none"/>
                <w:u w:val="single"/>
                <w14:textFill>
                  <w14:solidFill>
                    <w14:schemeClr w14:val="tx1"/>
                  </w14:solidFill>
                </w14:textFill>
              </w:rPr>
            </w:pPr>
            <w:r>
              <w:rPr>
                <w:rStyle w:val="1358"/>
                <w:rFonts w:hint="eastAsia" w:ascii="宋体" w:hAnsi="宋体" w:eastAsia="宋体" w:cs="宋体"/>
                <w:i/>
                <w:iCs/>
                <w:color w:val="000000" w:themeColor="text1"/>
                <w:highlight w:val="none"/>
                <w:u w:val="single"/>
                <w:lang w:val="en-US" w:eastAsia="zh-CN"/>
                <w14:textFill>
                  <w14:solidFill>
                    <w14:schemeClr w14:val="tx1"/>
                  </w14:solidFill>
                </w14:textFill>
              </w:rPr>
              <w:t xml:space="preserve">②</w:t>
            </w:r>
            <w:r>
              <w:rPr>
                <w:rStyle w:val="1358"/>
                <w:rFonts w:hint="eastAsia" w:ascii="宋体" w:hAnsi="宋体" w:eastAsia="宋体" w:cs="宋体"/>
                <w:i/>
                <w:iCs/>
                <w:color w:val="000000" w:themeColor="text1"/>
                <w:highlight w:val="none"/>
                <w:u w:val="single"/>
                <w14:textFill>
                  <w14:solidFill>
                    <w14:schemeClr w14:val="tx1"/>
                  </w14:solidFill>
                </w14:textFill>
              </w:rPr>
              <w:t xml:space="preserve">投标人中标后，在合同签订前须将项目负责人及其他人员资料（包括岗位人员名单、证书、联系电话、身份证复印件</w:t>
            </w:r>
            <w:r>
              <w:rPr>
                <w:rStyle w:val="1358"/>
                <w:rFonts w:hint="eastAsia" w:ascii="宋体" w:hAnsi="宋体" w:eastAsia="宋体" w:cs="宋体"/>
                <w:i/>
                <w:iCs/>
                <w:color w:val="000000" w:themeColor="text1"/>
                <w:highlight w:val="none"/>
                <w:u w:val="single"/>
                <w:lang w:val="en-US" w:eastAsia="zh-CN"/>
                <w14:textFill>
                  <w14:solidFill>
                    <w14:schemeClr w14:val="tx1"/>
                  </w14:solidFill>
                </w14:textFill>
              </w:rPr>
              <w:t xml:space="preserve">等</w:t>
            </w:r>
            <w:r>
              <w:rPr>
                <w:rStyle w:val="1358"/>
                <w:rFonts w:hint="eastAsia" w:ascii="宋体" w:hAnsi="宋体" w:eastAsia="宋体" w:cs="宋体"/>
                <w:i/>
                <w:iCs/>
                <w:color w:val="000000" w:themeColor="text1"/>
                <w:highlight w:val="none"/>
                <w:u w:val="single"/>
                <w14:textFill>
                  <w14:solidFill>
                    <w14:schemeClr w14:val="tx1"/>
                  </w14:solidFill>
                </w14:textFill>
              </w:rPr>
              <w:t xml:space="preserve">）递交至采购人处备案，所有服务人员须经采购人确认后方可上岗。配备不到位，采购人有权解除合同，所造成的一切损失由中标人承担。</w:t>
            </w:r>
            <w:r/>
          </w:p>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i/>
                <w:iCs/>
                <w:color w:val="000000" w:themeColor="text1"/>
                <w:highlight w:val="none"/>
                <w:u w:val="single"/>
                <w:lang w:val="en-US" w:eastAsia="zh-CN"/>
                <w14:textFill>
                  <w14:solidFill>
                    <w14:schemeClr w14:val="tx1"/>
                  </w14:solidFill>
                </w14:textFill>
              </w:rPr>
              <w:t xml:space="preserve">③</w:t>
            </w:r>
            <w:r>
              <w:rPr>
                <w:rStyle w:val="1358"/>
                <w:rFonts w:hint="eastAsia" w:ascii="宋体" w:hAnsi="宋体" w:eastAsia="宋体" w:cs="宋体"/>
                <w:i/>
                <w:iCs/>
                <w:color w:val="000000" w:themeColor="text1"/>
                <w:highlight w:val="none"/>
                <w:u w:val="single"/>
                <w14:textFill>
                  <w14:solidFill>
                    <w14:schemeClr w14:val="tx1"/>
                  </w14:solidFill>
                </w14:textFill>
              </w:rPr>
              <w:t xml:space="preserve">投标人中标后，提交投标文件里涉及的</w:t>
            </w:r>
            <w:r>
              <w:rPr>
                <w:rFonts w:hint="eastAsia" w:ascii="宋体" w:hAnsi="宋体" w:cs="宋体"/>
                <w:i/>
                <w:iCs/>
                <w:color w:val="000000" w:themeColor="text1"/>
                <w:spacing w:val="7"/>
                <w:highlight w:val="none"/>
                <w:u w:val="single"/>
                <w14:textFill>
                  <w14:solidFill>
                    <w14:schemeClr w14:val="tx1"/>
                  </w14:solidFill>
                </w14:textFill>
              </w:rPr>
              <w:t xml:space="preserve">检测报告、相关证书、车辆证明、业绩合同、竣工报告等原件，提交的原件不</w:t>
            </w:r>
            <w:r>
              <w:rPr>
                <w:rStyle w:val="1358"/>
                <w:rFonts w:hint="eastAsia" w:ascii="宋体" w:hAnsi="宋体" w:eastAsia="宋体" w:cs="宋体"/>
                <w:i/>
                <w:iCs/>
                <w:color w:val="000000" w:themeColor="text1"/>
                <w:highlight w:val="none"/>
                <w:u w:val="single"/>
                <w14:textFill>
                  <w14:solidFill>
                    <w14:schemeClr w14:val="tx1"/>
                  </w14:solidFill>
                </w14:textFill>
              </w:rPr>
              <w:t xml:space="preserve">符合本次采购需求的，采购人有权解除合同，所造成的一切损失由中标人承担。</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shd w:val="clear" w:color="auto" w:fill="auto"/>
            <w:tcMar>
              <w:top w:w="100" w:type="dxa"/>
              <w:bottom w:w="100" w:type="dxa"/>
            </w:tcMar>
            <w:tcW w:w="8261" w:type="dxa"/>
            <w:vAlign w:val="center"/>
            <w:textDirection w:val="lrTb"/>
            <w:noWrap/>
          </w:tcPr>
          <w:p>
            <w:pPr>
              <w:pStyle w:val="1381"/>
              <w:keepLines w:val="0"/>
              <w:keepNext w:val="0"/>
              <w:pageBreakBefore w:val="0"/>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2</w:t>
            </w: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14:textFill>
                  <w14:solidFill>
                    <w14:schemeClr w14:val="tx1"/>
                  </w14:solidFill>
                </w14:textFill>
              </w:rPr>
              <w:t xml:space="preserve">投标人需提供对白蚁危害的区域了解程度、</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害堤动物普查及治理方案、</w:t>
            </w:r>
            <w:r>
              <w:rPr>
                <w:rStyle w:val="1358"/>
                <w:rFonts w:hint="eastAsia" w:ascii="宋体" w:hAnsi="宋体" w:eastAsia="宋体" w:cs="宋体"/>
                <w:color w:val="000000" w:themeColor="text1"/>
                <w:highlight w:val="none"/>
                <w14:textFill>
                  <w14:solidFill>
                    <w14:schemeClr w14:val="tx1"/>
                  </w14:solidFill>
                </w14:textFill>
              </w:rPr>
              <w:t xml:space="preserve">管理规章制度、安全文明实施措施、应急措施和活动配合措施、详细的质保方案、管理制度方案、技术实施方案及协调方案、设备配备方案、人员配置方案等。</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shd w:val="clear" w:color="auto" w:fill="auto"/>
            <w:tcMar>
              <w:top w:w="100" w:type="dxa"/>
              <w:bottom w:w="100" w:type="dxa"/>
            </w:tcMar>
            <w:tcW w:w="8261" w:type="dxa"/>
            <w:vAlign w:val="center"/>
            <w:textDirection w:val="lrTb"/>
            <w:noWrap/>
          </w:tcPr>
          <w:p>
            <w:pPr>
              <w:pStyle w:val="1381"/>
              <w:keepLines w:val="0"/>
              <w:keepNext w:val="0"/>
              <w:pageBreakBefore w:val="0"/>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3</w:t>
            </w: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14:textFill>
                  <w14:solidFill>
                    <w14:schemeClr w14:val="tx1"/>
                  </w14:solidFill>
                </w14:textFill>
              </w:rPr>
              <w:t xml:space="preserve">投标人具有履行本项目的能力，需提供类似项目业绩、相关证书或相关奖项。</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shd w:val="clear" w:color="auto" w:fill="auto"/>
            <w:tcMar>
              <w:top w:w="100" w:type="dxa"/>
              <w:bottom w:w="100" w:type="dxa"/>
            </w:tcMar>
            <w:tcW w:w="8261" w:type="dxa"/>
            <w:vAlign w:val="center"/>
            <w:textDirection w:val="lrTb"/>
            <w:noWrap/>
          </w:tcPr>
          <w:p>
            <w:pPr>
              <w:pStyle w:val="1381"/>
              <w:keepLines w:val="0"/>
              <w:keepNext w:val="0"/>
              <w:pageBreakBefore w:val="0"/>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4</w:t>
            </w: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14:textFill>
                  <w14:solidFill>
                    <w14:schemeClr w14:val="tx1"/>
                  </w14:solidFill>
                </w14:textFill>
              </w:rPr>
              <w:t xml:space="preserve">总价为综合报价，应包括但不限于人员费用（工资、福利、培训、社会保险等）、服务所用设备工具购置及维修费用、服务所用材料消耗费用、管理费用、差旅费、利润、税金、政策性文件规定及合同包含的所有风险、责任等各项应有费用。</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shd w:val="clear" w:color="auto" w:fill="auto"/>
            <w:tcMar>
              <w:top w:w="100" w:type="dxa"/>
              <w:bottom w:w="100" w:type="dxa"/>
            </w:tcMar>
            <w:tcW w:w="8261" w:type="dxa"/>
            <w:vAlign w:val="center"/>
            <w:textDirection w:val="lrTb"/>
            <w:noWrap/>
          </w:tcPr>
          <w:p>
            <w:pPr>
              <w:pStyle w:val="1381"/>
              <w:keepLines w:val="0"/>
              <w:keepNext w:val="0"/>
              <w:pageBreakBefore w:val="0"/>
              <w:widowControl/>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5</w:t>
            </w: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14:textFill>
                  <w14:solidFill>
                    <w14:schemeClr w14:val="tx1"/>
                  </w14:solidFill>
                </w14:textFill>
              </w:rPr>
              <w:t xml:space="preserve">投标人可对项目现场进行踏勘，但费用由投标人自行承担。投标人在报价时应充分考虑现场实际情况，采购人不负担因投标人对项目现场情况考虑不周而产生的其他任何费用。</w:t>
            </w:r>
            <w:r/>
          </w:p>
        </w:tc>
      </w:tr>
    </w:tbl>
    <w:p>
      <w:pPr>
        <w:keepLines w:val="0"/>
        <w:keepNext w:val="0"/>
        <w:pageBreakBefore w:val="0"/>
        <w:spacing w:line="52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三、商务条款</w:t>
      </w:r>
      <w:r/>
    </w:p>
    <w:p>
      <w:pPr>
        <w:pStyle w:val="1382"/>
        <w:ind w:firstLine="482"/>
        <w:keepLines w:val="0"/>
        <w:keepNext w:val="0"/>
        <w:pageBreakBefore w:val="0"/>
        <w:spacing w:line="520" w:lineRule="exact"/>
        <w:rPr>
          <w:rStyle w:val="1358"/>
          <w:rFonts w:ascii="宋体" w:hAnsi="宋体" w:eastAsia="宋体" w:cs="宋体"/>
          <w:b/>
          <w:color w:val="000000" w:themeColor="text1"/>
          <w:highlight w:val="none"/>
          <w14:textFill>
            <w14:solidFill>
              <w14:schemeClr w14:val="tx1"/>
            </w14:solidFill>
          </w14:textFill>
        </w:rPr>
      </w:pPr>
      <w:r>
        <w:rPr>
          <w:rStyle w:val="1358"/>
          <w:rFonts w:hint="eastAsia" w:ascii="宋体" w:hAnsi="宋体" w:eastAsia="宋体" w:cs="宋体"/>
          <w:b/>
          <w:bCs/>
          <w:color w:val="000000" w:themeColor="text1"/>
          <w:highlight w:val="none"/>
          <w:lang w:eastAsia="zh-CN"/>
          <w14:textFill>
            <w14:solidFill>
              <w14:schemeClr w14:val="tx1"/>
            </w14:solidFill>
          </w14:textFill>
        </w:rPr>
        <w:t xml:space="preserve">（</w:t>
      </w:r>
      <w:r>
        <w:rPr>
          <w:rStyle w:val="1358"/>
          <w:rFonts w:hint="eastAsia" w:ascii="宋体" w:hAnsi="宋体" w:eastAsia="宋体" w:cs="宋体"/>
          <w:b/>
          <w:bCs/>
          <w:color w:val="000000" w:themeColor="text1"/>
          <w:highlight w:val="none"/>
          <w:lang w:val="en-US" w:eastAsia="zh-CN"/>
          <w14:textFill>
            <w14:solidFill>
              <w14:schemeClr w14:val="tx1"/>
            </w14:solidFill>
          </w14:textFill>
        </w:rPr>
        <w:t xml:space="preserve">一</w:t>
      </w:r>
      <w:r>
        <w:rPr>
          <w:rStyle w:val="1358"/>
          <w:rFonts w:hint="eastAsia" w:ascii="宋体" w:hAnsi="宋体" w:eastAsia="宋体" w:cs="宋体"/>
          <w:b/>
          <w:bCs/>
          <w:color w:val="000000" w:themeColor="text1"/>
          <w:highlight w:val="none"/>
          <w:lang w:eastAsia="zh-CN"/>
          <w14:textFill>
            <w14:solidFill>
              <w14:schemeClr w14:val="tx1"/>
            </w14:solidFill>
          </w14:textFill>
        </w:rPr>
        <w:t xml:space="preserve">）</w:t>
      </w:r>
      <w:r>
        <w:rPr>
          <w:rStyle w:val="1358"/>
          <w:rFonts w:hint="eastAsia" w:ascii="宋体" w:hAnsi="宋体" w:eastAsia="宋体" w:cs="宋体"/>
          <w:b/>
          <w:bCs/>
          <w:color w:val="000000" w:themeColor="text1"/>
          <w:highlight w:val="none"/>
          <w14:textFill>
            <w14:solidFill>
              <w14:schemeClr w14:val="tx1"/>
            </w14:solidFill>
          </w14:textFill>
        </w:rPr>
        <w:t xml:space="preserve">服务期限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szCs w:val="24"/>
          <w:highlight w:val="none"/>
          <w14:textFill>
            <w14:solidFill>
              <w14:schemeClr w14:val="tx1"/>
            </w14:solidFill>
          </w14:textFill>
        </w:rPr>
        <w:t xml:space="preserve">  合同签订之日起至202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cs="宋体"/>
          <w:color w:val="000000" w:themeColor="text1"/>
          <w:sz w:val="24"/>
          <w:szCs w:val="24"/>
          <w:highlight w:val="none"/>
          <w14:textFill>
            <w14:solidFill>
              <w14:schemeClr w14:val="tx1"/>
            </w14:solidFill>
          </w14:textFill>
        </w:rPr>
        <w:t xml:space="preserve">日止（</w:t>
      </w:r>
      <w:r>
        <w:rPr>
          <w:rFonts w:hint="eastAsia" w:ascii="宋体" w:hAnsi="宋体" w:cs="宋体"/>
          <w:color w:val="000000" w:themeColor="text1"/>
          <w:sz w:val="24"/>
          <w:szCs w:val="24"/>
          <w:highlight w:val="none"/>
          <w14:textFill>
            <w14:solidFill>
              <w14:schemeClr w14:val="tx1"/>
            </w14:solidFill>
          </w14:textFill>
        </w:rPr>
      </w:r>
      <w:r>
        <w:rPr>
          <w:rFonts w:ascii="SimSun" w:hAnsi="SimSun" w:eastAsia="SimSun" w:cs="SimSun"/>
          <w:color w:val="000000"/>
          <w:sz w:val="24"/>
        </w:rPr>
        <w:t xml:space="preserve">2025年11月15日前</w:t>
      </w:r>
      <w:r/>
      <w:r>
        <w:rPr>
          <w:rFonts w:hint="eastAsia" w:ascii="宋体" w:hAnsi="宋体" w:cs="宋体"/>
          <w:color w:val="000000" w:themeColor="text1"/>
          <w:sz w:val="24"/>
          <w:szCs w:val="24"/>
          <w:highlight w:val="none"/>
          <w14:textFill>
            <w14:solidFill>
              <w14:schemeClr w14:val="tx1"/>
            </w14:solidFill>
          </w14:textFill>
        </w:rPr>
      </w:r>
      <w:r>
        <w:rPr>
          <w:rFonts w:hint="eastAsia" w:ascii="宋体" w:hAnsi="宋体" w:cs="宋体"/>
          <w:color w:val="000000" w:themeColor="text1"/>
          <w:sz w:val="24"/>
          <w:szCs w:val="24"/>
          <w:highlight w:val="none"/>
          <w:lang w:val="en-US" w:eastAsia="zh-CN"/>
          <w14:textFill>
            <w14:solidFill>
              <w14:schemeClr w14:val="tx1"/>
            </w14:solidFill>
          </w14:textFill>
        </w:rPr>
        <w:t xml:space="preserve">完成对《2024年度白蚁等害堤动物普查及治理项目》中已普查到的受害堤防的治理并出具报告。</w:t>
      </w:r>
      <w:r>
        <w:rPr>
          <w:rFonts w:hint="eastAsia" w:ascii="宋体" w:hAnsi="宋体" w:cs="宋体"/>
          <w:color w:val="000000" w:themeColor="text1"/>
          <w:sz w:val="24"/>
          <w:szCs w:val="24"/>
          <w:highlight w:val="none"/>
          <w14:textFill>
            <w14:solidFill>
              <w14:schemeClr w14:val="tx1"/>
            </w14:solidFill>
          </w14:textFill>
        </w:rPr>
        <w:t xml:space="preserve">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底前完成本标段堤防的普查并出具报告，同时完成对长江重点堤防进行安全健康评估。</w:t>
      </w:r>
      <w:r>
        <w:rPr>
          <w:rFonts w:hint="eastAsia" w:ascii="宋体" w:hAnsi="宋体" w:cs="宋体"/>
          <w:color w:val="000000" w:themeColor="text1"/>
          <w:sz w:val="24"/>
          <w:szCs w:val="24"/>
          <w:highlight w:val="none"/>
          <w14:textFill>
            <w14:solidFill>
              <w14:schemeClr w14:val="tx1"/>
            </w14:solidFill>
          </w14:textFill>
        </w:rPr>
        <w:t xml:space="preserve">）</w:t>
      </w:r>
      <w:r/>
      <w:r/>
      <w:r>
        <w:rPr>
          <w:sz w:val="21"/>
        </w:rPr>
      </w:r>
    </w:p>
    <w:p>
      <w:pPr>
        <w:pStyle w:val="1382"/>
        <w:ind w:firstLine="482"/>
        <w:keepLines w:val="0"/>
        <w:keepNext w:val="0"/>
        <w:pageBreakBefore w:val="0"/>
        <w:spacing w:line="520" w:lineRule="exact"/>
        <w:rPr>
          <w:rStyle w:val="1358"/>
          <w:rFonts w:ascii="宋体" w:hAnsi="宋体" w:eastAsia="宋体" w:cs="宋体"/>
          <w:b/>
          <w:color w:val="000000" w:themeColor="text1"/>
          <w:highlight w:val="none"/>
          <w14:textFill>
            <w14:solidFill>
              <w14:schemeClr w14:val="tx1"/>
            </w14:solidFill>
          </w14:textFill>
        </w:rPr>
      </w:pPr>
      <w:r>
        <w:rPr>
          <w:rStyle w:val="1358"/>
          <w:rFonts w:hint="eastAsia" w:ascii="宋体" w:hAnsi="宋体" w:eastAsia="宋体" w:cs="宋体"/>
          <w:b/>
          <w:color w:val="000000" w:themeColor="text1"/>
          <w:highlight w:val="none"/>
          <w:lang w:eastAsia="zh-CN"/>
          <w14:textFill>
            <w14:solidFill>
              <w14:schemeClr w14:val="tx1"/>
            </w14:solidFill>
          </w14:textFill>
        </w:rPr>
        <w:t xml:space="preserve">（</w:t>
      </w:r>
      <w:r>
        <w:rPr>
          <w:rStyle w:val="1358"/>
          <w:rFonts w:hint="eastAsia" w:ascii="宋体" w:hAnsi="宋体" w:eastAsia="宋体" w:cs="宋体"/>
          <w:b/>
          <w:color w:val="000000" w:themeColor="text1"/>
          <w:highlight w:val="none"/>
          <w:lang w:val="en-US" w:eastAsia="zh-CN"/>
          <w14:textFill>
            <w14:solidFill>
              <w14:schemeClr w14:val="tx1"/>
            </w14:solidFill>
          </w14:textFill>
        </w:rPr>
        <w:t xml:space="preserve">二</w:t>
      </w:r>
      <w:r>
        <w:rPr>
          <w:rStyle w:val="1358"/>
          <w:rFonts w:hint="eastAsia" w:ascii="宋体" w:hAnsi="宋体" w:eastAsia="宋体" w:cs="宋体"/>
          <w:b/>
          <w:color w:val="000000" w:themeColor="text1"/>
          <w:highlight w:val="none"/>
          <w:lang w:eastAsia="zh-CN"/>
          <w14:textFill>
            <w14:solidFill>
              <w14:schemeClr w14:val="tx1"/>
            </w14:solidFill>
          </w14:textFill>
        </w:rPr>
        <w:t xml:space="preserve">）</w:t>
      </w:r>
      <w:r>
        <w:rPr>
          <w:rStyle w:val="1358"/>
          <w:rFonts w:hint="eastAsia" w:ascii="宋体" w:hAnsi="宋体" w:eastAsia="宋体" w:cs="宋体"/>
          <w:b/>
          <w:color w:val="000000" w:themeColor="text1"/>
          <w:highlight w:val="none"/>
          <w14:textFill>
            <w14:solidFill>
              <w14:schemeClr w14:val="tx1"/>
            </w14:solidFill>
          </w14:textFill>
        </w:rPr>
        <w:t xml:space="preserve">货款支付</w:t>
      </w:r>
      <w:r/>
    </w:p>
    <w:p>
      <w:pPr>
        <w:pStyle w:val="1382"/>
        <w:ind w:firstLine="480"/>
        <w:keepLines w:val="0"/>
        <w:keepNext w:val="0"/>
        <w:pageBreakBefore w:val="0"/>
        <w:spacing w:line="520" w:lineRule="exact"/>
        <w:rPr>
          <w:rStyle w:val="1358"/>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Style w:val="1358"/>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1.结付程序</w:t>
      </w:r>
      <w:r/>
    </w:p>
    <w:p>
      <w:pPr>
        <w:pStyle w:val="1381"/>
        <w:ind w:firstLine="480"/>
        <w:keepLines w:val="0"/>
        <w:keepNext w:val="0"/>
        <w:pageBreakBefore w:val="0"/>
        <w:spacing w:line="520" w:lineRule="exact"/>
        <w:rPr>
          <w:rStyle w:val="1358"/>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Style w:val="1358"/>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中标人按合同内容合格地履行服务（供货）义务后，凭销售发票到采购人处办理合同款结算手续。</w:t>
      </w:r>
      <w:r/>
    </w:p>
    <w:p>
      <w:pPr>
        <w:pStyle w:val="1382"/>
        <w:ind w:firstLine="480"/>
        <w:keepLines w:val="0"/>
        <w:keepNext w:val="0"/>
        <w:pageBreakBefore w:val="0"/>
        <w:spacing w:line="520" w:lineRule="exact"/>
        <w:rPr>
          <w:rStyle w:val="1358"/>
          <w:rFonts w:ascii="宋体" w:hAnsi="宋体" w:eastAsia="宋体" w:cs="宋体"/>
          <w:i/>
          <w:color w:val="000000" w:themeColor="text1"/>
          <w:highlight w:val="none"/>
          <w:u w:val="single"/>
          <w14:textFill>
            <w14:solidFill>
              <w14:schemeClr w14:val="tx1"/>
            </w14:solidFill>
          </w14:textFill>
        </w:rPr>
      </w:pPr>
      <w:r>
        <w:rPr>
          <w:rStyle w:val="1358"/>
          <w:rFonts w:hint="eastAsia" w:ascii="宋体" w:hAnsi="宋体" w:eastAsia="宋体" w:cs="宋体"/>
          <w:i/>
          <w:color w:val="000000" w:themeColor="text1"/>
          <w:highlight w:val="none"/>
          <w:u w:val="single"/>
          <w:lang w:val="en-US" w:eastAsia="zh-CN"/>
          <w14:textFill>
            <w14:solidFill>
              <w14:schemeClr w14:val="tx1"/>
            </w14:solidFill>
          </w14:textFill>
        </w:rPr>
        <w:t xml:space="preserve">2.</w:t>
      </w:r>
      <w:r>
        <w:rPr>
          <w:rStyle w:val="1358"/>
          <w:rFonts w:hint="eastAsia" w:ascii="宋体" w:hAnsi="宋体" w:eastAsia="宋体" w:cs="宋体"/>
          <w:i/>
          <w:color w:val="000000" w:themeColor="text1"/>
          <w:highlight w:val="none"/>
          <w:u w:val="single"/>
          <w14:textFill>
            <w14:solidFill>
              <w14:schemeClr w14:val="tx1"/>
            </w14:solidFill>
          </w14:textFill>
        </w:rPr>
        <w:t xml:space="preserve">结付期限</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7"/>
          <w:sz w:val="24"/>
          <w:u w:val="single"/>
        </w:rPr>
        <w:t xml:space="preserve">合同签订生效后，采购人</w:t>
      </w:r>
      <w:r>
        <w:rPr>
          <w:rFonts w:ascii="Times New Roman" w:hAnsi="Times New Roman" w:eastAsia="Times New Roman" w:cs="Times New Roman"/>
          <w:i/>
          <w:color w:val="000000"/>
          <w:spacing w:val="7"/>
          <w:sz w:val="24"/>
          <w:u w:val="single"/>
        </w:rPr>
        <w:t xml:space="preserve">30</w:t>
      </w:r>
      <w:r>
        <w:rPr>
          <w:rFonts w:ascii="SimSun" w:hAnsi="SimSun" w:eastAsia="SimSun" w:cs="SimSun"/>
          <w:i/>
          <w:color w:val="000000"/>
          <w:spacing w:val="7"/>
          <w:sz w:val="24"/>
          <w:u w:val="single"/>
        </w:rPr>
        <w:t xml:space="preserve">天内支付合同金额的</w:t>
      </w:r>
      <w:r>
        <w:rPr>
          <w:rFonts w:ascii="Times New Roman" w:hAnsi="Times New Roman" w:eastAsia="Times New Roman" w:cs="Times New Roman"/>
          <w:i/>
          <w:color w:val="000000"/>
          <w:spacing w:val="7"/>
          <w:sz w:val="24"/>
          <w:u w:val="single"/>
        </w:rPr>
        <w:t xml:space="preserve">10%</w:t>
      </w:r>
      <w:r>
        <w:rPr>
          <w:rFonts w:ascii="SimSun" w:hAnsi="SimSun" w:eastAsia="SimSun" w:cs="SimSun"/>
          <w:i/>
          <w:color w:val="000000"/>
          <w:spacing w:val="7"/>
          <w:sz w:val="24"/>
          <w:u w:val="single"/>
        </w:rPr>
        <w:t xml:space="preserve">作为预付款（具体以财政实际拨付为准。在签订合同时，中标人明确表示无需预付款或者主动要求降低预付款比例的，采购人可不适用上述关于预付款的约定）</w:t>
      </w:r>
      <w:r>
        <w:rPr>
          <w:rFonts w:ascii="SimSun" w:hAnsi="SimSun" w:eastAsia="SimSun" w:cs="SimSun"/>
          <w:i/>
          <w:color w:val="000000"/>
          <w:sz w:val="24"/>
          <w:u w:val="single"/>
        </w:rPr>
        <w:t xml:space="preserve">，《2024年度白蚁等害堤动物普查及治理项目》中已普查到的受害堤防的治理全部完成并出具相应的治理结果报告书，经采购人验收合格及根据考核结果（考核方式详见四、其他部分附件2：考核细则），付清全部款项；完成2025年白蚁等害堤动物的普查及治理工作并出具相应的普查结果报告书，完成安全健康评估报告，经采购人验收合格及根据考核结果（考核方式详见四、其他部分附件2：考核细则），退还履约保证金。考核得分与实际付款金额挂钩，实际付款金额按下述方法支付：</w:t>
      </w:r>
      <w:r/>
    </w:p>
    <w:tbl>
      <w:tblPr>
        <w:tblStyle w:val="11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40"/>
        <w:gridCol w:w="1580"/>
        <w:gridCol w:w="1580"/>
        <w:gridCol w:w="1580"/>
        <w:gridCol w:w="1580"/>
        <w:gridCol w:w="1593"/>
      </w:tblGrid>
      <w:tr>
        <w:trPr>
          <w:trHeight w:val="62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0" w:type="dxa"/>
            <w:vAlign w:val="top"/>
            <w:textDirection w:val="lrTb"/>
            <w:noWrap w:val="false"/>
          </w:tcPr>
          <w:p>
            <w:pPr>
              <w:ind w:left="0" w:right="0" w:firstLine="0"/>
              <w:jc w:val="center"/>
              <w:spacing w:before="198"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2"/>
                <w:sz w:val="24"/>
                <w:u w:val="single"/>
              </w:rPr>
              <w:t xml:space="preserve">考核得分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0" w:type="dxa"/>
            <w:vAlign w:val="top"/>
            <w:textDirection w:val="lrTb"/>
            <w:noWrap w:val="false"/>
          </w:tcPr>
          <w:p>
            <w:pPr>
              <w:ind w:left="0" w:right="0" w:firstLine="0"/>
              <w:jc w:val="center"/>
              <w:spacing w:before="199"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3"/>
                <w:sz w:val="24"/>
                <w:u w:val="single"/>
              </w:rPr>
              <w:t xml:space="preserve">90</w:t>
            </w:r>
            <w:r>
              <w:rPr>
                <w:rFonts w:ascii="SimSun" w:hAnsi="SimSun" w:eastAsia="SimSun" w:cs="SimSun"/>
                <w:i/>
                <w:color w:val="000000"/>
                <w:spacing w:val="-3"/>
                <w:sz w:val="24"/>
                <w:u w:val="single"/>
              </w:rPr>
              <w:t xml:space="preserve">分及以上</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0" w:type="dxa"/>
            <w:vAlign w:val="top"/>
            <w:textDirection w:val="lrTb"/>
            <w:noWrap w:val="false"/>
          </w:tcPr>
          <w:p>
            <w:pPr>
              <w:ind w:left="0" w:right="0" w:firstLine="0"/>
              <w:jc w:val="center"/>
              <w:spacing w:before="199"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15"/>
                <w:sz w:val="24"/>
                <w:u w:val="single"/>
              </w:rPr>
              <w:t xml:space="preserve">80</w:t>
            </w:r>
            <w:r>
              <w:rPr>
                <w:rFonts w:ascii="SimSun" w:hAnsi="SimSun" w:eastAsia="SimSun" w:cs="SimSun"/>
                <w:i/>
                <w:color w:val="000000"/>
                <w:spacing w:val="15"/>
                <w:sz w:val="24"/>
                <w:u w:val="single"/>
              </w:rPr>
              <w:t xml:space="preserve">~</w:t>
            </w:r>
            <w:r>
              <w:rPr>
                <w:rFonts w:ascii="Times New Roman" w:hAnsi="Times New Roman" w:eastAsia="Times New Roman" w:cs="Times New Roman"/>
                <w:i/>
                <w:color w:val="000000"/>
                <w:spacing w:val="15"/>
                <w:sz w:val="24"/>
                <w:u w:val="single"/>
              </w:rPr>
              <w:t xml:space="preserve">89</w:t>
            </w:r>
            <w:r>
              <w:rPr>
                <w:rFonts w:ascii="SimSun" w:hAnsi="SimSun" w:eastAsia="SimSun" w:cs="SimSun"/>
                <w:i/>
                <w:color w:val="000000"/>
                <w:spacing w:val="15"/>
                <w:sz w:val="24"/>
                <w:u w:val="single"/>
              </w:rPr>
              <w:t xml:space="preserve">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0" w:type="dxa"/>
            <w:vAlign w:val="top"/>
            <w:textDirection w:val="lrTb"/>
            <w:noWrap w:val="false"/>
          </w:tcPr>
          <w:p>
            <w:pPr>
              <w:ind w:left="0" w:right="0" w:firstLine="0"/>
              <w:jc w:val="center"/>
              <w:spacing w:before="199"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16"/>
                <w:sz w:val="24"/>
                <w:u w:val="single"/>
              </w:rPr>
              <w:t xml:space="preserve">70</w:t>
            </w:r>
            <w:r>
              <w:rPr>
                <w:rFonts w:ascii="SimSun" w:hAnsi="SimSun" w:eastAsia="SimSun" w:cs="SimSun"/>
                <w:i/>
                <w:color w:val="000000"/>
                <w:spacing w:val="16"/>
                <w:sz w:val="24"/>
                <w:u w:val="single"/>
              </w:rPr>
              <w:t xml:space="preserve">~</w:t>
            </w:r>
            <w:r>
              <w:rPr>
                <w:rFonts w:ascii="Times New Roman" w:hAnsi="Times New Roman" w:eastAsia="Times New Roman" w:cs="Times New Roman"/>
                <w:i/>
                <w:color w:val="000000"/>
                <w:spacing w:val="16"/>
                <w:sz w:val="24"/>
                <w:u w:val="single"/>
              </w:rPr>
              <w:t xml:space="preserve">79</w:t>
            </w:r>
            <w:r>
              <w:rPr>
                <w:rFonts w:ascii="SimSun" w:hAnsi="SimSun" w:eastAsia="SimSun" w:cs="SimSun"/>
                <w:i/>
                <w:color w:val="000000"/>
                <w:spacing w:val="15"/>
                <w:sz w:val="24"/>
                <w:u w:val="single"/>
              </w:rPr>
              <w:t xml:space="preserve">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0" w:type="dxa"/>
            <w:vAlign w:val="top"/>
            <w:textDirection w:val="lrTb"/>
            <w:noWrap w:val="false"/>
          </w:tcPr>
          <w:p>
            <w:pPr>
              <w:ind w:left="0" w:right="0" w:firstLine="0"/>
              <w:jc w:val="center"/>
              <w:spacing w:before="199"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19"/>
                <w:sz w:val="24"/>
                <w:u w:val="single"/>
              </w:rPr>
              <w:t xml:space="preserve">6</w:t>
            </w:r>
            <w:r>
              <w:rPr>
                <w:rFonts w:ascii="Times New Roman" w:hAnsi="Times New Roman" w:eastAsia="Times New Roman" w:cs="Times New Roman"/>
                <w:i/>
                <w:color w:val="000000"/>
                <w:spacing w:val="15"/>
                <w:sz w:val="24"/>
                <w:u w:val="single"/>
              </w:rPr>
              <w:t xml:space="preserve">0</w:t>
            </w:r>
            <w:r>
              <w:rPr>
                <w:rFonts w:ascii="SimSun" w:hAnsi="SimSun" w:eastAsia="SimSun" w:cs="SimSun"/>
                <w:i/>
                <w:color w:val="000000"/>
                <w:spacing w:val="15"/>
                <w:sz w:val="24"/>
                <w:u w:val="single"/>
              </w:rPr>
              <w:t xml:space="preserve">~</w:t>
            </w:r>
            <w:r>
              <w:rPr>
                <w:rFonts w:ascii="Times New Roman" w:hAnsi="Times New Roman" w:eastAsia="Times New Roman" w:cs="Times New Roman"/>
                <w:i/>
                <w:color w:val="000000"/>
                <w:spacing w:val="15"/>
                <w:sz w:val="24"/>
                <w:u w:val="single"/>
              </w:rPr>
              <w:t xml:space="preserve">69</w:t>
            </w:r>
            <w:r>
              <w:rPr>
                <w:rFonts w:ascii="SimSun" w:hAnsi="SimSun" w:eastAsia="SimSun" w:cs="SimSun"/>
                <w:i/>
                <w:color w:val="000000"/>
                <w:spacing w:val="15"/>
                <w:sz w:val="24"/>
                <w:u w:val="single"/>
              </w:rPr>
              <w:t xml:space="preserve">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3" w:type="dxa"/>
            <w:vAlign w:val="top"/>
            <w:textDirection w:val="lrTb"/>
            <w:noWrap w:val="false"/>
          </w:tcPr>
          <w:p>
            <w:pPr>
              <w:ind w:left="0" w:right="0" w:firstLine="0"/>
              <w:jc w:val="center"/>
              <w:spacing w:before="199"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4"/>
                <w:sz w:val="24"/>
                <w:u w:val="single"/>
              </w:rPr>
              <w:t xml:space="preserve">6</w:t>
            </w:r>
            <w:r>
              <w:rPr>
                <w:rFonts w:ascii="Times New Roman" w:hAnsi="Times New Roman" w:eastAsia="Times New Roman" w:cs="Times New Roman"/>
                <w:i/>
                <w:color w:val="000000"/>
                <w:spacing w:val="-3"/>
                <w:sz w:val="24"/>
                <w:u w:val="single"/>
              </w:rPr>
              <w:t xml:space="preserve">0</w:t>
            </w:r>
            <w:r>
              <w:rPr>
                <w:rFonts w:ascii="SimSun" w:hAnsi="SimSun" w:eastAsia="SimSun" w:cs="SimSun"/>
                <w:i/>
                <w:color w:val="000000"/>
                <w:spacing w:val="-3"/>
                <w:sz w:val="24"/>
                <w:u w:val="single"/>
              </w:rPr>
              <w:t xml:space="preserve">分以下</w:t>
            </w:r>
            <w:r/>
          </w:p>
        </w:tc>
      </w:tr>
      <w:tr>
        <w:trPr>
          <w:trHeight w:val="72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0" w:type="dxa"/>
            <w:vAlign w:val="top"/>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2"/>
                <w:sz w:val="24"/>
                <w:u w:val="single"/>
              </w:rPr>
              <w:t xml:space="preserve">付款比例</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0" w:type="dxa"/>
            <w:vAlign w:val="top"/>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2"/>
                <w:sz w:val="24"/>
                <w:u w:val="single"/>
              </w:rPr>
              <w:t xml:space="preserve">全额付款</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0" w:type="dxa"/>
            <w:vAlign w:val="top"/>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3"/>
                <w:sz w:val="24"/>
                <w:u w:val="single"/>
              </w:rPr>
              <w:t xml:space="preserve">九折付款</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0" w:type="dxa"/>
            <w:vAlign w:val="top"/>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4"/>
                <w:sz w:val="24"/>
                <w:u w:val="single"/>
              </w:rPr>
              <w:t xml:space="preserve">八</w:t>
            </w:r>
            <w:r>
              <w:rPr>
                <w:rFonts w:ascii="SimSun" w:hAnsi="SimSun" w:eastAsia="SimSun" w:cs="SimSun"/>
                <w:i/>
                <w:color w:val="000000"/>
                <w:spacing w:val="-2"/>
                <w:sz w:val="24"/>
                <w:u w:val="single"/>
              </w:rPr>
              <w:t xml:space="preserve">折付款</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0" w:type="dxa"/>
            <w:vAlign w:val="top"/>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2"/>
                <w:sz w:val="24"/>
                <w:u w:val="single"/>
              </w:rPr>
              <w:t xml:space="preserve">七折付</w:t>
            </w:r>
            <w:r>
              <w:rPr>
                <w:rFonts w:ascii="SimSun" w:hAnsi="SimSun" w:eastAsia="SimSun" w:cs="SimSun"/>
                <w:i/>
                <w:color w:val="000000"/>
                <w:spacing w:val="-1"/>
                <w:sz w:val="24"/>
                <w:u w:val="single"/>
              </w:rPr>
              <w:t xml:space="preserve">款</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3" w:type="dxa"/>
            <w:vAlign w:val="top"/>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3"/>
                <w:sz w:val="24"/>
                <w:u w:val="single"/>
              </w:rPr>
              <w:t xml:space="preserve">六</w:t>
            </w:r>
            <w:r>
              <w:rPr>
                <w:rFonts w:ascii="SimSun" w:hAnsi="SimSun" w:eastAsia="SimSun" w:cs="SimSun"/>
                <w:i/>
                <w:color w:val="000000"/>
                <w:spacing w:val="-2"/>
                <w:sz w:val="24"/>
                <w:u w:val="single"/>
              </w:rPr>
              <w:t xml:space="preserve">折付款</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实际</w:t>
      </w:r>
      <w:r>
        <w:rPr>
          <w:rFonts w:ascii="SimSun" w:hAnsi="SimSun" w:eastAsia="SimSun" w:cs="SimSun"/>
          <w:i/>
          <w:color w:val="000000"/>
          <w:spacing w:val="7"/>
          <w:sz w:val="24"/>
          <w:u w:val="single"/>
        </w:rPr>
        <w:t xml:space="preserve">付款</w:t>
      </w:r>
      <w:r>
        <w:rPr>
          <w:rFonts w:ascii="SimSun" w:hAnsi="SimSun" w:eastAsia="SimSun" w:cs="SimSun"/>
          <w:i/>
          <w:color w:val="000000"/>
          <w:sz w:val="24"/>
          <w:u w:val="single"/>
        </w:rPr>
        <w:t xml:space="preserve">金额</w:t>
      </w:r>
      <w:r>
        <w:rPr>
          <w:rFonts w:ascii="Times New Roman" w:hAnsi="Times New Roman" w:eastAsia="Times New Roman" w:cs="Times New Roman"/>
          <w:i/>
          <w:color w:val="000000"/>
          <w:sz w:val="24"/>
          <w:u w:val="single"/>
        </w:rPr>
        <w:t xml:space="preserve">=</w:t>
      </w:r>
      <w:r>
        <w:rPr>
          <w:rFonts w:ascii="SimSun" w:hAnsi="SimSun" w:eastAsia="SimSun" w:cs="SimSun"/>
          <w:i/>
          <w:color w:val="000000"/>
          <w:sz w:val="24"/>
          <w:u w:val="single"/>
        </w:rPr>
        <w:t xml:space="preserve">合同总金额</w:t>
      </w:r>
      <w:r>
        <w:rPr>
          <w:rFonts w:ascii="SimSun" w:hAnsi="SimSun" w:eastAsia="SimSun" w:cs="SimSun"/>
          <w:i/>
          <w:color w:val="000000"/>
          <w:spacing w:val="7"/>
          <w:sz w:val="24"/>
          <w:u w:val="single"/>
        </w:rPr>
        <w:t xml:space="preserve">×付款比例。</w:t>
      </w:r>
      <w:r>
        <w:rPr>
          <w:rFonts w:ascii="SimSun" w:hAnsi="SimSun" w:eastAsia="SimSun" w:cs="SimSun"/>
          <w:b/>
          <w:color w:val="000000"/>
          <w:sz w:val="24"/>
        </w:rPr>
        <w:t xml:space="preserve">”</w:t>
      </w:r>
      <w:r/>
    </w:p>
    <w:p>
      <w:pPr>
        <w:pStyle w:val="1382"/>
        <w:ind w:firstLine="482"/>
        <w:keepLines w:val="0"/>
        <w:keepNext w:val="0"/>
        <w:pageBreakBefore w:val="0"/>
        <w:spacing w:line="520" w:lineRule="exact"/>
        <w:rPr>
          <w:rStyle w:val="1358"/>
          <w:rFonts w:hint="eastAsia" w:ascii="宋体" w:hAnsi="宋体" w:eastAsia="宋体" w:cs="宋体"/>
          <w:b/>
          <w:color w:val="000000" w:themeColor="text1"/>
          <w:highlight w:val="none"/>
          <w:lang w:val="en-US" w:eastAsia="zh-CN"/>
          <w14:textFill>
            <w14:solidFill>
              <w14:schemeClr w14:val="tx1"/>
            </w14:solidFill>
          </w14:textFill>
        </w:rPr>
      </w:pPr>
      <w:r>
        <w:rPr>
          <w:rStyle w:val="1358"/>
          <w:rFonts w:hint="eastAsia" w:ascii="宋体" w:hAnsi="宋体" w:eastAsia="宋体" w:cs="宋体"/>
          <w:b/>
          <w:color w:val="000000" w:themeColor="text1"/>
          <w:highlight w:val="none"/>
          <w:lang w:eastAsia="zh-CN"/>
          <w14:textFill>
            <w14:solidFill>
              <w14:schemeClr w14:val="tx1"/>
            </w14:solidFill>
          </w14:textFill>
        </w:rPr>
        <w:t xml:space="preserve">（</w:t>
      </w:r>
      <w:r>
        <w:rPr>
          <w:rStyle w:val="1358"/>
          <w:rFonts w:hint="eastAsia" w:ascii="宋体" w:hAnsi="宋体" w:eastAsia="宋体" w:cs="宋体"/>
          <w:b/>
          <w:color w:val="000000" w:themeColor="text1"/>
          <w:highlight w:val="none"/>
          <w:lang w:val="en-US" w:eastAsia="zh-CN"/>
          <w14:textFill>
            <w14:solidFill>
              <w14:schemeClr w14:val="tx1"/>
            </w14:solidFill>
          </w14:textFill>
        </w:rPr>
        <w:t xml:space="preserve">三</w:t>
      </w:r>
      <w:r>
        <w:rPr>
          <w:rStyle w:val="1358"/>
          <w:rFonts w:hint="eastAsia" w:ascii="宋体" w:hAnsi="宋体" w:eastAsia="宋体" w:cs="宋体"/>
          <w:b/>
          <w:color w:val="000000" w:themeColor="text1"/>
          <w:highlight w:val="none"/>
          <w:lang w:eastAsia="zh-CN"/>
          <w14:textFill>
            <w14:solidFill>
              <w14:schemeClr w14:val="tx1"/>
            </w14:solidFill>
          </w14:textFill>
        </w:rPr>
        <w:t xml:space="preserve">）</w:t>
      </w:r>
      <w:r>
        <w:rPr>
          <w:rStyle w:val="1358"/>
          <w:rFonts w:hint="eastAsia" w:ascii="宋体" w:hAnsi="宋体" w:eastAsia="宋体" w:cs="宋体"/>
          <w:b/>
          <w:color w:val="000000" w:themeColor="text1"/>
          <w:highlight w:val="none"/>
          <w14:textFill>
            <w14:solidFill>
              <w14:schemeClr w14:val="tx1"/>
            </w14:solidFill>
          </w14:textFill>
        </w:rPr>
        <w:t xml:space="preserve">投标货币</w:t>
      </w:r>
      <w:r/>
    </w:p>
    <w:p>
      <w:pPr>
        <w:pStyle w:val="1382"/>
        <w:ind w:firstLine="480"/>
        <w:keepLines w:val="0"/>
        <w:keepNext w:val="0"/>
        <w:pageBreakBefore w:val="0"/>
        <w:spacing w:line="520" w:lineRule="exact"/>
        <w:rPr>
          <w:rStyle w:val="1358"/>
          <w:rFonts w:ascii="宋体" w:hAnsi="宋体" w:eastAsia="宋体" w:cs="宋体"/>
          <w:i/>
          <w:color w:val="000000" w:themeColor="text1"/>
          <w:highlight w:val="none"/>
          <w:u w:val="single"/>
          <w14:textFill>
            <w14:solidFill>
              <w14:schemeClr w14:val="tx1"/>
            </w14:solidFill>
          </w14:textFill>
        </w:rPr>
      </w:pPr>
      <w:r>
        <w:rPr>
          <w:rStyle w:val="1358"/>
          <w:rFonts w:hint="eastAsia" w:ascii="宋体" w:hAnsi="宋体" w:eastAsia="宋体" w:cs="宋体"/>
          <w:i/>
          <w:color w:val="000000" w:themeColor="text1"/>
          <w:highlight w:val="none"/>
          <w:u w:val="single"/>
          <w14:textFill>
            <w14:solidFill>
              <w14:schemeClr w14:val="tx1"/>
            </w14:solidFill>
          </w14:textFill>
        </w:rPr>
        <w:t xml:space="preserve">人民币。</w:t>
      </w:r>
      <w:r/>
    </w:p>
    <w:p>
      <w:pPr>
        <w:pStyle w:val="1382"/>
        <w:ind w:firstLine="482"/>
        <w:keepLines w:val="0"/>
        <w:keepNext w:val="0"/>
        <w:pageBreakBefore w:val="0"/>
        <w:spacing w:line="520" w:lineRule="exact"/>
        <w:rPr>
          <w:rStyle w:val="1358"/>
          <w:rFonts w:ascii="宋体" w:hAnsi="宋体" w:eastAsia="宋体" w:cs="宋体"/>
          <w:b/>
          <w:color w:val="000000" w:themeColor="text1"/>
          <w:highlight w:val="none"/>
          <w14:textFill>
            <w14:solidFill>
              <w14:schemeClr w14:val="tx1"/>
            </w14:solidFill>
          </w14:textFill>
        </w:rPr>
      </w:pPr>
      <w:r>
        <w:rPr>
          <w:rStyle w:val="1358"/>
          <w:rFonts w:hint="eastAsia" w:ascii="宋体" w:hAnsi="宋体" w:eastAsia="宋体" w:cs="宋体"/>
          <w:b/>
          <w:color w:val="000000" w:themeColor="text1"/>
          <w:highlight w:val="none"/>
          <w:lang w:eastAsia="zh-CN"/>
          <w14:textFill>
            <w14:solidFill>
              <w14:schemeClr w14:val="tx1"/>
            </w14:solidFill>
          </w14:textFill>
        </w:rPr>
        <w:t xml:space="preserve">（</w:t>
      </w:r>
      <w:r>
        <w:rPr>
          <w:rStyle w:val="1358"/>
          <w:rFonts w:hint="eastAsia" w:ascii="宋体" w:hAnsi="宋体" w:eastAsia="宋体" w:cs="宋体"/>
          <w:b/>
          <w:color w:val="000000" w:themeColor="text1"/>
          <w:highlight w:val="none"/>
          <w:lang w:val="en-US" w:eastAsia="zh-CN"/>
          <w14:textFill>
            <w14:solidFill>
              <w14:schemeClr w14:val="tx1"/>
            </w14:solidFill>
          </w14:textFill>
        </w:rPr>
        <w:t xml:space="preserve">四</w:t>
      </w:r>
      <w:r>
        <w:rPr>
          <w:rStyle w:val="1358"/>
          <w:rFonts w:hint="eastAsia" w:ascii="宋体" w:hAnsi="宋体" w:eastAsia="宋体" w:cs="宋体"/>
          <w:b/>
          <w:color w:val="000000" w:themeColor="text1"/>
          <w:highlight w:val="none"/>
          <w:lang w:eastAsia="zh-CN"/>
          <w14:textFill>
            <w14:solidFill>
              <w14:schemeClr w14:val="tx1"/>
            </w14:solidFill>
          </w14:textFill>
        </w:rPr>
        <w:t xml:space="preserve">）</w:t>
      </w:r>
      <w:r>
        <w:rPr>
          <w:rStyle w:val="1358"/>
          <w:rFonts w:hint="eastAsia" w:ascii="宋体" w:hAnsi="宋体" w:eastAsia="宋体" w:cs="宋体"/>
          <w:b/>
          <w:color w:val="000000" w:themeColor="text1"/>
          <w:highlight w:val="none"/>
          <w14:textFill>
            <w14:solidFill>
              <w14:schemeClr w14:val="tx1"/>
            </w14:solidFill>
          </w14:textFill>
        </w:rPr>
        <w:t xml:space="preserve">备品备件及耗材等要求</w:t>
      </w:r>
      <w:r/>
    </w:p>
    <w:p>
      <w:pPr>
        <w:pStyle w:val="1382"/>
        <w:ind w:firstLine="480"/>
        <w:keepLines w:val="0"/>
        <w:keepNext w:val="0"/>
        <w:pageBreakBefore w:val="0"/>
        <w:spacing w:line="520" w:lineRule="exact"/>
        <w:rPr>
          <w:rStyle w:val="1358"/>
          <w:rFonts w:hint="eastAsia" w:ascii="宋体" w:hAnsi="宋体" w:eastAsia="宋体" w:cs="宋体"/>
          <w:i w:val="0"/>
          <w:iCs/>
          <w:color w:val="000000" w:themeColor="text1"/>
          <w:highlight w:val="none"/>
          <w:u w:val="none"/>
          <w14:textFill>
            <w14:solidFill>
              <w14:schemeClr w14:val="tx1"/>
            </w14:solidFill>
          </w14:textFill>
        </w:rPr>
      </w:pPr>
      <w:r>
        <w:rPr>
          <w:rStyle w:val="1358"/>
          <w:rFonts w:hint="eastAsia" w:ascii="宋体" w:hAnsi="宋体" w:eastAsia="宋体" w:cs="宋体"/>
          <w:i w:val="0"/>
          <w:iCs/>
          <w:color w:val="000000" w:themeColor="text1"/>
          <w:highlight w:val="none"/>
          <w:u w:val="none"/>
          <w14:textFill>
            <w14:solidFill>
              <w14:schemeClr w14:val="tx1"/>
            </w14:solidFill>
          </w14:textFill>
        </w:rPr>
        <w:t xml:space="preserve">无。</w:t>
      </w:r>
      <w:r/>
    </w:p>
    <w:p>
      <w:pPr>
        <w:pStyle w:val="1382"/>
        <w:ind w:firstLine="480"/>
        <w:keepLines w:val="0"/>
        <w:keepNext w:val="0"/>
        <w:pageBreakBefore w:val="0"/>
        <w:spacing w:line="520" w:lineRule="exact"/>
        <w:rPr>
          <w:rStyle w:val="1358"/>
          <w:rFonts w:hint="eastAsia" w:ascii="宋体" w:hAnsi="宋体" w:eastAsia="宋体" w:cs="宋体"/>
          <w:i/>
          <w:color w:val="000000" w:themeColor="text1"/>
          <w:highlight w:val="none"/>
          <w:u w:val="single"/>
          <w14:textFill>
            <w14:solidFill>
              <w14:schemeClr w14:val="tx1"/>
            </w14:solidFill>
          </w14:textFill>
        </w:rPr>
      </w:pPr>
      <w:r>
        <w:rPr>
          <w:rFonts w:hint="eastAsia" w:ascii="宋体" w:hAnsi="宋体" w:eastAsia="宋体" w:cs="宋体"/>
          <w:i/>
          <w:color w:val="000000" w:themeColor="text1"/>
          <w:highlight w:val="none"/>
          <w:u w:val="single"/>
          <w14:textFill>
            <w14:solidFill>
              <w14:schemeClr w14:val="tx1"/>
            </w14:solidFill>
          </w14:textFill>
        </w:rPr>
      </w:r>
      <w:r/>
    </w:p>
    <w:p>
      <w:pPr>
        <w:pStyle w:val="1382"/>
        <w:ind w:firstLine="480"/>
        <w:keepLines w:val="0"/>
        <w:keepNext w:val="0"/>
        <w:pageBreakBefore w:val="0"/>
        <w:spacing w:line="520" w:lineRule="exact"/>
        <w:rPr>
          <w:rStyle w:val="1358"/>
          <w:rFonts w:hint="eastAsia" w:ascii="宋体" w:hAnsi="宋体" w:eastAsia="宋体" w:cs="宋体"/>
          <w:i/>
          <w:color w:val="000000" w:themeColor="text1"/>
          <w:highlight w:val="none"/>
          <w:u w:val="single"/>
          <w14:textFill>
            <w14:solidFill>
              <w14:schemeClr w14:val="tx1"/>
            </w14:solidFill>
          </w14:textFill>
        </w:rPr>
        <w:sectPr>
          <w:headerReference w:type="default" r:id="rId16"/>
          <w:headerReference w:type="first" r:id="rId17"/>
          <w:footerReference w:type="default" r:id="rId30"/>
          <w:footerReference w:type="first" r:id="rId31"/>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i/>
          <w:color w:val="000000" w:themeColor="text1"/>
          <w:highlight w:val="none"/>
          <w:u w:val="single"/>
          <w14:textFill>
            <w14:solidFill>
              <w14:schemeClr w14:val="tx1"/>
            </w14:solidFill>
          </w14:textFill>
        </w:rPr>
      </w:r>
      <w:r/>
    </w:p>
    <w:p>
      <w:pPr>
        <w:keepLines w:val="0"/>
        <w:keepNext w:val="0"/>
        <w:pageBreakBefore w:val="0"/>
        <w:spacing w:line="520" w:lineRule="exact"/>
        <w:rPr>
          <w:rFonts w:ascii="宋体" w:hAnsi="宋体" w:cs="宋体"/>
          <w:b/>
          <w:color w:val="000000" w:themeColor="text1"/>
          <w:sz w:val="28"/>
          <w:szCs w:val="28"/>
          <w:highlight w:val="none"/>
          <w14:textFill>
            <w14:solidFill>
              <w14:schemeClr w14:val="tx1"/>
            </w14:solidFill>
          </w14:textFill>
        </w:rPr>
      </w:pPr>
      <w:r/>
      <w:bookmarkStart w:id="223" w:name="EBeba33935409e4c76a800f8c7f49348de"/>
      <w:r/>
      <w:bookmarkEnd w:id="223"/>
      <w:r>
        <w:rPr>
          <w:rFonts w:hint="eastAsia" w:ascii="宋体" w:hAnsi="宋体" w:cs="宋体"/>
          <w:b/>
          <w:color w:val="000000" w:themeColor="text1"/>
          <w:sz w:val="28"/>
          <w:szCs w:val="28"/>
          <w:highlight w:val="none"/>
          <w14:textFill>
            <w14:solidFill>
              <w14:schemeClr w14:val="tx1"/>
            </w14:solidFill>
          </w14:textFill>
        </w:rPr>
        <w:t xml:space="preserve">四、其他部分</w:t>
      </w:r>
      <w:r/>
    </w:p>
    <w:p>
      <w:pPr>
        <w:pStyle w:val="1383"/>
        <w:ind w:firstLine="602"/>
        <w:keepLines w:val="0"/>
        <w:keepNext w:val="0"/>
        <w:pageBreakBefore w:val="0"/>
        <w:spacing w:line="520" w:lineRule="exact"/>
        <w:rPr>
          <w:rStyle w:val="1358"/>
          <w:rFonts w:ascii="宋体" w:hAnsi="宋体" w:eastAsia="宋体" w:cs="宋体"/>
          <w:b/>
          <w:bCs/>
          <w:color w:val="000000" w:themeColor="text1"/>
          <w:sz w:val="30"/>
          <w:szCs w:val="30"/>
          <w:highlight w:val="none"/>
          <w14:textFill>
            <w14:solidFill>
              <w14:schemeClr w14:val="tx1"/>
            </w14:solidFill>
          </w14:textFill>
        </w:rPr>
      </w:pPr>
      <w:r>
        <w:rPr>
          <w:rStyle w:val="1358"/>
          <w:rFonts w:hint="eastAsia" w:ascii="宋体" w:hAnsi="宋体" w:eastAsia="宋体" w:cs="宋体"/>
          <w:b/>
          <w:bCs/>
          <w:color w:val="000000" w:themeColor="text1"/>
          <w:sz w:val="30"/>
          <w:szCs w:val="30"/>
          <w:highlight w:val="none"/>
          <w14:textFill>
            <w14:solidFill>
              <w14:schemeClr w14:val="tx1"/>
            </w14:solidFill>
          </w14:textFill>
        </w:rPr>
        <w:t xml:space="preserve">附件1：</w:t>
      </w:r>
      <w:r/>
    </w:p>
    <w:p>
      <w:pPr>
        <w:pStyle w:val="1383"/>
        <w:jc w:val="center"/>
        <w:rPr>
          <w:rStyle w:val="1358"/>
          <w:rFonts w:ascii="宋体" w:hAnsi="宋体" w:eastAsia="宋体" w:cs="宋体"/>
          <w:b/>
          <w:bCs/>
          <w:color w:val="000000" w:themeColor="text1"/>
          <w:sz w:val="30"/>
          <w:szCs w:val="30"/>
          <w:highlight w:val="none"/>
          <w14:textFill>
            <w14:solidFill>
              <w14:schemeClr w14:val="tx1"/>
            </w14:solidFill>
          </w14:textFill>
        </w:rPr>
      </w:pPr>
      <w:r>
        <w:rPr>
          <w:rStyle w:val="1358"/>
          <w:rFonts w:hint="eastAsia" w:ascii="宋体" w:hAnsi="宋体" w:eastAsia="宋体" w:cs="宋体"/>
          <w:b/>
          <w:bCs/>
          <w:color w:val="000000" w:themeColor="text1"/>
          <w:sz w:val="30"/>
          <w:szCs w:val="30"/>
          <w:highlight w:val="none"/>
          <w14:textFill>
            <w14:solidFill>
              <w14:schemeClr w14:val="tx1"/>
            </w14:solidFill>
          </w14:textFill>
        </w:rPr>
        <w:t xml:space="preserve">信息化智能预警监测</w:t>
      </w:r>
      <w:r>
        <w:rPr>
          <w:rStyle w:val="1358"/>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装置系统</w:t>
      </w:r>
      <w:r>
        <w:rPr>
          <w:rStyle w:val="1358"/>
          <w:rFonts w:hint="eastAsia" w:ascii="宋体" w:hAnsi="宋体" w:eastAsia="宋体" w:cs="宋体"/>
          <w:b/>
          <w:bCs/>
          <w:color w:val="000000" w:themeColor="text1"/>
          <w:sz w:val="30"/>
          <w:szCs w:val="30"/>
          <w:highlight w:val="none"/>
          <w14:textFill>
            <w14:solidFill>
              <w14:schemeClr w14:val="tx1"/>
            </w14:solidFill>
          </w14:textFill>
        </w:rPr>
        <w:t xml:space="preserve">参数要求</w:t>
      </w:r>
      <w:r/>
    </w:p>
    <w:tbl>
      <w:tblPr>
        <w:tblStyle w:val="1439"/>
        <w:tblW w:w="9459" w:type="dxa"/>
        <w:tblInd w:w="2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138"/>
        <w:gridCol w:w="1942"/>
        <w:gridCol w:w="6379"/>
      </w:tblGrid>
      <w:tr>
        <w:trPr>
          <w:trHeight w:val="567"/>
          <w:tblHeader/>
        </w:trPr>
        <w:tc>
          <w:tcPr>
            <w:shd w:val="clear" w:color="auto" w:fill="b5c7ea" w:themeFill="accent1" w:themeFillTint="66"/>
            <w:tcW w:w="1138" w:type="dxa"/>
            <w:vAlign w:val="center"/>
            <w:textDirection w:val="lrTb"/>
            <w:noWrap w:val="false"/>
          </w:tcPr>
          <w:p>
            <w:pPr>
              <w:jc w:val="center"/>
              <w:rPr>
                <w:rFonts w:ascii="宋体" w:hAnsi="宋体" w:cs="宋体"/>
                <w:b/>
                <w:bCs/>
                <w:color w:val="000000" w:themeColor="text1"/>
                <w:sz w:val="24"/>
                <w:szCs w:val="24"/>
                <w:highlight w:val="none"/>
                <w14:textFill>
                  <w14:solidFill>
                    <w14:schemeClr w14:val="tx1"/>
                  </w14:solidFill>
                </w14:textFill>
              </w:rPr>
            </w:pPr>
            <w:r/>
            <w:bookmarkStart w:id="224" w:name="EB46fc682c2c764bbdaed30f22794dcce7"/>
            <w:r/>
            <w:bookmarkEnd w:id="224"/>
            <w:r>
              <w:rPr>
                <w:rFonts w:hint="eastAsia" w:ascii="宋体" w:hAnsi="宋体" w:cs="宋体"/>
                <w:b/>
                <w:bCs/>
                <w:color w:val="000000" w:themeColor="text1"/>
                <w:sz w:val="24"/>
                <w:szCs w:val="24"/>
                <w:highlight w:val="none"/>
                <w14:textFill>
                  <w14:solidFill>
                    <w14:schemeClr w14:val="tx1"/>
                  </w14:solidFill>
                </w14:textFill>
              </w:rPr>
              <w:t xml:space="preserve">序号</w:t>
            </w:r>
            <w:r/>
          </w:p>
        </w:tc>
        <w:tc>
          <w:tcPr>
            <w:shd w:val="clear" w:color="auto" w:fill="b5c7ea" w:themeFill="accent1" w:themeFillTint="66"/>
            <w:tcW w:w="1942" w:type="dxa"/>
            <w:vAlign w:val="center"/>
            <w:textDirection w:val="lrTb"/>
            <w:noWrap w:val="false"/>
          </w:tcPr>
          <w:p>
            <w:pPr>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名称</w:t>
            </w:r>
            <w:r/>
          </w:p>
        </w:tc>
        <w:tc>
          <w:tcPr>
            <w:shd w:val="clear" w:color="auto" w:fill="b5c7ea" w:themeFill="accent1" w:themeFillTint="66"/>
            <w:tcW w:w="6379" w:type="dxa"/>
            <w:vAlign w:val="center"/>
            <w:textDirection w:val="lrTb"/>
            <w:noWrap w:val="false"/>
          </w:tcPr>
          <w:p>
            <w:pPr>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参数要求</w:t>
            </w:r>
            <w:r/>
          </w:p>
        </w:tc>
      </w:tr>
      <w:tr>
        <w:trPr>
          <w:trHeight w:val="567"/>
        </w:trPr>
        <w:tc>
          <w:tcPr>
            <w:tcW w:w="1138" w:type="dxa"/>
            <w:vAlign w:val="center"/>
            <w:vMerge w:val="restart"/>
            <w:textDirection w:val="lrTb"/>
            <w:noWrap w:val="false"/>
          </w:tcPr>
          <w:p>
            <w:pPr>
              <w:pStyle w:val="1440"/>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p>
        </w:tc>
        <w:tc>
          <w:tcPr>
            <w:tcW w:w="1942" w:type="dxa"/>
            <w:vAlign w:val="center"/>
            <w:vMerge w:val="restart"/>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壳体要求</w:t>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pacing w:val="-2"/>
                <w:sz w:val="24"/>
                <w:szCs w:val="24"/>
                <w:highlight w:val="none"/>
                <w:lang w:eastAsia="zh-CN"/>
                <w14:textFill>
                  <w14:solidFill>
                    <w14:schemeClr w14:val="tx1"/>
                  </w14:solidFill>
                </w14:textFill>
              </w:rPr>
              <w:t xml:space="preserve">塑料外壳长度不应小于150mm。</w:t>
            </w:r>
            <w:r/>
          </w:p>
        </w:tc>
      </w:tr>
      <w:tr>
        <w:trPr>
          <w:trHeight w:val="567"/>
        </w:trPr>
        <w:tc>
          <w:tcPr>
            <w:tcW w:w="1138"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942" w:type="dxa"/>
            <w:vAlign w:val="center"/>
            <w:vMerge w:val="continue"/>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内置饵料的体积不小于300000mm³。</w:t>
            </w:r>
            <w:r/>
          </w:p>
        </w:tc>
      </w:tr>
      <w:tr>
        <w:trPr>
          <w:trHeight w:val="567"/>
        </w:trPr>
        <w:tc>
          <w:tcPr>
            <w:tcW w:w="1138"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942" w:type="dxa"/>
            <w:vAlign w:val="center"/>
            <w:vMerge w:val="continue"/>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pacing w:val="-3"/>
                <w:sz w:val="24"/>
                <w:szCs w:val="24"/>
                <w:highlight w:val="none"/>
                <w:lang w:eastAsia="zh-CN"/>
                <w14:textFill>
                  <w14:solidFill>
                    <w14:schemeClr w14:val="tx1"/>
                  </w14:solidFill>
                </w14:textFill>
              </w:rPr>
              <w:t xml:space="preserve">装置外壳应设置不小于5mm的白蚁</w:t>
            </w:r>
            <w:r>
              <w:rPr>
                <w:rFonts w:hint="eastAsia"/>
                <w:color w:val="000000" w:themeColor="text1"/>
                <w:spacing w:val="-1"/>
                <w:sz w:val="24"/>
                <w:szCs w:val="24"/>
                <w:highlight w:val="none"/>
                <w:lang w:eastAsia="zh-CN"/>
                <w14:textFill>
                  <w14:solidFill>
                    <w14:schemeClr w14:val="tx1"/>
                  </w14:solidFill>
                </w14:textFill>
              </w:rPr>
              <w:t xml:space="preserve">进出通道。</w:t>
            </w:r>
            <w:r/>
          </w:p>
        </w:tc>
      </w:tr>
      <w:tr>
        <w:trPr>
          <w:trHeight w:val="567"/>
        </w:trPr>
        <w:tc>
          <w:tcPr>
            <w:tcW w:w="1138" w:type="dxa"/>
            <w:vAlign w:val="center"/>
            <w:textDirection w:val="lrTb"/>
            <w:noWrap w:val="false"/>
          </w:tcPr>
          <w:p>
            <w:pPr>
              <w:pStyle w:val="1440"/>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p>
        </w:tc>
        <w:tc>
          <w:tcPr>
            <w:tcW w:w="1942"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有效工作距离</w:t>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pacing w:val="13"/>
                <w:sz w:val="24"/>
                <w:szCs w:val="24"/>
                <w:highlight w:val="none"/>
                <w:lang w:eastAsia="zh-CN"/>
                <w14:textFill>
                  <w14:solidFill>
                    <w14:schemeClr w14:val="tx1"/>
                  </w14:solidFill>
                </w14:textFill>
              </w:rPr>
              <w:t xml:space="preserve">监测装置与蚁情采集器的有效工</w:t>
            </w:r>
            <w:r>
              <w:rPr>
                <w:rFonts w:hint="eastAsia"/>
                <w:color w:val="000000" w:themeColor="text1"/>
                <w:spacing w:val="-2"/>
                <w:sz w:val="24"/>
                <w:szCs w:val="24"/>
                <w:highlight w:val="none"/>
                <w:lang w:eastAsia="zh-CN"/>
                <w14:textFill>
                  <w14:solidFill>
                    <w14:schemeClr w14:val="tx1"/>
                  </w14:solidFill>
                </w14:textFill>
              </w:rPr>
              <w:t xml:space="preserve">作距离不低于30cm。</w:t>
            </w:r>
            <w:r/>
          </w:p>
        </w:tc>
      </w:tr>
      <w:tr>
        <w:trPr>
          <w:trHeight w:val="567"/>
        </w:trPr>
        <w:tc>
          <w:tcPr>
            <w:tcW w:w="1138" w:type="dxa"/>
            <w:vAlign w:val="center"/>
            <w:textDirection w:val="lrTb"/>
            <w:noWrap w:val="false"/>
          </w:tcPr>
          <w:p>
            <w:pPr>
              <w:pStyle w:val="1440"/>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r/>
          </w:p>
        </w:tc>
        <w:tc>
          <w:tcPr>
            <w:tcW w:w="1942"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障碍物性能</w:t>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pacing w:val="-1"/>
                <w:sz w:val="24"/>
                <w:szCs w:val="24"/>
                <w:highlight w:val="none"/>
                <w:lang w:eastAsia="zh-CN"/>
                <w14:textFill>
                  <w14:solidFill>
                    <w14:schemeClr w14:val="tx1"/>
                  </w14:solidFill>
                </w14:textFill>
              </w:rPr>
              <w:t xml:space="preserve">监测装置埋设安装后，覆土不超过</w:t>
            </w:r>
            <w:r>
              <w:rPr>
                <w:rFonts w:hint="eastAsia"/>
                <w:color w:val="000000" w:themeColor="text1"/>
                <w:spacing w:val="-2"/>
                <w:sz w:val="24"/>
                <w:szCs w:val="24"/>
                <w:highlight w:val="none"/>
                <w:lang w:eastAsia="zh-CN"/>
                <w14:textFill>
                  <w14:solidFill>
                    <w14:schemeClr w14:val="tx1"/>
                  </w14:solidFill>
                </w14:textFill>
              </w:rPr>
              <w:t xml:space="preserve">20cm，蚁情采集器能正常读取信息。</w:t>
            </w:r>
            <w:r/>
          </w:p>
        </w:tc>
      </w:tr>
      <w:tr>
        <w:trPr>
          <w:trHeight w:val="567"/>
        </w:trPr>
        <w:tc>
          <w:tcPr>
            <w:tcW w:w="1138" w:type="dxa"/>
            <w:vAlign w:val="center"/>
            <w:textDirection w:val="lrTb"/>
            <w:noWrap w:val="false"/>
          </w:tcPr>
          <w:p>
            <w:pPr>
              <w:pStyle w:val="1440"/>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w:t>
            </w:r>
            <w:r/>
          </w:p>
        </w:tc>
        <w:tc>
          <w:tcPr>
            <w:tcW w:w="1942"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防水性</w:t>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Style w:val="1358"/>
                <w:rFonts w:hint="eastAsia"/>
                <w:color w:val="000000" w:themeColor="text1"/>
                <w:sz w:val="24"/>
                <w:szCs w:val="24"/>
                <w:highlight w:val="none"/>
                <w:lang w:eastAsia="zh-CN"/>
                <w14:textFill>
                  <w14:solidFill>
                    <w14:schemeClr w14:val="tx1"/>
                  </w14:solidFill>
                </w14:textFill>
              </w:rPr>
              <w:t xml:space="preserve">▲监测装置在常温水中连续浸泡不小于8小时后，应能正常工作（请在投标文件中提供CMA检测机构出具的检测报告原件扫描件或其他有效证明材料）。</w:t>
            </w:r>
            <w:r/>
          </w:p>
        </w:tc>
      </w:tr>
      <w:tr>
        <w:trPr>
          <w:trHeight w:val="567"/>
        </w:trPr>
        <w:tc>
          <w:tcPr>
            <w:tcW w:w="1138" w:type="dxa"/>
            <w:vAlign w:val="center"/>
            <w:vMerge w:val="restart"/>
            <w:textDirection w:val="lrTb"/>
            <w:noWrap w:val="false"/>
          </w:tcPr>
          <w:p>
            <w:pPr>
              <w:pStyle w:val="1440"/>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w:t>
            </w:r>
            <w:r/>
          </w:p>
        </w:tc>
        <w:tc>
          <w:tcPr>
            <w:tcW w:w="1942" w:type="dxa"/>
            <w:vAlign w:val="center"/>
            <w:vMerge w:val="restart"/>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工作环境温度</w:t>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pacing w:val="5"/>
                <w:sz w:val="24"/>
                <w:szCs w:val="24"/>
                <w:highlight w:val="none"/>
                <w:lang w:eastAsia="zh-CN"/>
                <w14:textFill>
                  <w14:solidFill>
                    <w14:schemeClr w14:val="tx1"/>
                  </w14:solidFill>
                </w14:textFill>
              </w:rPr>
              <w:t xml:space="preserve">监测装置在温度-10℃~+80℃区</w:t>
            </w:r>
            <w:r>
              <w:rPr>
                <w:rFonts w:hint="eastAsia"/>
                <w:color w:val="000000" w:themeColor="text1"/>
                <w:spacing w:val="-3"/>
                <w:sz w:val="24"/>
                <w:szCs w:val="24"/>
                <w:highlight w:val="none"/>
                <w:lang w:eastAsia="zh-CN"/>
                <w14:textFill>
                  <w14:solidFill>
                    <w14:schemeClr w14:val="tx1"/>
                  </w14:solidFill>
                </w14:textFill>
              </w:rPr>
              <w:t xml:space="preserve">间内，应能正常工作。</w:t>
            </w:r>
            <w:r/>
          </w:p>
        </w:tc>
      </w:tr>
      <w:tr>
        <w:trPr>
          <w:trHeight w:val="567"/>
        </w:trPr>
        <w:tc>
          <w:tcPr>
            <w:tcW w:w="1138"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942" w:type="dxa"/>
            <w:vAlign w:val="center"/>
            <w:vMerge w:val="continue"/>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pacing w:val="5"/>
                <w:sz w:val="24"/>
                <w:szCs w:val="24"/>
                <w:highlight w:val="none"/>
                <w:lang w:eastAsia="zh-CN"/>
                <w14:textFill>
                  <w14:solidFill>
                    <w14:schemeClr w14:val="tx1"/>
                  </w14:solidFill>
                </w14:textFill>
              </w:rPr>
              <w:t xml:space="preserve">蚁情采集器在温度-5℃~+65℃区</w:t>
            </w:r>
            <w:r>
              <w:rPr>
                <w:rFonts w:hint="eastAsia"/>
                <w:color w:val="000000" w:themeColor="text1"/>
                <w:spacing w:val="-3"/>
                <w:sz w:val="24"/>
                <w:szCs w:val="24"/>
                <w:highlight w:val="none"/>
                <w:lang w:eastAsia="zh-CN"/>
                <w14:textFill>
                  <w14:solidFill>
                    <w14:schemeClr w14:val="tx1"/>
                  </w14:solidFill>
                </w14:textFill>
              </w:rPr>
              <w:t xml:space="preserve">间内，应能正常工作。</w:t>
            </w:r>
            <w:r/>
          </w:p>
        </w:tc>
      </w:tr>
      <w:tr>
        <w:trPr>
          <w:trHeight w:val="567"/>
        </w:trPr>
        <w:tc>
          <w:tcPr>
            <w:tcW w:w="1138" w:type="dxa"/>
            <w:vAlign w:val="center"/>
            <w:textDirection w:val="lrTb"/>
            <w:noWrap w:val="false"/>
          </w:tcPr>
          <w:p>
            <w:pPr>
              <w:pStyle w:val="1440"/>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w:t>
            </w:r>
            <w:r/>
          </w:p>
        </w:tc>
        <w:tc>
          <w:tcPr>
            <w:tcW w:w="1942"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低温性能</w:t>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pacing w:val="-2"/>
                <w:sz w:val="24"/>
                <w:szCs w:val="24"/>
                <w:highlight w:val="none"/>
                <w:lang w:eastAsia="zh-CN"/>
                <w14:textFill>
                  <w14:solidFill>
                    <w14:schemeClr w14:val="tx1"/>
                  </w14:solidFill>
                </w14:textFill>
              </w:rPr>
              <w:t xml:space="preserve">监测装置在-10℃环境中放置4小时后，应正常工作。</w:t>
            </w:r>
            <w:r/>
          </w:p>
        </w:tc>
      </w:tr>
      <w:tr>
        <w:trPr>
          <w:trHeight w:val="567"/>
        </w:trPr>
        <w:tc>
          <w:tcPr>
            <w:tcW w:w="1138" w:type="dxa"/>
            <w:vAlign w:val="center"/>
            <w:textDirection w:val="lrTb"/>
            <w:noWrap w:val="false"/>
          </w:tcPr>
          <w:p>
            <w:pPr>
              <w:pStyle w:val="1440"/>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w:t>
            </w:r>
            <w:r/>
          </w:p>
        </w:tc>
        <w:tc>
          <w:tcPr>
            <w:tcW w:w="1942"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高温性能</w:t>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pacing w:val="-2"/>
                <w:sz w:val="24"/>
                <w:szCs w:val="24"/>
                <w:highlight w:val="none"/>
                <w:lang w:eastAsia="zh-CN"/>
                <w14:textFill>
                  <w14:solidFill>
                    <w14:schemeClr w14:val="tx1"/>
                  </w14:solidFill>
                </w14:textFill>
              </w:rPr>
              <w:t xml:space="preserve">监测装置在80℃环境中放置4小时后，应正常工作。</w:t>
            </w:r>
            <w:r/>
          </w:p>
        </w:tc>
      </w:tr>
      <w:tr>
        <w:trPr>
          <w:trHeight w:val="567"/>
        </w:trPr>
        <w:tc>
          <w:tcPr>
            <w:tcW w:w="1138" w:type="dxa"/>
            <w:vAlign w:val="center"/>
            <w:textDirection w:val="lrTb"/>
            <w:noWrap w:val="false"/>
          </w:tcPr>
          <w:p>
            <w:pPr>
              <w:pStyle w:val="1440"/>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8</w:t>
            </w:r>
            <w:r/>
          </w:p>
        </w:tc>
        <w:tc>
          <w:tcPr>
            <w:tcW w:w="1942"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中性盐雾测试</w:t>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pacing w:val="-2"/>
                <w:sz w:val="24"/>
                <w:szCs w:val="24"/>
                <w:highlight w:val="none"/>
                <w:lang w:eastAsia="zh-CN"/>
                <w14:textFill>
                  <w14:solidFill>
                    <w14:schemeClr w14:val="tx1"/>
                  </w14:solidFill>
                </w14:textFill>
              </w:rPr>
              <w:t xml:space="preserve">监测装置在中性盐雾中放置24小</w:t>
            </w:r>
            <w:r>
              <w:rPr>
                <w:rFonts w:hint="eastAsia"/>
                <w:color w:val="000000" w:themeColor="text1"/>
                <w:spacing w:val="-1"/>
                <w:sz w:val="24"/>
                <w:szCs w:val="24"/>
                <w:highlight w:val="none"/>
                <w:lang w:eastAsia="zh-CN"/>
                <w14:textFill>
                  <w14:solidFill>
                    <w14:schemeClr w14:val="tx1"/>
                  </w14:solidFill>
                </w14:textFill>
              </w:rPr>
              <w:t xml:space="preserve">时后，装置表面要求没有明显腐蚀</w:t>
            </w:r>
            <w:r>
              <w:rPr>
                <w:rFonts w:hint="eastAsia"/>
                <w:color w:val="000000" w:themeColor="text1"/>
                <w:spacing w:val="-3"/>
                <w:sz w:val="24"/>
                <w:szCs w:val="24"/>
                <w:highlight w:val="none"/>
                <w:lang w:eastAsia="zh-CN"/>
                <w14:textFill>
                  <w14:solidFill>
                    <w14:schemeClr w14:val="tx1"/>
                  </w14:solidFill>
                </w14:textFill>
              </w:rPr>
              <w:t xml:space="preserve">现象。</w:t>
            </w:r>
            <w:r/>
          </w:p>
        </w:tc>
      </w:tr>
      <w:tr>
        <w:trPr>
          <w:trHeight w:val="567"/>
        </w:trPr>
        <w:tc>
          <w:tcPr>
            <w:tcW w:w="1138" w:type="dxa"/>
            <w:vAlign w:val="center"/>
            <w:textDirection w:val="lrTb"/>
            <w:noWrap w:val="false"/>
          </w:tcPr>
          <w:p>
            <w:pPr>
              <w:pStyle w:val="1440"/>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9</w:t>
            </w:r>
            <w:r/>
          </w:p>
        </w:tc>
        <w:tc>
          <w:tcPr>
            <w:tcW w:w="1942"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传输方式</w:t>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Style w:val="1358"/>
                <w:rFonts w:hint="eastAsia"/>
                <w:color w:val="000000" w:themeColor="text1"/>
                <w:sz w:val="24"/>
                <w:szCs w:val="24"/>
                <w:highlight w:val="none"/>
                <w:lang w:eastAsia="zh-CN"/>
                <w14:textFill>
                  <w14:solidFill>
                    <w14:schemeClr w14:val="tx1"/>
                  </w14:solidFill>
                </w14:textFill>
              </w:rPr>
              <w:t xml:space="preserve">▲</w:t>
            </w:r>
            <w:r>
              <w:rPr>
                <w:rStyle w:val="1358"/>
                <w:rFonts w:hint="eastAsia" w:asciiTheme="minorHAnsi" w:hAnsiTheme="minorHAnsi" w:eastAsiaTheme="minorEastAsia"/>
                <w:color w:val="000000" w:themeColor="text1"/>
                <w:sz w:val="24"/>
                <w:szCs w:val="24"/>
                <w:highlight w:val="none"/>
                <w:lang w:eastAsia="zh-CN"/>
                <w14:textFill>
                  <w14:solidFill>
                    <w14:schemeClr w14:val="tx1"/>
                  </w14:solidFill>
                </w14:textFill>
              </w:rPr>
              <w:t xml:space="preserve">监测装置以无线的方式向蚁情采集器传输信息</w:t>
            </w:r>
            <w:r>
              <w:rPr>
                <w:rStyle w:val="1358"/>
                <w:rFonts w:hint="eastAsia"/>
                <w:color w:val="000000" w:themeColor="text1"/>
                <w:sz w:val="24"/>
                <w:szCs w:val="24"/>
                <w:highlight w:val="none"/>
                <w:lang w:eastAsia="zh-CN"/>
                <w14:textFill>
                  <w14:solidFill>
                    <w14:schemeClr w14:val="tx1"/>
                  </w14:solidFill>
                </w14:textFill>
              </w:rPr>
              <w:t xml:space="preserve">（请在投标文件中提供CMA检测机构出具的检测报告原件扫描件或其他有效证明材料）。</w:t>
            </w:r>
            <w:r/>
          </w:p>
        </w:tc>
      </w:tr>
      <w:tr>
        <w:trPr>
          <w:trHeight w:val="567"/>
        </w:trPr>
        <w:tc>
          <w:tcPr>
            <w:tcW w:w="1138" w:type="dxa"/>
            <w:vAlign w:val="center"/>
            <w:textDirection w:val="lrTb"/>
            <w:noWrap w:val="false"/>
          </w:tcPr>
          <w:p>
            <w:pPr>
              <w:pStyle w:val="1440"/>
              <w:jc w:val="center"/>
              <w:rPr>
                <w:color w:val="000000" w:themeColor="text1"/>
                <w:sz w:val="24"/>
                <w:szCs w:val="24"/>
                <w:highlight w:val="none"/>
                <w14:textFill>
                  <w14:solidFill>
                    <w14:schemeClr w14:val="tx1"/>
                  </w14:solidFill>
                </w14:textFill>
              </w:rPr>
            </w:pPr>
            <w:r>
              <w:rPr>
                <w:rFonts w:hint="eastAsia"/>
                <w:color w:val="000000" w:themeColor="text1"/>
                <w:spacing w:val="-6"/>
                <w:sz w:val="24"/>
                <w:szCs w:val="24"/>
                <w:highlight w:val="none"/>
                <w14:textFill>
                  <w14:solidFill>
                    <w14:schemeClr w14:val="tx1"/>
                  </w14:solidFill>
                </w14:textFill>
              </w:rPr>
              <w:t xml:space="preserve">10</w:t>
            </w:r>
            <w:r/>
          </w:p>
        </w:tc>
        <w:tc>
          <w:tcPr>
            <w:tcW w:w="1942"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声光信息</w:t>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pacing w:val="-1"/>
                <w:sz w:val="24"/>
                <w:szCs w:val="24"/>
                <w:highlight w:val="none"/>
                <w:lang w:eastAsia="zh-CN"/>
                <w14:textFill>
                  <w14:solidFill>
                    <w14:schemeClr w14:val="tx1"/>
                  </w14:solidFill>
                </w14:textFill>
              </w:rPr>
              <w:t xml:space="preserve">蚁情采集器监测到蚁害时，有声光</w:t>
            </w:r>
            <w:r>
              <w:rPr>
                <w:rFonts w:hint="eastAsia"/>
                <w:color w:val="000000" w:themeColor="text1"/>
                <w:spacing w:val="-2"/>
                <w:sz w:val="24"/>
                <w:szCs w:val="24"/>
                <w:highlight w:val="none"/>
                <w:lang w:eastAsia="zh-CN"/>
                <w14:textFill>
                  <w14:solidFill>
                    <w14:schemeClr w14:val="tx1"/>
                  </w14:solidFill>
                </w14:textFill>
              </w:rPr>
              <w:t xml:space="preserve">信息提示。</w:t>
            </w:r>
            <w:r/>
          </w:p>
        </w:tc>
      </w:tr>
      <w:tr>
        <w:trPr>
          <w:trHeight w:val="567"/>
        </w:trPr>
        <w:tc>
          <w:tcPr>
            <w:tcW w:w="1138" w:type="dxa"/>
            <w:vAlign w:val="center"/>
            <w:textDirection w:val="lrTb"/>
            <w:noWrap w:val="false"/>
          </w:tcPr>
          <w:p>
            <w:pPr>
              <w:pStyle w:val="1440"/>
              <w:jc w:val="center"/>
              <w:rPr>
                <w:color w:val="000000" w:themeColor="text1"/>
                <w:sz w:val="24"/>
                <w:szCs w:val="24"/>
                <w:highlight w:val="none"/>
                <w14:textFill>
                  <w14:solidFill>
                    <w14:schemeClr w14:val="tx1"/>
                  </w14:solidFill>
                </w14:textFill>
              </w:rPr>
            </w:pPr>
            <w:r>
              <w:rPr>
                <w:rFonts w:hint="eastAsia"/>
                <w:color w:val="000000" w:themeColor="text1"/>
                <w:spacing w:val="-6"/>
                <w:sz w:val="24"/>
                <w:szCs w:val="24"/>
                <w:highlight w:val="none"/>
                <w14:textFill>
                  <w14:solidFill>
                    <w14:schemeClr w14:val="tx1"/>
                  </w14:solidFill>
                </w14:textFill>
              </w:rPr>
              <w:t xml:space="preserve">11</w:t>
            </w:r>
            <w:r/>
          </w:p>
        </w:tc>
        <w:tc>
          <w:tcPr>
            <w:tcW w:w="1942"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连续工作时间</w:t>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pacing w:val="-1"/>
                <w:sz w:val="24"/>
                <w:szCs w:val="24"/>
                <w:highlight w:val="none"/>
                <w:lang w:eastAsia="zh-CN"/>
                <w14:textFill>
                  <w14:solidFill>
                    <w14:schemeClr w14:val="tx1"/>
                  </w14:solidFill>
                </w14:textFill>
              </w:rPr>
              <w:t xml:space="preserve">蚁情采集器连续工作时间应不低</w:t>
            </w:r>
            <w:r>
              <w:rPr>
                <w:rFonts w:hint="eastAsia"/>
                <w:color w:val="000000" w:themeColor="text1"/>
                <w:spacing w:val="-6"/>
                <w:sz w:val="24"/>
                <w:szCs w:val="24"/>
                <w:highlight w:val="none"/>
                <w:lang w:eastAsia="zh-CN"/>
                <w14:textFill>
                  <w14:solidFill>
                    <w14:schemeClr w14:val="tx1"/>
                  </w14:solidFill>
                </w14:textFill>
              </w:rPr>
              <w:t xml:space="preserve">于5h。</w:t>
            </w:r>
            <w:r/>
          </w:p>
        </w:tc>
      </w:tr>
    </w:tbl>
    <w:p>
      <w:pPr>
        <w:pStyle w:val="1383"/>
        <w:rPr>
          <w:rStyle w:val="1358"/>
          <w:rFonts w:ascii="宋体" w:hAnsi="宋体" w:eastAsia="宋体" w:cs="宋体"/>
          <w:b/>
          <w:bCs/>
          <w:color w:val="000000" w:themeColor="text1"/>
          <w:sz w:val="30"/>
          <w:szCs w:val="30"/>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eastAsia="宋体" w:cs="宋体"/>
          <w:b/>
          <w:bCs/>
          <w:color w:val="000000" w:themeColor="text1"/>
          <w:sz w:val="30"/>
          <w:szCs w:val="30"/>
          <w:highlight w:val="none"/>
          <w14:textFill>
            <w14:solidFill>
              <w14:schemeClr w14:val="tx1"/>
            </w14:solidFill>
          </w14:textFill>
        </w:rPr>
      </w:r>
      <w:r/>
    </w:p>
    <w:p>
      <w:pPr>
        <w:pStyle w:val="1383"/>
        <w:rPr>
          <w:rStyle w:val="1358"/>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Style w:val="1358"/>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附件2：</w:t>
      </w:r>
      <w:r/>
    </w:p>
    <w:p>
      <w:pPr>
        <w:pStyle w:val="1383"/>
        <w:jc w:val="center"/>
        <w:rPr>
          <w:rStyle w:val="1358"/>
          <w:rFonts w:hint="default" w:ascii="宋体" w:hAnsi="宋体" w:eastAsia="宋体" w:cs="宋体"/>
          <w:b/>
          <w:bCs/>
          <w:color w:val="000000" w:themeColor="text1"/>
          <w:sz w:val="30"/>
          <w:szCs w:val="30"/>
          <w:highlight w:val="none"/>
          <w:lang w:val="en-US" w:eastAsia="zh-CN"/>
          <w14:textFill>
            <w14:solidFill>
              <w14:schemeClr w14:val="tx1"/>
            </w14:solidFill>
          </w14:textFill>
        </w:rPr>
      </w:pPr>
      <w:r>
        <w:rPr>
          <w:rStyle w:val="1358"/>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考核细则</w:t>
      </w:r>
      <w:r/>
    </w:p>
    <w:tbl>
      <w:tblPr>
        <w:tblStyle w:val="1173"/>
        <w:tblW w:w="49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720"/>
        <w:gridCol w:w="4492"/>
        <w:gridCol w:w="3712"/>
        <w:gridCol w:w="855"/>
      </w:tblGrid>
      <w:tr>
        <w:trPr>
          <w:jc w:val="center"/>
          <w:trHeight w:val="567"/>
          <w:tblHeader/>
        </w:trPr>
        <w:tc>
          <w:tcPr>
            <w:tcMar>
              <w:left w:w="108" w:type="dxa"/>
              <w:top w:w="0" w:type="dxa"/>
              <w:right w:w="108" w:type="dxa"/>
              <w:bottom w:w="0" w:type="dxa"/>
            </w:tcMar>
            <w:tcW w:w="368" w:type="pct"/>
            <w:vAlign w:val="center"/>
            <w:textDirection w:val="lrTb"/>
            <w:noWrap w:val="false"/>
          </w:tcPr>
          <w:p>
            <w:pPr>
              <w:pStyle w:val="1408"/>
              <w:jc w:val="center"/>
              <w:spacing w:before="100" w:after="10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Style w:val="1172"/>
                <w:rFonts w:ascii="Times New Roman" w:hAnsi="Times New Roman" w:eastAsia="Times New Roman" w:cs="Times New Roman"/>
                <w:b/>
                <w:bCs/>
                <w:i w:val="0"/>
                <w:iCs w:val="0"/>
                <w:smallCaps w:val="0"/>
                <w:color w:val="000000" w:themeColor="text1"/>
                <w:sz w:val="24"/>
                <w:szCs w:val="24"/>
                <w:highlight w:val="none"/>
                <w14:textFill>
                  <w14:solidFill>
                    <w14:schemeClr w14:val="tx1"/>
                  </w14:solidFill>
                </w14:textFill>
              </w:rPr>
              <w:t xml:space="preserve">序号</w:t>
            </w:r>
            <w:r/>
          </w:p>
        </w:tc>
        <w:tc>
          <w:tcPr>
            <w:tcMar>
              <w:left w:w="108" w:type="dxa"/>
              <w:top w:w="0" w:type="dxa"/>
              <w:right w:w="108" w:type="dxa"/>
              <w:bottom w:w="0" w:type="dxa"/>
            </w:tcMar>
            <w:tcW w:w="2297" w:type="pct"/>
            <w:vAlign w:val="center"/>
            <w:textDirection w:val="lrTb"/>
            <w:noWrap w:val="false"/>
          </w:tcPr>
          <w:p>
            <w:pPr>
              <w:pStyle w:val="1408"/>
              <w:jc w:val="center"/>
              <w:spacing w:before="100" w:after="10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Style w:val="1172"/>
                <w:rFonts w:ascii="Times New Roman" w:hAnsi="Times New Roman" w:eastAsia="Times New Roman" w:cs="Times New Roman"/>
                <w:b/>
                <w:bCs/>
                <w:i w:val="0"/>
                <w:iCs w:val="0"/>
                <w:smallCaps w:val="0"/>
                <w:color w:val="000000" w:themeColor="text1"/>
                <w:sz w:val="24"/>
                <w:szCs w:val="24"/>
                <w:highlight w:val="none"/>
                <w14:textFill>
                  <w14:solidFill>
                    <w14:schemeClr w14:val="tx1"/>
                  </w14:solidFill>
                </w14:textFill>
              </w:rPr>
              <w:t xml:space="preserve">标准内容和要求</w:t>
            </w:r>
            <w:r/>
          </w:p>
        </w:tc>
        <w:tc>
          <w:tcPr>
            <w:tcMar>
              <w:left w:w="108" w:type="dxa"/>
              <w:top w:w="0" w:type="dxa"/>
              <w:right w:w="108" w:type="dxa"/>
              <w:bottom w:w="0" w:type="dxa"/>
            </w:tcMar>
            <w:tcW w:w="1898" w:type="pct"/>
            <w:vAlign w:val="center"/>
            <w:textDirection w:val="lrTb"/>
            <w:noWrap w:val="false"/>
          </w:tcPr>
          <w:p>
            <w:pPr>
              <w:pStyle w:val="1408"/>
              <w:jc w:val="center"/>
              <w:spacing w:before="100" w:after="10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Style w:val="1172"/>
                <w:rFonts w:ascii="Times New Roman" w:hAnsi="Times New Roman" w:eastAsia="Times New Roman" w:cs="Times New Roman"/>
                <w:b/>
                <w:bCs/>
                <w:i w:val="0"/>
                <w:iCs w:val="0"/>
                <w:smallCaps w:val="0"/>
                <w:color w:val="000000" w:themeColor="text1"/>
                <w:sz w:val="24"/>
                <w:szCs w:val="24"/>
                <w:highlight w:val="none"/>
                <w14:textFill>
                  <w14:solidFill>
                    <w14:schemeClr w14:val="tx1"/>
                  </w14:solidFill>
                </w14:textFill>
              </w:rPr>
              <w:t xml:space="preserve">评分标准</w:t>
            </w:r>
            <w:r/>
          </w:p>
        </w:tc>
        <w:tc>
          <w:tcPr>
            <w:tcMar>
              <w:left w:w="108" w:type="dxa"/>
              <w:top w:w="0" w:type="dxa"/>
              <w:right w:w="108" w:type="dxa"/>
              <w:bottom w:w="0" w:type="dxa"/>
            </w:tcMar>
            <w:tcW w:w="435" w:type="pct"/>
            <w:vAlign w:val="center"/>
            <w:textDirection w:val="lrTb"/>
            <w:noWrap w:val="false"/>
          </w:tcPr>
          <w:p>
            <w:pPr>
              <w:pStyle w:val="1408"/>
              <w:jc w:val="center"/>
              <w:spacing w:before="100" w:after="100" w:line="240" w:lineRule="auto"/>
              <w:rPr>
                <w:rStyle w:val="1172"/>
                <w:rFonts w:hint="default" w:ascii="Times New Roman" w:hAnsi="Times New Roman"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pPr>
            <w:r>
              <w:rPr>
                <w:rStyle w:val="1172"/>
                <w:rFonts w:hint="eastAsia" w:eastAsia="宋体" w:cs="Times New Roman"/>
                <w:b/>
                <w:bCs/>
                <w:i w:val="0"/>
                <w:iCs w:val="0"/>
                <w:smallCaps w:val="0"/>
                <w:color w:val="000000" w:themeColor="text1"/>
                <w:sz w:val="24"/>
                <w:szCs w:val="24"/>
                <w:highlight w:val="none"/>
                <w:lang w:val="en-US" w:eastAsia="zh-CN"/>
                <w14:textFill>
                  <w14:solidFill>
                    <w14:schemeClr w14:val="tx1"/>
                  </w14:solidFill>
                </w14:textFill>
              </w:rPr>
              <w:t xml:space="preserve">扣分</w:t>
            </w:r>
            <w:r/>
          </w:p>
        </w:tc>
      </w:tr>
      <w:tr>
        <w:trPr>
          <w:jc w:val="center"/>
          <w:trHeight w:val="567"/>
        </w:trPr>
        <w:tc>
          <w:tcPr>
            <w:tcMar>
              <w:left w:w="108" w:type="dxa"/>
              <w:top w:w="0" w:type="dxa"/>
              <w:right w:w="108" w:type="dxa"/>
              <w:bottom w:w="0" w:type="dxa"/>
            </w:tcMar>
            <w:tcW w:w="368" w:type="pct"/>
            <w:vAlign w:val="center"/>
            <w:textDirection w:val="lrTb"/>
            <w:noWrap w:val="false"/>
          </w:tcPr>
          <w:p>
            <w:pPr>
              <w:pStyle w:val="1408"/>
              <w:jc w:val="center"/>
              <w:spacing w:before="100" w:after="100" w:line="240" w:lineRule="auto"/>
              <w:rPr>
                <w:rStyle w:val="1172"/>
                <w:rFonts w:hint="default"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Style w:val="1172"/>
                <w:rFonts w:hint="default"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1</w:t>
            </w:r>
            <w:r/>
          </w:p>
        </w:tc>
        <w:tc>
          <w:tcPr>
            <w:tcMar>
              <w:left w:w="108" w:type="dxa"/>
              <w:top w:w="0" w:type="dxa"/>
              <w:right w:w="108" w:type="dxa"/>
              <w:bottom w:w="0" w:type="dxa"/>
            </w:tcMar>
            <w:tcW w:w="2297" w:type="pct"/>
            <w:vAlign w:val="center"/>
            <w:textDirection w:val="lrTb"/>
            <w:noWrap w:val="false"/>
          </w:tcPr>
          <w:p>
            <w:pPr>
              <w:jc w:val="left"/>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合同期内</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完成</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治理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及</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普查并出具合格</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报告</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完成对长江重点堤防安全健康评估</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并出具报告</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tc>
        <w:tc>
          <w:tcPr>
            <w:tcMar>
              <w:left w:w="108" w:type="dxa"/>
              <w:top w:w="0" w:type="dxa"/>
              <w:right w:w="108" w:type="dxa"/>
              <w:bottom w:w="0" w:type="dxa"/>
            </w:tcMar>
            <w:tcW w:w="1898" w:type="pct"/>
            <w:vAlign w:val="center"/>
            <w:textDirection w:val="lrTb"/>
            <w:noWrap w:val="false"/>
          </w:tcPr>
          <w:p>
            <w:pPr>
              <w:jc w:val="left"/>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2025年10月底完成</w:t>
            </w: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《2024年度白蚁等害堤动物普查及治理项目》中已普查到的受害堤防</w:t>
            </w:r>
            <w:r>
              <w:rPr>
                <w:rFonts w:hint="eastAsia" w:ascii="Times New Roman" w:hAnsi="Times New Roman" w:cs="Times New Roman"/>
                <w:color w:val="000000" w:themeColor="text1"/>
                <w:sz w:val="24"/>
                <w:szCs w:val="24"/>
                <w:highlight w:val="none"/>
                <w:lang w:val="en-US" w:eastAsia="zh-CN" w:bidi="ar-SA"/>
                <w14:textFill>
                  <w14:solidFill>
                    <w14:schemeClr w14:val="tx1"/>
                  </w14:solidFill>
                </w14:textFill>
              </w:rPr>
              <w:t xml:space="preserve">的治理</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并出具报告，未完成</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延迟一天扣</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20分；2026年4月底完成2025年普查并出具报告，</w:t>
            </w:r>
            <w:r>
              <w:rPr>
                <w:rFonts w:hint="eastAsia" w:ascii="宋体" w:hAnsi="宋体" w:cs="宋体"/>
                <w:color w:val="000000" w:themeColor="text1"/>
                <w:sz w:val="24"/>
                <w:szCs w:val="24"/>
                <w:highlight w:val="none"/>
                <w:lang w:val="en-US" w:eastAsia="zh-CN"/>
                <w14:textFill>
                  <w14:solidFill>
                    <w14:schemeClr w14:val="tx1"/>
                  </w14:solidFill>
                </w14:textFill>
              </w:rPr>
              <w:t xml:space="preserve">完成对长江重点堤防安全健康评估</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并出具报告</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未完成</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延迟一天扣</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10分。</w:t>
            </w:r>
            <w:r/>
          </w:p>
        </w:tc>
        <w:tc>
          <w:tcPr>
            <w:tcMar>
              <w:left w:w="108" w:type="dxa"/>
              <w:top w:w="0" w:type="dxa"/>
              <w:right w:w="108" w:type="dxa"/>
              <w:bottom w:w="0" w:type="dxa"/>
            </w:tcMar>
            <w:tcW w:w="435" w:type="pct"/>
            <w:vAlign w:val="center"/>
            <w:textDirection w:val="lrTb"/>
            <w:noWrap w:val="false"/>
          </w:tcPr>
          <w:p>
            <w:pPr>
              <w:pStyle w:val="1408"/>
              <w:jc w:val="center"/>
              <w:spacing w:before="100" w:after="10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r>
            <w:r/>
          </w:p>
        </w:tc>
      </w:tr>
      <w:tr>
        <w:trPr>
          <w:jc w:val="center"/>
          <w:trHeight w:val="567"/>
        </w:trPr>
        <w:tc>
          <w:tcPr>
            <w:tcMar>
              <w:left w:w="108" w:type="dxa"/>
              <w:top w:w="0" w:type="dxa"/>
              <w:right w:w="108" w:type="dxa"/>
              <w:bottom w:w="0" w:type="dxa"/>
            </w:tcMar>
            <w:tcW w:w="368" w:type="pct"/>
            <w:vAlign w:val="center"/>
            <w:textDirection w:val="lrTb"/>
            <w:noWrap w:val="false"/>
          </w:tcPr>
          <w:p>
            <w:pPr>
              <w:pStyle w:val="1408"/>
              <w:jc w:val="center"/>
              <w:spacing w:before="100" w:after="100" w:line="240" w:lineRule="auto"/>
              <w:rPr>
                <w:rStyle w:val="1172"/>
                <w:rFonts w:hint="default"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Style w:val="1172"/>
                <w:rFonts w:hint="default"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2</w:t>
            </w:r>
            <w:r/>
          </w:p>
        </w:tc>
        <w:tc>
          <w:tcPr>
            <w:tcMar>
              <w:left w:w="108" w:type="dxa"/>
              <w:top w:w="0" w:type="dxa"/>
              <w:right w:w="108" w:type="dxa"/>
              <w:bottom w:w="0" w:type="dxa"/>
            </w:tcMar>
            <w:tcW w:w="2297" w:type="pct"/>
            <w:vAlign w:val="center"/>
            <w:textDirection w:val="lrTb"/>
            <w:noWrap w:val="false"/>
          </w:tcPr>
          <w:p>
            <w:pPr>
              <w:jc w:val="left"/>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每次</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普查</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后按实际情况</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安装引诱桩</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2100个</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，引诱装置</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800</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个</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w:t>
            </w:r>
            <w:r/>
          </w:p>
        </w:tc>
        <w:tc>
          <w:tcPr>
            <w:tcMar>
              <w:left w:w="108" w:type="dxa"/>
              <w:top w:w="0" w:type="dxa"/>
              <w:right w:w="108" w:type="dxa"/>
              <w:bottom w:w="0" w:type="dxa"/>
            </w:tcMar>
            <w:tcW w:w="1898" w:type="pct"/>
            <w:vAlign w:val="center"/>
            <w:textDirection w:val="lrTb"/>
            <w:noWrap w:val="false"/>
          </w:tcPr>
          <w:p>
            <w:pPr>
              <w:jc w:val="left"/>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引诱桩少完成一根扣</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3分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，引诱装置少完成一个扣</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7分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，电子监测装置少完成一个扣</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10分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p>
        </w:tc>
        <w:tc>
          <w:tcPr>
            <w:tcMar>
              <w:left w:w="108" w:type="dxa"/>
              <w:top w:w="0" w:type="dxa"/>
              <w:right w:w="108" w:type="dxa"/>
              <w:bottom w:w="0" w:type="dxa"/>
            </w:tcMar>
            <w:tcW w:w="435" w:type="pct"/>
            <w:vAlign w:val="center"/>
            <w:textDirection w:val="lrTb"/>
            <w:noWrap w:val="false"/>
          </w:tcPr>
          <w:p>
            <w:pPr>
              <w:pStyle w:val="1408"/>
              <w:jc w:val="center"/>
              <w:spacing w:before="100" w:after="10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r>
            <w:r/>
          </w:p>
        </w:tc>
      </w:tr>
      <w:tr>
        <w:trPr>
          <w:jc w:val="center"/>
          <w:trHeight w:val="833"/>
        </w:trPr>
        <w:tc>
          <w:tcPr>
            <w:tcMar>
              <w:left w:w="108" w:type="dxa"/>
              <w:top w:w="0" w:type="dxa"/>
              <w:right w:w="108" w:type="dxa"/>
              <w:bottom w:w="0" w:type="dxa"/>
            </w:tcMar>
            <w:tcW w:w="368" w:type="pct"/>
            <w:vAlign w:val="center"/>
            <w:textDirection w:val="lrTb"/>
            <w:noWrap w:val="false"/>
          </w:tcPr>
          <w:p>
            <w:pPr>
              <w:pStyle w:val="1408"/>
              <w:jc w:val="center"/>
              <w:spacing w:before="100" w:after="100" w:line="240" w:lineRule="auto"/>
              <w:rPr>
                <w:rStyle w:val="1172"/>
                <w:rFonts w:hint="default"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Style w:val="1172"/>
                <w:rFonts w:hint="default"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3</w:t>
            </w:r>
            <w:r/>
          </w:p>
        </w:tc>
        <w:tc>
          <w:tcPr>
            <w:tcMar>
              <w:left w:w="108" w:type="dxa"/>
              <w:top w:w="0" w:type="dxa"/>
              <w:right w:w="108" w:type="dxa"/>
              <w:bottom w:w="0" w:type="dxa"/>
            </w:tcMar>
            <w:tcW w:w="2297" w:type="pct"/>
            <w:vAlign w:val="center"/>
            <w:textDirection w:val="lrTb"/>
            <w:noWrap w:val="false"/>
          </w:tcPr>
          <w:p>
            <w:pPr>
              <w:jc w:val="left"/>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对《2024年度白蚁等害堤动物普查及治理项目》中已普查到的受害堤防</w:t>
            </w:r>
            <w:r>
              <w:rPr>
                <w:rFonts w:hint="eastAsia" w:ascii="Times New Roman" w:hAnsi="Times New Roman" w:cs="Times New Roman"/>
                <w:color w:val="000000" w:themeColor="text1"/>
                <w:sz w:val="24"/>
                <w:szCs w:val="24"/>
                <w:highlight w:val="none"/>
                <w:lang w:val="en-US" w:eastAsia="zh-CN" w:bidi="ar-SA"/>
                <w14:textFill>
                  <w14:solidFill>
                    <w14:schemeClr w14:val="tx1"/>
                  </w14:solidFill>
                </w14:textFill>
              </w:rPr>
              <w:t xml:space="preserve">及本标段的普查到的受害堤防进行治理，并埋设信息化智能预警监测装置。</w:t>
            </w:r>
            <w:r/>
          </w:p>
        </w:tc>
        <w:tc>
          <w:tcPr>
            <w:tcMar>
              <w:left w:w="108" w:type="dxa"/>
              <w:top w:w="0" w:type="dxa"/>
              <w:right w:w="108" w:type="dxa"/>
              <w:bottom w:w="0" w:type="dxa"/>
            </w:tcMar>
            <w:tcW w:w="1898" w:type="pct"/>
            <w:vAlign w:val="center"/>
            <w:textDirection w:val="lrTb"/>
            <w:noWrap w:val="false"/>
          </w:tcPr>
          <w:p>
            <w:pPr>
              <w:jc w:val="left"/>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对普查到的白蚁等害堤动物治理少一处扣</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10分，埋设</w:t>
            </w:r>
            <w:r>
              <w:rPr>
                <w:rFonts w:hint="eastAsia" w:ascii="Times New Roman" w:hAnsi="Times New Roman" w:cs="Times New Roman"/>
                <w:color w:val="000000" w:themeColor="text1"/>
                <w:sz w:val="24"/>
                <w:szCs w:val="24"/>
                <w:highlight w:val="none"/>
                <w:lang w:val="en-US" w:eastAsia="zh-CN" w:bidi="ar-SA"/>
                <w14:textFill>
                  <w14:solidFill>
                    <w14:schemeClr w14:val="tx1"/>
                  </w14:solidFill>
                </w14:textFill>
              </w:rPr>
              <w:t xml:space="preserve">信息化智能预警监测装置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少一处扣</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10分。</w:t>
            </w:r>
            <w:r/>
          </w:p>
        </w:tc>
        <w:tc>
          <w:tcPr>
            <w:tcMar>
              <w:left w:w="108" w:type="dxa"/>
              <w:top w:w="0" w:type="dxa"/>
              <w:right w:w="108" w:type="dxa"/>
              <w:bottom w:w="0" w:type="dxa"/>
            </w:tcMar>
            <w:tcW w:w="435" w:type="pct"/>
            <w:vAlign w:val="center"/>
            <w:textDirection w:val="lrTb"/>
            <w:noWrap w:val="false"/>
          </w:tcPr>
          <w:p>
            <w:pPr>
              <w:pStyle w:val="1408"/>
              <w:jc w:val="center"/>
              <w:spacing w:before="100" w:after="10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r>
            <w:r/>
          </w:p>
        </w:tc>
      </w:tr>
      <w:tr>
        <w:trPr>
          <w:jc w:val="center"/>
          <w:trHeight w:val="725"/>
        </w:trPr>
        <w:tc>
          <w:tcPr>
            <w:tcMar>
              <w:left w:w="108" w:type="dxa"/>
              <w:top w:w="0" w:type="dxa"/>
              <w:right w:w="108" w:type="dxa"/>
              <w:bottom w:w="0" w:type="dxa"/>
            </w:tcMar>
            <w:tcW w:w="368" w:type="pct"/>
            <w:vAlign w:val="center"/>
            <w:textDirection w:val="lrTb"/>
            <w:noWrap w:val="false"/>
          </w:tcPr>
          <w:p>
            <w:pPr>
              <w:pStyle w:val="1408"/>
              <w:jc w:val="center"/>
              <w:spacing w:before="100" w:after="100" w:line="240" w:lineRule="auto"/>
              <w:rPr>
                <w:rStyle w:val="1172"/>
                <w:rFonts w:hint="default" w:ascii="Times New Roman" w:hAnsi="Times New Roman" w:eastAsia="宋体" w:cs="Times New Roman"/>
                <w:b w:val="0"/>
                <w:bCs w:val="0"/>
                <w:i w:val="0"/>
                <w:iCs w:val="0"/>
                <w:smallCaps w:val="0"/>
                <w:color w:val="000000" w:themeColor="text1"/>
                <w:sz w:val="24"/>
                <w:szCs w:val="24"/>
                <w:highlight w:val="none"/>
                <w:lang w:eastAsia="zh-CN"/>
                <w14:textFill>
                  <w14:solidFill>
                    <w14:schemeClr w14:val="tx1"/>
                  </w14:solidFill>
                </w14:textFill>
              </w:rPr>
            </w:pPr>
            <w:r>
              <w:rPr>
                <w:rStyle w:val="1172"/>
                <w:rFonts w:hint="default" w:ascii="Times New Roman" w:hAnsi="Times New Roman"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t xml:space="preserve">4</w:t>
            </w:r>
            <w:r/>
          </w:p>
        </w:tc>
        <w:tc>
          <w:tcPr>
            <w:tcMar>
              <w:left w:w="108" w:type="dxa"/>
              <w:top w:w="0" w:type="dxa"/>
              <w:right w:w="108" w:type="dxa"/>
              <w:bottom w:w="0" w:type="dxa"/>
            </w:tcMar>
            <w:tcW w:w="2297" w:type="pct"/>
            <w:vAlign w:val="center"/>
            <w:textDirection w:val="lrTb"/>
            <w:noWrap w:val="false"/>
          </w:tcPr>
          <w:p>
            <w:pPr>
              <w:jc w:val="left"/>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中标人</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须</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在</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24</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小时内到达白蚁信息化智能监测系统的报警点进行处理。</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任务响应不及时、服务态度不好、工作方法方式简单粗暴或违规违法的。</w:t>
            </w:r>
            <w:r/>
          </w:p>
        </w:tc>
        <w:tc>
          <w:tcPr>
            <w:tcMar>
              <w:left w:w="108" w:type="dxa"/>
              <w:top w:w="0" w:type="dxa"/>
              <w:right w:w="108" w:type="dxa"/>
              <w:bottom w:w="0" w:type="dxa"/>
            </w:tcMar>
            <w:tcW w:w="1898" w:type="pct"/>
            <w:vAlign w:val="center"/>
            <w:textDirection w:val="lrTb"/>
            <w:noWrap w:val="false"/>
          </w:tcPr>
          <w:p>
            <w:pPr>
              <w:jc w:val="left"/>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未及时响应一次扣</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10分。</w:t>
            </w:r>
            <w:r/>
          </w:p>
        </w:tc>
        <w:tc>
          <w:tcPr>
            <w:tcMar>
              <w:left w:w="108" w:type="dxa"/>
              <w:top w:w="0" w:type="dxa"/>
              <w:right w:w="108" w:type="dxa"/>
              <w:bottom w:w="0" w:type="dxa"/>
            </w:tcMar>
            <w:tcW w:w="435" w:type="pct"/>
            <w:vAlign w:val="center"/>
            <w:textDirection w:val="lrTb"/>
            <w:noWrap w:val="false"/>
          </w:tcPr>
          <w:p>
            <w:pPr>
              <w:pStyle w:val="1408"/>
              <w:jc w:val="center"/>
              <w:spacing w:before="100" w:after="10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r>
            <w:r/>
          </w:p>
        </w:tc>
      </w:tr>
      <w:tr>
        <w:trPr>
          <w:jc w:val="center"/>
          <w:trHeight w:val="687"/>
        </w:trPr>
        <w:tc>
          <w:tcPr>
            <w:tcMar>
              <w:left w:w="108" w:type="dxa"/>
              <w:top w:w="0" w:type="dxa"/>
              <w:right w:w="108" w:type="dxa"/>
              <w:bottom w:w="0" w:type="dxa"/>
            </w:tcMar>
            <w:tcW w:w="368" w:type="pct"/>
            <w:vAlign w:val="center"/>
            <w:textDirection w:val="lrTb"/>
            <w:noWrap w:val="false"/>
          </w:tcPr>
          <w:p>
            <w:pPr>
              <w:pStyle w:val="1408"/>
              <w:jc w:val="center"/>
              <w:spacing w:before="100" w:after="100" w:line="240" w:lineRule="auto"/>
              <w:rPr>
                <w:rStyle w:val="1172"/>
                <w:rFonts w:hint="default" w:ascii="Times New Roman" w:hAnsi="Times New Roman" w:eastAsia="宋体" w:cs="Times New Roman"/>
                <w:b w:val="0"/>
                <w:bCs w:val="0"/>
                <w:i w:val="0"/>
                <w:iCs w:val="0"/>
                <w:smallCaps w:val="0"/>
                <w:color w:val="000000" w:themeColor="text1"/>
                <w:sz w:val="24"/>
                <w:szCs w:val="24"/>
                <w:highlight w:val="none"/>
                <w:lang w:eastAsia="zh-CN"/>
                <w14:textFill>
                  <w14:solidFill>
                    <w14:schemeClr w14:val="tx1"/>
                  </w14:solidFill>
                </w14:textFill>
              </w:rPr>
            </w:pPr>
            <w:r>
              <w:rPr>
                <w:rStyle w:val="1172"/>
                <w:rFonts w:hint="default" w:ascii="Times New Roman" w:hAnsi="Times New Roman"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t xml:space="preserve">5</w:t>
            </w:r>
            <w:r/>
          </w:p>
        </w:tc>
        <w:tc>
          <w:tcPr>
            <w:tcMar>
              <w:left w:w="108" w:type="dxa"/>
              <w:top w:w="0" w:type="dxa"/>
              <w:right w:w="108" w:type="dxa"/>
              <w:bottom w:w="0" w:type="dxa"/>
            </w:tcMar>
            <w:tcW w:w="2297" w:type="pct"/>
            <w:vAlign w:val="center"/>
            <w:textDirection w:val="lrTb"/>
            <w:noWrap w:val="false"/>
          </w:tcPr>
          <w:p>
            <w:pPr>
              <w:jc w:val="left"/>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项目负责人：</w:t>
            </w:r>
            <w:r>
              <w:rPr>
                <w:rStyle w:val="1358"/>
                <w:rFonts w:hint="default" w:ascii="Times New Roman" w:hAnsi="Times New Roman" w:eastAsia="宋体" w:cs="Times New Roman"/>
                <w:color w:val="000000" w:themeColor="text1"/>
                <w:sz w:val="24"/>
                <w:szCs w:val="24"/>
                <w:highlight w:val="none"/>
                <w14:textFill>
                  <w14:solidFill>
                    <w14:schemeClr w14:val="tx1"/>
                  </w14:solidFill>
                </w14:textFill>
              </w:rPr>
              <w:t xml:space="preserve">担任本项目负责人工作期间，必须每天到达现场打卡</w:t>
            </w:r>
            <w:r>
              <w:rPr>
                <w:rStyle w:val="1358"/>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1898" w:type="pct"/>
            <w:vAlign w:val="center"/>
            <w:textDirection w:val="lrTb"/>
            <w:noWrap w:val="false"/>
          </w:tcPr>
          <w:p>
            <w:pPr>
              <w:jc w:val="left"/>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少打卡一天扣</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3分。</w:t>
            </w:r>
            <w:r/>
          </w:p>
        </w:tc>
        <w:tc>
          <w:tcPr>
            <w:tcMar>
              <w:left w:w="108" w:type="dxa"/>
              <w:top w:w="0" w:type="dxa"/>
              <w:right w:w="108" w:type="dxa"/>
              <w:bottom w:w="0" w:type="dxa"/>
            </w:tcMar>
            <w:tcW w:w="435" w:type="pct"/>
            <w:vAlign w:val="center"/>
            <w:textDirection w:val="lrTb"/>
            <w:noWrap w:val="false"/>
          </w:tcPr>
          <w:p>
            <w:pPr>
              <w:pStyle w:val="1408"/>
              <w:jc w:val="center"/>
              <w:spacing w:before="100" w:after="10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r>
            <w:r/>
          </w:p>
        </w:tc>
      </w:tr>
      <w:tr>
        <w:trPr>
          <w:jc w:val="center"/>
          <w:trHeight w:val="687"/>
        </w:trPr>
        <w:tc>
          <w:tcPr>
            <w:tcMar>
              <w:left w:w="108" w:type="dxa"/>
              <w:top w:w="0" w:type="dxa"/>
              <w:right w:w="108" w:type="dxa"/>
              <w:bottom w:w="0" w:type="dxa"/>
            </w:tcMar>
            <w:tcW w:w="368" w:type="pct"/>
            <w:vAlign w:val="center"/>
            <w:textDirection w:val="lrTb"/>
            <w:noWrap w:val="false"/>
          </w:tcPr>
          <w:p>
            <w:pPr>
              <w:pStyle w:val="1408"/>
              <w:jc w:val="center"/>
              <w:spacing w:before="100" w:after="100" w:line="240" w:lineRule="auto"/>
              <w:rPr>
                <w:rStyle w:val="1172"/>
                <w:rFonts w:hint="default" w:ascii="Times New Roman" w:hAnsi="Times New Roman" w:eastAsia="宋体" w:cs="Times New Roman"/>
                <w:b w:val="0"/>
                <w:bCs w:val="0"/>
                <w:i w:val="0"/>
                <w:iCs w:val="0"/>
                <w:smallCaps w:val="0"/>
                <w:color w:val="000000" w:themeColor="text1"/>
                <w:sz w:val="24"/>
                <w:szCs w:val="24"/>
                <w:highlight w:val="none"/>
                <w:lang w:eastAsia="zh-CN"/>
                <w14:textFill>
                  <w14:solidFill>
                    <w14:schemeClr w14:val="tx1"/>
                  </w14:solidFill>
                </w14:textFill>
              </w:rPr>
            </w:pPr>
            <w:r>
              <w:rPr>
                <w:rStyle w:val="1172"/>
                <w:rFonts w:hint="default" w:ascii="Times New Roman" w:hAnsi="Times New Roman"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t xml:space="preserve">6</w:t>
            </w:r>
            <w:r/>
          </w:p>
        </w:tc>
        <w:tc>
          <w:tcPr>
            <w:tcMar>
              <w:left w:w="108" w:type="dxa"/>
              <w:top w:w="0" w:type="dxa"/>
              <w:right w:w="108" w:type="dxa"/>
              <w:bottom w:w="0" w:type="dxa"/>
            </w:tcMar>
            <w:tcW w:w="2297" w:type="pct"/>
            <w:vAlign w:val="center"/>
            <w:textDirection w:val="lrTb"/>
            <w:noWrap w:val="false"/>
          </w:tcPr>
          <w:p>
            <w:pPr>
              <w:pStyle w:val="1408"/>
              <w:jc w:val="left"/>
              <w:spacing w:before="100" w:after="100" w:line="240" w:lineRule="auto"/>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pacing w:val="0"/>
                <w:sz w:val="24"/>
                <w:szCs w:val="24"/>
                <w:highlight w:val="none"/>
                <w:shd w:val="clear" w:color="auto" w:fill="auto"/>
                <w:lang w:val="zh-CN" w:eastAsia="zh-CN" w:bidi="ar-SA"/>
                <w14:textFill>
                  <w14:solidFill>
                    <w14:schemeClr w14:val="tx1"/>
                  </w14:solidFill>
                </w14:textFill>
              </w:rPr>
              <w:t xml:space="preserve">制定项目安全实施管理措施，并严格遵守安全管理要求，</w:t>
            </w:r>
            <w:r>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保证自身安全</w:t>
            </w:r>
            <w:r>
              <w:rPr>
                <w:rStyle w:val="1172"/>
                <w:rFonts w:hint="eastAsia" w:eastAsia="宋体" w:cs="Times New Roman"/>
                <w:b w:val="0"/>
                <w:bCs w:val="0"/>
                <w:i w:val="0"/>
                <w:iCs w:val="0"/>
                <w:smallCaps w:val="0"/>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1898" w:type="pct"/>
            <w:vAlign w:val="center"/>
            <w:textDirection w:val="lrTb"/>
            <w:noWrap w:val="false"/>
          </w:tcPr>
          <w:p>
            <w:pPr>
              <w:pStyle w:val="1408"/>
              <w:jc w:val="left"/>
              <w:spacing w:before="100" w:after="100" w:line="240" w:lineRule="auto"/>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未做到，一次扣</w:t>
            </w:r>
            <w:r>
              <w:rPr>
                <w:rStyle w:val="1172"/>
                <w:rFonts w:hint="eastAsia"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t xml:space="preserve">7</w:t>
            </w:r>
            <w:r>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分</w:t>
            </w:r>
            <w:r>
              <w:rPr>
                <w:rStyle w:val="1172"/>
                <w:rFonts w:hint="eastAsia" w:eastAsia="宋体" w:cs="Times New Roman"/>
                <w:b w:val="0"/>
                <w:bCs w:val="0"/>
                <w:i w:val="0"/>
                <w:iCs w:val="0"/>
                <w:smallCaps w:val="0"/>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435" w:type="pct"/>
            <w:vAlign w:val="center"/>
            <w:textDirection w:val="lrTb"/>
            <w:noWrap w:val="false"/>
          </w:tcPr>
          <w:p>
            <w:pPr>
              <w:pStyle w:val="1408"/>
              <w:jc w:val="center"/>
              <w:spacing w:before="100" w:after="100" w:line="240" w:lineRule="auto"/>
              <w:rPr>
                <w:rStyle w:val="1172"/>
                <w:rFonts w:hint="default" w:ascii="Times New Roman" w:hAnsi="Times New Roman"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r>
            <w:r/>
          </w:p>
        </w:tc>
      </w:tr>
      <w:tr>
        <w:trPr>
          <w:jc w:val="center"/>
          <w:trHeight w:val="687"/>
        </w:trPr>
        <w:tc>
          <w:tcPr>
            <w:tcMar>
              <w:left w:w="108" w:type="dxa"/>
              <w:top w:w="0" w:type="dxa"/>
              <w:right w:w="108" w:type="dxa"/>
              <w:bottom w:w="0" w:type="dxa"/>
            </w:tcMar>
            <w:tcW w:w="368" w:type="pct"/>
            <w:vAlign w:val="center"/>
            <w:textDirection w:val="lrTb"/>
            <w:noWrap w:val="false"/>
          </w:tcPr>
          <w:p>
            <w:pPr>
              <w:pStyle w:val="1408"/>
              <w:jc w:val="center"/>
              <w:spacing w:before="100" w:after="100" w:line="240" w:lineRule="auto"/>
              <w:rPr>
                <w:rStyle w:val="1172"/>
                <w:rFonts w:hint="default" w:ascii="Times New Roman" w:hAnsi="Times New Roman"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pPr>
            <w:r>
              <w:rPr>
                <w:rStyle w:val="1172"/>
                <w:rFonts w:hint="eastAsia"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t xml:space="preserve">7</w:t>
            </w:r>
            <w:r/>
          </w:p>
        </w:tc>
        <w:tc>
          <w:tcPr>
            <w:tcMar>
              <w:left w:w="108" w:type="dxa"/>
              <w:top w:w="0" w:type="dxa"/>
              <w:right w:w="108" w:type="dxa"/>
              <w:bottom w:w="0" w:type="dxa"/>
            </w:tcMar>
            <w:tcW w:w="2297" w:type="pct"/>
            <w:vAlign w:val="center"/>
            <w:textDirection w:val="lrTb"/>
            <w:noWrap w:val="false"/>
          </w:tcPr>
          <w:p>
            <w:pPr>
              <w:jc w:val="left"/>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按照合同规定的服务内容、服务要求、服务时限，开展技术活动，并对其承担的服务业务的真实性、客观性、科学性、准确性负责。</w:t>
            </w:r>
            <w:r/>
          </w:p>
        </w:tc>
        <w:tc>
          <w:tcPr>
            <w:tcMar>
              <w:left w:w="108" w:type="dxa"/>
              <w:top w:w="0" w:type="dxa"/>
              <w:right w:w="108" w:type="dxa"/>
              <w:bottom w:w="0" w:type="dxa"/>
            </w:tcMar>
            <w:tcW w:w="1898" w:type="pct"/>
            <w:vAlign w:val="center"/>
            <w:textDirection w:val="lrTb"/>
            <w:noWrap w:val="false"/>
          </w:tcPr>
          <w:p>
            <w:pPr>
              <w:jc w:val="left"/>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未做到的，一次扣10分。</w:t>
            </w:r>
            <w:r/>
          </w:p>
        </w:tc>
        <w:tc>
          <w:tcPr>
            <w:tcMar>
              <w:left w:w="108" w:type="dxa"/>
              <w:top w:w="0" w:type="dxa"/>
              <w:right w:w="108" w:type="dxa"/>
              <w:bottom w:w="0" w:type="dxa"/>
            </w:tcMar>
            <w:tcW w:w="435" w:type="pct"/>
            <w:vAlign w:val="center"/>
            <w:textDirection w:val="lrTb"/>
            <w:noWrap w:val="false"/>
          </w:tcPr>
          <w:p>
            <w:pPr>
              <w:pStyle w:val="1408"/>
              <w:jc w:val="center"/>
              <w:spacing w:before="100" w:after="10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r>
            <w:r/>
          </w:p>
        </w:tc>
      </w:tr>
      <w:tr>
        <w:trPr>
          <w:jc w:val="center"/>
          <w:trHeight w:val="687"/>
        </w:trPr>
        <w:tc>
          <w:tcPr>
            <w:tcMar>
              <w:left w:w="108" w:type="dxa"/>
              <w:top w:w="0" w:type="dxa"/>
              <w:right w:w="108" w:type="dxa"/>
              <w:bottom w:w="0" w:type="dxa"/>
            </w:tcMar>
            <w:tcW w:w="368" w:type="pct"/>
            <w:vAlign w:val="center"/>
            <w:textDirection w:val="lrTb"/>
            <w:noWrap w:val="false"/>
          </w:tcPr>
          <w:p>
            <w:pPr>
              <w:pStyle w:val="1408"/>
              <w:jc w:val="center"/>
              <w:spacing w:before="100" w:after="100" w:line="240" w:lineRule="auto"/>
              <w:rPr>
                <w:rStyle w:val="1172"/>
                <w:rFonts w:hint="default"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pPr>
            <w:r>
              <w:rPr>
                <w:rStyle w:val="1172"/>
                <w:rFonts w:hint="eastAsia"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t xml:space="preserve">8</w:t>
            </w:r>
            <w:r/>
          </w:p>
        </w:tc>
        <w:tc>
          <w:tcPr>
            <w:tcMar>
              <w:left w:w="108" w:type="dxa"/>
              <w:top w:w="0" w:type="dxa"/>
              <w:right w:w="108" w:type="dxa"/>
              <w:bottom w:w="0" w:type="dxa"/>
            </w:tcMar>
            <w:tcW w:w="2297" w:type="pct"/>
            <w:vAlign w:val="center"/>
            <w:textDirection w:val="lrTb"/>
            <w:noWrap w:val="false"/>
          </w:tcPr>
          <w:p>
            <w:pPr>
              <w:jc w:val="left"/>
              <w:rPr>
                <w:rFonts w:hint="eastAsia" w:ascii="Times New Roman" w:hAnsi="Times New Roman" w:cs="Times New Roman"/>
                <w:color w:val="000000" w:themeColor="text1"/>
                <w:sz w:val="24"/>
                <w:szCs w:val="24"/>
                <w:highlight w:val="none"/>
                <w:lang w:val="en-US" w:eastAsia="zh-CN"/>
                <w14:textFill>
                  <w14:solidFill>
                    <w14:schemeClr w14:val="tx1"/>
                  </w14:solidFill>
                </w14:textFill>
              </w:rPr>
            </w:pPr>
            <w:r>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不得逾越工作权限；不得在</w:t>
            </w:r>
            <w:r>
              <w:rPr>
                <w:rStyle w:val="1172"/>
                <w:rFonts w:hint="eastAsia"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t xml:space="preserve">采购人</w:t>
            </w:r>
            <w:r>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未知情的情况下独自开展活动；不得假借政府部门及其工作人员名义或采取不正当手段获取利益；不得借机推销产品或服务；不得进行商业贿赂或其他经济违法行为。</w:t>
            </w:r>
            <w:r/>
          </w:p>
        </w:tc>
        <w:tc>
          <w:tcPr>
            <w:tcMar>
              <w:left w:w="108" w:type="dxa"/>
              <w:top w:w="0" w:type="dxa"/>
              <w:right w:w="108" w:type="dxa"/>
              <w:bottom w:w="0" w:type="dxa"/>
            </w:tcMar>
            <w:tcW w:w="1898" w:type="pct"/>
            <w:vAlign w:val="center"/>
            <w:textDirection w:val="lrTb"/>
            <w:noWrap w:val="false"/>
          </w:tcPr>
          <w:p>
            <w:pPr>
              <w:jc w:val="left"/>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查实一次，扣10分。情节严重的，终止合同，另行处理</w:t>
            </w:r>
            <w:r>
              <w:rPr>
                <w:rStyle w:val="1172"/>
                <w:rFonts w:hint="eastAsia" w:eastAsia="宋体" w:cs="Times New Roman"/>
                <w:b w:val="0"/>
                <w:bCs w:val="0"/>
                <w:i w:val="0"/>
                <w:iCs w:val="0"/>
                <w:smallCaps w:val="0"/>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435" w:type="pct"/>
            <w:vAlign w:val="center"/>
            <w:textDirection w:val="lrTb"/>
            <w:noWrap w:val="false"/>
          </w:tcPr>
          <w:p>
            <w:pPr>
              <w:pStyle w:val="1408"/>
              <w:jc w:val="center"/>
              <w:spacing w:before="100" w:after="10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r>
            <w:r/>
          </w:p>
        </w:tc>
      </w:tr>
      <w:tr>
        <w:trPr>
          <w:jc w:val="center"/>
          <w:trHeight w:val="567"/>
        </w:trPr>
        <w:tc>
          <w:tcPr>
            <w:gridSpan w:val="4"/>
            <w:tcMar>
              <w:left w:w="108" w:type="dxa"/>
              <w:top w:w="0" w:type="dxa"/>
              <w:right w:w="108" w:type="dxa"/>
              <w:bottom w:w="0" w:type="dxa"/>
            </w:tcMar>
            <w:tcW w:w="5000" w:type="pct"/>
            <w:vAlign w:val="top"/>
            <w:textDirection w:val="lrTb"/>
            <w:noWrap w:val="false"/>
          </w:tcPr>
          <w:p>
            <w:pPr>
              <w:pStyle w:val="1408"/>
              <w:jc w:val="left"/>
              <w:spacing w:after="24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扣</w:t>
            </w:r>
            <w:r>
              <w:rPr>
                <w:rStyle w:val="1172"/>
                <w:rFonts w:hint="eastAsia"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t xml:space="preserve">分</w:t>
            </w:r>
            <w:r>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情况说明：</w:t>
            </w:r>
            <w:r/>
          </w:p>
          <w:p>
            <w:pPr>
              <w:pStyle w:val="1408"/>
              <w:jc w:val="both"/>
              <w:spacing w:before="240" w:after="24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r>
            <w:r/>
          </w:p>
          <w:p>
            <w:pPr>
              <w:pStyle w:val="1408"/>
              <w:jc w:val="both"/>
              <w:spacing w:before="240" w:after="24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r>
            <w:r/>
          </w:p>
          <w:p>
            <w:pPr>
              <w:pStyle w:val="1408"/>
              <w:ind w:firstLine="5040"/>
              <w:jc w:val="both"/>
              <w:spacing w:before="240" w:after="24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被考核单位：</w:t>
            </w:r>
            <w:r/>
          </w:p>
          <w:p>
            <w:pPr>
              <w:pStyle w:val="1408"/>
              <w:ind w:firstLine="5280"/>
              <w:jc w:val="both"/>
              <w:spacing w:before="240" w:after="24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考核人员：</w:t>
            </w:r>
            <w:r/>
          </w:p>
          <w:p>
            <w:pPr>
              <w:pStyle w:val="1408"/>
              <w:ind w:firstLine="5760"/>
              <w:jc w:val="both"/>
              <w:spacing w:before="24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日期：</w:t>
            </w:r>
            <w:r/>
          </w:p>
        </w:tc>
      </w:tr>
    </w:tbl>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注：采购人</w:t>
      </w:r>
      <w:r>
        <w:rPr>
          <w:rStyle w:val="1358"/>
          <w:rFonts w:hint="default" w:ascii="宋体" w:hAnsi="宋体" w:eastAsia="宋体" w:cs="宋体"/>
          <w:b/>
          <w:bCs/>
          <w:color w:val="000000" w:themeColor="text1"/>
          <w:sz w:val="24"/>
          <w:szCs w:val="24"/>
          <w:highlight w:val="none"/>
          <w:lang w:val="en-US" w:eastAsia="zh-CN"/>
          <w14:textFill>
            <w14:solidFill>
              <w14:schemeClr w14:val="tx1"/>
            </w14:solidFill>
          </w14:textFill>
        </w:rPr>
        <w:t xml:space="preserve">有权在服务期内根据实际情况提出修改考核细则</w:t>
      </w:r>
      <w:r>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numPr>
          <w:ilvl w:val="0"/>
          <w:numId w:val="2"/>
        </w:numPr>
        <w:rPr>
          <w:rFonts w:hint="eastAsia" w:ascii="宋体" w:hAnsi="宋体" w:cs="宋体"/>
          <w:b/>
          <w:color w:val="000000" w:themeColor="text1"/>
          <w:sz w:val="28"/>
          <w:szCs w:val="28"/>
          <w:highlight w:val="none"/>
          <w:lang w:eastAsia="zh-CN"/>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技术要求</w:t>
      </w:r>
      <w:r>
        <w:rPr>
          <w:rFonts w:hint="eastAsia" w:ascii="宋体" w:hAnsi="宋体" w:cs="宋体"/>
          <w:b/>
          <w:color w:val="000000" w:themeColor="text1"/>
          <w:sz w:val="28"/>
          <w:szCs w:val="28"/>
          <w:highlight w:val="none"/>
          <w:lang w:eastAsia="zh-CN"/>
          <w14:textFill>
            <w14:solidFill>
              <w14:schemeClr w14:val="tx1"/>
            </w14:solidFill>
          </w14:textFill>
        </w:rPr>
        <w:t xml:space="preserve">（</w:t>
      </w:r>
      <w:r>
        <w:rPr>
          <w:rFonts w:hint="eastAsia" w:ascii="宋体" w:hAnsi="宋体" w:cs="宋体"/>
          <w:b/>
          <w:color w:val="000000" w:themeColor="text1"/>
          <w:sz w:val="28"/>
          <w:szCs w:val="28"/>
          <w:highlight w:val="none"/>
          <w:lang w:val="en-US" w:eastAsia="zh-CN"/>
          <w14:textFill>
            <w14:solidFill>
              <w14:schemeClr w14:val="tx1"/>
            </w14:solidFill>
          </w14:textFill>
        </w:rPr>
        <w:t xml:space="preserve">采购包2</w:t>
      </w:r>
      <w:r>
        <w:rPr>
          <w:rFonts w:hint="eastAsia" w:ascii="宋体" w:hAnsi="宋体" w:cs="宋体"/>
          <w:b/>
          <w:color w:val="000000" w:themeColor="text1"/>
          <w:sz w:val="28"/>
          <w:szCs w:val="28"/>
          <w:highlight w:val="none"/>
          <w:lang w:eastAsia="zh-CN"/>
          <w14:textFill>
            <w14:solidFill>
              <w14:schemeClr w14:val="tx1"/>
            </w14:solidFill>
          </w14:textFill>
        </w:rPr>
        <w:t xml:space="preserve">）</w:t>
      </w:r>
      <w:r/>
    </w:p>
    <w:tbl>
      <w:tblPr>
        <w:tblStyle w:val="1173"/>
        <w:tblW w:w="50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77"/>
        <w:gridCol w:w="1300"/>
        <w:gridCol w:w="8261"/>
      </w:tblGrid>
      <w:tr>
        <w:trPr>
          <w:jc w:val="center"/>
          <w:trHeight w:val="567"/>
        </w:trPr>
        <w:tc>
          <w:tcPr>
            <w:shd w:val="clear" w:color="auto" w:fill="b5c7ea" w:themeFill="accent1" w:themeFillTint="66"/>
            <w:tcMar>
              <w:top w:w="100" w:type="dxa"/>
              <w:bottom w:w="100" w:type="dxa"/>
            </w:tcMar>
            <w:tcW w:w="577" w:type="dxa"/>
            <w:vAlign w:val="center"/>
            <w:textDirection w:val="lrTb"/>
            <w:noWrap/>
          </w:tcPr>
          <w:p>
            <w:pPr>
              <w:pStyle w:val="1381"/>
              <w:jc w:val="center"/>
              <w:keepLines w:val="0"/>
              <w:keepNext w:val="0"/>
              <w:pageBreakBefore w:val="0"/>
              <w:widowControl/>
              <w:rPr>
                <w:rStyle w:val="1358"/>
                <w:rFonts w:ascii="宋体" w:hAnsi="宋体" w:eastAsia="宋体" w:cs="宋体"/>
                <w:b/>
                <w:bCs/>
                <w:color w:val="000000" w:themeColor="text1"/>
                <w:highlight w:val="none"/>
                <w14:textFill>
                  <w14:solidFill>
                    <w14:schemeClr w14:val="tx1"/>
                  </w14:solidFill>
                </w14:textFill>
              </w:rPr>
            </w:pPr>
            <w:r>
              <w:rPr>
                <w:rStyle w:val="1358"/>
                <w:rFonts w:hint="eastAsia" w:ascii="宋体" w:hAnsi="宋体" w:eastAsia="宋体" w:cs="宋体"/>
                <w:b/>
                <w:bCs/>
                <w:color w:val="000000" w:themeColor="text1"/>
                <w:highlight w:val="none"/>
                <w14:textFill>
                  <w14:solidFill>
                    <w14:schemeClr w14:val="tx1"/>
                  </w14:solidFill>
                </w14:textFill>
              </w:rPr>
              <w:t xml:space="preserve">序号</w:t>
            </w:r>
            <w:r/>
          </w:p>
        </w:tc>
        <w:tc>
          <w:tcPr>
            <w:shd w:val="clear" w:color="auto" w:fill="b5c7ea" w:themeFill="accent1" w:themeFillTint="66"/>
            <w:tcMar>
              <w:top w:w="100" w:type="dxa"/>
              <w:bottom w:w="100" w:type="dxa"/>
            </w:tcMar>
            <w:tcW w:w="1300" w:type="dxa"/>
            <w:vAlign w:val="center"/>
            <w:textDirection w:val="lrTb"/>
            <w:noWrap/>
          </w:tcPr>
          <w:p>
            <w:pPr>
              <w:pStyle w:val="1381"/>
              <w:jc w:val="center"/>
              <w:keepLines w:val="0"/>
              <w:keepNext w:val="0"/>
              <w:pageBreakBefore w:val="0"/>
              <w:widowControl/>
              <w:rPr>
                <w:rStyle w:val="1358"/>
                <w:rFonts w:ascii="宋体" w:hAnsi="宋体" w:eastAsia="宋体" w:cs="宋体"/>
                <w:b/>
                <w:bCs/>
                <w:color w:val="000000" w:themeColor="text1"/>
                <w:highlight w:val="none"/>
                <w14:textFill>
                  <w14:solidFill>
                    <w14:schemeClr w14:val="tx1"/>
                  </w14:solidFill>
                </w14:textFill>
              </w:rPr>
            </w:pPr>
            <w:r>
              <w:rPr>
                <w:rStyle w:val="1358"/>
                <w:rFonts w:hint="eastAsia" w:ascii="宋体" w:hAnsi="宋体" w:eastAsia="宋体" w:cs="宋体"/>
                <w:b/>
                <w:bCs/>
                <w:color w:val="000000" w:themeColor="text1"/>
                <w:highlight w:val="none"/>
                <w14:textFill>
                  <w14:solidFill>
                    <w14:schemeClr w14:val="tx1"/>
                  </w14:solidFill>
                </w14:textFill>
              </w:rPr>
              <w:t xml:space="preserve">名称</w:t>
            </w:r>
            <w:r/>
          </w:p>
        </w:tc>
        <w:tc>
          <w:tcPr>
            <w:shd w:val="clear" w:color="auto" w:fill="b5c7ea" w:themeFill="accent1" w:themeFillTint="66"/>
            <w:tcMar>
              <w:top w:w="100" w:type="dxa"/>
              <w:bottom w:w="100" w:type="dxa"/>
            </w:tcMar>
            <w:tcW w:w="8261" w:type="dxa"/>
            <w:vAlign w:val="center"/>
            <w:textDirection w:val="lrTb"/>
            <w:noWrap/>
          </w:tcPr>
          <w:p>
            <w:pPr>
              <w:pStyle w:val="1381"/>
              <w:jc w:val="center"/>
              <w:keepLines w:val="0"/>
              <w:keepNext w:val="0"/>
              <w:pageBreakBefore w:val="0"/>
              <w:widowControl/>
              <w:rPr>
                <w:rStyle w:val="1358"/>
                <w:rFonts w:ascii="宋体" w:hAnsi="宋体" w:eastAsia="宋体" w:cs="宋体"/>
                <w:b/>
                <w:bCs/>
                <w:color w:val="000000" w:themeColor="text1"/>
                <w:highlight w:val="none"/>
                <w14:textFill>
                  <w14:solidFill>
                    <w14:schemeClr w14:val="tx1"/>
                  </w14:solidFill>
                </w14:textFill>
              </w:rPr>
            </w:pPr>
            <w:r>
              <w:rPr>
                <w:rStyle w:val="1358"/>
                <w:rFonts w:hint="eastAsia" w:ascii="宋体" w:hAnsi="宋体" w:eastAsia="宋体" w:cs="宋体"/>
                <w:b/>
                <w:bCs/>
                <w:color w:val="000000" w:themeColor="text1"/>
                <w:highlight w:val="none"/>
                <w14:textFill>
                  <w14:solidFill>
                    <w14:schemeClr w14:val="tx1"/>
                  </w14:solidFill>
                </w14:textFill>
              </w:rPr>
              <w:t xml:space="preserve">内容</w:t>
            </w:r>
            <w:r/>
          </w:p>
        </w:tc>
      </w:tr>
      <w:tr>
        <w:trPr>
          <w:jc w:val="center"/>
          <w:trHeight w:val="567"/>
        </w:trPr>
        <w:tc>
          <w:tcPr>
            <w:tcMar>
              <w:top w:w="100" w:type="dxa"/>
              <w:bottom w:w="100" w:type="dxa"/>
            </w:tcMar>
            <w:tcW w:w="577" w:type="dxa"/>
            <w:vAlign w:val="center"/>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1</w:t>
            </w:r>
            <w:r/>
          </w:p>
        </w:tc>
        <w:tc>
          <w:tcPr>
            <w:tcMar>
              <w:top w:w="100" w:type="dxa"/>
              <w:bottom w:w="100" w:type="dxa"/>
            </w:tcMar>
            <w:tcW w:w="1300" w:type="dxa"/>
            <w:vAlign w:val="center"/>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项目概况</w:t>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对本</w:t>
            </w:r>
            <w:r>
              <w:rPr>
                <w:rStyle w:val="1358"/>
                <w:rFonts w:hint="eastAsia" w:ascii="宋体" w:hAnsi="宋体" w:eastAsia="宋体" w:cs="宋体"/>
                <w:color w:val="000000" w:themeColor="text1"/>
                <w:highlight w:val="none"/>
                <w14:textFill>
                  <w14:solidFill>
                    <w14:schemeClr w14:val="tx1"/>
                  </w14:solidFill>
                </w14:textFill>
              </w:rPr>
              <w:t xml:space="preserve">标段的</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张家港市长江及市级河道各级别水利堤防进行白蚁等害堤动物普查及治理。对项目范围内的沿线堤防进行拉网式普查，在白蚁等害堤动物危害区域设置标记牌，详细记录普查区域段的白蚁与其他害堤动物危害等级情况，制定出目前整个白蚁与其他害堤动物危害等级</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的</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详细报告，并对堤防内存在的白蚁等害堤动物进行防治处理，编写害堤动物防治报告。</w:t>
            </w:r>
            <w:r/>
          </w:p>
        </w:tc>
      </w:tr>
      <w:tr>
        <w:trPr>
          <w:jc w:val="center"/>
          <w:trHeight w:val="567"/>
        </w:trPr>
        <w:tc>
          <w:tcPr>
            <w:tcMar>
              <w:top w:w="100" w:type="dxa"/>
              <w:bottom w:w="100" w:type="dxa"/>
            </w:tcMar>
            <w:tcW w:w="577" w:type="dxa"/>
            <w:vAlign w:val="center"/>
            <w:vMerge w:val="restart"/>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2</w:t>
            </w:r>
            <w:r/>
          </w:p>
        </w:tc>
        <w:tc>
          <w:tcPr>
            <w:tcMar>
              <w:top w:w="100" w:type="dxa"/>
              <w:bottom w:w="100" w:type="dxa"/>
            </w:tcMar>
            <w:tcW w:w="1300" w:type="dxa"/>
            <w:vAlign w:val="center"/>
            <w:vMerge w:val="restart"/>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ascii="宋体" w:hAnsi="宋体" w:eastAsia="宋体" w:cs="宋体"/>
                <w:color w:val="000000" w:themeColor="text1"/>
                <w:highlight w:val="none"/>
                <w14:textFill>
                  <w14:solidFill>
                    <w14:schemeClr w14:val="tx1"/>
                  </w14:solidFill>
                </w14:textFill>
              </w:rPr>
              <w:t xml:space="preserve">实施</w:t>
            </w:r>
            <w:r>
              <w:rPr>
                <w:rStyle w:val="1358"/>
                <w:rFonts w:hint="eastAsia" w:ascii="宋体" w:hAnsi="宋体" w:eastAsia="宋体" w:cs="宋体"/>
                <w:color w:val="000000" w:themeColor="text1"/>
                <w:highlight w:val="none"/>
                <w14:textFill>
                  <w14:solidFill>
                    <w14:schemeClr w14:val="tx1"/>
                  </w14:solidFill>
                </w14:textFill>
              </w:rPr>
              <w:t xml:space="preserve">要求</w:t>
            </w:r>
            <w:r/>
          </w:p>
        </w:tc>
        <w:tc>
          <w:tcPr>
            <w:tcMar>
              <w:top w:w="100" w:type="dxa"/>
              <w:bottom w:w="100" w:type="dxa"/>
            </w:tcMar>
            <w:tcW w:w="8261" w:type="dxa"/>
            <w:vAlign w:val="center"/>
            <w:textDirection w:val="lrTb"/>
            <w:noWrap/>
          </w:tcPr>
          <w:p>
            <w:pPr>
              <w:pStyle w:val="1381"/>
              <w:numPr>
                <w:ilvl w:val="0"/>
                <w:numId w:val="1"/>
              </w:numPr>
              <w:keepLines w:val="0"/>
              <w:keepNext w:val="0"/>
              <w:pageBreakBefore w:val="0"/>
              <w:widowControl/>
              <w:rPr>
                <w:rStyle w:val="1358"/>
                <w:rFonts w:hint="eastAsia"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按照《江苏省堤坝白蚁防治办法》、《堤坝白蚁防治技术规程》和《水利工程白蚁防治技术指南（试行）》开展</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项目范围</w:t>
            </w:r>
            <w:r>
              <w:rPr>
                <w:rStyle w:val="1358"/>
                <w:rFonts w:hint="eastAsia" w:ascii="宋体" w:hAnsi="宋体" w:eastAsia="宋体" w:cs="宋体"/>
                <w:color w:val="000000" w:themeColor="text1"/>
                <w:highlight w:val="none"/>
                <w14:textFill>
                  <w14:solidFill>
                    <w14:schemeClr w14:val="tx1"/>
                  </w14:solidFill>
                </w14:textFill>
              </w:rPr>
              <w:t xml:space="preserve">内堤防白蚁等害堤动物普查及防治处理，内容包括：对白蚁外露特征、白蚁活动痕迹查找、判断分布范围及深度、确定白蚁等害堤动物危害等级、对普查发现白蚁危害严重区域进行诱杀、埋设引诱〈堆〉桩、埋设部分信息化智能监测装置、诱杀剂投放、蚁道灌浆、机械打孔灌浆、巢位确定、破巢开挖、蚁患处土方夯实回填、獾等害堤动物普查及治理等相关工作；中标人须提供白蚁等害堤动物普查及防治台账（日常工作检查记录、采食检查记录、图纸图片资料汇总、总结、验收报告等）。</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numPr>
                <w:ilvl w:val="0"/>
                <w:numId w:val="0"/>
              </w:numPr>
              <w:keepLines w:val="0"/>
              <w:keepNext w:val="0"/>
              <w:pageBreakBefore w:val="0"/>
              <w:widowControl/>
              <w:rPr>
                <w:rStyle w:val="1358"/>
                <w:rFonts w:hint="eastAsia" w:ascii="宋体" w:hAnsi="宋体" w:eastAsia="宋体" w:cs="宋体"/>
                <w:color w:val="000000" w:themeColor="text1"/>
                <w:highlight w:val="none"/>
                <w:lang w:val="en-US" w:eastAsia="zh-CN"/>
                <w14:textFill>
                  <w14:solidFill>
                    <w14:schemeClr w14:val="tx1"/>
                  </w14:solidFill>
                </w14:textFill>
              </w:rPr>
            </w:pP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（2）中标人须对《2024年度白蚁等害堤动物普查及治理项目》中已普查到的受害堤防实施治理，并开展白蚁等害堤动物普查工作，具体工作量如下：</w:t>
            </w:r>
            <w:r/>
          </w:p>
          <w:tbl>
            <w:tblPr>
              <w:tblStyle w:val="1173"/>
              <w:tblW w:w="7942" w:type="dxa"/>
              <w:tblInd w:w="-1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1"/>
              <w:gridCol w:w="1838"/>
              <w:gridCol w:w="839"/>
              <w:gridCol w:w="992"/>
              <w:gridCol w:w="954"/>
              <w:gridCol w:w="2848"/>
            </w:tblGrid>
            <w:tr>
              <w:trPr>
                <w:trHeight w:val="227"/>
              </w:trPr>
              <w:tc>
                <w:tcPr>
                  <w:gridSpan w:val="6"/>
                  <w:shd w:val="clear" w:color="auto" w:fill="auto"/>
                  <w:tcBorders>
                    <w:top w:val="single" w:color="000000" w:sz="4" w:space="0"/>
                    <w:left w:val="single" w:color="000000" w:sz="4" w:space="0"/>
                    <w:bottom w:val="single" w:color="000000" w:sz="4" w:space="0"/>
                    <w:right w:val="single" w:color="000000" w:sz="4" w:space="0"/>
                  </w:tcBorders>
                  <w:tcW w:w="794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二标段</w:t>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二标段</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堤防等级</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对</w:t>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24年</w:t>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受害堤防</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治理工作量/km</w:t>
                  </w:r>
                  <w:r/>
                </w:p>
              </w:tc>
              <w:tc>
                <w:tcPr>
                  <w:shd w:val="clear" w:color="auto" w:fill="auto"/>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白蚁等害堤动物</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普查工作量/km</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备注</w:t>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市区市级河道</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12.38</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包括东横河、环城河、新市河市区段</w:t>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东横河</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自江阴界始，至二干河止</w:t>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十字港</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13.18</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十太港</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自十字港始，至太字圩港止</w:t>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老套港（五节桥港）</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护漕港</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太字圩港</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二干河（十一圩港）</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南横套</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48.94</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自张家港河始，至四干河止</w:t>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张家港河（金港段）</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一干河—新市河—新沙河</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5级</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朝东圩港</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3级</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长江（一干河西面）</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2级</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66.49</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66.49</w:t>
                  </w:r>
                  <w:r/>
                </w:p>
              </w:tc>
              <w:tc>
                <w:tcPr>
                  <w:shd w:val="clear" w:color="auto" w:fill="auto"/>
                  <w:tcBorders>
                    <w:top w:val="single" w:color="000000" w:sz="4" w:space="0"/>
                    <w:left w:val="single" w:color="000000" w:sz="4" w:space="0"/>
                    <w:bottom w:val="single" w:color="000000" w:sz="4" w:space="0"/>
                    <w:right w:val="single" w:color="000000" w:sz="4" w:space="0"/>
                  </w:tcBorders>
                  <w:tcW w:w="28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自江阴界始，至一干河止，包含港堤、双山岛堤</w:t>
                  </w:r>
                  <w:r/>
                </w:p>
              </w:tc>
            </w:tr>
          </w:tbl>
          <w:p>
            <w:pPr>
              <w:pStyle w:val="1381"/>
              <w:numPr>
                <w:ilvl w:val="0"/>
                <w:numId w:val="0"/>
              </w:numPr>
              <w:keepLines w:val="0"/>
              <w:keepNext w:val="0"/>
              <w:pageBreakBefore w:val="0"/>
              <w:widowControl/>
              <w:rPr>
                <w:rStyle w:val="1358"/>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numPr>
                <w:ilvl w:val="0"/>
                <w:numId w:val="0"/>
              </w:numP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3）</w:t>
            </w:r>
            <w:r>
              <w:rPr>
                <w:rFonts w:hint="eastAsia" w:ascii="宋体" w:hAnsi="宋体" w:cs="宋体"/>
                <w:i/>
                <w:iCs/>
                <w:color w:val="000000" w:themeColor="text1"/>
                <w:sz w:val="24"/>
                <w:szCs w:val="24"/>
                <w:highlight w:val="none"/>
                <w:u w:val="single"/>
                <w14:textFill>
                  <w14:solidFill>
                    <w14:schemeClr w14:val="tx1"/>
                  </w14:solidFill>
                </w14:textFill>
              </w:rPr>
              <w:t xml:space="preserve">合同签订之日起至2026年4月30日止（2025年11月15日前完成对《2024年度</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白蚁等</w:t>
            </w:r>
            <w:r>
              <w:rPr>
                <w:rFonts w:hint="eastAsia" w:ascii="宋体" w:hAnsi="宋体" w:cs="宋体"/>
                <w:i/>
                <w:iCs/>
                <w:color w:val="000000" w:themeColor="text1"/>
                <w:sz w:val="24"/>
                <w:szCs w:val="24"/>
                <w:highlight w:val="none"/>
                <w:u w:val="single"/>
                <w14:textFill>
                  <w14:solidFill>
                    <w14:schemeClr w14:val="tx1"/>
                  </w14:solidFill>
                </w14:textFill>
              </w:rPr>
              <w:t xml:space="preserve">害堤动物普查及治理项目》中已普查到的受害堤防的治理并出具报告。2026年4月底前完</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成</w:t>
            </w:r>
            <w:r>
              <w:rPr>
                <w:rFonts w:hint="eastAsia" w:ascii="宋体" w:hAnsi="宋体" w:cs="宋体"/>
                <w:i/>
                <w:iCs/>
                <w:color w:val="000000" w:themeColor="text1"/>
                <w:sz w:val="24"/>
                <w:szCs w:val="24"/>
                <w:highlight w:val="none"/>
                <w:u w:val="single"/>
                <w14:textFill>
                  <w14:solidFill>
                    <w14:schemeClr w14:val="tx1"/>
                  </w14:solidFill>
                </w14:textFill>
              </w:rPr>
              <w:t xml:space="preserve">本标段堤防的普查并出具报告）。</w:t>
            </w:r>
            <w:r>
              <w:rPr>
                <w:rStyle w:val="1358"/>
                <w:rFonts w:hint="eastAsia" w:ascii="宋体" w:hAnsi="宋体" w:eastAsia="宋体" w:cs="宋体"/>
                <w:color w:val="000000" w:themeColor="text1"/>
                <w:highlight w:val="none"/>
                <w14:textFill>
                  <w14:solidFill>
                    <w14:schemeClr w14:val="tx1"/>
                  </w14:solidFill>
                </w14:textFill>
              </w:rPr>
              <w:t xml:space="preserve">对确定有白蚁等害堤动物活动区域设置引诱桩、埋设地下引诱装置、安装地下型信息化智能预警监测装置；并提供诱杀剂投放、蚁道灌浆、机械打孔灌浆、巢位确定、破巢开挖、蚁患处土方夯实回填、安装地下型信息化智能预警监测装置。</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4</w:t>
            </w: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i/>
                <w:iCs/>
                <w:color w:val="000000" w:themeColor="text1"/>
                <w:highlight w:val="none"/>
                <w:u w:val="single"/>
                <w14:textFill>
                  <w14:solidFill>
                    <w14:schemeClr w14:val="tx1"/>
                  </w14:solidFill>
                </w14:textFill>
              </w:rPr>
              <w:t xml:space="preserve">投标人拟投入本项目</w:t>
            </w:r>
            <w:r>
              <w:rPr>
                <w:rStyle w:val="1358"/>
                <w:rFonts w:hint="eastAsia" w:ascii="宋体" w:hAnsi="宋体" w:eastAsia="宋体" w:cs="宋体"/>
                <w:i/>
                <w:iCs/>
                <w:color w:val="000000" w:themeColor="text1"/>
                <w:highlight w:val="none"/>
                <w:u w:val="single"/>
                <w:lang w:val="en-US" w:eastAsia="zh-CN"/>
                <w14:textFill>
                  <w14:solidFill>
                    <w14:schemeClr w14:val="tx1"/>
                  </w14:solidFill>
                </w14:textFill>
              </w:rPr>
              <w:t xml:space="preserve">的项目负责人</w:t>
            </w:r>
            <w:r>
              <w:rPr>
                <w:rStyle w:val="1358"/>
                <w:rFonts w:hint="eastAsia" w:ascii="宋体" w:hAnsi="宋体" w:eastAsia="宋体" w:cs="宋体"/>
                <w:i/>
                <w:iCs/>
                <w:color w:val="000000" w:themeColor="text1"/>
                <w:highlight w:val="none"/>
                <w:u w:val="single"/>
                <w14:textFill>
                  <w14:solidFill>
                    <w14:schemeClr w14:val="tx1"/>
                  </w14:solidFill>
                </w14:textFill>
              </w:rPr>
              <w:t xml:space="preserve">负责人必须为投标人正式员工，具有负责或参与过类似项目的经验</w:t>
            </w:r>
            <w:r>
              <w:rPr>
                <w:rStyle w:val="1358"/>
                <w:rFonts w:hint="eastAsia" w:ascii="宋体" w:hAnsi="宋体" w:eastAsia="宋体" w:cs="宋体"/>
                <w:i/>
                <w:iCs/>
                <w:color w:val="000000" w:themeColor="text1"/>
                <w:highlight w:val="none"/>
                <w:u w:val="single"/>
                <w:lang w:eastAsia="zh-CN"/>
                <w14:textFill>
                  <w14:solidFill>
                    <w14:schemeClr w14:val="tx1"/>
                  </w14:solidFill>
                </w14:textFill>
              </w:rPr>
              <w:t xml:space="preserve">（</w:t>
            </w:r>
            <w:r>
              <w:rPr>
                <w:rStyle w:val="1358"/>
                <w:rFonts w:hint="eastAsia" w:ascii="宋体" w:hAnsi="宋体" w:eastAsia="宋体" w:cs="宋体"/>
                <w:i/>
                <w:iCs/>
                <w:color w:val="000000" w:themeColor="text1"/>
                <w:highlight w:val="none"/>
                <w:u w:val="single"/>
                <w:lang w:val="en-US" w:eastAsia="zh-CN"/>
                <w14:textFill>
                  <w14:solidFill>
                    <w14:schemeClr w14:val="tx1"/>
                  </w14:solidFill>
                </w14:textFill>
              </w:rPr>
              <w:t xml:space="preserve">请在投标文件中提供验收报告原件扫描件</w:t>
            </w:r>
            <w:r>
              <w:rPr>
                <w:rStyle w:val="1358"/>
                <w:rFonts w:hint="eastAsia" w:ascii="宋体" w:hAnsi="宋体" w:eastAsia="宋体" w:cs="宋体"/>
                <w:i/>
                <w:iCs/>
                <w:color w:val="000000" w:themeColor="text1"/>
                <w:highlight w:val="none"/>
                <w:u w:val="singl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14:textFill>
                  <w14:solidFill>
                    <w14:schemeClr w14:val="tx1"/>
                  </w14:solidFill>
                </w14:textFill>
              </w:rPr>
              <w:t xml:space="preserve">，具有省级（含）以上白蚁防治中心培训的从业人员证或相关</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机构颁发的白蚁防治能力证书</w:t>
            </w:r>
            <w:r>
              <w:rPr>
                <w:rStyle w:val="1358"/>
                <w:rFonts w:hint="eastAsia" w:ascii="宋体" w:hAnsi="宋体" w:eastAsia="宋体" w:cs="宋体"/>
                <w:color w:val="000000" w:themeColor="text1"/>
                <w:highlight w:val="none"/>
                <w14:textFill>
                  <w14:solidFill>
                    <w14:schemeClr w14:val="tx1"/>
                  </w14:solidFill>
                </w14:textFill>
              </w:rPr>
              <w:t xml:space="preserve">，担任本项目负责人工作期间，必须每天到达现场打卡，在服务合同约定期间，采购人根据项目需要有权要求项目负责人随时到达项目现场配合采购人完成项目工作。</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numPr>
                <w:ilvl w:val="0"/>
                <w:numId w:val="0"/>
              </w:numPr>
              <w:keepLines w:val="0"/>
              <w:keepNext w:val="0"/>
              <w:pageBreakBefore w:val="0"/>
              <w:widowControl/>
              <w:rPr>
                <w:rStyle w:val="1358"/>
                <w:rFonts w:hint="default" w:ascii="宋体" w:hAnsi="宋体" w:eastAsia="宋体" w:cs="宋体"/>
                <w:color w:val="000000" w:themeColor="text1"/>
                <w:highlight w:val="none"/>
                <w:lang w:val="en-US"/>
                <w14:textFill>
                  <w14:solidFill>
                    <w14:schemeClr w14:val="tx1"/>
                  </w14:solidFill>
                </w14:textFill>
              </w:rPr>
            </w:pP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5</w:t>
            </w: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对《2024年度害堤动物普查及治理项目》中已普查到的受害堤防</w:t>
            </w:r>
            <w:r>
              <w:rPr>
                <w:rStyle w:val="1358"/>
                <w:rFonts w:hint="eastAsia" w:ascii="宋体" w:hAnsi="宋体" w:eastAsia="宋体" w:cs="宋体"/>
                <w:color w:val="000000" w:themeColor="text1"/>
                <w:highlight w:val="none"/>
                <w:lang w:eastAsia="zh-CN"/>
                <w14:textFill>
                  <w14:solidFill>
                    <w14:schemeClr w14:val="tx1"/>
                  </w14:solidFill>
                </w14:textFill>
              </w:rPr>
              <w:t xml:space="preserve">实施系统性治理</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w:t>
            </w:r>
            <w:r>
              <w:rPr>
                <w:rStyle w:val="1358"/>
                <w:rFonts w:hint="eastAsia" w:ascii="宋体" w:hAnsi="宋体" w:eastAsia="宋体" w:cs="宋体"/>
                <w:color w:val="000000" w:themeColor="text1"/>
                <w:highlight w:val="none"/>
                <w:lang w:eastAsia="zh-CN"/>
                <w14:textFill>
                  <w14:solidFill>
                    <w14:schemeClr w14:val="tx1"/>
                  </w14:solidFill>
                </w14:textFill>
              </w:rPr>
              <w:t xml:space="preserve">具体包括以下工作内容：</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1、</w:t>
            </w:r>
            <w:r>
              <w:rPr>
                <w:rStyle w:val="1358"/>
                <w:rFonts w:hint="eastAsia" w:ascii="宋体" w:hAnsi="宋体" w:eastAsia="宋体" w:cs="宋体"/>
                <w:color w:val="000000" w:themeColor="text1"/>
                <w:highlight w:val="none"/>
                <w:lang w:eastAsia="zh-CN"/>
                <w14:textFill>
                  <w14:solidFill>
                    <w14:schemeClr w14:val="tx1"/>
                  </w14:solidFill>
                </w14:textFill>
              </w:rPr>
              <w:t xml:space="preserve">‌复查</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核查</w:t>
            </w:r>
            <w:r>
              <w:rPr>
                <w:rStyle w:val="1358"/>
                <w:rFonts w:hint="eastAsia" w:ascii="宋体" w:hAnsi="宋体" w:eastAsia="宋体" w:cs="宋体"/>
                <w:color w:val="000000" w:themeColor="text1"/>
                <w:highlight w:val="none"/>
                <w:lang w:eastAsia="zh-CN"/>
                <w14:textFill>
                  <w14:solidFill>
                    <w14:schemeClr w14:val="tx1"/>
                  </w14:solidFill>
                </w14:textFill>
              </w:rPr>
              <w:t xml:space="preserve">工作：沿着堤防一字行排开，运用人工普查法、引诱法、仪器探测法等方式，对临、背河两侧、背河堤脚外 20m 采用拉网式检查，</w:t>
            </w:r>
            <w:r>
              <w:rPr>
                <w:rStyle w:val="1358"/>
                <w:rFonts w:hint="eastAsia" w:ascii="宋体" w:hAnsi="宋体" w:eastAsia="宋体" w:cs="宋体"/>
                <w:color w:val="000000" w:themeColor="text1"/>
                <w:highlight w:val="none"/>
                <w14:textFill>
                  <w14:solidFill>
                    <w14:schemeClr w14:val="tx1"/>
                  </w14:solidFill>
                </w14:textFill>
              </w:rPr>
              <w:t xml:space="preserve">查清各危害堤防的白蚁</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等害堤动物</w:t>
            </w:r>
            <w:r>
              <w:rPr>
                <w:rStyle w:val="1358"/>
                <w:rFonts w:hint="eastAsia" w:ascii="宋体" w:hAnsi="宋体" w:eastAsia="宋体" w:cs="宋体"/>
                <w:color w:val="000000" w:themeColor="text1"/>
                <w:highlight w:val="none"/>
                <w14:textFill>
                  <w14:solidFill>
                    <w14:schemeClr w14:val="tx1"/>
                  </w14:solidFill>
                </w14:textFill>
              </w:rPr>
              <w:t xml:space="preserve">种类、位置及危害等级</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情况</w:t>
            </w:r>
            <w:r>
              <w:rPr>
                <w:rStyle w:val="1358"/>
                <w:rFonts w:hint="eastAsia" w:ascii="宋体" w:hAnsi="宋体" w:eastAsia="宋体" w:cs="宋体"/>
                <w:color w:val="000000" w:themeColor="text1"/>
                <w:highlight w:val="none"/>
                <w14:textFill>
                  <w14:solidFill>
                    <w14:schemeClr w14:val="tx1"/>
                  </w14:solidFill>
                </w14:textFill>
              </w:rPr>
              <w:t xml:space="preserve">，做好标示记录，</w:t>
            </w:r>
            <w:r>
              <w:rPr>
                <w:rStyle w:val="1358"/>
                <w:rFonts w:hint="eastAsia" w:ascii="宋体" w:hAnsi="宋体" w:eastAsia="宋体" w:cs="宋体"/>
                <w:color w:val="000000" w:themeColor="text1"/>
                <w:highlight w:val="none"/>
                <w:lang w:eastAsia="zh-CN"/>
                <w14:textFill>
                  <w14:solidFill>
                    <w14:schemeClr w14:val="tx1"/>
                  </w14:solidFill>
                </w14:textFill>
              </w:rPr>
              <w:t xml:space="preserve">同时检查獾、鼠、蛇等害堤动物，</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并</w:t>
            </w:r>
            <w:r>
              <w:rPr>
                <w:rStyle w:val="1358"/>
                <w:rFonts w:hint="eastAsia" w:ascii="宋体" w:hAnsi="宋体" w:eastAsia="宋体" w:cs="宋体"/>
                <w:color w:val="000000" w:themeColor="text1"/>
                <w:highlight w:val="none"/>
                <w:lang w:eastAsia="zh-CN"/>
                <w14:textFill>
                  <w14:solidFill>
                    <w14:schemeClr w14:val="tx1"/>
                  </w14:solidFill>
                </w14:textFill>
              </w:rPr>
              <w:t xml:space="preserve">对新发现区域进行</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害堤动物的</w:t>
            </w:r>
            <w:r>
              <w:rPr>
                <w:rStyle w:val="1358"/>
                <w:rFonts w:hint="eastAsia" w:ascii="宋体" w:hAnsi="宋体" w:eastAsia="宋体" w:cs="宋体"/>
                <w:color w:val="000000" w:themeColor="text1"/>
                <w:highlight w:val="none"/>
                <w:lang w:eastAsia="zh-CN"/>
                <w14:textFill>
                  <w14:solidFill>
                    <w14:schemeClr w14:val="tx1"/>
                  </w14:solidFill>
                </w14:textFill>
              </w:rPr>
              <w:t xml:space="preserve">种类分析、记录并做综合灭治投药处理。</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2、治理工作：</w:t>
            </w:r>
            <w:r>
              <w:rPr>
                <w:rStyle w:val="1358"/>
                <w:rFonts w:hint="eastAsia" w:ascii="宋体" w:hAnsi="宋体" w:eastAsia="宋体" w:cs="宋体"/>
                <w:color w:val="000000" w:themeColor="text1"/>
                <w:highlight w:val="none"/>
                <w:lang w:eastAsia="zh-CN"/>
                <w14:textFill>
                  <w14:solidFill>
                    <w14:schemeClr w14:val="tx1"/>
                  </w14:solidFill>
                </w14:textFill>
              </w:rPr>
              <w:t xml:space="preserve">据</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复查核查</w:t>
            </w:r>
            <w:r>
              <w:rPr>
                <w:rStyle w:val="1358"/>
                <w:rFonts w:hint="eastAsia" w:ascii="宋体" w:hAnsi="宋体" w:eastAsia="宋体" w:cs="宋体"/>
                <w:color w:val="000000" w:themeColor="text1"/>
                <w:highlight w:val="none"/>
                <w:lang w:eastAsia="zh-CN"/>
                <w14:textFill>
                  <w14:solidFill>
                    <w14:schemeClr w14:val="tx1"/>
                  </w14:solidFill>
                </w14:textFill>
              </w:rPr>
              <w:t xml:space="preserve">情况确定白蚁等害堤动物种类、危害等级后对白蚁进行诱杀剂投放、蚁道灌浆、机械打孔灌浆、巢位确定、破巢开挖、蚁患处土方夯实回填等综合治理，对獾、鼠、蛇等害堤动物进行捕捉、投药、巢穴开挖、巢穴封堵等综合治理。</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numPr>
                <w:ilvl w:val="0"/>
                <w:numId w:val="0"/>
              </w:numPr>
              <w:keepLines w:val="0"/>
              <w:keepNext w:val="0"/>
              <w:pageBreakBefore w:val="0"/>
              <w:widowControl/>
              <w:rPr>
                <w:rStyle w:val="1358"/>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对2025年白蚁等害堤动物的普查工作，投标人应组织专业防治人员，沿着堤防一字行排开，运用人工普查法、引诱法、仪器探测法等方式，对临、背河两侧、背河堤脚外 20m 采用拉网式检查，查清危害各堤防的白蚁等害堤动物种类、位置及危害等级情况，做好标示记录，结合人工普查运用白蚁隐患探测仪，对堤防进行详细探测，确定白蚁巢位等隐患情况。</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对2025年白蚁等害堤动物的普查工作，</w:t>
            </w:r>
            <w:r>
              <w:rPr>
                <w:rStyle w:val="1358"/>
                <w:rFonts w:hint="eastAsia" w:ascii="宋体" w:hAnsi="宋体" w:eastAsia="宋体" w:cs="宋体"/>
                <w:color w:val="000000" w:themeColor="text1"/>
                <w:highlight w:val="none"/>
                <w14:textFill>
                  <w14:solidFill>
                    <w14:schemeClr w14:val="tx1"/>
                  </w14:solidFill>
                </w14:textFill>
              </w:rPr>
              <w:t xml:space="preserve">根据各堤防段现场环境情况设置松木监测引诱桩（地下深度50cm，地面高度</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50</w:t>
            </w:r>
            <w:r>
              <w:rPr>
                <w:rStyle w:val="1358"/>
                <w:rFonts w:hint="eastAsia" w:ascii="宋体" w:hAnsi="宋体" w:eastAsia="宋体" w:cs="宋体"/>
                <w:color w:val="000000" w:themeColor="text1"/>
                <w:highlight w:val="none"/>
                <w14:textFill>
                  <w14:solidFill>
                    <w14:schemeClr w14:val="tx1"/>
                  </w14:solidFill>
                </w14:textFill>
              </w:rPr>
              <w:t xml:space="preserve">cm），每根引诱桩做好警示提醒标识标牌，引诱桩设置</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根据现场情况，发现有白蚁痕迹的设置一根，无白蚁痕迹的200m一根</w:t>
            </w:r>
            <w:r>
              <w:rPr>
                <w:rStyle w:val="1358"/>
                <w:rFonts w:hint="eastAsia" w:ascii="宋体" w:hAnsi="宋体" w:eastAsia="宋体" w:cs="宋体"/>
                <w:color w:val="000000" w:themeColor="text1"/>
                <w:highlight w:val="none"/>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设置引诱桩不低于1900个，</w:t>
            </w:r>
            <w:r>
              <w:rPr>
                <w:rStyle w:val="1358"/>
                <w:rFonts w:hint="eastAsia" w:ascii="宋体" w:hAnsi="宋体" w:eastAsia="宋体" w:cs="宋体"/>
                <w:color w:val="000000" w:themeColor="text1"/>
                <w:highlight w:val="none"/>
                <w14:textFill>
                  <w14:solidFill>
                    <w14:schemeClr w14:val="tx1"/>
                  </w14:solidFill>
                </w14:textFill>
              </w:rPr>
              <w:t xml:space="preserve">每根点位水印相机记录。</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8</w:t>
            </w:r>
            <w:r>
              <w:rPr>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对2025年白蚁等害堤动物的普查工作，沿着堤防一字行排开，运用人工普查法、引诱法、仪器探测法等方式，对临、背河两侧、背河堤脚外20m采用拉网式检查外，重点要对引诱到白蚁的引诱桩要进行白蚁种类分析、记录，并做灭治处理；</w:t>
            </w:r>
            <w:r>
              <w:rPr>
                <w:rStyle w:val="1358"/>
                <w:rFonts w:hint="eastAsia" w:ascii="宋体" w:hAnsi="宋体" w:eastAsia="宋体" w:cs="宋体"/>
                <w:color w:val="000000" w:themeColor="text1"/>
                <w:highlight w:val="none"/>
                <w14:textFill>
                  <w14:solidFill>
                    <w14:schemeClr w14:val="tx1"/>
                  </w14:solidFill>
                </w14:textFill>
              </w:rPr>
              <w:t xml:space="preserve">根据各堤防现场环境情况</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合理规划</w:t>
            </w:r>
            <w:r>
              <w:rPr>
                <w:rStyle w:val="1358"/>
                <w:rFonts w:hint="eastAsia" w:ascii="宋体" w:hAnsi="宋体" w:eastAsia="宋体" w:cs="宋体"/>
                <w:color w:val="000000" w:themeColor="text1"/>
                <w:highlight w:val="none"/>
                <w14:textFill>
                  <w14:solidFill>
                    <w14:schemeClr w14:val="tx1"/>
                  </w14:solidFill>
                </w14:textFill>
              </w:rPr>
              <w:t xml:space="preserve">埋设规格不低于25*13*8cm地下引诱装置，装置内放置引诱块不低于3块，引诱棒2根，每个引诱装置点做好警示提醒标识标牌，</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发现有白蚁痕迹的设置一个，无白蚁痕迹的500m一个，设置</w:t>
            </w:r>
            <w:r>
              <w:rPr>
                <w:rStyle w:val="1358"/>
                <w:rFonts w:hint="eastAsia" w:ascii="宋体" w:hAnsi="宋体" w:eastAsia="宋体" w:cs="宋体"/>
                <w:color w:val="000000" w:themeColor="text1"/>
                <w:highlight w:val="none"/>
                <w14:textFill>
                  <w14:solidFill>
                    <w14:schemeClr w14:val="tx1"/>
                  </w14:solidFill>
                </w14:textFill>
              </w:rPr>
              <w:t xml:space="preserve">地下引诱装置</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不低于700个，</w:t>
            </w:r>
            <w:r>
              <w:rPr>
                <w:rStyle w:val="1358"/>
                <w:rFonts w:hint="eastAsia" w:ascii="宋体" w:hAnsi="宋体" w:eastAsia="宋体" w:cs="宋体"/>
                <w:color w:val="000000" w:themeColor="text1"/>
                <w:highlight w:val="none"/>
                <w14:textFill>
                  <w14:solidFill>
                    <w14:schemeClr w14:val="tx1"/>
                  </w14:solidFill>
                </w14:textFill>
              </w:rPr>
              <w:t xml:space="preserve">每个点位水印相机记录</w:t>
            </w: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根据普查情况确定白蚁等害堤动物种类、危害等级后对白蚁进行诱杀剂投放、蚁道灌浆、机械打孔灌浆、巢位确定、破巢开挖、蚁患处土方夯实回填等综合治理，对獾、鼠、蛇等害堤动物进行捕捉、投药、巢穴开挖、巢穴封堵等综合治理。</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hint="eastAsia"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（9）对2025白蚁等年害堤动物的普查工作，治理后监控各点位，</w:t>
            </w:r>
            <w:r>
              <w:rPr>
                <w:rStyle w:val="1358"/>
                <w:rFonts w:hint="eastAsia" w:ascii="宋体" w:hAnsi="宋体" w:eastAsia="宋体" w:cs="宋体"/>
                <w:color w:val="000000" w:themeColor="text1"/>
                <w:highlight w:val="none"/>
                <w14:textFill>
                  <w14:solidFill>
                    <w14:schemeClr w14:val="tx1"/>
                  </w14:solidFill>
                </w14:textFill>
              </w:rPr>
              <w:t xml:space="preserve">根据各堤防现场环境情况以及普查到的害堤动物危害情况等级，埋设地下型信息化智能预警监测装置，装置内放置监测料棒不低于</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3</w:t>
            </w:r>
            <w:r>
              <w:rPr>
                <w:rStyle w:val="1358"/>
                <w:rFonts w:hint="eastAsia" w:ascii="宋体" w:hAnsi="宋体" w:eastAsia="宋体" w:cs="宋体"/>
                <w:color w:val="000000" w:themeColor="text1"/>
                <w:highlight w:val="none"/>
                <w14:textFill>
                  <w14:solidFill>
                    <w14:schemeClr w14:val="tx1"/>
                  </w14:solidFill>
                </w14:textFill>
              </w:rPr>
              <w:t xml:space="preserve">块，引诱料棒不低于2根，信息化智能预警监测装置是基于物联网云端平台通过移动通信网络进行数据上传，每个预警监测装置内传感器探测到白蚁进入，会自动上传数据到系统平台报警，每个预警监测装置点做好警示提醒标识标牌，每台点位水印相机记录。</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hint="eastAsia" w:ascii="宋体" w:hAnsi="宋体" w:eastAsia="宋体" w:cs="宋体"/>
                <w:color w:val="000000" w:themeColor="text1"/>
                <w:highlight w:val="none"/>
                <w:lang w:eastAsia="zh-CN"/>
                <w14:textFill>
                  <w14:solidFill>
                    <w14:schemeClr w14:val="tx1"/>
                  </w14:solidFill>
                </w14:textFill>
              </w:rPr>
            </w:pPr>
            <w:r>
              <w:rPr>
                <w:rStyle w:val="1358"/>
                <w:rFonts w:hint="eastAsia" w:ascii="宋体" w:hAnsi="宋体" w:eastAsia="宋体" w:cs="宋体"/>
                <w:i/>
                <w:iCs/>
                <w:color w:val="000000" w:themeColor="text1"/>
                <w:highlight w:val="none"/>
                <w:u w:val="single"/>
                <w:lang w:eastAsia="zh-CN"/>
                <w14:textFill>
                  <w14:solidFill>
                    <w14:schemeClr w14:val="tx1"/>
                  </w14:solidFill>
                </w14:textFill>
              </w:rPr>
              <w:t xml:space="preserve">（</w:t>
            </w:r>
            <w:r>
              <w:rPr>
                <w:rStyle w:val="1358"/>
                <w:rFonts w:hint="eastAsia" w:ascii="宋体" w:hAnsi="宋体" w:eastAsia="宋体" w:cs="宋体"/>
                <w:i/>
                <w:iCs/>
                <w:color w:val="000000" w:themeColor="text1"/>
                <w:highlight w:val="none"/>
                <w:u w:val="single"/>
                <w:lang w:val="en-US" w:eastAsia="zh-CN"/>
                <w14:textFill>
                  <w14:solidFill>
                    <w14:schemeClr w14:val="tx1"/>
                  </w14:solidFill>
                </w14:textFill>
              </w:rPr>
              <w:t xml:space="preserve">10</w:t>
            </w:r>
            <w:r>
              <w:rPr>
                <w:rStyle w:val="1358"/>
                <w:rFonts w:hint="eastAsia" w:ascii="宋体" w:hAnsi="宋体" w:eastAsia="宋体" w:cs="宋体"/>
                <w:i/>
                <w:iCs/>
                <w:color w:val="000000" w:themeColor="text1"/>
                <w:highlight w:val="none"/>
                <w:u w:val="single"/>
                <w:lang w:eastAsia="zh-CN"/>
                <w14:textFill>
                  <w14:solidFill>
                    <w14:schemeClr w14:val="tx1"/>
                  </w14:solidFill>
                </w14:textFill>
              </w:rPr>
              <w:t xml:space="preserve">）</w:t>
            </w:r>
            <w:r>
              <w:rPr>
                <w:rStyle w:val="1358"/>
                <w:rFonts w:hint="eastAsia" w:ascii="宋体" w:hAnsi="宋体" w:eastAsia="宋体" w:cs="宋体"/>
                <w:i/>
                <w:iCs/>
                <w:color w:val="000000" w:themeColor="text1"/>
                <w:highlight w:val="none"/>
                <w:u w:val="single"/>
                <w14:textFill>
                  <w14:solidFill>
                    <w14:schemeClr w14:val="tx1"/>
                  </w14:solidFill>
                </w14:textFill>
              </w:rPr>
              <w:t xml:space="preserve">合同周期内中标人应提供24小时服务热线，在信息化智能预警监测装置系统报警后，要在</w:t>
            </w:r>
            <w:r>
              <w:rPr>
                <w:rStyle w:val="1358"/>
                <w:rFonts w:hint="eastAsia" w:ascii="宋体" w:hAnsi="宋体" w:eastAsia="宋体" w:cs="宋体"/>
                <w:i/>
                <w:iCs/>
                <w:color w:val="000000" w:themeColor="text1"/>
                <w:highlight w:val="none"/>
                <w:u w:val="single"/>
                <w:lang w:val="en-US" w:eastAsia="zh-CN"/>
                <w14:textFill>
                  <w14:solidFill>
                    <w14:schemeClr w14:val="tx1"/>
                  </w14:solidFill>
                </w14:textFill>
              </w:rPr>
              <w:t xml:space="preserve">24</w:t>
            </w:r>
            <w:r>
              <w:rPr>
                <w:rStyle w:val="1358"/>
                <w:rFonts w:hint="eastAsia" w:ascii="宋体" w:hAnsi="宋体" w:eastAsia="宋体" w:cs="宋体"/>
                <w:i/>
                <w:iCs/>
                <w:color w:val="000000" w:themeColor="text1"/>
                <w:highlight w:val="none"/>
                <w:u w:val="single"/>
                <w14:textFill>
                  <w14:solidFill>
                    <w14:schemeClr w14:val="tx1"/>
                  </w14:solidFill>
                </w14:textFill>
              </w:rPr>
              <w:t xml:space="preserve">小时内到达报警点，对监测装置内引诱的白蚁进行投放药物灭治处理；监测系统出现故障问题，中标人要在</w:t>
            </w:r>
            <w:r>
              <w:rPr>
                <w:rStyle w:val="1358"/>
                <w:rFonts w:hint="eastAsia" w:ascii="宋体" w:hAnsi="宋体" w:eastAsia="宋体" w:cs="宋体"/>
                <w:i/>
                <w:iCs/>
                <w:color w:val="000000" w:themeColor="text1"/>
                <w:highlight w:val="none"/>
                <w:u w:val="single"/>
                <w:lang w:val="en-US" w:eastAsia="zh-CN"/>
                <w14:textFill>
                  <w14:solidFill>
                    <w14:schemeClr w14:val="tx1"/>
                  </w14:solidFill>
                </w14:textFill>
              </w:rPr>
              <w:t xml:space="preserve">24</w:t>
            </w:r>
            <w:r>
              <w:rPr>
                <w:rStyle w:val="1358"/>
                <w:rFonts w:hint="eastAsia" w:ascii="宋体" w:hAnsi="宋体" w:eastAsia="宋体" w:cs="宋体"/>
                <w:i/>
                <w:iCs/>
                <w:color w:val="000000" w:themeColor="text1"/>
                <w:highlight w:val="none"/>
                <w:u w:val="single"/>
                <w14:textFill>
                  <w14:solidFill>
                    <w14:schemeClr w14:val="tx1"/>
                  </w14:solidFill>
                </w14:textFill>
              </w:rPr>
              <w:t xml:space="preserve">小时内安排技术人员到达现场进行维护解决，当场解决不了的技术故障要在12小时内给予解决。</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hint="eastAsia"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i w:val="0"/>
                <w:iCs w:val="0"/>
                <w:color w:val="000000" w:themeColor="text1"/>
                <w:highlight w:val="none"/>
                <w:u w:val="none"/>
                <w:lang w:eastAsia="zh-CN"/>
                <w14:textFill>
                  <w14:solidFill>
                    <w14:schemeClr w14:val="tx1"/>
                  </w14:solidFill>
                </w14:textFill>
              </w:rPr>
              <w:t xml:space="preserve">（</w:t>
            </w:r>
            <w:r>
              <w:rPr>
                <w:rStyle w:val="1358"/>
                <w:rFonts w:hint="eastAsia" w:ascii="宋体" w:hAnsi="宋体" w:eastAsia="宋体" w:cs="宋体"/>
                <w:i w:val="0"/>
                <w:iCs w:val="0"/>
                <w:color w:val="000000" w:themeColor="text1"/>
                <w:highlight w:val="none"/>
                <w:u w:val="none"/>
                <w:lang w:val="en-US" w:eastAsia="zh-CN"/>
                <w14:textFill>
                  <w14:solidFill>
                    <w14:schemeClr w14:val="tx1"/>
                  </w14:solidFill>
                </w14:textFill>
              </w:rPr>
              <w:t xml:space="preserve">11</w:t>
            </w:r>
            <w:r>
              <w:rPr>
                <w:rStyle w:val="1358"/>
                <w:rFonts w:hint="eastAsia" w:ascii="宋体" w:hAnsi="宋体" w:eastAsia="宋体" w:cs="宋体"/>
                <w:i w:val="0"/>
                <w:iCs w:val="0"/>
                <w:color w:val="000000" w:themeColor="text1"/>
                <w:highlight w:val="none"/>
                <w:u w:val="none"/>
                <w:lang w:eastAsia="zh-CN"/>
                <w14:textFill>
                  <w14:solidFill>
                    <w14:schemeClr w14:val="tx1"/>
                  </w14:solidFill>
                </w14:textFill>
              </w:rPr>
              <w:t xml:space="preserve">）</w:t>
            </w:r>
            <w:r>
              <w:rPr>
                <w:rStyle w:val="1358"/>
                <w:rFonts w:hint="eastAsia" w:ascii="宋体" w:hAnsi="宋体" w:eastAsia="宋体" w:cs="宋体"/>
                <w:i w:val="0"/>
                <w:iCs w:val="0"/>
                <w:strike w:val="0"/>
                <w:color w:val="000000" w:themeColor="text1"/>
                <w:highlight w:val="none"/>
                <w:u w:val="none"/>
                <w14:textFill>
                  <w14:solidFill>
                    <w14:schemeClr w14:val="tx1"/>
                  </w14:solidFill>
                </w14:textFill>
              </w:rPr>
              <w:t xml:space="preserve">信息化智能预警监测装置系统要提供给采购人独立的存储平台、独立显示</w:t>
            </w:r>
            <w:r>
              <w:rPr>
                <w:rStyle w:val="1358"/>
                <w:rFonts w:hint="eastAsia" w:ascii="宋体" w:hAnsi="宋体" w:eastAsia="宋体" w:cs="宋体"/>
                <w:i w:val="0"/>
                <w:iCs w:val="0"/>
                <w:strike w:val="0"/>
                <w:color w:val="000000" w:themeColor="text1"/>
                <w:highlight w:val="none"/>
                <w:u w:val="none"/>
                <w:lang w:val="en-US" w:eastAsia="zh-CN"/>
                <w14:textFill>
                  <w14:solidFill>
                    <w14:schemeClr w14:val="tx1"/>
                  </w14:solidFill>
                </w14:textFill>
              </w:rPr>
              <w:t xml:space="preserve">平台</w:t>
            </w:r>
            <w:r>
              <w:rPr>
                <w:rStyle w:val="1358"/>
                <w:rFonts w:hint="eastAsia" w:ascii="宋体" w:hAnsi="宋体" w:eastAsia="宋体" w:cs="宋体"/>
                <w:i w:val="0"/>
                <w:iCs w:val="0"/>
                <w:strike w:val="0"/>
                <w:color w:val="000000" w:themeColor="text1"/>
                <w:highlight w:val="none"/>
                <w:u w:val="none"/>
                <w14:textFill>
                  <w14:solidFill>
                    <w14:schemeClr w14:val="tx1"/>
                  </w14:solidFill>
                </w14:textFill>
              </w:rPr>
              <w:t xml:space="preserve">、独立账号提供一年使用期，要包括流量传输、系统</w:t>
            </w:r>
            <w:r>
              <w:rPr>
                <w:rStyle w:val="1358"/>
                <w:rFonts w:hint="eastAsia" w:ascii="宋体" w:hAnsi="宋体" w:eastAsia="宋体" w:cs="宋体"/>
                <w:i w:val="0"/>
                <w:iCs w:val="0"/>
                <w:strike w:val="0"/>
                <w:color w:val="000000" w:themeColor="text1"/>
                <w:highlight w:val="none"/>
                <w:u w:val="none"/>
                <w:lang w:val="en-US" w:eastAsia="zh-CN"/>
                <w14:textFill>
                  <w14:solidFill>
                    <w14:schemeClr w14:val="tx1"/>
                  </w14:solidFill>
                </w14:textFill>
              </w:rPr>
              <w:t xml:space="preserve">升级</w:t>
            </w:r>
            <w:r>
              <w:rPr>
                <w:rStyle w:val="1358"/>
                <w:rFonts w:hint="eastAsia" w:ascii="宋体" w:hAnsi="宋体" w:eastAsia="宋体" w:cs="宋体"/>
                <w:i w:val="0"/>
                <w:iCs w:val="0"/>
                <w:strike w:val="0"/>
                <w:color w:val="000000" w:themeColor="text1"/>
                <w:highlight w:val="none"/>
                <w:u w:val="none"/>
                <w14:textFill>
                  <w14:solidFill>
                    <w14:schemeClr w14:val="tx1"/>
                  </w14:solidFill>
                </w14:textFill>
              </w:rPr>
              <w:t xml:space="preserve">维护提供等</w:t>
            </w:r>
            <w:r>
              <w:rPr>
                <w:rStyle w:val="1358"/>
                <w:rFonts w:hint="eastAsia" w:ascii="宋体" w:hAnsi="宋体" w:eastAsia="宋体" w:cs="宋体"/>
                <w:i w:val="0"/>
                <w:iCs w:val="0"/>
                <w:strike w:val="0"/>
                <w:color w:val="000000" w:themeColor="text1"/>
                <w:highlight w:val="none"/>
                <w:u w:val="none"/>
                <w:lang w:eastAsia="zh-CN"/>
                <w14:textFill>
                  <w14:solidFill>
                    <w14:schemeClr w14:val="tx1"/>
                  </w14:solidFill>
                </w14:textFill>
              </w:rPr>
              <w:t xml:space="preserve">，</w:t>
            </w:r>
            <w:r>
              <w:rPr>
                <w:rStyle w:val="1358"/>
                <w:rFonts w:hint="eastAsia" w:ascii="宋体" w:hAnsi="宋体" w:eastAsia="宋体" w:cs="宋体"/>
                <w:i w:val="0"/>
                <w:iCs w:val="0"/>
                <w:strike w:val="0"/>
                <w:color w:val="000000" w:themeColor="text1"/>
                <w:highlight w:val="none"/>
                <w:u w:val="none"/>
                <w:lang w:val="en-US" w:eastAsia="zh-CN"/>
                <w14:textFill>
                  <w14:solidFill>
                    <w14:schemeClr w14:val="tx1"/>
                  </w14:solidFill>
                </w14:textFill>
              </w:rPr>
              <w:t xml:space="preserve">具有</w:t>
            </w:r>
            <w:r>
              <w:rPr>
                <w:rStyle w:val="1358"/>
                <w:rFonts w:hint="eastAsia" w:ascii="宋体" w:hAnsi="宋体" w:eastAsia="宋体" w:cs="宋体"/>
                <w:i w:val="0"/>
                <w:iCs w:val="0"/>
                <w:strike w:val="0"/>
                <w:color w:val="000000" w:themeColor="text1"/>
                <w:highlight w:val="none"/>
                <w:u w:val="none"/>
                <w:lang w:eastAsia="zh-CN"/>
                <w14:textFill>
                  <w14:solidFill>
                    <w14:schemeClr w14:val="tx1"/>
                  </w14:solidFill>
                </w14:textFill>
              </w:rPr>
              <w:t xml:space="preserve">升级与维护的工程师人员</w:t>
            </w:r>
            <w:r>
              <w:rPr>
                <w:rStyle w:val="1358"/>
                <w:rFonts w:hint="eastAsia" w:ascii="宋体" w:hAnsi="宋体" w:eastAsia="宋体" w:cs="宋体"/>
                <w:i w:val="0"/>
                <w:iCs w:val="0"/>
                <w:strike w:val="0"/>
                <w:color w:val="000000" w:themeColor="text1"/>
                <w:highlight w:val="none"/>
                <w:u w:val="none"/>
                <w14:textFill>
                  <w14:solidFill>
                    <w14:schemeClr w14:val="tx1"/>
                  </w14:solidFill>
                </w14:textFill>
              </w:rPr>
              <w:t xml:space="preserve">；信息化智能预警监测装置设备提供三年免费质保。信息化智能预警监测参数要求详见四、其他部分 附件1。</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hint="default" w:ascii="宋体" w:hAnsi="宋体" w:eastAsia="宋体" w:cs="宋体"/>
                <w:color w:val="000000" w:themeColor="text1"/>
                <w:highlight w:val="none"/>
                <w:lang w:val="en-US" w:eastAsia="zh-CN"/>
                <w14:textFill>
                  <w14:solidFill>
                    <w14:schemeClr w14:val="tx1"/>
                  </w14:solidFill>
                </w14:textFill>
              </w:rPr>
            </w:pPr>
            <w:r>
              <w:rPr>
                <w:rStyle w:val="1358"/>
                <w:rFonts w:hint="eastAsia" w:ascii="宋体" w:hAnsi="宋体" w:eastAsia="宋体" w:cs="宋体"/>
                <w:i w:val="0"/>
                <w:iCs w:val="0"/>
                <w:color w:val="000000" w:themeColor="text1"/>
                <w:highlight w:val="none"/>
                <w:u w:val="none"/>
                <w:lang w:eastAsia="zh-CN"/>
                <w14:textFill>
                  <w14:solidFill>
                    <w14:schemeClr w14:val="tx1"/>
                  </w14:solidFill>
                </w14:textFill>
              </w:rPr>
              <w:t xml:space="preserve">（</w:t>
            </w:r>
            <w:r>
              <w:rPr>
                <w:rStyle w:val="1358"/>
                <w:rFonts w:hint="eastAsia" w:ascii="宋体" w:hAnsi="宋体" w:eastAsia="宋体" w:cs="宋体"/>
                <w:i w:val="0"/>
                <w:iCs w:val="0"/>
                <w:color w:val="000000" w:themeColor="text1"/>
                <w:highlight w:val="none"/>
                <w:u w:val="none"/>
                <w:lang w:val="en-US" w:eastAsia="zh-CN"/>
                <w14:textFill>
                  <w14:solidFill>
                    <w14:schemeClr w14:val="tx1"/>
                  </w14:solidFill>
                </w14:textFill>
              </w:rPr>
              <w:t xml:space="preserve">12</w:t>
            </w:r>
            <w:r>
              <w:rPr>
                <w:rStyle w:val="1358"/>
                <w:rFonts w:hint="eastAsia" w:ascii="宋体" w:hAnsi="宋体" w:eastAsia="宋体" w:cs="宋体"/>
                <w:i w:val="0"/>
                <w:iCs w:val="0"/>
                <w:color w:val="000000" w:themeColor="text1"/>
                <w:highlight w:val="none"/>
                <w:u w:val="none"/>
                <w:lang w:eastAsia="zh-CN"/>
                <w14:textFill>
                  <w14:solidFill>
                    <w14:schemeClr w14:val="tx1"/>
                  </w14:solidFill>
                </w14:textFill>
              </w:rPr>
              <w:t xml:space="preserve">）</w:t>
            </w:r>
            <w:r>
              <w:rPr>
                <w:rStyle w:val="1358"/>
                <w:rFonts w:hint="eastAsia" w:ascii="宋体" w:hAnsi="宋体" w:eastAsia="宋体" w:cs="宋体"/>
                <w:i w:val="0"/>
                <w:iCs w:val="0"/>
                <w:color w:val="000000" w:themeColor="text1"/>
                <w:highlight w:val="none"/>
                <w:u w:val="none"/>
                <w14:textFill>
                  <w14:solidFill>
                    <w14:schemeClr w14:val="tx1"/>
                  </w14:solidFill>
                </w14:textFill>
              </w:rPr>
              <w:t xml:space="preserve">基本仪器设备（含履行应急任务设备）</w:t>
            </w:r>
            <w:r>
              <w:rPr>
                <w:rStyle w:val="1358"/>
                <w:rFonts w:hint="eastAsia" w:ascii="宋体" w:hAnsi="宋体" w:eastAsia="宋体" w:cs="宋体"/>
                <w:i w:val="0"/>
                <w:iCs w:val="0"/>
                <w:color w:val="000000" w:themeColor="text1"/>
                <w:highlight w:val="none"/>
                <w:u w:val="none"/>
                <w:lang w:val="en-US" w:eastAsia="zh-CN"/>
                <w14:textFill>
                  <w14:solidFill>
                    <w14:schemeClr w14:val="tx1"/>
                  </w14:solidFill>
                </w14:textFill>
              </w:rPr>
              <w:t xml:space="preserve">及作业车辆要求</w:t>
            </w:r>
            <w:r>
              <w:rPr>
                <w:rStyle w:val="1358"/>
                <w:rFonts w:hint="eastAsia" w:ascii="宋体" w:hAnsi="宋体" w:eastAsia="宋体" w:cs="宋体"/>
                <w:i w:val="0"/>
                <w:iCs w:val="0"/>
                <w:color w:val="000000" w:themeColor="text1"/>
                <w:highlight w:val="none"/>
                <w:u w:val="none"/>
                <w14:textFill>
                  <w14:solidFill>
                    <w14:schemeClr w14:val="tx1"/>
                  </w14:solidFill>
                </w14:textFill>
              </w:rPr>
              <w:t xml:space="preserve">：为满足本项目基本工作需求，投标人</w:t>
            </w:r>
            <w:r>
              <w:rPr>
                <w:rStyle w:val="1358"/>
                <w:rFonts w:hint="eastAsia" w:ascii="宋体" w:hAnsi="宋体" w:eastAsia="宋体" w:cs="宋体"/>
                <w:i w:val="0"/>
                <w:iCs w:val="0"/>
                <w:color w:val="000000" w:themeColor="text1"/>
                <w:highlight w:val="none"/>
                <w:u w:val="none"/>
                <w:lang w:val="en-US" w:eastAsia="zh-CN"/>
                <w14:textFill>
                  <w14:solidFill>
                    <w14:schemeClr w14:val="tx1"/>
                  </w14:solidFill>
                </w14:textFill>
              </w:rPr>
              <w:t xml:space="preserve">应</w:t>
            </w:r>
            <w:r>
              <w:rPr>
                <w:rStyle w:val="1358"/>
                <w:rFonts w:hint="eastAsia" w:ascii="宋体" w:hAnsi="宋体" w:eastAsia="宋体" w:cs="宋体"/>
                <w:i w:val="0"/>
                <w:iCs w:val="0"/>
                <w:color w:val="000000" w:themeColor="text1"/>
                <w:highlight w:val="none"/>
                <w:u w:val="none"/>
                <w14:textFill>
                  <w14:solidFill>
                    <w14:schemeClr w14:val="tx1"/>
                  </w14:solidFill>
                </w14:textFill>
              </w:rPr>
              <w:t xml:space="preserve">投入白蚁防治专用工具、钻孔机、车载喷药车、手电筒等基本仪器设备</w:t>
            </w:r>
            <w:r>
              <w:rPr>
                <w:rStyle w:val="1358"/>
                <w:rFonts w:hint="eastAsia" w:ascii="宋体" w:hAnsi="宋体" w:eastAsia="宋体" w:cs="宋体"/>
                <w:i w:val="0"/>
                <w:iCs w:val="0"/>
                <w:color w:val="000000" w:themeColor="text1"/>
                <w:highlight w:val="none"/>
                <w:u w:val="none"/>
                <w:lang w:eastAsia="zh-CN"/>
                <w14:textFill>
                  <w14:solidFill>
                    <w14:schemeClr w14:val="tx1"/>
                  </w14:solidFill>
                </w14:textFill>
              </w:rPr>
              <w:t xml:space="preserve">，</w:t>
            </w:r>
            <w:r>
              <w:rPr>
                <w:rStyle w:val="1358"/>
                <w:rFonts w:hint="eastAsia" w:ascii="宋体" w:hAnsi="宋体" w:eastAsia="宋体" w:cs="宋体"/>
                <w:i w:val="0"/>
                <w:iCs w:val="0"/>
                <w:color w:val="000000" w:themeColor="text1"/>
                <w:highlight w:val="none"/>
                <w:u w:val="none"/>
                <w:lang w:val="en-US" w:eastAsia="zh-CN"/>
                <w14:textFill>
                  <w14:solidFill>
                    <w14:schemeClr w14:val="tx1"/>
                  </w14:solidFill>
                </w14:textFill>
              </w:rPr>
              <w:t xml:space="preserve">应</w:t>
            </w:r>
            <w:r>
              <w:rPr>
                <w:rStyle w:val="1358"/>
                <w:rFonts w:hint="eastAsia" w:ascii="宋体" w:hAnsi="宋体" w:eastAsia="宋体" w:cs="宋体"/>
                <w:i w:val="0"/>
                <w:iCs w:val="0"/>
                <w:color w:val="000000" w:themeColor="text1"/>
                <w:highlight w:val="none"/>
                <w:u w:val="none"/>
                <w14:textFill>
                  <w14:solidFill>
                    <w14:schemeClr w14:val="tx1"/>
                  </w14:solidFill>
                </w14:textFill>
              </w:rPr>
              <w:t xml:space="preserve">投入</w:t>
            </w:r>
            <w:r>
              <w:rPr>
                <w:rStyle w:val="1358"/>
                <w:rFonts w:hint="eastAsia" w:ascii="宋体" w:hAnsi="宋体" w:eastAsia="宋体" w:cs="宋体"/>
                <w:i w:val="0"/>
                <w:iCs w:val="0"/>
                <w:color w:val="000000" w:themeColor="text1"/>
                <w:highlight w:val="none"/>
                <w:u w:val="none"/>
                <w:lang w:val="en-US" w:eastAsia="zh-CN"/>
                <w14:textFill>
                  <w14:solidFill>
                    <w14:schemeClr w14:val="tx1"/>
                  </w14:solidFill>
                </w14:textFill>
              </w:rPr>
              <w:t xml:space="preserve">不少于2辆</w:t>
            </w:r>
            <w:r>
              <w:rPr>
                <w:rStyle w:val="1358"/>
                <w:rFonts w:hint="eastAsia" w:ascii="宋体" w:hAnsi="宋体" w:eastAsia="宋体" w:cs="宋体"/>
                <w:i w:val="0"/>
                <w:iCs w:val="0"/>
                <w:color w:val="000000" w:themeColor="text1"/>
                <w:highlight w:val="none"/>
                <w:u w:val="none"/>
                <w:lang w:eastAsia="zh-CN"/>
                <w14:textFill>
                  <w14:solidFill>
                    <w14:schemeClr w14:val="tx1"/>
                  </w14:solidFill>
                </w14:textFill>
              </w:rPr>
              <w:t xml:space="preserve">施工作业车辆。</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i/>
                <w:iCs/>
                <w:color w:val="000000" w:themeColor="text1"/>
                <w:highlight w:val="none"/>
                <w:u w:val="single"/>
                <w:lang w:eastAsia="zh-CN"/>
                <w14:textFill>
                  <w14:solidFill>
                    <w14:schemeClr w14:val="tx1"/>
                  </w14:solidFill>
                </w14:textFill>
              </w:rPr>
              <w:t xml:space="preserve">（</w:t>
            </w:r>
            <w:r>
              <w:rPr>
                <w:rStyle w:val="1358"/>
                <w:rFonts w:hint="eastAsia" w:ascii="宋体" w:hAnsi="宋体" w:eastAsia="宋体" w:cs="宋体"/>
                <w:i/>
                <w:iCs/>
                <w:color w:val="000000" w:themeColor="text1"/>
                <w:highlight w:val="none"/>
                <w:u w:val="single"/>
                <w:lang w:val="en-US" w:eastAsia="zh-CN"/>
                <w14:textFill>
                  <w14:solidFill>
                    <w14:schemeClr w14:val="tx1"/>
                  </w14:solidFill>
                </w14:textFill>
              </w:rPr>
              <w:t xml:space="preserve">13</w:t>
            </w:r>
            <w:r>
              <w:rPr>
                <w:rStyle w:val="1358"/>
                <w:rFonts w:hint="eastAsia" w:ascii="宋体" w:hAnsi="宋体" w:eastAsia="宋体" w:cs="宋体"/>
                <w:i/>
                <w:iCs/>
                <w:color w:val="000000" w:themeColor="text1"/>
                <w:highlight w:val="none"/>
                <w:u w:val="single"/>
                <w:lang w:eastAsia="zh-CN"/>
                <w14:textFill>
                  <w14:solidFill>
                    <w14:schemeClr w14:val="tx1"/>
                  </w14:solidFill>
                </w14:textFill>
              </w:rPr>
              <w:t xml:space="preserve">）</w:t>
            </w:r>
            <w:r>
              <w:rPr>
                <w:rStyle w:val="1358"/>
                <w:rFonts w:hint="eastAsia" w:ascii="宋体" w:hAnsi="宋体" w:eastAsia="宋体" w:cs="宋体"/>
                <w:i/>
                <w:iCs/>
                <w:color w:val="000000" w:themeColor="text1"/>
                <w:highlight w:val="none"/>
                <w:u w:val="single"/>
                <w14:textFill>
                  <w14:solidFill>
                    <w14:schemeClr w14:val="tx1"/>
                  </w14:solidFill>
                </w14:textFill>
              </w:rPr>
              <w:t xml:space="preserve">普查结束</w:t>
            </w:r>
            <w:r>
              <w:rPr>
                <w:rStyle w:val="1358"/>
                <w:rFonts w:hint="eastAsia" w:ascii="宋体" w:hAnsi="宋体" w:eastAsia="宋体" w:cs="宋体"/>
                <w:i/>
                <w:iCs/>
                <w:color w:val="000000" w:themeColor="text1"/>
                <w:highlight w:val="none"/>
                <w:u w:val="single"/>
                <w:lang w:val="en-US" w:eastAsia="zh-CN"/>
                <w14:textFill>
                  <w14:solidFill>
                    <w14:schemeClr w14:val="tx1"/>
                  </w14:solidFill>
                </w14:textFill>
              </w:rPr>
              <w:t xml:space="preserve">后</w:t>
            </w:r>
            <w:r>
              <w:rPr>
                <w:rStyle w:val="1358"/>
                <w:rFonts w:hint="eastAsia" w:ascii="宋体" w:hAnsi="宋体" w:eastAsia="宋体" w:cs="宋体"/>
                <w:i/>
                <w:iCs/>
                <w:color w:val="000000" w:themeColor="text1"/>
                <w:highlight w:val="none"/>
                <w:u w:val="single"/>
                <w14:textFill>
                  <w14:solidFill>
                    <w14:schemeClr w14:val="tx1"/>
                  </w14:solidFill>
                </w14:textFill>
              </w:rPr>
              <w:t xml:space="preserve">中标人</w:t>
            </w:r>
            <w:r>
              <w:rPr>
                <w:rStyle w:val="1358"/>
                <w:rFonts w:hint="eastAsia" w:ascii="宋体" w:hAnsi="宋体" w:eastAsia="宋体" w:cs="宋体"/>
                <w:i/>
                <w:iCs/>
                <w:color w:val="000000" w:themeColor="text1"/>
                <w:highlight w:val="none"/>
                <w:u w:val="single"/>
                <w:lang w:val="en-US" w:eastAsia="zh-CN"/>
                <w14:textFill>
                  <w14:solidFill>
                    <w14:schemeClr w14:val="tx1"/>
                  </w14:solidFill>
                </w14:textFill>
              </w:rPr>
              <w:t xml:space="preserve">按采购人指定时间要求</w:t>
            </w:r>
            <w:r>
              <w:rPr>
                <w:rStyle w:val="1358"/>
                <w:rFonts w:hint="eastAsia" w:ascii="宋体" w:hAnsi="宋体" w:eastAsia="宋体" w:cs="宋体"/>
                <w:i/>
                <w:iCs/>
                <w:color w:val="000000" w:themeColor="text1"/>
                <w:highlight w:val="none"/>
                <w:u w:val="single"/>
                <w14:textFill>
                  <w14:solidFill>
                    <w14:schemeClr w14:val="tx1"/>
                  </w14:solidFill>
                </w14:textFill>
              </w:rPr>
              <w:t xml:space="preserve">提交符合各级检查单位检查要求的普查报告，报告要详细列明堤防白蚁等害堤动物种类、危害等级、现场记录的数据、照片、文字资料等，对报告内容真实性负责。</w:t>
            </w:r>
            <w:r/>
          </w:p>
        </w:tc>
      </w:tr>
      <w:tr>
        <w:trPr>
          <w:jc w:val="center"/>
          <w:trHeight w:val="567"/>
        </w:trPr>
        <w:tc>
          <w:tcPr>
            <w:tcMar>
              <w:top w:w="100" w:type="dxa"/>
              <w:bottom w:w="100" w:type="dxa"/>
            </w:tcMar>
            <w:tcW w:w="577" w:type="dxa"/>
            <w:vAlign w:val="center"/>
            <w:vMerge w:val="restart"/>
            <w:textDirection w:val="lrTb"/>
            <w:noWrap/>
          </w:tcPr>
          <w:p>
            <w:pPr>
              <w:pStyle w:val="1381"/>
              <w:jc w:val="center"/>
              <w:keepLines w:val="0"/>
              <w:keepNext w:val="0"/>
              <w:pageBreakBefore w:val="0"/>
              <w:widowControl/>
              <w:rPr>
                <w:rStyle w:val="1358"/>
                <w:rFonts w:hint="eastAsia" w:ascii="宋体" w:hAnsi="宋体" w:eastAsia="宋体" w:cs="宋体"/>
                <w:color w:val="000000" w:themeColor="text1"/>
                <w:highlight w:val="none"/>
                <w:lang w:eastAsia="zh-CN"/>
                <w14:textFill>
                  <w14:solidFill>
                    <w14:schemeClr w14:val="tx1"/>
                  </w14:solidFill>
                </w14:textFill>
              </w:rPr>
            </w:pP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tcMar>
              <w:top w:w="100" w:type="dxa"/>
              <w:bottom w:w="100" w:type="dxa"/>
            </w:tcMar>
            <w:tcW w:w="1300" w:type="dxa"/>
            <w:vAlign w:val="center"/>
            <w:vMerge w:val="restart"/>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其他要求</w:t>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ascii="宋体" w:hAnsi="宋体" w:eastAsia="宋体" w:cs="宋体"/>
                <w:i/>
                <w:iCs/>
                <w:strike w:val="0"/>
                <w:color w:val="000000" w:themeColor="text1"/>
                <w:highlight w:val="none"/>
                <w:u w:val="single"/>
                <w14:textFill>
                  <w14:solidFill>
                    <w14:schemeClr w14:val="tx1"/>
                  </w14:solidFill>
                </w14:textFill>
              </w:rPr>
            </w:pPr>
            <w:r>
              <w:rPr>
                <w:rStyle w:val="1358"/>
                <w:rFonts w:hint="eastAsia" w:ascii="宋体" w:hAnsi="宋体" w:eastAsia="宋体" w:cs="宋体"/>
                <w:i/>
                <w:iCs/>
                <w:strike w:val="0"/>
                <w:color w:val="000000" w:themeColor="text1"/>
                <w:highlight w:val="none"/>
                <w:u w:val="single"/>
                <w:lang w:eastAsia="zh-CN"/>
                <w14:textFill>
                  <w14:solidFill>
                    <w14:schemeClr w14:val="tx1"/>
                  </w14:solidFill>
                </w14:textFill>
              </w:rPr>
              <w:t xml:space="preserve">（</w:t>
            </w:r>
            <w:r>
              <w:rPr>
                <w:rStyle w:val="1358"/>
                <w:rFonts w:hint="eastAsia" w:ascii="宋体" w:hAnsi="宋体" w:eastAsia="宋体" w:cs="宋体"/>
                <w:i/>
                <w:iCs/>
                <w:strike w:val="0"/>
                <w:color w:val="000000" w:themeColor="text1"/>
                <w:highlight w:val="none"/>
                <w:u w:val="single"/>
                <w:lang w:val="en-US" w:eastAsia="zh-CN"/>
                <w14:textFill>
                  <w14:solidFill>
                    <w14:schemeClr w14:val="tx1"/>
                  </w14:solidFill>
                </w14:textFill>
              </w:rPr>
              <w:t xml:space="preserve">1</w:t>
            </w:r>
            <w:r>
              <w:rPr>
                <w:rStyle w:val="1358"/>
                <w:rFonts w:hint="eastAsia" w:ascii="宋体" w:hAnsi="宋体" w:eastAsia="宋体" w:cs="宋体"/>
                <w:i/>
                <w:iCs/>
                <w:strike w:val="0"/>
                <w:color w:val="000000" w:themeColor="text1"/>
                <w:highlight w:val="none"/>
                <w:u w:val="single"/>
                <w:lang w:eastAsia="zh-CN"/>
                <w14:textFill>
                  <w14:solidFill>
                    <w14:schemeClr w14:val="tx1"/>
                  </w14:solidFill>
                </w14:textFill>
              </w:rPr>
              <w:t xml:space="preserve">）</w:t>
            </w:r>
            <w:r>
              <w:rPr>
                <w:rStyle w:val="1358"/>
                <w:rFonts w:hint="eastAsia" w:ascii="宋体" w:hAnsi="宋体" w:eastAsia="宋体" w:cs="宋体"/>
                <w:i/>
                <w:iCs/>
                <w:strike w:val="0"/>
                <w:color w:val="000000" w:themeColor="text1"/>
                <w:highlight w:val="none"/>
                <w:u w:val="single"/>
                <w14:textFill>
                  <w14:solidFill>
                    <w14:schemeClr w14:val="tx1"/>
                  </w14:solidFill>
                </w14:textFill>
              </w:rPr>
              <w:t xml:space="preserve">签订合同前置条件：</w:t>
            </w:r>
            <w:r/>
          </w:p>
          <w:p>
            <w:pPr>
              <w:pStyle w:val="1381"/>
              <w:keepLines w:val="0"/>
              <w:keepNext w:val="0"/>
              <w:pageBreakBefore w:val="0"/>
              <w:widowControl/>
              <w:rPr>
                <w:rStyle w:val="1358"/>
                <w:rFonts w:ascii="宋体" w:hAnsi="宋体" w:eastAsia="宋体" w:cs="宋体"/>
                <w:i/>
                <w:iCs/>
                <w:strike w:val="0"/>
                <w:color w:val="000000" w:themeColor="text1"/>
                <w:highlight w:val="none"/>
                <w:u w:val="single"/>
                <w14:textFill>
                  <w14:solidFill>
                    <w14:schemeClr w14:val="tx1"/>
                  </w14:solidFill>
                </w14:textFill>
              </w:rPr>
            </w:pPr>
            <w:r>
              <w:rPr>
                <w:rStyle w:val="1358"/>
                <w:rFonts w:hint="eastAsia" w:ascii="宋体" w:hAnsi="宋体" w:eastAsia="宋体" w:cs="宋体"/>
                <w:i/>
                <w:iCs/>
                <w:strike w:val="0"/>
                <w:color w:val="000000" w:themeColor="text1"/>
                <w:highlight w:val="none"/>
                <w:u w:val="single"/>
                <w:lang w:val="en-US" w:eastAsia="zh-CN"/>
                <w14:textFill>
                  <w14:solidFill>
                    <w14:schemeClr w14:val="tx1"/>
                  </w14:solidFill>
                </w14:textFill>
              </w:rPr>
              <w:t xml:space="preserve">①</w:t>
            </w:r>
            <w:r>
              <w:rPr>
                <w:rStyle w:val="1358"/>
                <w:rFonts w:hint="eastAsia" w:ascii="宋体" w:hAnsi="宋体" w:eastAsia="宋体" w:cs="宋体"/>
                <w:i/>
                <w:iCs/>
                <w:strike w:val="0"/>
                <w:color w:val="000000" w:themeColor="text1"/>
                <w:highlight w:val="none"/>
                <w:u w:val="single"/>
                <w14:textFill>
                  <w14:solidFill>
                    <w14:schemeClr w14:val="tx1"/>
                  </w14:solidFill>
                </w14:textFill>
              </w:rPr>
              <w:t xml:space="preserve">投标人中标后，在合同签订前，须现场提供信息化智能预警监测装置平台系统的现场演示证明，若演示不符合本次采购需求的，采购人有权解除合同，所造成的一切损失由中标人承担。</w:t>
            </w:r>
            <w:r/>
          </w:p>
          <w:p>
            <w:pPr>
              <w:pStyle w:val="1381"/>
              <w:keepLines w:val="0"/>
              <w:keepNext w:val="0"/>
              <w:pageBreakBefore w:val="0"/>
              <w:widowControl/>
              <w:rPr>
                <w:rStyle w:val="1358"/>
                <w:rFonts w:ascii="宋体" w:hAnsi="宋体" w:eastAsia="宋体" w:cs="宋体"/>
                <w:i/>
                <w:iCs/>
                <w:strike w:val="0"/>
                <w:color w:val="000000" w:themeColor="text1"/>
                <w:highlight w:val="none"/>
                <w:u w:val="single"/>
                <w14:textFill>
                  <w14:solidFill>
                    <w14:schemeClr w14:val="tx1"/>
                  </w14:solidFill>
                </w14:textFill>
              </w:rPr>
            </w:pPr>
            <w:r>
              <w:rPr>
                <w:rStyle w:val="1358"/>
                <w:rFonts w:hint="eastAsia" w:ascii="宋体" w:hAnsi="宋体" w:eastAsia="宋体" w:cs="宋体"/>
                <w:i/>
                <w:iCs/>
                <w:strike w:val="0"/>
                <w:color w:val="000000" w:themeColor="text1"/>
                <w:highlight w:val="none"/>
                <w:u w:val="single"/>
                <w:lang w:val="en-US" w:eastAsia="zh-CN"/>
                <w14:textFill>
                  <w14:solidFill>
                    <w14:schemeClr w14:val="tx1"/>
                  </w14:solidFill>
                </w14:textFill>
              </w:rPr>
              <w:t xml:space="preserve">②</w:t>
            </w:r>
            <w:r>
              <w:rPr>
                <w:rStyle w:val="1358"/>
                <w:rFonts w:hint="eastAsia" w:ascii="宋体" w:hAnsi="宋体" w:eastAsia="宋体" w:cs="宋体"/>
                <w:i/>
                <w:iCs/>
                <w:strike w:val="0"/>
                <w:color w:val="000000" w:themeColor="text1"/>
                <w:highlight w:val="none"/>
                <w:u w:val="single"/>
                <w14:textFill>
                  <w14:solidFill>
                    <w14:schemeClr w14:val="tx1"/>
                  </w14:solidFill>
                </w14:textFill>
              </w:rPr>
              <w:t xml:space="preserve">投标人中标后，在合同签订前须将项目负责人及其他人员资料（包括岗位人员名单、证书、联系电话、身份证复印件</w:t>
            </w:r>
            <w:r>
              <w:rPr>
                <w:rStyle w:val="1358"/>
                <w:rFonts w:hint="eastAsia" w:ascii="宋体" w:hAnsi="宋体" w:eastAsia="宋体" w:cs="宋体"/>
                <w:i/>
                <w:iCs/>
                <w:strike w:val="0"/>
                <w:color w:val="000000" w:themeColor="text1"/>
                <w:highlight w:val="none"/>
                <w:u w:val="single"/>
                <w:lang w:val="en-US" w:eastAsia="zh-CN"/>
                <w14:textFill>
                  <w14:solidFill>
                    <w14:schemeClr w14:val="tx1"/>
                  </w14:solidFill>
                </w14:textFill>
              </w:rPr>
              <w:t xml:space="preserve">等</w:t>
            </w:r>
            <w:r>
              <w:rPr>
                <w:rStyle w:val="1358"/>
                <w:rFonts w:hint="eastAsia" w:ascii="宋体" w:hAnsi="宋体" w:eastAsia="宋体" w:cs="宋体"/>
                <w:i/>
                <w:iCs/>
                <w:strike w:val="0"/>
                <w:color w:val="000000" w:themeColor="text1"/>
                <w:highlight w:val="none"/>
                <w:u w:val="single"/>
                <w14:textFill>
                  <w14:solidFill>
                    <w14:schemeClr w14:val="tx1"/>
                  </w14:solidFill>
                </w14:textFill>
              </w:rPr>
              <w:t xml:space="preserve">）递交至采购人处备案，所有服务人员须经采购人确认后方可上岗。配备不到位，采购人有权解除合同，所造成的一切损失由中标人承担。</w:t>
            </w:r>
            <w:r/>
          </w:p>
          <w:p>
            <w:pPr>
              <w:pStyle w:val="1381"/>
              <w:keepLines w:val="0"/>
              <w:keepNext w:val="0"/>
              <w:pageBreakBefore w:val="0"/>
              <w:widowControl/>
              <w:rPr>
                <w:rStyle w:val="1358"/>
                <w:rFonts w:ascii="宋体" w:hAnsi="宋体" w:eastAsia="宋体" w:cs="宋体"/>
                <w:strike w:val="0"/>
                <w:color w:val="000000" w:themeColor="text1"/>
                <w:highlight w:val="none"/>
                <w14:textFill>
                  <w14:solidFill>
                    <w14:schemeClr w14:val="tx1"/>
                  </w14:solidFill>
                </w14:textFill>
              </w:rPr>
            </w:pPr>
            <w:r>
              <w:rPr>
                <w:rStyle w:val="1358"/>
                <w:rFonts w:hint="eastAsia" w:ascii="宋体" w:hAnsi="宋体" w:eastAsia="宋体" w:cs="宋体"/>
                <w:i/>
                <w:iCs/>
                <w:strike w:val="0"/>
                <w:color w:val="000000" w:themeColor="text1"/>
                <w:highlight w:val="none"/>
                <w:u w:val="single"/>
                <w:lang w:val="en-US" w:eastAsia="zh-CN"/>
                <w14:textFill>
                  <w14:solidFill>
                    <w14:schemeClr w14:val="tx1"/>
                  </w14:solidFill>
                </w14:textFill>
              </w:rPr>
              <w:t xml:space="preserve">③</w:t>
            </w:r>
            <w:r>
              <w:rPr>
                <w:rStyle w:val="1358"/>
                <w:rFonts w:hint="eastAsia" w:ascii="宋体" w:hAnsi="宋体" w:eastAsia="宋体" w:cs="宋体"/>
                <w:i/>
                <w:iCs/>
                <w:strike w:val="0"/>
                <w:color w:val="000000" w:themeColor="text1"/>
                <w:highlight w:val="none"/>
                <w:u w:val="single"/>
                <w14:textFill>
                  <w14:solidFill>
                    <w14:schemeClr w14:val="tx1"/>
                  </w14:solidFill>
                </w14:textFill>
              </w:rPr>
              <w:t xml:space="preserve">投标人中标后，提交投标文件里涉及的</w:t>
            </w:r>
            <w:r>
              <w:rPr>
                <w:rFonts w:hint="eastAsia" w:ascii="宋体" w:hAnsi="宋体" w:cs="宋体"/>
                <w:i/>
                <w:iCs/>
                <w:strike w:val="0"/>
                <w:color w:val="000000" w:themeColor="text1"/>
                <w:spacing w:val="7"/>
                <w:highlight w:val="none"/>
                <w:u w:val="single"/>
                <w14:textFill>
                  <w14:solidFill>
                    <w14:schemeClr w14:val="tx1"/>
                  </w14:solidFill>
                </w14:textFill>
              </w:rPr>
              <w:t xml:space="preserve">检测报告、相关证书、车辆证明、业绩合同、竣工报告等原件，提交的原件不</w:t>
            </w:r>
            <w:r>
              <w:rPr>
                <w:rStyle w:val="1358"/>
                <w:rFonts w:hint="eastAsia" w:ascii="宋体" w:hAnsi="宋体" w:eastAsia="宋体" w:cs="宋体"/>
                <w:i/>
                <w:iCs/>
                <w:strike w:val="0"/>
                <w:color w:val="000000" w:themeColor="text1"/>
                <w:highlight w:val="none"/>
                <w:u w:val="single"/>
                <w14:textFill>
                  <w14:solidFill>
                    <w14:schemeClr w14:val="tx1"/>
                  </w14:solidFill>
                </w14:textFill>
              </w:rPr>
              <w:t xml:space="preserve">符合本次采购需求的，采购人有权解除合同，所造成的一切损失由中标人承担。</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2</w:t>
            </w: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14:textFill>
                  <w14:solidFill>
                    <w14:schemeClr w14:val="tx1"/>
                  </w14:solidFill>
                </w14:textFill>
              </w:rPr>
              <w:t xml:space="preserve">投标人需提供对白蚁危害的区域了解程度、</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害堤动物普查及治理方案、</w:t>
            </w:r>
            <w:r>
              <w:rPr>
                <w:rStyle w:val="1358"/>
                <w:rFonts w:hint="eastAsia" w:ascii="宋体" w:hAnsi="宋体" w:eastAsia="宋体" w:cs="宋体"/>
                <w:color w:val="000000" w:themeColor="text1"/>
                <w:highlight w:val="none"/>
                <w14:textFill>
                  <w14:solidFill>
                    <w14:schemeClr w14:val="tx1"/>
                  </w14:solidFill>
                </w14:textFill>
              </w:rPr>
              <w:t xml:space="preserve">管理规章制度、安全文明实施措施、应急措施和活动配合措施、详细的质保方案、管理制度方案、技术实施方案及协调方案、设备配备方案、人员配置方案等。</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3</w:t>
            </w: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14:textFill>
                  <w14:solidFill>
                    <w14:schemeClr w14:val="tx1"/>
                  </w14:solidFill>
                </w14:textFill>
              </w:rPr>
              <w:t xml:space="preserve">投标人具有履行本项目的能力，需提供类似项目业绩、相关证书或相关奖项。</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4</w:t>
            </w: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14:textFill>
                  <w14:solidFill>
                    <w14:schemeClr w14:val="tx1"/>
                  </w14:solidFill>
                </w14:textFill>
              </w:rPr>
              <w:t xml:space="preserve">总价为综合报价，应包括但不限于人员费用（工资、福利、培训、社会保险等）、服务所用设备工具购置及维修费用、服务所用材料消耗费用、管理费用、差旅费、利润、税金、政策性文件规定及合同包含的所有风险、责任等各项应有费用。</w:t>
            </w:r>
            <w:r/>
          </w:p>
        </w:tc>
      </w:tr>
      <w:tr>
        <w:trPr>
          <w:jc w:val="center"/>
          <w:trHeight w:val="567"/>
        </w:trPr>
        <w:tc>
          <w:tcPr>
            <w:tcMar>
              <w:top w:w="100" w:type="dxa"/>
              <w:bottom w:w="100" w:type="dxa"/>
            </w:tcMar>
            <w:tcW w:w="577" w:type="dxa"/>
            <w:vAlign w:val="center"/>
            <w:vMerge w:val="continue"/>
            <w:textDirection w:val="lrTb"/>
            <w:noWrap/>
          </w:tcPr>
          <w:p>
            <w:pPr>
              <w:pStyle w:val="1381"/>
              <w:jc w:val="center"/>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1300" w:type="dxa"/>
            <w:vAlign w:val="center"/>
            <w:vMerge w:val="continue"/>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Mar>
              <w:top w:w="100" w:type="dxa"/>
              <w:bottom w:w="100" w:type="dxa"/>
            </w:tcMar>
            <w:tcW w:w="8261" w:type="dxa"/>
            <w:vAlign w:val="center"/>
            <w:textDirection w:val="lrTb"/>
            <w:noWrap/>
          </w:tcPr>
          <w:p>
            <w:pPr>
              <w:pStyle w:val="1381"/>
              <w:keepLines w:val="0"/>
              <w:keepNext w:val="0"/>
              <w:pageBreakBefore w:val="0"/>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5</w:t>
            </w: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rPr>
                <w:rStyle w:val="1358"/>
                <w:rFonts w:hint="eastAsia" w:ascii="宋体" w:hAnsi="宋体" w:eastAsia="宋体" w:cs="宋体"/>
                <w:color w:val="000000" w:themeColor="text1"/>
                <w:highlight w:val="none"/>
                <w14:textFill>
                  <w14:solidFill>
                    <w14:schemeClr w14:val="tx1"/>
                  </w14:solidFill>
                </w14:textFill>
              </w:rPr>
              <w:t xml:space="preserve">投标人可对项目现场进行踏勘，但费用由投标人自行承担。投标人在报价时应充分考虑现场实际情况，采购人不负担因投标人对项目现场情况考虑不周而产生的其他任何费用。</w:t>
            </w:r>
            <w:r/>
          </w:p>
        </w:tc>
      </w:tr>
    </w:tbl>
    <w:p>
      <w:pPr>
        <w:keepLines w:val="0"/>
        <w:keepNext w:val="0"/>
        <w:pageBreakBefore w:val="0"/>
        <w:spacing w:line="52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三、商务条款</w:t>
      </w:r>
      <w:r/>
    </w:p>
    <w:p>
      <w:pPr>
        <w:pStyle w:val="1382"/>
        <w:ind w:firstLine="482"/>
        <w:keepLines w:val="0"/>
        <w:keepNext w:val="0"/>
        <w:pageBreakBefore w:val="0"/>
        <w:spacing w:line="520" w:lineRule="exact"/>
        <w:rPr>
          <w:rStyle w:val="1358"/>
          <w:rFonts w:ascii="宋体" w:hAnsi="宋体" w:eastAsia="宋体" w:cs="宋体"/>
          <w:b/>
          <w:color w:val="000000" w:themeColor="text1"/>
          <w:highlight w:val="none"/>
          <w14:textFill>
            <w14:solidFill>
              <w14:schemeClr w14:val="tx1"/>
            </w14:solidFill>
          </w14:textFill>
        </w:rPr>
      </w:pPr>
      <w:r>
        <w:rPr>
          <w:rStyle w:val="1358"/>
          <w:rFonts w:hint="eastAsia" w:ascii="宋体" w:hAnsi="宋体" w:eastAsia="宋体" w:cs="宋体"/>
          <w:b/>
          <w:bCs/>
          <w:color w:val="000000" w:themeColor="text1"/>
          <w:highlight w:val="none"/>
          <w:lang w:eastAsia="zh-CN"/>
          <w14:textFill>
            <w14:solidFill>
              <w14:schemeClr w14:val="tx1"/>
            </w14:solidFill>
          </w14:textFill>
        </w:rPr>
        <w:t xml:space="preserve">（</w:t>
      </w:r>
      <w:r>
        <w:rPr>
          <w:rStyle w:val="1358"/>
          <w:rFonts w:hint="eastAsia" w:ascii="宋体" w:hAnsi="宋体" w:eastAsia="宋体" w:cs="宋体"/>
          <w:b/>
          <w:bCs/>
          <w:color w:val="000000" w:themeColor="text1"/>
          <w:highlight w:val="none"/>
          <w:lang w:val="en-US" w:eastAsia="zh-CN"/>
          <w14:textFill>
            <w14:solidFill>
              <w14:schemeClr w14:val="tx1"/>
            </w14:solidFill>
          </w14:textFill>
        </w:rPr>
        <w:t xml:space="preserve">一</w:t>
      </w:r>
      <w:r>
        <w:rPr>
          <w:rStyle w:val="1358"/>
          <w:rFonts w:hint="eastAsia" w:ascii="宋体" w:hAnsi="宋体" w:eastAsia="宋体" w:cs="宋体"/>
          <w:b/>
          <w:bCs/>
          <w:color w:val="000000" w:themeColor="text1"/>
          <w:highlight w:val="none"/>
          <w:lang w:eastAsia="zh-CN"/>
          <w14:textFill>
            <w14:solidFill>
              <w14:schemeClr w14:val="tx1"/>
            </w14:solidFill>
          </w14:textFill>
        </w:rPr>
        <w:t xml:space="preserve">）</w:t>
      </w:r>
      <w:r>
        <w:rPr>
          <w:rStyle w:val="1358"/>
          <w:rFonts w:hint="eastAsia" w:ascii="宋体" w:hAnsi="宋体" w:eastAsia="宋体" w:cs="宋体"/>
          <w:b/>
          <w:bCs/>
          <w:color w:val="000000" w:themeColor="text1"/>
          <w:highlight w:val="none"/>
          <w14:textFill>
            <w14:solidFill>
              <w14:schemeClr w14:val="tx1"/>
            </w14:solidFill>
          </w14:textFill>
        </w:rPr>
        <w:t xml:space="preserve">服务期限</w:t>
      </w:r>
      <w:r/>
    </w:p>
    <w:p>
      <w:pPr>
        <w:pStyle w:val="1381"/>
        <w:ind w:firstLine="480"/>
        <w:keepLines w:val="0"/>
        <w:keepNext w:val="0"/>
        <w:pageBreakBefore w:val="0"/>
        <w:spacing w:line="520" w:lineRule="exact"/>
        <w:rPr>
          <w:rStyle w:val="1358"/>
          <w:rFonts w:ascii="宋体" w:hAnsi="宋体" w:eastAsia="宋体" w:cs="宋体"/>
          <w:i/>
          <w:iCs/>
          <w:color w:val="000000" w:themeColor="text1"/>
          <w:highlight w:val="none"/>
          <w:u w:val="single"/>
          <w14:textFill>
            <w14:solidFill>
              <w14:schemeClr w14:val="tx1"/>
            </w14:solidFill>
          </w14:textFill>
        </w:rPr>
      </w:pPr>
      <w:r>
        <w:rPr>
          <w:rStyle w:val="1358"/>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合同签订之日起至2026年4月30日止（2025年11月15日前完成对《2024年度白蚁等害堤动物普查及治理项目》中已普查到的受害堤防的治理并出具报告。2026年4月底前完成本标段堤防的普查并出具报告）。</w:t>
      </w:r>
      <w:r/>
    </w:p>
    <w:p>
      <w:pPr>
        <w:pStyle w:val="1382"/>
        <w:ind w:firstLine="482"/>
        <w:keepLines w:val="0"/>
        <w:keepNext w:val="0"/>
        <w:pageBreakBefore w:val="0"/>
        <w:spacing w:line="520" w:lineRule="exact"/>
        <w:rPr>
          <w:rStyle w:val="1358"/>
          <w:rFonts w:ascii="宋体" w:hAnsi="宋体" w:eastAsia="宋体" w:cs="宋体"/>
          <w:b/>
          <w:color w:val="000000" w:themeColor="text1"/>
          <w:highlight w:val="none"/>
          <w14:textFill>
            <w14:solidFill>
              <w14:schemeClr w14:val="tx1"/>
            </w14:solidFill>
          </w14:textFill>
        </w:rPr>
      </w:pPr>
      <w:r>
        <w:rPr>
          <w:rStyle w:val="1358"/>
          <w:rFonts w:hint="eastAsia" w:ascii="宋体" w:hAnsi="宋体" w:eastAsia="宋体" w:cs="宋体"/>
          <w:b/>
          <w:color w:val="000000" w:themeColor="text1"/>
          <w:highlight w:val="none"/>
          <w:lang w:eastAsia="zh-CN"/>
          <w14:textFill>
            <w14:solidFill>
              <w14:schemeClr w14:val="tx1"/>
            </w14:solidFill>
          </w14:textFill>
        </w:rPr>
        <w:t xml:space="preserve">（</w:t>
      </w:r>
      <w:r>
        <w:rPr>
          <w:rStyle w:val="1358"/>
          <w:rFonts w:hint="eastAsia" w:ascii="宋体" w:hAnsi="宋体" w:eastAsia="宋体" w:cs="宋体"/>
          <w:b/>
          <w:color w:val="000000" w:themeColor="text1"/>
          <w:highlight w:val="none"/>
          <w:lang w:val="en-US" w:eastAsia="zh-CN"/>
          <w14:textFill>
            <w14:solidFill>
              <w14:schemeClr w14:val="tx1"/>
            </w14:solidFill>
          </w14:textFill>
        </w:rPr>
        <w:t xml:space="preserve">二</w:t>
      </w:r>
      <w:r>
        <w:rPr>
          <w:rStyle w:val="1358"/>
          <w:rFonts w:hint="eastAsia" w:ascii="宋体" w:hAnsi="宋体" w:eastAsia="宋体" w:cs="宋体"/>
          <w:b/>
          <w:color w:val="000000" w:themeColor="text1"/>
          <w:highlight w:val="none"/>
          <w:lang w:eastAsia="zh-CN"/>
          <w14:textFill>
            <w14:solidFill>
              <w14:schemeClr w14:val="tx1"/>
            </w14:solidFill>
          </w14:textFill>
        </w:rPr>
        <w:t xml:space="preserve">）</w:t>
      </w:r>
      <w:r>
        <w:rPr>
          <w:rStyle w:val="1358"/>
          <w:rFonts w:hint="eastAsia" w:ascii="宋体" w:hAnsi="宋体" w:eastAsia="宋体" w:cs="宋体"/>
          <w:b/>
          <w:color w:val="000000" w:themeColor="text1"/>
          <w:highlight w:val="none"/>
          <w14:textFill>
            <w14:solidFill>
              <w14:schemeClr w14:val="tx1"/>
            </w14:solidFill>
          </w14:textFill>
        </w:rPr>
        <w:t xml:space="preserve">货款支付</w:t>
      </w:r>
      <w:r/>
    </w:p>
    <w:p>
      <w:pPr>
        <w:pStyle w:val="1382"/>
        <w:ind w:firstLine="480"/>
        <w:keepLines w:val="0"/>
        <w:keepNext w:val="0"/>
        <w:pageBreakBefore w:val="0"/>
        <w:spacing w:line="520" w:lineRule="exact"/>
        <w:rPr>
          <w:rStyle w:val="1358"/>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Style w:val="1358"/>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1.结付程序</w:t>
      </w:r>
      <w:r/>
    </w:p>
    <w:p>
      <w:pPr>
        <w:pStyle w:val="1381"/>
        <w:ind w:firstLine="480"/>
        <w:keepLines w:val="0"/>
        <w:keepNext w:val="0"/>
        <w:pageBreakBefore w:val="0"/>
        <w:spacing w:line="520" w:lineRule="exact"/>
        <w:rPr>
          <w:rStyle w:val="1358"/>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pPr>
      <w:r>
        <w:rPr>
          <w:rStyle w:val="1358"/>
          <w:rFonts w:hint="eastAsia" w:ascii="宋体" w:hAnsi="宋体" w:eastAsia="宋体" w:cs="宋体"/>
          <w:i/>
          <w:iCs/>
          <w:color w:val="000000" w:themeColor="text1"/>
          <w:sz w:val="24"/>
          <w:szCs w:val="24"/>
          <w:highlight w:val="none"/>
          <w:u w:val="single"/>
          <w:lang w:val="en-US" w:eastAsia="zh-CN" w:bidi="ar-SA"/>
          <w14:textFill>
            <w14:solidFill>
              <w14:schemeClr w14:val="tx1"/>
            </w14:solidFill>
          </w14:textFill>
        </w:rPr>
        <w:t xml:space="preserve">中标人按合同内容合格地履行服务（供货）义务后，凭销售发票到采购人处办理合同款结算手续。</w:t>
      </w:r>
      <w:r/>
    </w:p>
    <w:p>
      <w:pPr>
        <w:pStyle w:val="1382"/>
        <w:ind w:firstLine="480"/>
        <w:keepLines w:val="0"/>
        <w:keepNext w:val="0"/>
        <w:pageBreakBefore w:val="0"/>
        <w:spacing w:line="520" w:lineRule="exact"/>
        <w:rPr>
          <w:rStyle w:val="1358"/>
          <w:rFonts w:ascii="宋体" w:hAnsi="宋体" w:eastAsia="宋体" w:cs="宋体"/>
          <w:i/>
          <w:color w:val="000000" w:themeColor="text1"/>
          <w:highlight w:val="none"/>
          <w:u w:val="single"/>
          <w14:textFill>
            <w14:solidFill>
              <w14:schemeClr w14:val="tx1"/>
            </w14:solidFill>
          </w14:textFill>
        </w:rPr>
      </w:pPr>
      <w:r>
        <w:rPr>
          <w:rStyle w:val="1358"/>
          <w:rFonts w:hint="eastAsia" w:ascii="宋体" w:hAnsi="宋体" w:eastAsia="宋体" w:cs="宋体"/>
          <w:i/>
          <w:color w:val="000000" w:themeColor="text1"/>
          <w:highlight w:val="none"/>
          <w:u w:val="single"/>
          <w:lang w:val="en-US" w:eastAsia="zh-CN"/>
          <w14:textFill>
            <w14:solidFill>
              <w14:schemeClr w14:val="tx1"/>
            </w14:solidFill>
          </w14:textFill>
        </w:rPr>
        <w:t xml:space="preserve">2.</w:t>
      </w:r>
      <w:r>
        <w:rPr>
          <w:rStyle w:val="1358"/>
          <w:rFonts w:hint="eastAsia" w:ascii="宋体" w:hAnsi="宋体" w:eastAsia="宋体" w:cs="宋体"/>
          <w:i/>
          <w:color w:val="000000" w:themeColor="text1"/>
          <w:highlight w:val="none"/>
          <w:u w:val="single"/>
          <w14:textFill>
            <w14:solidFill>
              <w14:schemeClr w14:val="tx1"/>
            </w14:solidFill>
          </w14:textFill>
        </w:rPr>
        <w:t xml:space="preserve">结付期限</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7"/>
          <w:sz w:val="24"/>
          <w:u w:val="single"/>
        </w:rPr>
        <w:t xml:space="preserve">合同签订生效后，采购人</w:t>
      </w:r>
      <w:r>
        <w:rPr>
          <w:rFonts w:ascii="Times New Roman" w:hAnsi="Times New Roman" w:eastAsia="Times New Roman" w:cs="Times New Roman"/>
          <w:i/>
          <w:color w:val="000000"/>
          <w:spacing w:val="7"/>
          <w:sz w:val="24"/>
          <w:u w:val="single"/>
        </w:rPr>
        <w:t xml:space="preserve">30</w:t>
      </w:r>
      <w:r>
        <w:rPr>
          <w:rFonts w:ascii="SimSun" w:hAnsi="SimSun" w:eastAsia="SimSun" w:cs="SimSun"/>
          <w:i/>
          <w:color w:val="000000"/>
          <w:spacing w:val="7"/>
          <w:sz w:val="24"/>
          <w:u w:val="single"/>
        </w:rPr>
        <w:t xml:space="preserve">天内支付合同金额的</w:t>
      </w:r>
      <w:r>
        <w:rPr>
          <w:rFonts w:ascii="Times New Roman" w:hAnsi="Times New Roman" w:eastAsia="Times New Roman" w:cs="Times New Roman"/>
          <w:i/>
          <w:color w:val="000000"/>
          <w:spacing w:val="7"/>
          <w:sz w:val="24"/>
          <w:u w:val="single"/>
        </w:rPr>
        <w:t xml:space="preserve">10%</w:t>
      </w:r>
      <w:r>
        <w:rPr>
          <w:rFonts w:ascii="SimSun" w:hAnsi="SimSun" w:eastAsia="SimSun" w:cs="SimSun"/>
          <w:i/>
          <w:color w:val="000000"/>
          <w:spacing w:val="7"/>
          <w:sz w:val="24"/>
          <w:u w:val="single"/>
        </w:rPr>
        <w:t xml:space="preserve">作为预付款（具体以财政实际拨付为准。在签订合同时，中标人明确表示无需预付款或者主动要求降低预付款比例的，采购人可不适用上述关于预付款的约定）</w:t>
      </w:r>
      <w:r>
        <w:rPr>
          <w:rFonts w:ascii="SimSun" w:hAnsi="SimSun" w:eastAsia="SimSun" w:cs="SimSun"/>
          <w:i/>
          <w:color w:val="000000"/>
          <w:sz w:val="24"/>
          <w:u w:val="single"/>
        </w:rPr>
        <w:t xml:space="preserve">，《2024年度白蚁等害堤动物普查及治理项目》中已普查到的受害堤防的治理全部完成并出具相应的治理结果报告书，经采购人验收合格及根据考核结果（考核方式详见四、其他部分附件2：考核细则），付清全部款项；完成2025年白蚁等害堤动物的普查及治理工作并出具相应的普查结果报告书，完成安全健康评估报告，经采购人验收合格及根据考核结果（考核方式详见四、其他部分附件2：考核细则），退还履约保证金。考核得分与实际付款金额挂钩，实际付款金额按下述方法支付：</w:t>
      </w:r>
      <w:r/>
    </w:p>
    <w:tbl>
      <w:tblPr>
        <w:tblStyle w:val="11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40"/>
        <w:gridCol w:w="1580"/>
        <w:gridCol w:w="1580"/>
        <w:gridCol w:w="1580"/>
        <w:gridCol w:w="1580"/>
        <w:gridCol w:w="1593"/>
      </w:tblGrid>
      <w:tr>
        <w:trPr>
          <w:trHeight w:val="62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0" w:type="dxa"/>
            <w:vAlign w:val="top"/>
            <w:textDirection w:val="lrTb"/>
            <w:noWrap w:val="false"/>
          </w:tcPr>
          <w:p>
            <w:pPr>
              <w:ind w:left="0" w:right="0" w:firstLine="0"/>
              <w:jc w:val="center"/>
              <w:spacing w:before="198"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2"/>
                <w:sz w:val="24"/>
                <w:u w:val="single"/>
              </w:rPr>
              <w:t xml:space="preserve">考核得分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0" w:type="dxa"/>
            <w:vAlign w:val="top"/>
            <w:textDirection w:val="lrTb"/>
            <w:noWrap w:val="false"/>
          </w:tcPr>
          <w:p>
            <w:pPr>
              <w:ind w:left="0" w:right="0" w:firstLine="0"/>
              <w:jc w:val="center"/>
              <w:spacing w:before="199"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3"/>
                <w:sz w:val="24"/>
                <w:u w:val="single"/>
              </w:rPr>
              <w:t xml:space="preserve">90</w:t>
            </w:r>
            <w:r>
              <w:rPr>
                <w:rFonts w:ascii="SimSun" w:hAnsi="SimSun" w:eastAsia="SimSun" w:cs="SimSun"/>
                <w:i/>
                <w:color w:val="000000"/>
                <w:spacing w:val="-3"/>
                <w:sz w:val="24"/>
                <w:u w:val="single"/>
              </w:rPr>
              <w:t xml:space="preserve">分及以上</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0" w:type="dxa"/>
            <w:vAlign w:val="top"/>
            <w:textDirection w:val="lrTb"/>
            <w:noWrap w:val="false"/>
          </w:tcPr>
          <w:p>
            <w:pPr>
              <w:ind w:left="0" w:right="0" w:firstLine="0"/>
              <w:jc w:val="center"/>
              <w:spacing w:before="199"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15"/>
                <w:sz w:val="24"/>
                <w:u w:val="single"/>
              </w:rPr>
              <w:t xml:space="preserve">80</w:t>
            </w:r>
            <w:r>
              <w:rPr>
                <w:rFonts w:ascii="SimSun" w:hAnsi="SimSun" w:eastAsia="SimSun" w:cs="SimSun"/>
                <w:i/>
                <w:color w:val="000000"/>
                <w:spacing w:val="15"/>
                <w:sz w:val="24"/>
                <w:u w:val="single"/>
              </w:rPr>
              <w:t xml:space="preserve">~</w:t>
            </w:r>
            <w:r>
              <w:rPr>
                <w:rFonts w:ascii="Times New Roman" w:hAnsi="Times New Roman" w:eastAsia="Times New Roman" w:cs="Times New Roman"/>
                <w:i/>
                <w:color w:val="000000"/>
                <w:spacing w:val="15"/>
                <w:sz w:val="24"/>
                <w:u w:val="single"/>
              </w:rPr>
              <w:t xml:space="preserve">89</w:t>
            </w:r>
            <w:r>
              <w:rPr>
                <w:rFonts w:ascii="SimSun" w:hAnsi="SimSun" w:eastAsia="SimSun" w:cs="SimSun"/>
                <w:i/>
                <w:color w:val="000000"/>
                <w:spacing w:val="15"/>
                <w:sz w:val="24"/>
                <w:u w:val="single"/>
              </w:rPr>
              <w:t xml:space="preserve">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0" w:type="dxa"/>
            <w:vAlign w:val="top"/>
            <w:textDirection w:val="lrTb"/>
            <w:noWrap w:val="false"/>
          </w:tcPr>
          <w:p>
            <w:pPr>
              <w:ind w:left="0" w:right="0" w:firstLine="0"/>
              <w:jc w:val="center"/>
              <w:spacing w:before="199"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16"/>
                <w:sz w:val="24"/>
                <w:u w:val="single"/>
              </w:rPr>
              <w:t xml:space="preserve">70</w:t>
            </w:r>
            <w:r>
              <w:rPr>
                <w:rFonts w:ascii="SimSun" w:hAnsi="SimSun" w:eastAsia="SimSun" w:cs="SimSun"/>
                <w:i/>
                <w:color w:val="000000"/>
                <w:spacing w:val="16"/>
                <w:sz w:val="24"/>
                <w:u w:val="single"/>
              </w:rPr>
              <w:t xml:space="preserve">~</w:t>
            </w:r>
            <w:r>
              <w:rPr>
                <w:rFonts w:ascii="Times New Roman" w:hAnsi="Times New Roman" w:eastAsia="Times New Roman" w:cs="Times New Roman"/>
                <w:i/>
                <w:color w:val="000000"/>
                <w:spacing w:val="16"/>
                <w:sz w:val="24"/>
                <w:u w:val="single"/>
              </w:rPr>
              <w:t xml:space="preserve">79</w:t>
            </w:r>
            <w:r>
              <w:rPr>
                <w:rFonts w:ascii="SimSun" w:hAnsi="SimSun" w:eastAsia="SimSun" w:cs="SimSun"/>
                <w:i/>
                <w:color w:val="000000"/>
                <w:spacing w:val="15"/>
                <w:sz w:val="24"/>
                <w:u w:val="single"/>
              </w:rPr>
              <w:t xml:space="preserve">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0" w:type="dxa"/>
            <w:vAlign w:val="top"/>
            <w:textDirection w:val="lrTb"/>
            <w:noWrap w:val="false"/>
          </w:tcPr>
          <w:p>
            <w:pPr>
              <w:ind w:left="0" w:right="0" w:firstLine="0"/>
              <w:jc w:val="center"/>
              <w:spacing w:before="199"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19"/>
                <w:sz w:val="24"/>
                <w:u w:val="single"/>
              </w:rPr>
              <w:t xml:space="preserve">6</w:t>
            </w:r>
            <w:r>
              <w:rPr>
                <w:rFonts w:ascii="Times New Roman" w:hAnsi="Times New Roman" w:eastAsia="Times New Roman" w:cs="Times New Roman"/>
                <w:i/>
                <w:color w:val="000000"/>
                <w:spacing w:val="15"/>
                <w:sz w:val="24"/>
                <w:u w:val="single"/>
              </w:rPr>
              <w:t xml:space="preserve">0</w:t>
            </w:r>
            <w:r>
              <w:rPr>
                <w:rFonts w:ascii="SimSun" w:hAnsi="SimSun" w:eastAsia="SimSun" w:cs="SimSun"/>
                <w:i/>
                <w:color w:val="000000"/>
                <w:spacing w:val="15"/>
                <w:sz w:val="24"/>
                <w:u w:val="single"/>
              </w:rPr>
              <w:t xml:space="preserve">~</w:t>
            </w:r>
            <w:r>
              <w:rPr>
                <w:rFonts w:ascii="Times New Roman" w:hAnsi="Times New Roman" w:eastAsia="Times New Roman" w:cs="Times New Roman"/>
                <w:i/>
                <w:color w:val="000000"/>
                <w:spacing w:val="15"/>
                <w:sz w:val="24"/>
                <w:u w:val="single"/>
              </w:rPr>
              <w:t xml:space="preserve">69</w:t>
            </w:r>
            <w:r>
              <w:rPr>
                <w:rFonts w:ascii="SimSun" w:hAnsi="SimSun" w:eastAsia="SimSun" w:cs="SimSun"/>
                <w:i/>
                <w:color w:val="000000"/>
                <w:spacing w:val="15"/>
                <w:sz w:val="24"/>
                <w:u w:val="single"/>
              </w:rPr>
              <w:t xml:space="preserve">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3" w:type="dxa"/>
            <w:vAlign w:val="top"/>
            <w:textDirection w:val="lrTb"/>
            <w:noWrap w:val="false"/>
          </w:tcPr>
          <w:p>
            <w:pPr>
              <w:ind w:left="0" w:right="0" w:firstLine="0"/>
              <w:jc w:val="center"/>
              <w:spacing w:before="199"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4"/>
                <w:sz w:val="24"/>
                <w:u w:val="single"/>
              </w:rPr>
              <w:t xml:space="preserve">6</w:t>
            </w:r>
            <w:r>
              <w:rPr>
                <w:rFonts w:ascii="Times New Roman" w:hAnsi="Times New Roman" w:eastAsia="Times New Roman" w:cs="Times New Roman"/>
                <w:i/>
                <w:color w:val="000000"/>
                <w:spacing w:val="-3"/>
                <w:sz w:val="24"/>
                <w:u w:val="single"/>
              </w:rPr>
              <w:t xml:space="preserve">0</w:t>
            </w:r>
            <w:r>
              <w:rPr>
                <w:rFonts w:ascii="SimSun" w:hAnsi="SimSun" w:eastAsia="SimSun" w:cs="SimSun"/>
                <w:i/>
                <w:color w:val="000000"/>
                <w:spacing w:val="-3"/>
                <w:sz w:val="24"/>
                <w:u w:val="single"/>
              </w:rPr>
              <w:t xml:space="preserve">分以下</w:t>
            </w:r>
            <w:r/>
          </w:p>
        </w:tc>
      </w:tr>
      <w:tr>
        <w:trPr>
          <w:trHeight w:val="72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0" w:type="dxa"/>
            <w:vAlign w:val="top"/>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2"/>
                <w:sz w:val="24"/>
                <w:u w:val="single"/>
              </w:rPr>
              <w:t xml:space="preserve">付款比例</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0" w:type="dxa"/>
            <w:vAlign w:val="top"/>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2"/>
                <w:sz w:val="24"/>
                <w:u w:val="single"/>
              </w:rPr>
              <w:t xml:space="preserve">全额付款</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0" w:type="dxa"/>
            <w:vAlign w:val="top"/>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3"/>
                <w:sz w:val="24"/>
                <w:u w:val="single"/>
              </w:rPr>
              <w:t xml:space="preserve">九折付款</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0" w:type="dxa"/>
            <w:vAlign w:val="top"/>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4"/>
                <w:sz w:val="24"/>
                <w:u w:val="single"/>
              </w:rPr>
              <w:t xml:space="preserve">八</w:t>
            </w:r>
            <w:r>
              <w:rPr>
                <w:rFonts w:ascii="SimSun" w:hAnsi="SimSun" w:eastAsia="SimSun" w:cs="SimSun"/>
                <w:i/>
                <w:color w:val="000000"/>
                <w:spacing w:val="-2"/>
                <w:sz w:val="24"/>
                <w:u w:val="single"/>
              </w:rPr>
              <w:t xml:space="preserve">折付款</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0" w:type="dxa"/>
            <w:vAlign w:val="top"/>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2"/>
                <w:sz w:val="24"/>
                <w:u w:val="single"/>
              </w:rPr>
              <w:t xml:space="preserve">七折付</w:t>
            </w:r>
            <w:r>
              <w:rPr>
                <w:rFonts w:ascii="SimSun" w:hAnsi="SimSun" w:eastAsia="SimSun" w:cs="SimSun"/>
                <w:i/>
                <w:color w:val="000000"/>
                <w:spacing w:val="-1"/>
                <w:sz w:val="24"/>
                <w:u w:val="single"/>
              </w:rPr>
              <w:t xml:space="preserve">款</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3" w:type="dxa"/>
            <w:vAlign w:val="top"/>
            <w:textDirection w:val="lrTb"/>
            <w:noWrap w:val="false"/>
          </w:tcPr>
          <w:p>
            <w:pPr>
              <w:ind w:left="0" w:right="0" w:firstLine="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3"/>
                <w:sz w:val="24"/>
                <w:u w:val="single"/>
              </w:rPr>
              <w:t xml:space="preserve">六</w:t>
            </w:r>
            <w:r>
              <w:rPr>
                <w:rFonts w:ascii="SimSun" w:hAnsi="SimSun" w:eastAsia="SimSun" w:cs="SimSun"/>
                <w:i/>
                <w:color w:val="000000"/>
                <w:spacing w:val="-2"/>
                <w:sz w:val="24"/>
                <w:u w:val="single"/>
              </w:rPr>
              <w:t xml:space="preserve">折付款</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实际</w:t>
      </w:r>
      <w:r>
        <w:rPr>
          <w:rFonts w:ascii="SimSun" w:hAnsi="SimSun" w:eastAsia="SimSun" w:cs="SimSun"/>
          <w:i/>
          <w:color w:val="000000"/>
          <w:spacing w:val="7"/>
          <w:sz w:val="24"/>
          <w:u w:val="single"/>
        </w:rPr>
        <w:t xml:space="preserve">付款</w:t>
      </w:r>
      <w:r>
        <w:rPr>
          <w:rFonts w:ascii="SimSun" w:hAnsi="SimSun" w:eastAsia="SimSun" w:cs="SimSun"/>
          <w:i/>
          <w:color w:val="000000"/>
          <w:sz w:val="24"/>
          <w:u w:val="single"/>
        </w:rPr>
        <w:t xml:space="preserve">金额</w:t>
      </w:r>
      <w:r>
        <w:rPr>
          <w:rFonts w:ascii="Times New Roman" w:hAnsi="Times New Roman" w:eastAsia="Times New Roman" w:cs="Times New Roman"/>
          <w:i/>
          <w:color w:val="000000"/>
          <w:sz w:val="24"/>
          <w:u w:val="single"/>
        </w:rPr>
        <w:t xml:space="preserve">=</w:t>
      </w:r>
      <w:r>
        <w:rPr>
          <w:rFonts w:ascii="SimSun" w:hAnsi="SimSun" w:eastAsia="SimSun" w:cs="SimSun"/>
          <w:i/>
          <w:color w:val="000000"/>
          <w:sz w:val="24"/>
          <w:u w:val="single"/>
        </w:rPr>
        <w:t xml:space="preserve">合同总金额</w:t>
      </w:r>
      <w:r>
        <w:rPr>
          <w:rFonts w:ascii="SimSun" w:hAnsi="SimSun" w:eastAsia="SimSun" w:cs="SimSun"/>
          <w:i/>
          <w:color w:val="000000"/>
          <w:spacing w:val="7"/>
          <w:sz w:val="24"/>
          <w:u w:val="single"/>
        </w:rPr>
        <w:t xml:space="preserve">×付款比例。</w:t>
      </w:r>
      <w:r>
        <w:rPr>
          <w:rFonts w:ascii="SimSun" w:hAnsi="SimSun" w:eastAsia="SimSun" w:cs="SimSun"/>
          <w:b/>
          <w:color w:val="000000"/>
          <w:sz w:val="24"/>
        </w:rPr>
        <w:t xml:space="preserve">”</w:t>
      </w:r>
      <w:r/>
    </w:p>
    <w:p>
      <w:pPr>
        <w:pStyle w:val="1382"/>
        <w:ind w:firstLine="482"/>
        <w:keepLines w:val="0"/>
        <w:keepNext w:val="0"/>
        <w:pageBreakBefore w:val="0"/>
        <w:spacing w:line="520" w:lineRule="exact"/>
        <w:rPr>
          <w:rStyle w:val="1358"/>
          <w:rFonts w:hint="eastAsia" w:ascii="宋体" w:hAnsi="宋体" w:eastAsia="宋体" w:cs="宋体"/>
          <w:b/>
          <w:color w:val="000000" w:themeColor="text1"/>
          <w:highlight w:val="none"/>
          <w:lang w:val="en-US" w:eastAsia="zh-CN"/>
          <w14:textFill>
            <w14:solidFill>
              <w14:schemeClr w14:val="tx1"/>
            </w14:solidFill>
          </w14:textFill>
        </w:rPr>
      </w:pPr>
      <w:r>
        <w:rPr>
          <w:rStyle w:val="1358"/>
          <w:rFonts w:hint="eastAsia" w:ascii="宋体" w:hAnsi="宋体" w:eastAsia="宋体" w:cs="宋体"/>
          <w:b/>
          <w:color w:val="000000" w:themeColor="text1"/>
          <w:highlight w:val="none"/>
          <w:lang w:eastAsia="zh-CN"/>
          <w14:textFill>
            <w14:solidFill>
              <w14:schemeClr w14:val="tx1"/>
            </w14:solidFill>
          </w14:textFill>
        </w:rPr>
        <w:t xml:space="preserve">（</w:t>
      </w:r>
      <w:r>
        <w:rPr>
          <w:rStyle w:val="1358"/>
          <w:rFonts w:hint="eastAsia" w:ascii="宋体" w:hAnsi="宋体" w:eastAsia="宋体" w:cs="宋体"/>
          <w:b/>
          <w:color w:val="000000" w:themeColor="text1"/>
          <w:highlight w:val="none"/>
          <w:lang w:val="en-US" w:eastAsia="zh-CN"/>
          <w14:textFill>
            <w14:solidFill>
              <w14:schemeClr w14:val="tx1"/>
            </w14:solidFill>
          </w14:textFill>
        </w:rPr>
        <w:t xml:space="preserve">三</w:t>
      </w:r>
      <w:r>
        <w:rPr>
          <w:rStyle w:val="1358"/>
          <w:rFonts w:hint="eastAsia" w:ascii="宋体" w:hAnsi="宋体" w:eastAsia="宋体" w:cs="宋体"/>
          <w:b/>
          <w:color w:val="000000" w:themeColor="text1"/>
          <w:highlight w:val="none"/>
          <w:lang w:eastAsia="zh-CN"/>
          <w14:textFill>
            <w14:solidFill>
              <w14:schemeClr w14:val="tx1"/>
            </w14:solidFill>
          </w14:textFill>
        </w:rPr>
        <w:t xml:space="preserve">）</w:t>
      </w:r>
      <w:r>
        <w:rPr>
          <w:rStyle w:val="1358"/>
          <w:rFonts w:hint="eastAsia" w:ascii="宋体" w:hAnsi="宋体" w:eastAsia="宋体" w:cs="宋体"/>
          <w:b/>
          <w:color w:val="000000" w:themeColor="text1"/>
          <w:highlight w:val="none"/>
          <w14:textFill>
            <w14:solidFill>
              <w14:schemeClr w14:val="tx1"/>
            </w14:solidFill>
          </w14:textFill>
        </w:rPr>
        <w:t xml:space="preserve">投标货币</w:t>
      </w:r>
      <w:r/>
    </w:p>
    <w:p>
      <w:pPr>
        <w:pStyle w:val="1382"/>
        <w:ind w:firstLine="480"/>
        <w:keepLines w:val="0"/>
        <w:keepNext w:val="0"/>
        <w:pageBreakBefore w:val="0"/>
        <w:spacing w:line="520" w:lineRule="exact"/>
        <w:rPr>
          <w:rStyle w:val="1358"/>
          <w:rFonts w:ascii="宋体" w:hAnsi="宋体" w:eastAsia="宋体" w:cs="宋体"/>
          <w:i/>
          <w:color w:val="000000" w:themeColor="text1"/>
          <w:highlight w:val="none"/>
          <w:u w:val="single"/>
          <w14:textFill>
            <w14:solidFill>
              <w14:schemeClr w14:val="tx1"/>
            </w14:solidFill>
          </w14:textFill>
        </w:rPr>
      </w:pPr>
      <w:r>
        <w:rPr>
          <w:rStyle w:val="1358"/>
          <w:rFonts w:hint="eastAsia" w:ascii="宋体" w:hAnsi="宋体" w:eastAsia="宋体" w:cs="宋体"/>
          <w:i/>
          <w:color w:val="000000" w:themeColor="text1"/>
          <w:highlight w:val="none"/>
          <w:u w:val="single"/>
          <w14:textFill>
            <w14:solidFill>
              <w14:schemeClr w14:val="tx1"/>
            </w14:solidFill>
          </w14:textFill>
        </w:rPr>
        <w:t xml:space="preserve">人民币。</w:t>
      </w:r>
      <w:r/>
    </w:p>
    <w:p>
      <w:pPr>
        <w:pStyle w:val="1382"/>
        <w:ind w:firstLine="482"/>
        <w:keepLines w:val="0"/>
        <w:keepNext w:val="0"/>
        <w:pageBreakBefore w:val="0"/>
        <w:spacing w:line="520" w:lineRule="exact"/>
        <w:rPr>
          <w:rStyle w:val="1358"/>
          <w:rFonts w:ascii="宋体" w:hAnsi="宋体" w:eastAsia="宋体" w:cs="宋体"/>
          <w:b/>
          <w:color w:val="000000" w:themeColor="text1"/>
          <w:highlight w:val="none"/>
          <w14:textFill>
            <w14:solidFill>
              <w14:schemeClr w14:val="tx1"/>
            </w14:solidFill>
          </w14:textFill>
        </w:rPr>
      </w:pPr>
      <w:r>
        <w:rPr>
          <w:rStyle w:val="1358"/>
          <w:rFonts w:hint="eastAsia" w:ascii="宋体" w:hAnsi="宋体" w:eastAsia="宋体" w:cs="宋体"/>
          <w:b/>
          <w:color w:val="000000" w:themeColor="text1"/>
          <w:highlight w:val="none"/>
          <w:lang w:eastAsia="zh-CN"/>
          <w14:textFill>
            <w14:solidFill>
              <w14:schemeClr w14:val="tx1"/>
            </w14:solidFill>
          </w14:textFill>
        </w:rPr>
        <w:t xml:space="preserve">（</w:t>
      </w:r>
      <w:r>
        <w:rPr>
          <w:rStyle w:val="1358"/>
          <w:rFonts w:hint="eastAsia" w:ascii="宋体" w:hAnsi="宋体" w:eastAsia="宋体" w:cs="宋体"/>
          <w:b/>
          <w:color w:val="000000" w:themeColor="text1"/>
          <w:highlight w:val="none"/>
          <w:lang w:val="en-US" w:eastAsia="zh-CN"/>
          <w14:textFill>
            <w14:solidFill>
              <w14:schemeClr w14:val="tx1"/>
            </w14:solidFill>
          </w14:textFill>
        </w:rPr>
        <w:t xml:space="preserve">四</w:t>
      </w:r>
      <w:r>
        <w:rPr>
          <w:rStyle w:val="1358"/>
          <w:rFonts w:hint="eastAsia" w:ascii="宋体" w:hAnsi="宋体" w:eastAsia="宋体" w:cs="宋体"/>
          <w:b/>
          <w:color w:val="000000" w:themeColor="text1"/>
          <w:highlight w:val="none"/>
          <w:lang w:eastAsia="zh-CN"/>
          <w14:textFill>
            <w14:solidFill>
              <w14:schemeClr w14:val="tx1"/>
            </w14:solidFill>
          </w14:textFill>
        </w:rPr>
        <w:t xml:space="preserve">）</w:t>
      </w:r>
      <w:r>
        <w:rPr>
          <w:rStyle w:val="1358"/>
          <w:rFonts w:hint="eastAsia" w:ascii="宋体" w:hAnsi="宋体" w:eastAsia="宋体" w:cs="宋体"/>
          <w:b/>
          <w:color w:val="000000" w:themeColor="text1"/>
          <w:highlight w:val="none"/>
          <w14:textFill>
            <w14:solidFill>
              <w14:schemeClr w14:val="tx1"/>
            </w14:solidFill>
          </w14:textFill>
        </w:rPr>
        <w:t xml:space="preserve">备品备件及耗材等要求</w:t>
      </w:r>
      <w:r/>
    </w:p>
    <w:p>
      <w:pPr>
        <w:pStyle w:val="1382"/>
        <w:ind w:firstLine="480"/>
        <w:keepLines w:val="0"/>
        <w:keepNext w:val="0"/>
        <w:pageBreakBefore w:val="0"/>
        <w:spacing w:line="520" w:lineRule="exact"/>
        <w:rPr>
          <w:rStyle w:val="1358"/>
          <w:rFonts w:hint="eastAsia" w:ascii="宋体" w:hAnsi="宋体" w:eastAsia="宋体" w:cs="宋体"/>
          <w:i w:val="0"/>
          <w:iCs/>
          <w:color w:val="000000" w:themeColor="text1"/>
          <w:highlight w:val="none"/>
          <w:u w:val="none"/>
          <w14:textFill>
            <w14:solidFill>
              <w14:schemeClr w14:val="tx1"/>
            </w14:solidFill>
          </w14:textFill>
        </w:rPr>
      </w:pPr>
      <w:r>
        <w:rPr>
          <w:rStyle w:val="1358"/>
          <w:rFonts w:hint="eastAsia" w:ascii="宋体" w:hAnsi="宋体" w:eastAsia="宋体" w:cs="宋体"/>
          <w:i w:val="0"/>
          <w:iCs/>
          <w:color w:val="000000" w:themeColor="text1"/>
          <w:highlight w:val="none"/>
          <w:u w:val="none"/>
          <w14:textFill>
            <w14:solidFill>
              <w14:schemeClr w14:val="tx1"/>
            </w14:solidFill>
          </w14:textFill>
        </w:rPr>
        <w:t xml:space="preserve">无。</w:t>
      </w:r>
      <w:r/>
    </w:p>
    <w:p>
      <w:pPr>
        <w:pStyle w:val="1382"/>
        <w:ind w:firstLine="480"/>
        <w:keepLines w:val="0"/>
        <w:keepNext w:val="0"/>
        <w:pageBreakBefore w:val="0"/>
        <w:spacing w:line="520" w:lineRule="exact"/>
        <w:rPr>
          <w:rStyle w:val="1358"/>
          <w:rFonts w:hint="eastAsia" w:ascii="宋体" w:hAnsi="宋体" w:eastAsia="宋体" w:cs="宋体"/>
          <w:i/>
          <w:color w:val="000000" w:themeColor="text1"/>
          <w:highlight w:val="none"/>
          <w:u w:val="single"/>
          <w14:textFill>
            <w14:solidFill>
              <w14:schemeClr w14:val="tx1"/>
            </w14:solidFill>
          </w14:textFill>
        </w:rPr>
      </w:pPr>
      <w:r>
        <w:rPr>
          <w:rFonts w:hint="eastAsia" w:ascii="宋体" w:hAnsi="宋体" w:eastAsia="宋体" w:cs="宋体"/>
          <w:i/>
          <w:color w:val="000000" w:themeColor="text1"/>
          <w:highlight w:val="none"/>
          <w:u w:val="single"/>
          <w14:textFill>
            <w14:solidFill>
              <w14:schemeClr w14:val="tx1"/>
            </w14:solidFill>
          </w14:textFill>
        </w:rPr>
      </w:r>
      <w:r/>
    </w:p>
    <w:p>
      <w:pPr>
        <w:pStyle w:val="1382"/>
        <w:ind w:firstLine="480"/>
        <w:keepLines w:val="0"/>
        <w:keepNext w:val="0"/>
        <w:pageBreakBefore w:val="0"/>
        <w:spacing w:line="520" w:lineRule="exact"/>
        <w:rPr>
          <w:rStyle w:val="1358"/>
          <w:rFonts w:hint="eastAsia" w:ascii="宋体" w:hAnsi="宋体" w:eastAsia="宋体" w:cs="宋体"/>
          <w:i/>
          <w:color w:val="000000" w:themeColor="text1"/>
          <w:highlight w:val="none"/>
          <w:u w:val="single"/>
          <w14:textFill>
            <w14:solidFill>
              <w14:schemeClr w14:val="tx1"/>
            </w14:solidFill>
          </w14:textFill>
        </w:rPr>
        <w:sectPr>
          <w:headerReference w:type="default" r:id="rId18"/>
          <w:headerReference w:type="first" r:id="rId19"/>
          <w:footerReference w:type="default" r:id="rId32"/>
          <w:footerReference w:type="first" r:id="rId33"/>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i/>
          <w:color w:val="000000" w:themeColor="text1"/>
          <w:highlight w:val="none"/>
          <w:u w:val="single"/>
          <w14:textFill>
            <w14:solidFill>
              <w14:schemeClr w14:val="tx1"/>
            </w14:solidFill>
          </w14:textFill>
        </w:rPr>
      </w:r>
      <w:r/>
    </w:p>
    <w:p>
      <w:pPr>
        <w:keepLines w:val="0"/>
        <w:keepNext w:val="0"/>
        <w:pageBreakBefore w:val="0"/>
        <w:spacing w:line="52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四、其他部分</w:t>
      </w:r>
      <w:r/>
    </w:p>
    <w:p>
      <w:pPr>
        <w:pStyle w:val="1383"/>
        <w:ind w:firstLine="602"/>
        <w:keepLines w:val="0"/>
        <w:keepNext w:val="0"/>
        <w:pageBreakBefore w:val="0"/>
        <w:spacing w:line="520" w:lineRule="exact"/>
        <w:rPr>
          <w:rStyle w:val="1358"/>
          <w:rFonts w:ascii="宋体" w:hAnsi="宋体" w:eastAsia="宋体" w:cs="宋体"/>
          <w:b/>
          <w:bCs/>
          <w:color w:val="000000" w:themeColor="text1"/>
          <w:sz w:val="30"/>
          <w:szCs w:val="30"/>
          <w:highlight w:val="none"/>
          <w14:textFill>
            <w14:solidFill>
              <w14:schemeClr w14:val="tx1"/>
            </w14:solidFill>
          </w14:textFill>
        </w:rPr>
      </w:pPr>
      <w:r>
        <w:rPr>
          <w:rStyle w:val="1358"/>
          <w:rFonts w:hint="eastAsia" w:ascii="宋体" w:hAnsi="宋体" w:eastAsia="宋体" w:cs="宋体"/>
          <w:b/>
          <w:bCs/>
          <w:color w:val="000000" w:themeColor="text1"/>
          <w:sz w:val="30"/>
          <w:szCs w:val="30"/>
          <w:highlight w:val="none"/>
          <w14:textFill>
            <w14:solidFill>
              <w14:schemeClr w14:val="tx1"/>
            </w14:solidFill>
          </w14:textFill>
        </w:rPr>
        <w:t xml:space="preserve">附件1：</w:t>
      </w:r>
      <w:r/>
    </w:p>
    <w:p>
      <w:pPr>
        <w:pStyle w:val="1383"/>
        <w:jc w:val="center"/>
        <w:rPr>
          <w:rStyle w:val="1358"/>
          <w:rFonts w:ascii="宋体" w:hAnsi="宋体" w:eastAsia="宋体" w:cs="宋体"/>
          <w:b/>
          <w:bCs/>
          <w:color w:val="000000" w:themeColor="text1"/>
          <w:sz w:val="30"/>
          <w:szCs w:val="30"/>
          <w:highlight w:val="none"/>
          <w14:textFill>
            <w14:solidFill>
              <w14:schemeClr w14:val="tx1"/>
            </w14:solidFill>
          </w14:textFill>
        </w:rPr>
      </w:pPr>
      <w:r>
        <w:rPr>
          <w:rStyle w:val="1358"/>
          <w:rFonts w:hint="eastAsia" w:ascii="宋体" w:hAnsi="宋体" w:eastAsia="宋体" w:cs="宋体"/>
          <w:b/>
          <w:bCs/>
          <w:color w:val="000000" w:themeColor="text1"/>
          <w:sz w:val="30"/>
          <w:szCs w:val="30"/>
          <w:highlight w:val="none"/>
          <w14:textFill>
            <w14:solidFill>
              <w14:schemeClr w14:val="tx1"/>
            </w14:solidFill>
          </w14:textFill>
        </w:rPr>
        <w:t xml:space="preserve">信息化智能预警监测</w:t>
      </w:r>
      <w:r>
        <w:rPr>
          <w:rStyle w:val="1358"/>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装置系统</w:t>
      </w:r>
      <w:r>
        <w:rPr>
          <w:rStyle w:val="1358"/>
          <w:rFonts w:hint="eastAsia" w:ascii="宋体" w:hAnsi="宋体" w:eastAsia="宋体" w:cs="宋体"/>
          <w:b/>
          <w:bCs/>
          <w:color w:val="000000" w:themeColor="text1"/>
          <w:sz w:val="30"/>
          <w:szCs w:val="30"/>
          <w:highlight w:val="none"/>
          <w14:textFill>
            <w14:solidFill>
              <w14:schemeClr w14:val="tx1"/>
            </w14:solidFill>
          </w14:textFill>
        </w:rPr>
        <w:t xml:space="preserve">参数要求</w:t>
      </w:r>
      <w:r/>
    </w:p>
    <w:tbl>
      <w:tblPr>
        <w:tblStyle w:val="1439"/>
        <w:tblW w:w="9459" w:type="dxa"/>
        <w:tblInd w:w="2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138"/>
        <w:gridCol w:w="1942"/>
        <w:gridCol w:w="6379"/>
      </w:tblGrid>
      <w:tr>
        <w:trPr>
          <w:trHeight w:val="567"/>
          <w:tblHeader/>
        </w:trPr>
        <w:tc>
          <w:tcPr>
            <w:shd w:val="clear" w:color="auto" w:fill="b5c7ea" w:themeFill="accent1" w:themeFillTint="66"/>
            <w:tcW w:w="1138" w:type="dxa"/>
            <w:vAlign w:val="center"/>
            <w:textDirection w:val="lrTb"/>
            <w:noWrap w:val="false"/>
          </w:tcPr>
          <w:p>
            <w:pPr>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序号</w:t>
            </w:r>
            <w:r/>
          </w:p>
        </w:tc>
        <w:tc>
          <w:tcPr>
            <w:shd w:val="clear" w:color="auto" w:fill="b5c7ea" w:themeFill="accent1" w:themeFillTint="66"/>
            <w:tcW w:w="1942" w:type="dxa"/>
            <w:vAlign w:val="center"/>
            <w:textDirection w:val="lrTb"/>
            <w:noWrap w:val="false"/>
          </w:tcPr>
          <w:p>
            <w:pPr>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名称</w:t>
            </w:r>
            <w:r/>
          </w:p>
        </w:tc>
        <w:tc>
          <w:tcPr>
            <w:shd w:val="clear" w:color="auto" w:fill="b5c7ea" w:themeFill="accent1" w:themeFillTint="66"/>
            <w:tcW w:w="6379" w:type="dxa"/>
            <w:vAlign w:val="center"/>
            <w:textDirection w:val="lrTb"/>
            <w:noWrap w:val="false"/>
          </w:tcPr>
          <w:p>
            <w:pPr>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参数要求</w:t>
            </w:r>
            <w:r/>
          </w:p>
        </w:tc>
      </w:tr>
      <w:tr>
        <w:trPr>
          <w:trHeight w:val="567"/>
        </w:trPr>
        <w:tc>
          <w:tcPr>
            <w:tcW w:w="1138" w:type="dxa"/>
            <w:vAlign w:val="center"/>
            <w:vMerge w:val="restart"/>
            <w:textDirection w:val="lrTb"/>
            <w:noWrap w:val="false"/>
          </w:tcPr>
          <w:p>
            <w:pPr>
              <w:pStyle w:val="1440"/>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p>
        </w:tc>
        <w:tc>
          <w:tcPr>
            <w:tcW w:w="1942" w:type="dxa"/>
            <w:vAlign w:val="center"/>
            <w:vMerge w:val="restart"/>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壳体要求</w:t>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pacing w:val="-2"/>
                <w:sz w:val="24"/>
                <w:szCs w:val="24"/>
                <w:highlight w:val="none"/>
                <w:lang w:eastAsia="zh-CN"/>
                <w14:textFill>
                  <w14:solidFill>
                    <w14:schemeClr w14:val="tx1"/>
                  </w14:solidFill>
                </w14:textFill>
              </w:rPr>
              <w:t xml:space="preserve">塑料外壳长度不应小于150mm。</w:t>
            </w:r>
            <w:r/>
          </w:p>
        </w:tc>
      </w:tr>
      <w:tr>
        <w:trPr>
          <w:trHeight w:val="567"/>
        </w:trPr>
        <w:tc>
          <w:tcPr>
            <w:tcW w:w="1138"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942" w:type="dxa"/>
            <w:vAlign w:val="center"/>
            <w:vMerge w:val="continue"/>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内置饵料的体积不小于300000mm³。</w:t>
            </w:r>
            <w:r/>
          </w:p>
        </w:tc>
      </w:tr>
      <w:tr>
        <w:trPr>
          <w:trHeight w:val="567"/>
        </w:trPr>
        <w:tc>
          <w:tcPr>
            <w:tcW w:w="1138"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942" w:type="dxa"/>
            <w:vAlign w:val="center"/>
            <w:vMerge w:val="continue"/>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pacing w:val="-3"/>
                <w:sz w:val="24"/>
                <w:szCs w:val="24"/>
                <w:highlight w:val="none"/>
                <w:lang w:eastAsia="zh-CN"/>
                <w14:textFill>
                  <w14:solidFill>
                    <w14:schemeClr w14:val="tx1"/>
                  </w14:solidFill>
                </w14:textFill>
              </w:rPr>
              <w:t xml:space="preserve">装置外壳应设置不小于5mm的白蚁</w:t>
            </w:r>
            <w:r>
              <w:rPr>
                <w:rFonts w:hint="eastAsia"/>
                <w:color w:val="000000" w:themeColor="text1"/>
                <w:spacing w:val="-1"/>
                <w:sz w:val="24"/>
                <w:szCs w:val="24"/>
                <w:highlight w:val="none"/>
                <w:lang w:eastAsia="zh-CN"/>
                <w14:textFill>
                  <w14:solidFill>
                    <w14:schemeClr w14:val="tx1"/>
                  </w14:solidFill>
                </w14:textFill>
              </w:rPr>
              <w:t xml:space="preserve">进出通道。</w:t>
            </w:r>
            <w:r/>
          </w:p>
        </w:tc>
      </w:tr>
      <w:tr>
        <w:trPr>
          <w:trHeight w:val="567"/>
        </w:trPr>
        <w:tc>
          <w:tcPr>
            <w:tcW w:w="1138" w:type="dxa"/>
            <w:vAlign w:val="center"/>
            <w:textDirection w:val="lrTb"/>
            <w:noWrap w:val="false"/>
          </w:tcPr>
          <w:p>
            <w:pPr>
              <w:pStyle w:val="1440"/>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p>
        </w:tc>
        <w:tc>
          <w:tcPr>
            <w:tcW w:w="1942"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有效工作距离</w:t>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pacing w:val="13"/>
                <w:sz w:val="24"/>
                <w:szCs w:val="24"/>
                <w:highlight w:val="none"/>
                <w:lang w:eastAsia="zh-CN"/>
                <w14:textFill>
                  <w14:solidFill>
                    <w14:schemeClr w14:val="tx1"/>
                  </w14:solidFill>
                </w14:textFill>
              </w:rPr>
              <w:t xml:space="preserve">监测装置与蚁情采集器的有效工</w:t>
            </w:r>
            <w:r>
              <w:rPr>
                <w:rFonts w:hint="eastAsia"/>
                <w:color w:val="000000" w:themeColor="text1"/>
                <w:spacing w:val="-2"/>
                <w:sz w:val="24"/>
                <w:szCs w:val="24"/>
                <w:highlight w:val="none"/>
                <w:lang w:eastAsia="zh-CN"/>
                <w14:textFill>
                  <w14:solidFill>
                    <w14:schemeClr w14:val="tx1"/>
                  </w14:solidFill>
                </w14:textFill>
              </w:rPr>
              <w:t xml:space="preserve">作距离不低于30cm。</w:t>
            </w:r>
            <w:r/>
          </w:p>
        </w:tc>
      </w:tr>
      <w:tr>
        <w:trPr>
          <w:trHeight w:val="567"/>
        </w:trPr>
        <w:tc>
          <w:tcPr>
            <w:tcW w:w="1138" w:type="dxa"/>
            <w:vAlign w:val="center"/>
            <w:textDirection w:val="lrTb"/>
            <w:noWrap w:val="false"/>
          </w:tcPr>
          <w:p>
            <w:pPr>
              <w:pStyle w:val="1440"/>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r/>
          </w:p>
        </w:tc>
        <w:tc>
          <w:tcPr>
            <w:tcW w:w="1942"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障碍物性能</w:t>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pacing w:val="-1"/>
                <w:sz w:val="24"/>
                <w:szCs w:val="24"/>
                <w:highlight w:val="none"/>
                <w:lang w:eastAsia="zh-CN"/>
                <w14:textFill>
                  <w14:solidFill>
                    <w14:schemeClr w14:val="tx1"/>
                  </w14:solidFill>
                </w14:textFill>
              </w:rPr>
              <w:t xml:space="preserve">监测装置埋设安装后，覆土不超过</w:t>
            </w:r>
            <w:r>
              <w:rPr>
                <w:rFonts w:hint="eastAsia"/>
                <w:color w:val="000000" w:themeColor="text1"/>
                <w:spacing w:val="-2"/>
                <w:sz w:val="24"/>
                <w:szCs w:val="24"/>
                <w:highlight w:val="none"/>
                <w:lang w:eastAsia="zh-CN"/>
                <w14:textFill>
                  <w14:solidFill>
                    <w14:schemeClr w14:val="tx1"/>
                  </w14:solidFill>
                </w14:textFill>
              </w:rPr>
              <w:t xml:space="preserve">20cm，蚁情采集器能正常读取信息。</w:t>
            </w:r>
            <w:r/>
          </w:p>
        </w:tc>
      </w:tr>
      <w:tr>
        <w:trPr>
          <w:trHeight w:val="567"/>
        </w:trPr>
        <w:tc>
          <w:tcPr>
            <w:tcW w:w="1138" w:type="dxa"/>
            <w:vAlign w:val="center"/>
            <w:textDirection w:val="lrTb"/>
            <w:noWrap w:val="false"/>
          </w:tcPr>
          <w:p>
            <w:pPr>
              <w:pStyle w:val="1440"/>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w:t>
            </w:r>
            <w:r/>
          </w:p>
        </w:tc>
        <w:tc>
          <w:tcPr>
            <w:tcW w:w="1942"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防水性</w:t>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Style w:val="1358"/>
                <w:rFonts w:hint="eastAsia"/>
                <w:color w:val="000000" w:themeColor="text1"/>
                <w:sz w:val="24"/>
                <w:szCs w:val="24"/>
                <w:highlight w:val="none"/>
                <w:lang w:eastAsia="zh-CN"/>
                <w14:textFill>
                  <w14:solidFill>
                    <w14:schemeClr w14:val="tx1"/>
                  </w14:solidFill>
                </w14:textFill>
              </w:rPr>
              <w:t xml:space="preserve">▲监测装置在常温水中连续浸泡不小于8小时后，应能正常工作（请在投标文件中提供CMA检测机构出具的检测报告原件扫描件或其他有效证明材料）。</w:t>
            </w:r>
            <w:r/>
          </w:p>
        </w:tc>
      </w:tr>
      <w:tr>
        <w:trPr>
          <w:trHeight w:val="567"/>
        </w:trPr>
        <w:tc>
          <w:tcPr>
            <w:tcW w:w="1138" w:type="dxa"/>
            <w:vAlign w:val="center"/>
            <w:vMerge w:val="restart"/>
            <w:textDirection w:val="lrTb"/>
            <w:noWrap w:val="false"/>
          </w:tcPr>
          <w:p>
            <w:pPr>
              <w:pStyle w:val="1440"/>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w:t>
            </w:r>
            <w:r/>
          </w:p>
        </w:tc>
        <w:tc>
          <w:tcPr>
            <w:tcW w:w="1942" w:type="dxa"/>
            <w:vAlign w:val="center"/>
            <w:vMerge w:val="restart"/>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工作环境温度</w:t>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pacing w:val="5"/>
                <w:sz w:val="24"/>
                <w:szCs w:val="24"/>
                <w:highlight w:val="none"/>
                <w:lang w:eastAsia="zh-CN"/>
                <w14:textFill>
                  <w14:solidFill>
                    <w14:schemeClr w14:val="tx1"/>
                  </w14:solidFill>
                </w14:textFill>
              </w:rPr>
              <w:t xml:space="preserve">监测装置在温度-10℃~+80℃区</w:t>
            </w:r>
            <w:r>
              <w:rPr>
                <w:rFonts w:hint="eastAsia"/>
                <w:color w:val="000000" w:themeColor="text1"/>
                <w:spacing w:val="-3"/>
                <w:sz w:val="24"/>
                <w:szCs w:val="24"/>
                <w:highlight w:val="none"/>
                <w:lang w:eastAsia="zh-CN"/>
                <w14:textFill>
                  <w14:solidFill>
                    <w14:schemeClr w14:val="tx1"/>
                  </w14:solidFill>
                </w14:textFill>
              </w:rPr>
              <w:t xml:space="preserve">间内，应能正常工作。</w:t>
            </w:r>
            <w:r/>
          </w:p>
        </w:tc>
      </w:tr>
      <w:tr>
        <w:trPr>
          <w:trHeight w:val="567"/>
        </w:trPr>
        <w:tc>
          <w:tcPr>
            <w:tcW w:w="1138" w:type="dxa"/>
            <w:vAlign w:val="center"/>
            <w:vMerge w:val="continue"/>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942" w:type="dxa"/>
            <w:vAlign w:val="center"/>
            <w:vMerge w:val="continue"/>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pacing w:val="5"/>
                <w:sz w:val="24"/>
                <w:szCs w:val="24"/>
                <w:highlight w:val="none"/>
                <w:lang w:eastAsia="zh-CN"/>
                <w14:textFill>
                  <w14:solidFill>
                    <w14:schemeClr w14:val="tx1"/>
                  </w14:solidFill>
                </w14:textFill>
              </w:rPr>
              <w:t xml:space="preserve">蚁情采集器在温度-5℃~+65℃区</w:t>
            </w:r>
            <w:r>
              <w:rPr>
                <w:rFonts w:hint="eastAsia"/>
                <w:color w:val="000000" w:themeColor="text1"/>
                <w:spacing w:val="-3"/>
                <w:sz w:val="24"/>
                <w:szCs w:val="24"/>
                <w:highlight w:val="none"/>
                <w:lang w:eastAsia="zh-CN"/>
                <w14:textFill>
                  <w14:solidFill>
                    <w14:schemeClr w14:val="tx1"/>
                  </w14:solidFill>
                </w14:textFill>
              </w:rPr>
              <w:t xml:space="preserve">间内，应能正常工作。</w:t>
            </w:r>
            <w:r/>
          </w:p>
        </w:tc>
      </w:tr>
      <w:tr>
        <w:trPr>
          <w:trHeight w:val="567"/>
        </w:trPr>
        <w:tc>
          <w:tcPr>
            <w:tcW w:w="1138" w:type="dxa"/>
            <w:vAlign w:val="center"/>
            <w:textDirection w:val="lrTb"/>
            <w:noWrap w:val="false"/>
          </w:tcPr>
          <w:p>
            <w:pPr>
              <w:pStyle w:val="1440"/>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w:t>
            </w:r>
            <w:r/>
          </w:p>
        </w:tc>
        <w:tc>
          <w:tcPr>
            <w:tcW w:w="1942"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低温性能</w:t>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pacing w:val="-2"/>
                <w:sz w:val="24"/>
                <w:szCs w:val="24"/>
                <w:highlight w:val="none"/>
                <w:lang w:eastAsia="zh-CN"/>
                <w14:textFill>
                  <w14:solidFill>
                    <w14:schemeClr w14:val="tx1"/>
                  </w14:solidFill>
                </w14:textFill>
              </w:rPr>
              <w:t xml:space="preserve">监测装置在-10℃环境中放置4小时后，应正常工作。</w:t>
            </w:r>
            <w:r/>
          </w:p>
        </w:tc>
      </w:tr>
      <w:tr>
        <w:trPr>
          <w:trHeight w:val="567"/>
        </w:trPr>
        <w:tc>
          <w:tcPr>
            <w:tcW w:w="1138" w:type="dxa"/>
            <w:vAlign w:val="center"/>
            <w:textDirection w:val="lrTb"/>
            <w:noWrap w:val="false"/>
          </w:tcPr>
          <w:p>
            <w:pPr>
              <w:pStyle w:val="1440"/>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w:t>
            </w:r>
            <w:r/>
          </w:p>
        </w:tc>
        <w:tc>
          <w:tcPr>
            <w:tcW w:w="1942"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高温性能</w:t>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pacing w:val="-2"/>
                <w:sz w:val="24"/>
                <w:szCs w:val="24"/>
                <w:highlight w:val="none"/>
                <w:lang w:eastAsia="zh-CN"/>
                <w14:textFill>
                  <w14:solidFill>
                    <w14:schemeClr w14:val="tx1"/>
                  </w14:solidFill>
                </w14:textFill>
              </w:rPr>
              <w:t xml:space="preserve">监测装置在80℃环境中放置4小时后，应正常工作。</w:t>
            </w:r>
            <w:r/>
          </w:p>
        </w:tc>
      </w:tr>
      <w:tr>
        <w:trPr>
          <w:trHeight w:val="567"/>
        </w:trPr>
        <w:tc>
          <w:tcPr>
            <w:tcW w:w="1138" w:type="dxa"/>
            <w:vAlign w:val="center"/>
            <w:textDirection w:val="lrTb"/>
            <w:noWrap w:val="false"/>
          </w:tcPr>
          <w:p>
            <w:pPr>
              <w:pStyle w:val="1440"/>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8</w:t>
            </w:r>
            <w:r/>
          </w:p>
        </w:tc>
        <w:tc>
          <w:tcPr>
            <w:tcW w:w="1942"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中性盐雾测试</w:t>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pacing w:val="-2"/>
                <w:sz w:val="24"/>
                <w:szCs w:val="24"/>
                <w:highlight w:val="none"/>
                <w:lang w:eastAsia="zh-CN"/>
                <w14:textFill>
                  <w14:solidFill>
                    <w14:schemeClr w14:val="tx1"/>
                  </w14:solidFill>
                </w14:textFill>
              </w:rPr>
              <w:t xml:space="preserve">监测装置在中性盐雾中放置24小</w:t>
            </w:r>
            <w:r>
              <w:rPr>
                <w:rFonts w:hint="eastAsia"/>
                <w:color w:val="000000" w:themeColor="text1"/>
                <w:spacing w:val="-1"/>
                <w:sz w:val="24"/>
                <w:szCs w:val="24"/>
                <w:highlight w:val="none"/>
                <w:lang w:eastAsia="zh-CN"/>
                <w14:textFill>
                  <w14:solidFill>
                    <w14:schemeClr w14:val="tx1"/>
                  </w14:solidFill>
                </w14:textFill>
              </w:rPr>
              <w:t xml:space="preserve">时后，装置表面要求没有明显腐蚀</w:t>
            </w:r>
            <w:r>
              <w:rPr>
                <w:rFonts w:hint="eastAsia"/>
                <w:color w:val="000000" w:themeColor="text1"/>
                <w:spacing w:val="-3"/>
                <w:sz w:val="24"/>
                <w:szCs w:val="24"/>
                <w:highlight w:val="none"/>
                <w:lang w:eastAsia="zh-CN"/>
                <w14:textFill>
                  <w14:solidFill>
                    <w14:schemeClr w14:val="tx1"/>
                  </w14:solidFill>
                </w14:textFill>
              </w:rPr>
              <w:t xml:space="preserve">现象。</w:t>
            </w:r>
            <w:r/>
          </w:p>
        </w:tc>
      </w:tr>
      <w:tr>
        <w:trPr>
          <w:trHeight w:val="567"/>
        </w:trPr>
        <w:tc>
          <w:tcPr>
            <w:tcW w:w="1138" w:type="dxa"/>
            <w:vAlign w:val="center"/>
            <w:textDirection w:val="lrTb"/>
            <w:noWrap w:val="false"/>
          </w:tcPr>
          <w:p>
            <w:pPr>
              <w:pStyle w:val="1440"/>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9</w:t>
            </w:r>
            <w:r/>
          </w:p>
        </w:tc>
        <w:tc>
          <w:tcPr>
            <w:tcW w:w="1942"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传输方式</w:t>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Style w:val="1358"/>
                <w:rFonts w:hint="eastAsia"/>
                <w:color w:val="000000" w:themeColor="text1"/>
                <w:sz w:val="24"/>
                <w:szCs w:val="24"/>
                <w:highlight w:val="none"/>
                <w:lang w:eastAsia="zh-CN"/>
                <w14:textFill>
                  <w14:solidFill>
                    <w14:schemeClr w14:val="tx1"/>
                  </w14:solidFill>
                </w14:textFill>
              </w:rPr>
              <w:t xml:space="preserve">▲</w:t>
            </w:r>
            <w:r>
              <w:rPr>
                <w:rStyle w:val="1358"/>
                <w:rFonts w:hint="eastAsia" w:asciiTheme="minorHAnsi" w:hAnsiTheme="minorHAnsi" w:eastAsiaTheme="minorEastAsia"/>
                <w:color w:val="000000" w:themeColor="text1"/>
                <w:sz w:val="24"/>
                <w:szCs w:val="24"/>
                <w:highlight w:val="none"/>
                <w:lang w:eastAsia="zh-CN"/>
                <w14:textFill>
                  <w14:solidFill>
                    <w14:schemeClr w14:val="tx1"/>
                  </w14:solidFill>
                </w14:textFill>
              </w:rPr>
              <w:t xml:space="preserve">监测装置以无线的方式向蚁情采集器传输信息</w:t>
            </w:r>
            <w:r>
              <w:rPr>
                <w:rStyle w:val="1358"/>
                <w:rFonts w:hint="eastAsia"/>
                <w:color w:val="000000" w:themeColor="text1"/>
                <w:sz w:val="24"/>
                <w:szCs w:val="24"/>
                <w:highlight w:val="none"/>
                <w:lang w:eastAsia="zh-CN"/>
                <w14:textFill>
                  <w14:solidFill>
                    <w14:schemeClr w14:val="tx1"/>
                  </w14:solidFill>
                </w14:textFill>
              </w:rPr>
              <w:t xml:space="preserve">（请在投标文件中提供CMA检测机构出具的检测报告原件扫描件或其他有效证明材料）。</w:t>
            </w:r>
            <w:r/>
          </w:p>
        </w:tc>
      </w:tr>
      <w:tr>
        <w:trPr>
          <w:trHeight w:val="567"/>
        </w:trPr>
        <w:tc>
          <w:tcPr>
            <w:tcW w:w="1138" w:type="dxa"/>
            <w:vAlign w:val="center"/>
            <w:textDirection w:val="lrTb"/>
            <w:noWrap w:val="false"/>
          </w:tcPr>
          <w:p>
            <w:pPr>
              <w:pStyle w:val="1440"/>
              <w:jc w:val="center"/>
              <w:rPr>
                <w:color w:val="000000" w:themeColor="text1"/>
                <w:sz w:val="24"/>
                <w:szCs w:val="24"/>
                <w:highlight w:val="none"/>
                <w14:textFill>
                  <w14:solidFill>
                    <w14:schemeClr w14:val="tx1"/>
                  </w14:solidFill>
                </w14:textFill>
              </w:rPr>
            </w:pPr>
            <w:r>
              <w:rPr>
                <w:rFonts w:hint="eastAsia"/>
                <w:color w:val="000000" w:themeColor="text1"/>
                <w:spacing w:val="-6"/>
                <w:sz w:val="24"/>
                <w:szCs w:val="24"/>
                <w:highlight w:val="none"/>
                <w14:textFill>
                  <w14:solidFill>
                    <w14:schemeClr w14:val="tx1"/>
                  </w14:solidFill>
                </w14:textFill>
              </w:rPr>
              <w:t xml:space="preserve">10</w:t>
            </w:r>
            <w:r/>
          </w:p>
        </w:tc>
        <w:tc>
          <w:tcPr>
            <w:tcW w:w="1942"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声光信息</w:t>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pacing w:val="-1"/>
                <w:sz w:val="24"/>
                <w:szCs w:val="24"/>
                <w:highlight w:val="none"/>
                <w:lang w:eastAsia="zh-CN"/>
                <w14:textFill>
                  <w14:solidFill>
                    <w14:schemeClr w14:val="tx1"/>
                  </w14:solidFill>
                </w14:textFill>
              </w:rPr>
              <w:t xml:space="preserve">蚁情采集器监测到蚁害时，有声光</w:t>
            </w:r>
            <w:r>
              <w:rPr>
                <w:rFonts w:hint="eastAsia"/>
                <w:color w:val="000000" w:themeColor="text1"/>
                <w:spacing w:val="-2"/>
                <w:sz w:val="24"/>
                <w:szCs w:val="24"/>
                <w:highlight w:val="none"/>
                <w:lang w:eastAsia="zh-CN"/>
                <w14:textFill>
                  <w14:solidFill>
                    <w14:schemeClr w14:val="tx1"/>
                  </w14:solidFill>
                </w14:textFill>
              </w:rPr>
              <w:t xml:space="preserve">信息提示。</w:t>
            </w:r>
            <w:r/>
          </w:p>
        </w:tc>
      </w:tr>
      <w:tr>
        <w:trPr>
          <w:trHeight w:val="567"/>
        </w:trPr>
        <w:tc>
          <w:tcPr>
            <w:tcW w:w="1138" w:type="dxa"/>
            <w:vAlign w:val="center"/>
            <w:textDirection w:val="lrTb"/>
            <w:noWrap w:val="false"/>
          </w:tcPr>
          <w:p>
            <w:pPr>
              <w:pStyle w:val="1440"/>
              <w:jc w:val="center"/>
              <w:rPr>
                <w:color w:val="000000" w:themeColor="text1"/>
                <w:sz w:val="24"/>
                <w:szCs w:val="24"/>
                <w:highlight w:val="none"/>
                <w14:textFill>
                  <w14:solidFill>
                    <w14:schemeClr w14:val="tx1"/>
                  </w14:solidFill>
                </w14:textFill>
              </w:rPr>
            </w:pPr>
            <w:r>
              <w:rPr>
                <w:rFonts w:hint="eastAsia"/>
                <w:color w:val="000000" w:themeColor="text1"/>
                <w:spacing w:val="-6"/>
                <w:sz w:val="24"/>
                <w:szCs w:val="24"/>
                <w:highlight w:val="none"/>
                <w14:textFill>
                  <w14:solidFill>
                    <w14:schemeClr w14:val="tx1"/>
                  </w14:solidFill>
                </w14:textFill>
              </w:rPr>
              <w:t xml:space="preserve">11</w:t>
            </w:r>
            <w:r/>
          </w:p>
        </w:tc>
        <w:tc>
          <w:tcPr>
            <w:tcW w:w="1942"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连续工作时间</w:t>
            </w:r>
            <w:r/>
          </w:p>
        </w:tc>
        <w:tc>
          <w:tcPr>
            <w:tcW w:w="6379" w:type="dxa"/>
            <w:vAlign w:val="center"/>
            <w:textDirection w:val="lrTb"/>
            <w:noWrap w:val="false"/>
          </w:tcPr>
          <w:p>
            <w:pPr>
              <w:pStyle w:val="1440"/>
              <w:jc w:val="left"/>
              <w:rPr>
                <w:color w:val="000000" w:themeColor="text1"/>
                <w:sz w:val="24"/>
                <w:szCs w:val="24"/>
                <w:highlight w:val="none"/>
                <w:lang w:eastAsia="zh-CN"/>
                <w14:textFill>
                  <w14:solidFill>
                    <w14:schemeClr w14:val="tx1"/>
                  </w14:solidFill>
                </w14:textFill>
              </w:rPr>
            </w:pPr>
            <w:r>
              <w:rPr>
                <w:rFonts w:hint="eastAsia"/>
                <w:color w:val="000000" w:themeColor="text1"/>
                <w:spacing w:val="-1"/>
                <w:sz w:val="24"/>
                <w:szCs w:val="24"/>
                <w:highlight w:val="none"/>
                <w:lang w:eastAsia="zh-CN"/>
                <w14:textFill>
                  <w14:solidFill>
                    <w14:schemeClr w14:val="tx1"/>
                  </w14:solidFill>
                </w14:textFill>
              </w:rPr>
              <w:t xml:space="preserve">蚁情采集器连续工作时间应不低</w:t>
            </w:r>
            <w:r>
              <w:rPr>
                <w:rFonts w:hint="eastAsia"/>
                <w:color w:val="000000" w:themeColor="text1"/>
                <w:spacing w:val="-6"/>
                <w:sz w:val="24"/>
                <w:szCs w:val="24"/>
                <w:highlight w:val="none"/>
                <w:lang w:eastAsia="zh-CN"/>
                <w14:textFill>
                  <w14:solidFill>
                    <w14:schemeClr w14:val="tx1"/>
                  </w14:solidFill>
                </w14:textFill>
              </w:rPr>
              <w:t xml:space="preserve">于5h。</w:t>
            </w:r>
            <w:r/>
          </w:p>
        </w:tc>
      </w:tr>
    </w:tbl>
    <w:p>
      <w:pPr>
        <w:pStyle w:val="1383"/>
        <w:rPr>
          <w:rStyle w:val="1358"/>
          <w:rFonts w:ascii="宋体" w:hAnsi="宋体" w:eastAsia="宋体" w:cs="宋体"/>
          <w:b/>
          <w:bCs/>
          <w:color w:val="000000" w:themeColor="text1"/>
          <w:sz w:val="30"/>
          <w:szCs w:val="30"/>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eastAsia="宋体" w:cs="宋体"/>
          <w:b/>
          <w:bCs/>
          <w:color w:val="000000" w:themeColor="text1"/>
          <w:sz w:val="30"/>
          <w:szCs w:val="30"/>
          <w:highlight w:val="none"/>
          <w14:textFill>
            <w14:solidFill>
              <w14:schemeClr w14:val="tx1"/>
            </w14:solidFill>
          </w14:textFill>
        </w:rPr>
      </w:r>
      <w:r/>
    </w:p>
    <w:p>
      <w:pPr>
        <w:pStyle w:val="1383"/>
        <w:rPr>
          <w:rStyle w:val="1358"/>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Style w:val="1358"/>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附件2：</w:t>
      </w:r>
      <w:r/>
    </w:p>
    <w:p>
      <w:pPr>
        <w:pStyle w:val="1383"/>
        <w:jc w:val="center"/>
        <w:rPr>
          <w:rStyle w:val="1358"/>
          <w:rFonts w:hint="default" w:ascii="宋体" w:hAnsi="宋体" w:eastAsia="宋体" w:cs="宋体"/>
          <w:b/>
          <w:bCs/>
          <w:color w:val="000000" w:themeColor="text1"/>
          <w:sz w:val="30"/>
          <w:szCs w:val="30"/>
          <w:highlight w:val="none"/>
          <w:lang w:val="en-US" w:eastAsia="zh-CN"/>
          <w14:textFill>
            <w14:solidFill>
              <w14:schemeClr w14:val="tx1"/>
            </w14:solidFill>
          </w14:textFill>
        </w:rPr>
      </w:pPr>
      <w:r>
        <w:rPr>
          <w:rStyle w:val="1358"/>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考核细则</w:t>
      </w:r>
      <w:r/>
    </w:p>
    <w:tbl>
      <w:tblPr>
        <w:tblStyle w:val="1173"/>
        <w:tblW w:w="49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720"/>
        <w:gridCol w:w="4492"/>
        <w:gridCol w:w="3712"/>
        <w:gridCol w:w="855"/>
      </w:tblGrid>
      <w:tr>
        <w:trPr>
          <w:jc w:val="center"/>
          <w:trHeight w:val="567"/>
          <w:tblHeader/>
        </w:trPr>
        <w:tc>
          <w:tcPr>
            <w:tcMar>
              <w:left w:w="108" w:type="dxa"/>
              <w:top w:w="0" w:type="dxa"/>
              <w:right w:w="108" w:type="dxa"/>
              <w:bottom w:w="0" w:type="dxa"/>
            </w:tcMar>
            <w:tcW w:w="368" w:type="pct"/>
            <w:vAlign w:val="center"/>
            <w:textDirection w:val="lrTb"/>
            <w:noWrap w:val="false"/>
          </w:tcPr>
          <w:p>
            <w:pPr>
              <w:pStyle w:val="1408"/>
              <w:jc w:val="center"/>
              <w:spacing w:before="100" w:after="10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Style w:val="1172"/>
                <w:rFonts w:ascii="Times New Roman" w:hAnsi="Times New Roman" w:eastAsia="Times New Roman" w:cs="Times New Roman"/>
                <w:b/>
                <w:bCs/>
                <w:i w:val="0"/>
                <w:iCs w:val="0"/>
                <w:smallCaps w:val="0"/>
                <w:color w:val="000000" w:themeColor="text1"/>
                <w:sz w:val="24"/>
                <w:szCs w:val="24"/>
                <w:highlight w:val="none"/>
                <w14:textFill>
                  <w14:solidFill>
                    <w14:schemeClr w14:val="tx1"/>
                  </w14:solidFill>
                </w14:textFill>
              </w:rPr>
              <w:t xml:space="preserve">序号</w:t>
            </w:r>
            <w:r/>
          </w:p>
        </w:tc>
        <w:tc>
          <w:tcPr>
            <w:tcMar>
              <w:left w:w="108" w:type="dxa"/>
              <w:top w:w="0" w:type="dxa"/>
              <w:right w:w="108" w:type="dxa"/>
              <w:bottom w:w="0" w:type="dxa"/>
            </w:tcMar>
            <w:tcW w:w="2297" w:type="pct"/>
            <w:vAlign w:val="center"/>
            <w:textDirection w:val="lrTb"/>
            <w:noWrap w:val="false"/>
          </w:tcPr>
          <w:p>
            <w:pPr>
              <w:pStyle w:val="1408"/>
              <w:jc w:val="center"/>
              <w:spacing w:before="100" w:after="10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Style w:val="1172"/>
                <w:rFonts w:ascii="Times New Roman" w:hAnsi="Times New Roman" w:eastAsia="Times New Roman" w:cs="Times New Roman"/>
                <w:b/>
                <w:bCs/>
                <w:i w:val="0"/>
                <w:iCs w:val="0"/>
                <w:smallCaps w:val="0"/>
                <w:color w:val="000000" w:themeColor="text1"/>
                <w:sz w:val="24"/>
                <w:szCs w:val="24"/>
                <w:highlight w:val="none"/>
                <w14:textFill>
                  <w14:solidFill>
                    <w14:schemeClr w14:val="tx1"/>
                  </w14:solidFill>
                </w14:textFill>
              </w:rPr>
              <w:t xml:space="preserve">标准内容和要求</w:t>
            </w:r>
            <w:r/>
          </w:p>
        </w:tc>
        <w:tc>
          <w:tcPr>
            <w:tcMar>
              <w:left w:w="108" w:type="dxa"/>
              <w:top w:w="0" w:type="dxa"/>
              <w:right w:w="108" w:type="dxa"/>
              <w:bottom w:w="0" w:type="dxa"/>
            </w:tcMar>
            <w:tcW w:w="1898" w:type="pct"/>
            <w:vAlign w:val="center"/>
            <w:textDirection w:val="lrTb"/>
            <w:noWrap w:val="false"/>
          </w:tcPr>
          <w:p>
            <w:pPr>
              <w:pStyle w:val="1408"/>
              <w:jc w:val="center"/>
              <w:spacing w:before="100" w:after="10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Style w:val="1172"/>
                <w:rFonts w:ascii="Times New Roman" w:hAnsi="Times New Roman" w:eastAsia="Times New Roman" w:cs="Times New Roman"/>
                <w:b/>
                <w:bCs/>
                <w:i w:val="0"/>
                <w:iCs w:val="0"/>
                <w:smallCaps w:val="0"/>
                <w:color w:val="000000" w:themeColor="text1"/>
                <w:sz w:val="24"/>
                <w:szCs w:val="24"/>
                <w:highlight w:val="none"/>
                <w14:textFill>
                  <w14:solidFill>
                    <w14:schemeClr w14:val="tx1"/>
                  </w14:solidFill>
                </w14:textFill>
              </w:rPr>
              <w:t xml:space="preserve">评分标准</w:t>
            </w:r>
            <w:r/>
          </w:p>
        </w:tc>
        <w:tc>
          <w:tcPr>
            <w:tcMar>
              <w:left w:w="108" w:type="dxa"/>
              <w:top w:w="0" w:type="dxa"/>
              <w:right w:w="108" w:type="dxa"/>
              <w:bottom w:w="0" w:type="dxa"/>
            </w:tcMar>
            <w:tcW w:w="435" w:type="pct"/>
            <w:vAlign w:val="center"/>
            <w:textDirection w:val="lrTb"/>
            <w:noWrap w:val="false"/>
          </w:tcPr>
          <w:p>
            <w:pPr>
              <w:pStyle w:val="1408"/>
              <w:jc w:val="center"/>
              <w:spacing w:before="100" w:after="100" w:line="240" w:lineRule="auto"/>
              <w:rPr>
                <w:rStyle w:val="1172"/>
                <w:rFonts w:hint="default" w:ascii="Times New Roman" w:hAnsi="Times New Roman"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pPr>
            <w:r>
              <w:rPr>
                <w:rStyle w:val="1172"/>
                <w:rFonts w:hint="eastAsia" w:eastAsia="宋体" w:cs="Times New Roman"/>
                <w:b/>
                <w:bCs/>
                <w:i w:val="0"/>
                <w:iCs w:val="0"/>
                <w:smallCaps w:val="0"/>
                <w:color w:val="000000" w:themeColor="text1"/>
                <w:sz w:val="24"/>
                <w:szCs w:val="24"/>
                <w:highlight w:val="none"/>
                <w:lang w:val="en-US" w:eastAsia="zh-CN"/>
                <w14:textFill>
                  <w14:solidFill>
                    <w14:schemeClr w14:val="tx1"/>
                  </w14:solidFill>
                </w14:textFill>
              </w:rPr>
              <w:t xml:space="preserve">扣分</w:t>
            </w:r>
            <w:r/>
          </w:p>
        </w:tc>
      </w:tr>
      <w:tr>
        <w:trPr>
          <w:jc w:val="center"/>
          <w:trHeight w:val="567"/>
        </w:trPr>
        <w:tc>
          <w:tcPr>
            <w:tcMar>
              <w:left w:w="108" w:type="dxa"/>
              <w:top w:w="0" w:type="dxa"/>
              <w:right w:w="108" w:type="dxa"/>
              <w:bottom w:w="0" w:type="dxa"/>
            </w:tcMar>
            <w:tcW w:w="368" w:type="pct"/>
            <w:vAlign w:val="center"/>
            <w:textDirection w:val="lrTb"/>
            <w:noWrap w:val="false"/>
          </w:tcPr>
          <w:p>
            <w:pPr>
              <w:pStyle w:val="1408"/>
              <w:jc w:val="center"/>
              <w:spacing w:before="100" w:after="100" w:line="240" w:lineRule="auto"/>
              <w:rPr>
                <w:rStyle w:val="1172"/>
                <w:rFonts w:hint="default"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Style w:val="1172"/>
                <w:rFonts w:hint="default"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1</w:t>
            </w:r>
            <w:r/>
          </w:p>
        </w:tc>
        <w:tc>
          <w:tcPr>
            <w:tcMar>
              <w:left w:w="108" w:type="dxa"/>
              <w:top w:w="0" w:type="dxa"/>
              <w:right w:w="108" w:type="dxa"/>
              <w:bottom w:w="0" w:type="dxa"/>
            </w:tcMar>
            <w:tcW w:w="2297" w:type="pct"/>
            <w:vAlign w:val="center"/>
            <w:textDirection w:val="lrTb"/>
            <w:noWrap w:val="false"/>
          </w:tcPr>
          <w:p>
            <w:pPr>
              <w:jc w:val="left"/>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合同期内</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完成普查及</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并出具合格</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报告</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w:t>
            </w:r>
            <w:r/>
          </w:p>
        </w:tc>
        <w:tc>
          <w:tcPr>
            <w:tcMar>
              <w:left w:w="108" w:type="dxa"/>
              <w:top w:w="0" w:type="dxa"/>
              <w:right w:w="108" w:type="dxa"/>
              <w:bottom w:w="0" w:type="dxa"/>
            </w:tcMar>
            <w:tcW w:w="3712" w:type="dxa"/>
            <w:vAlign w:val="center"/>
            <w:textDirection w:val="lrTb"/>
            <w:noWrap w:val="false"/>
          </w:tcPr>
          <w:p>
            <w:pPr>
              <w:jc w:val="left"/>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2025年11月15日前完成对《2024年度白蚁等害堤动物普查及治理项目》中已普查到的受害堤防的治理并出具报告。2026年4月底前完成堤防的普查并出具报告。未完成</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延迟一天扣</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10分。</w:t>
            </w:r>
            <w:r/>
          </w:p>
        </w:tc>
        <w:tc>
          <w:tcPr>
            <w:tcMar>
              <w:left w:w="108" w:type="dxa"/>
              <w:top w:w="0" w:type="dxa"/>
              <w:right w:w="108" w:type="dxa"/>
              <w:bottom w:w="0" w:type="dxa"/>
            </w:tcMar>
            <w:tcW w:w="435" w:type="pct"/>
            <w:vAlign w:val="center"/>
            <w:textDirection w:val="lrTb"/>
            <w:noWrap w:val="false"/>
          </w:tcPr>
          <w:p>
            <w:pPr>
              <w:pStyle w:val="1408"/>
              <w:jc w:val="center"/>
              <w:spacing w:before="100" w:after="10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r>
            <w:r/>
          </w:p>
        </w:tc>
      </w:tr>
      <w:tr>
        <w:trPr>
          <w:jc w:val="center"/>
          <w:trHeight w:val="567"/>
        </w:trPr>
        <w:tc>
          <w:tcPr>
            <w:tcMar>
              <w:left w:w="108" w:type="dxa"/>
              <w:top w:w="0" w:type="dxa"/>
              <w:right w:w="108" w:type="dxa"/>
              <w:bottom w:w="0" w:type="dxa"/>
            </w:tcMar>
            <w:tcW w:w="368" w:type="pct"/>
            <w:vAlign w:val="center"/>
            <w:textDirection w:val="lrTb"/>
            <w:noWrap w:val="false"/>
          </w:tcPr>
          <w:p>
            <w:pPr>
              <w:pStyle w:val="1408"/>
              <w:jc w:val="center"/>
              <w:spacing w:before="100" w:after="100" w:line="240" w:lineRule="auto"/>
              <w:rPr>
                <w:rStyle w:val="1172"/>
                <w:rFonts w:hint="default"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Style w:val="1172"/>
                <w:rFonts w:hint="default"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2</w:t>
            </w:r>
            <w:r/>
          </w:p>
        </w:tc>
        <w:tc>
          <w:tcPr>
            <w:tcMar>
              <w:left w:w="108" w:type="dxa"/>
              <w:top w:w="0" w:type="dxa"/>
              <w:right w:w="108" w:type="dxa"/>
              <w:bottom w:w="0" w:type="dxa"/>
            </w:tcMar>
            <w:tcW w:w="2297" w:type="pct"/>
            <w:vAlign w:val="center"/>
            <w:textDirection w:val="lrTb"/>
            <w:noWrap w:val="false"/>
          </w:tcPr>
          <w:p>
            <w:pPr>
              <w:jc w:val="left"/>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每次</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普查</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后按实际情况</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安装引诱桩</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1900个</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，引诱装置</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700</w:t>
            </w:r>
            <w:r>
              <w:rPr>
                <w:rFonts w:hint="default" w:ascii="Times New Roman" w:hAnsi="Times New Roman" w:cs="Times New Roman"/>
                <w:strike w:val="0"/>
                <w:color w:val="000000" w:themeColor="text1"/>
                <w:sz w:val="24"/>
                <w:szCs w:val="24"/>
                <w:highlight w:val="none"/>
                <w:lang w:val="en-US" w:eastAsia="zh-CN"/>
                <w14:textFill>
                  <w14:solidFill>
                    <w14:schemeClr w14:val="tx1"/>
                  </w14:solidFill>
                </w14:textFill>
              </w:rPr>
              <w:t xml:space="preserve">个</w:t>
            </w:r>
            <w:r>
              <w:rPr>
                <w:rFonts w:hint="eastAsia" w:ascii="Times New Roman" w:hAnsi="Times New Roman" w:cs="Times New Roman"/>
                <w:strike w:val="0"/>
                <w:color w:val="000000" w:themeColor="text1"/>
                <w:sz w:val="24"/>
                <w:szCs w:val="24"/>
                <w:highlight w:val="none"/>
                <w:lang w:val="en-US" w:eastAsia="zh-CN"/>
                <w14:textFill>
                  <w14:solidFill>
                    <w14:schemeClr w14:val="tx1"/>
                  </w14:solidFill>
                </w14:textFill>
              </w:rPr>
              <w:t xml:space="preserve">。</w:t>
            </w:r>
            <w:r/>
          </w:p>
        </w:tc>
        <w:tc>
          <w:tcPr>
            <w:tcMar>
              <w:left w:w="108" w:type="dxa"/>
              <w:top w:w="0" w:type="dxa"/>
              <w:right w:w="108" w:type="dxa"/>
              <w:bottom w:w="0" w:type="dxa"/>
            </w:tcMar>
            <w:tcW w:w="1898" w:type="pct"/>
            <w:vAlign w:val="center"/>
            <w:textDirection w:val="lrTb"/>
            <w:noWrap w:val="false"/>
          </w:tcPr>
          <w:p>
            <w:pPr>
              <w:jc w:val="left"/>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引诱桩少完成一根扣</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3分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，引诱装置少完成一个扣</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7分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，电子监测装置少完成一个扣</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10分</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w:t>
            </w:r>
            <w:r/>
          </w:p>
        </w:tc>
        <w:tc>
          <w:tcPr>
            <w:tcMar>
              <w:left w:w="108" w:type="dxa"/>
              <w:top w:w="0" w:type="dxa"/>
              <w:right w:w="108" w:type="dxa"/>
              <w:bottom w:w="0" w:type="dxa"/>
            </w:tcMar>
            <w:tcW w:w="435" w:type="pct"/>
            <w:vAlign w:val="center"/>
            <w:textDirection w:val="lrTb"/>
            <w:noWrap w:val="false"/>
          </w:tcPr>
          <w:p>
            <w:pPr>
              <w:pStyle w:val="1408"/>
              <w:jc w:val="center"/>
              <w:spacing w:before="100" w:after="10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r>
            <w:r/>
          </w:p>
        </w:tc>
      </w:tr>
      <w:tr>
        <w:trPr>
          <w:jc w:val="center"/>
          <w:trHeight w:val="833"/>
        </w:trPr>
        <w:tc>
          <w:tcPr>
            <w:tcMar>
              <w:left w:w="108" w:type="dxa"/>
              <w:top w:w="0" w:type="dxa"/>
              <w:right w:w="108" w:type="dxa"/>
              <w:bottom w:w="0" w:type="dxa"/>
            </w:tcMar>
            <w:tcW w:w="368" w:type="pct"/>
            <w:vAlign w:val="center"/>
            <w:textDirection w:val="lrTb"/>
            <w:noWrap w:val="false"/>
          </w:tcPr>
          <w:p>
            <w:pPr>
              <w:pStyle w:val="1408"/>
              <w:jc w:val="center"/>
              <w:spacing w:before="100" w:after="100" w:line="240" w:lineRule="auto"/>
              <w:rPr>
                <w:rStyle w:val="1172"/>
                <w:rFonts w:hint="default"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Style w:val="1172"/>
                <w:rFonts w:hint="default"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3</w:t>
            </w:r>
            <w:r/>
          </w:p>
        </w:tc>
        <w:tc>
          <w:tcPr>
            <w:tcMar>
              <w:left w:w="108" w:type="dxa"/>
              <w:top w:w="0" w:type="dxa"/>
              <w:right w:w="108" w:type="dxa"/>
              <w:bottom w:w="0" w:type="dxa"/>
            </w:tcMar>
            <w:tcW w:w="2297" w:type="pct"/>
            <w:vAlign w:val="center"/>
            <w:textDirection w:val="lrTb"/>
            <w:noWrap w:val="false"/>
          </w:tcPr>
          <w:p>
            <w:pPr>
              <w:jc w:val="left"/>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t xml:space="preserve">对《2024年度白蚁等害堤动物普查及治理项目》中已普查到的受害堤防</w:t>
            </w:r>
            <w:r>
              <w:rPr>
                <w:rFonts w:hint="eastAsia" w:ascii="Times New Roman" w:hAnsi="Times New Roman" w:cs="Times New Roman"/>
                <w:color w:val="000000" w:themeColor="text1"/>
                <w:sz w:val="24"/>
                <w:szCs w:val="24"/>
                <w:highlight w:val="none"/>
                <w:lang w:val="en-US" w:eastAsia="zh-CN" w:bidi="ar-SA"/>
                <w14:textFill>
                  <w14:solidFill>
                    <w14:schemeClr w14:val="tx1"/>
                  </w14:solidFill>
                </w14:textFill>
              </w:rPr>
              <w:t xml:space="preserve">及本标段的普查到的受害堤防进行治理，并埋设信息化智能预警监测装置。</w:t>
            </w:r>
            <w:r/>
          </w:p>
        </w:tc>
        <w:tc>
          <w:tcPr>
            <w:tcMar>
              <w:left w:w="108" w:type="dxa"/>
              <w:top w:w="0" w:type="dxa"/>
              <w:right w:w="108" w:type="dxa"/>
              <w:bottom w:w="0" w:type="dxa"/>
            </w:tcMar>
            <w:tcW w:w="1898" w:type="pct"/>
            <w:vAlign w:val="center"/>
            <w:textDirection w:val="lrTb"/>
            <w:noWrap w:val="false"/>
          </w:tcPr>
          <w:p>
            <w:pPr>
              <w:jc w:val="left"/>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对普查到的白蚁等害堤动物治理少一处扣</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10分，埋设</w:t>
            </w:r>
            <w:r>
              <w:rPr>
                <w:rFonts w:hint="eastAsia" w:ascii="Times New Roman" w:hAnsi="Times New Roman" w:cs="Times New Roman"/>
                <w:color w:val="000000" w:themeColor="text1"/>
                <w:sz w:val="24"/>
                <w:szCs w:val="24"/>
                <w:highlight w:val="none"/>
                <w:lang w:val="en-US" w:eastAsia="zh-CN" w:bidi="ar-SA"/>
                <w14:textFill>
                  <w14:solidFill>
                    <w14:schemeClr w14:val="tx1"/>
                  </w14:solidFill>
                </w14:textFill>
              </w:rPr>
              <w:t xml:space="preserve">信息化智能预警监测装置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少一处扣</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10分。</w:t>
            </w:r>
            <w:r/>
          </w:p>
        </w:tc>
        <w:tc>
          <w:tcPr>
            <w:tcMar>
              <w:left w:w="108" w:type="dxa"/>
              <w:top w:w="0" w:type="dxa"/>
              <w:right w:w="108" w:type="dxa"/>
              <w:bottom w:w="0" w:type="dxa"/>
            </w:tcMar>
            <w:tcW w:w="435" w:type="pct"/>
            <w:vAlign w:val="center"/>
            <w:textDirection w:val="lrTb"/>
            <w:noWrap w:val="false"/>
          </w:tcPr>
          <w:p>
            <w:pPr>
              <w:pStyle w:val="1408"/>
              <w:jc w:val="center"/>
              <w:spacing w:before="100" w:after="10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r>
            <w:r/>
          </w:p>
        </w:tc>
      </w:tr>
      <w:tr>
        <w:trPr>
          <w:jc w:val="center"/>
          <w:trHeight w:val="725"/>
        </w:trPr>
        <w:tc>
          <w:tcPr>
            <w:tcMar>
              <w:left w:w="108" w:type="dxa"/>
              <w:top w:w="0" w:type="dxa"/>
              <w:right w:w="108" w:type="dxa"/>
              <w:bottom w:w="0" w:type="dxa"/>
            </w:tcMar>
            <w:tcW w:w="368" w:type="pct"/>
            <w:vAlign w:val="center"/>
            <w:textDirection w:val="lrTb"/>
            <w:noWrap w:val="false"/>
          </w:tcPr>
          <w:p>
            <w:pPr>
              <w:pStyle w:val="1408"/>
              <w:jc w:val="center"/>
              <w:spacing w:before="100" w:after="100" w:line="240" w:lineRule="auto"/>
              <w:rPr>
                <w:rStyle w:val="1172"/>
                <w:rFonts w:hint="default" w:ascii="Times New Roman" w:hAnsi="Times New Roman" w:eastAsia="宋体" w:cs="Times New Roman"/>
                <w:b w:val="0"/>
                <w:bCs w:val="0"/>
                <w:i w:val="0"/>
                <w:iCs w:val="0"/>
                <w:smallCaps w:val="0"/>
                <w:color w:val="000000" w:themeColor="text1"/>
                <w:sz w:val="24"/>
                <w:szCs w:val="24"/>
                <w:highlight w:val="none"/>
                <w:lang w:eastAsia="zh-CN"/>
                <w14:textFill>
                  <w14:solidFill>
                    <w14:schemeClr w14:val="tx1"/>
                  </w14:solidFill>
                </w14:textFill>
              </w:rPr>
            </w:pPr>
            <w:r>
              <w:rPr>
                <w:rStyle w:val="1172"/>
                <w:rFonts w:hint="default" w:ascii="Times New Roman" w:hAnsi="Times New Roman"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t xml:space="preserve">4</w:t>
            </w:r>
            <w:r/>
          </w:p>
        </w:tc>
        <w:tc>
          <w:tcPr>
            <w:tcMar>
              <w:left w:w="108" w:type="dxa"/>
              <w:top w:w="0" w:type="dxa"/>
              <w:right w:w="108" w:type="dxa"/>
              <w:bottom w:w="0" w:type="dxa"/>
            </w:tcMar>
            <w:tcW w:w="2297" w:type="pct"/>
            <w:vAlign w:val="center"/>
            <w:textDirection w:val="lrTb"/>
            <w:noWrap w:val="false"/>
          </w:tcPr>
          <w:p>
            <w:pPr>
              <w:jc w:val="left"/>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中标人</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须</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在</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24</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小时内到达白蚁信息化智能监测系统的报警点进行处理。</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任务响应不及时、服务态度不好、工作方法方式简单粗暴或违规违法的。</w:t>
            </w:r>
            <w:r/>
          </w:p>
        </w:tc>
        <w:tc>
          <w:tcPr>
            <w:tcMar>
              <w:left w:w="108" w:type="dxa"/>
              <w:top w:w="0" w:type="dxa"/>
              <w:right w:w="108" w:type="dxa"/>
              <w:bottom w:w="0" w:type="dxa"/>
            </w:tcMar>
            <w:tcW w:w="1898" w:type="pct"/>
            <w:vAlign w:val="center"/>
            <w:textDirection w:val="lrTb"/>
            <w:noWrap w:val="false"/>
          </w:tcPr>
          <w:p>
            <w:pPr>
              <w:jc w:val="left"/>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未及时响应一次扣</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10分。</w:t>
            </w:r>
            <w:r/>
          </w:p>
        </w:tc>
        <w:tc>
          <w:tcPr>
            <w:tcMar>
              <w:left w:w="108" w:type="dxa"/>
              <w:top w:w="0" w:type="dxa"/>
              <w:right w:w="108" w:type="dxa"/>
              <w:bottom w:w="0" w:type="dxa"/>
            </w:tcMar>
            <w:tcW w:w="435" w:type="pct"/>
            <w:vAlign w:val="center"/>
            <w:textDirection w:val="lrTb"/>
            <w:noWrap w:val="false"/>
          </w:tcPr>
          <w:p>
            <w:pPr>
              <w:pStyle w:val="1408"/>
              <w:jc w:val="center"/>
              <w:spacing w:before="100" w:after="10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r>
            <w:r/>
          </w:p>
        </w:tc>
      </w:tr>
      <w:tr>
        <w:trPr>
          <w:jc w:val="center"/>
          <w:trHeight w:val="687"/>
        </w:trPr>
        <w:tc>
          <w:tcPr>
            <w:tcMar>
              <w:left w:w="108" w:type="dxa"/>
              <w:top w:w="0" w:type="dxa"/>
              <w:right w:w="108" w:type="dxa"/>
              <w:bottom w:w="0" w:type="dxa"/>
            </w:tcMar>
            <w:tcW w:w="368" w:type="pct"/>
            <w:vAlign w:val="center"/>
            <w:textDirection w:val="lrTb"/>
            <w:noWrap w:val="false"/>
          </w:tcPr>
          <w:p>
            <w:pPr>
              <w:pStyle w:val="1408"/>
              <w:jc w:val="center"/>
              <w:spacing w:before="100" w:after="100" w:line="240" w:lineRule="auto"/>
              <w:rPr>
                <w:rStyle w:val="1172"/>
                <w:rFonts w:hint="default" w:ascii="Times New Roman" w:hAnsi="Times New Roman" w:eastAsia="宋体" w:cs="Times New Roman"/>
                <w:b w:val="0"/>
                <w:bCs w:val="0"/>
                <w:i w:val="0"/>
                <w:iCs w:val="0"/>
                <w:smallCaps w:val="0"/>
                <w:color w:val="000000" w:themeColor="text1"/>
                <w:sz w:val="24"/>
                <w:szCs w:val="24"/>
                <w:highlight w:val="none"/>
                <w:lang w:eastAsia="zh-CN"/>
                <w14:textFill>
                  <w14:solidFill>
                    <w14:schemeClr w14:val="tx1"/>
                  </w14:solidFill>
                </w14:textFill>
              </w:rPr>
            </w:pPr>
            <w:r>
              <w:rPr>
                <w:rStyle w:val="1172"/>
                <w:rFonts w:hint="default" w:ascii="Times New Roman" w:hAnsi="Times New Roman"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t xml:space="preserve">5</w:t>
            </w:r>
            <w:r/>
          </w:p>
        </w:tc>
        <w:tc>
          <w:tcPr>
            <w:tcMar>
              <w:left w:w="108" w:type="dxa"/>
              <w:top w:w="0" w:type="dxa"/>
              <w:right w:w="108" w:type="dxa"/>
              <w:bottom w:w="0" w:type="dxa"/>
            </w:tcMar>
            <w:tcW w:w="2297" w:type="pct"/>
            <w:vAlign w:val="center"/>
            <w:textDirection w:val="lrTb"/>
            <w:noWrap w:val="false"/>
          </w:tcPr>
          <w:p>
            <w:pPr>
              <w:jc w:val="left"/>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项目负责人：</w:t>
            </w:r>
            <w:r>
              <w:rPr>
                <w:rStyle w:val="1358"/>
                <w:rFonts w:hint="default" w:ascii="Times New Roman" w:hAnsi="Times New Roman" w:eastAsia="宋体" w:cs="Times New Roman"/>
                <w:color w:val="000000" w:themeColor="text1"/>
                <w:sz w:val="24"/>
                <w:szCs w:val="24"/>
                <w:highlight w:val="none"/>
                <w14:textFill>
                  <w14:solidFill>
                    <w14:schemeClr w14:val="tx1"/>
                  </w14:solidFill>
                </w14:textFill>
              </w:rPr>
              <w:t xml:space="preserve">担任本项目负责人工作期间，必须每天到达现场打卡</w:t>
            </w:r>
            <w:r>
              <w:rPr>
                <w:rStyle w:val="1358"/>
                <w:rFonts w:hint="eastAsia" w:ascii="Times New Roman" w:hAnsi="Times New Roman" w:cs="Times New Roman"/>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1898" w:type="pct"/>
            <w:vAlign w:val="center"/>
            <w:textDirection w:val="lrTb"/>
            <w:noWrap w:val="false"/>
          </w:tcPr>
          <w:p>
            <w:pPr>
              <w:jc w:val="left"/>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少打卡一天扣</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3分。</w:t>
            </w:r>
            <w:r/>
          </w:p>
        </w:tc>
        <w:tc>
          <w:tcPr>
            <w:tcMar>
              <w:left w:w="108" w:type="dxa"/>
              <w:top w:w="0" w:type="dxa"/>
              <w:right w:w="108" w:type="dxa"/>
              <w:bottom w:w="0" w:type="dxa"/>
            </w:tcMar>
            <w:tcW w:w="435" w:type="pct"/>
            <w:vAlign w:val="center"/>
            <w:textDirection w:val="lrTb"/>
            <w:noWrap w:val="false"/>
          </w:tcPr>
          <w:p>
            <w:pPr>
              <w:pStyle w:val="1408"/>
              <w:jc w:val="center"/>
              <w:spacing w:before="100" w:after="10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r>
            <w:r/>
          </w:p>
        </w:tc>
      </w:tr>
      <w:tr>
        <w:trPr>
          <w:jc w:val="center"/>
          <w:trHeight w:val="687"/>
        </w:trPr>
        <w:tc>
          <w:tcPr>
            <w:tcMar>
              <w:left w:w="108" w:type="dxa"/>
              <w:top w:w="0" w:type="dxa"/>
              <w:right w:w="108" w:type="dxa"/>
              <w:bottom w:w="0" w:type="dxa"/>
            </w:tcMar>
            <w:tcW w:w="368" w:type="pct"/>
            <w:vAlign w:val="center"/>
            <w:textDirection w:val="lrTb"/>
            <w:noWrap w:val="false"/>
          </w:tcPr>
          <w:p>
            <w:pPr>
              <w:pStyle w:val="1408"/>
              <w:jc w:val="center"/>
              <w:spacing w:before="100" w:after="100" w:line="240" w:lineRule="auto"/>
              <w:rPr>
                <w:rStyle w:val="1172"/>
                <w:rFonts w:hint="default" w:ascii="Times New Roman" w:hAnsi="Times New Roman" w:eastAsia="宋体" w:cs="Times New Roman"/>
                <w:b w:val="0"/>
                <w:bCs w:val="0"/>
                <w:i w:val="0"/>
                <w:iCs w:val="0"/>
                <w:smallCaps w:val="0"/>
                <w:color w:val="000000" w:themeColor="text1"/>
                <w:sz w:val="24"/>
                <w:szCs w:val="24"/>
                <w:highlight w:val="none"/>
                <w:lang w:eastAsia="zh-CN"/>
                <w14:textFill>
                  <w14:solidFill>
                    <w14:schemeClr w14:val="tx1"/>
                  </w14:solidFill>
                </w14:textFill>
              </w:rPr>
            </w:pPr>
            <w:r>
              <w:rPr>
                <w:rStyle w:val="1172"/>
                <w:rFonts w:hint="default" w:ascii="Times New Roman" w:hAnsi="Times New Roman"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t xml:space="preserve">6</w:t>
            </w:r>
            <w:r/>
          </w:p>
        </w:tc>
        <w:tc>
          <w:tcPr>
            <w:tcMar>
              <w:left w:w="108" w:type="dxa"/>
              <w:top w:w="0" w:type="dxa"/>
              <w:right w:w="108" w:type="dxa"/>
              <w:bottom w:w="0" w:type="dxa"/>
            </w:tcMar>
            <w:tcW w:w="2297" w:type="pct"/>
            <w:vAlign w:val="center"/>
            <w:textDirection w:val="lrTb"/>
            <w:noWrap w:val="false"/>
          </w:tcPr>
          <w:p>
            <w:pPr>
              <w:pStyle w:val="1408"/>
              <w:jc w:val="left"/>
              <w:spacing w:before="100" w:after="100" w:line="240" w:lineRule="auto"/>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pacing w:val="0"/>
                <w:sz w:val="24"/>
                <w:szCs w:val="24"/>
                <w:highlight w:val="none"/>
                <w:shd w:val="clear" w:color="auto" w:fill="auto"/>
                <w:lang w:val="zh-CN" w:eastAsia="zh-CN" w:bidi="ar-SA"/>
                <w14:textFill>
                  <w14:solidFill>
                    <w14:schemeClr w14:val="tx1"/>
                  </w14:solidFill>
                </w14:textFill>
              </w:rPr>
              <w:t xml:space="preserve">制定项目安全实施管理措施，并严格遵守安全管理要求，</w:t>
            </w:r>
            <w:r>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保证自身安全</w:t>
            </w:r>
            <w:r>
              <w:rPr>
                <w:rStyle w:val="1172"/>
                <w:rFonts w:hint="eastAsia" w:eastAsia="宋体" w:cs="Times New Roman"/>
                <w:b w:val="0"/>
                <w:bCs w:val="0"/>
                <w:i w:val="0"/>
                <w:iCs w:val="0"/>
                <w:smallCaps w:val="0"/>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1898" w:type="pct"/>
            <w:vAlign w:val="center"/>
            <w:textDirection w:val="lrTb"/>
            <w:noWrap w:val="false"/>
          </w:tcPr>
          <w:p>
            <w:pPr>
              <w:pStyle w:val="1408"/>
              <w:jc w:val="left"/>
              <w:spacing w:before="100" w:after="100" w:line="240" w:lineRule="auto"/>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未做到，一次扣</w:t>
            </w:r>
            <w:r>
              <w:rPr>
                <w:rStyle w:val="1172"/>
                <w:rFonts w:hint="eastAsia"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t xml:space="preserve">7</w:t>
            </w:r>
            <w:r>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分</w:t>
            </w:r>
            <w:r>
              <w:rPr>
                <w:rStyle w:val="1172"/>
                <w:rFonts w:hint="eastAsia" w:eastAsia="宋体" w:cs="Times New Roman"/>
                <w:b w:val="0"/>
                <w:bCs w:val="0"/>
                <w:i w:val="0"/>
                <w:iCs w:val="0"/>
                <w:smallCaps w:val="0"/>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435" w:type="pct"/>
            <w:vAlign w:val="center"/>
            <w:textDirection w:val="lrTb"/>
            <w:noWrap w:val="false"/>
          </w:tcPr>
          <w:p>
            <w:pPr>
              <w:pStyle w:val="1408"/>
              <w:jc w:val="center"/>
              <w:spacing w:before="100" w:after="100" w:line="240" w:lineRule="auto"/>
              <w:rPr>
                <w:rStyle w:val="1172"/>
                <w:rFonts w:hint="default" w:ascii="Times New Roman" w:hAnsi="Times New Roman"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r>
            <w:r/>
          </w:p>
        </w:tc>
      </w:tr>
      <w:tr>
        <w:trPr>
          <w:jc w:val="center"/>
          <w:trHeight w:val="687"/>
        </w:trPr>
        <w:tc>
          <w:tcPr>
            <w:tcMar>
              <w:left w:w="108" w:type="dxa"/>
              <w:top w:w="0" w:type="dxa"/>
              <w:right w:w="108" w:type="dxa"/>
              <w:bottom w:w="0" w:type="dxa"/>
            </w:tcMar>
            <w:tcW w:w="368" w:type="pct"/>
            <w:vAlign w:val="center"/>
            <w:textDirection w:val="lrTb"/>
            <w:noWrap w:val="false"/>
          </w:tcPr>
          <w:p>
            <w:pPr>
              <w:pStyle w:val="1408"/>
              <w:jc w:val="center"/>
              <w:spacing w:before="100" w:after="100" w:line="240" w:lineRule="auto"/>
              <w:rPr>
                <w:rStyle w:val="1172"/>
                <w:rFonts w:hint="default" w:ascii="Times New Roman" w:hAnsi="Times New Roman"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pPr>
            <w:r>
              <w:rPr>
                <w:rStyle w:val="1172"/>
                <w:rFonts w:hint="eastAsia"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t xml:space="preserve">7</w:t>
            </w:r>
            <w:r/>
          </w:p>
        </w:tc>
        <w:tc>
          <w:tcPr>
            <w:tcMar>
              <w:left w:w="108" w:type="dxa"/>
              <w:top w:w="0" w:type="dxa"/>
              <w:right w:w="108" w:type="dxa"/>
              <w:bottom w:w="0" w:type="dxa"/>
            </w:tcMar>
            <w:tcW w:w="2297" w:type="pct"/>
            <w:vAlign w:val="center"/>
            <w:textDirection w:val="lrTb"/>
            <w:noWrap w:val="false"/>
          </w:tcPr>
          <w:p>
            <w:pPr>
              <w:jc w:val="left"/>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按照合同规定的服务内容、服务要求、服务时限，开展技术活动，并对其承担的服务业务的真实性、客观性、科学性、准确性负责。</w:t>
            </w:r>
            <w:r/>
          </w:p>
        </w:tc>
        <w:tc>
          <w:tcPr>
            <w:tcMar>
              <w:left w:w="108" w:type="dxa"/>
              <w:top w:w="0" w:type="dxa"/>
              <w:right w:w="108" w:type="dxa"/>
              <w:bottom w:w="0" w:type="dxa"/>
            </w:tcMar>
            <w:tcW w:w="1898" w:type="pct"/>
            <w:vAlign w:val="center"/>
            <w:textDirection w:val="lrTb"/>
            <w:noWrap w:val="false"/>
          </w:tcPr>
          <w:p>
            <w:pPr>
              <w:jc w:val="left"/>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未做到的，一次扣10分。</w:t>
            </w:r>
            <w:r/>
          </w:p>
        </w:tc>
        <w:tc>
          <w:tcPr>
            <w:tcMar>
              <w:left w:w="108" w:type="dxa"/>
              <w:top w:w="0" w:type="dxa"/>
              <w:right w:w="108" w:type="dxa"/>
              <w:bottom w:w="0" w:type="dxa"/>
            </w:tcMar>
            <w:tcW w:w="435" w:type="pct"/>
            <w:vAlign w:val="center"/>
            <w:textDirection w:val="lrTb"/>
            <w:noWrap w:val="false"/>
          </w:tcPr>
          <w:p>
            <w:pPr>
              <w:pStyle w:val="1408"/>
              <w:jc w:val="center"/>
              <w:spacing w:before="100" w:after="10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r>
            <w:r/>
          </w:p>
        </w:tc>
      </w:tr>
      <w:tr>
        <w:trPr>
          <w:jc w:val="center"/>
          <w:trHeight w:val="687"/>
        </w:trPr>
        <w:tc>
          <w:tcPr>
            <w:tcMar>
              <w:left w:w="108" w:type="dxa"/>
              <w:top w:w="0" w:type="dxa"/>
              <w:right w:w="108" w:type="dxa"/>
              <w:bottom w:w="0" w:type="dxa"/>
            </w:tcMar>
            <w:tcW w:w="368" w:type="pct"/>
            <w:vAlign w:val="center"/>
            <w:textDirection w:val="lrTb"/>
            <w:noWrap w:val="false"/>
          </w:tcPr>
          <w:p>
            <w:pPr>
              <w:pStyle w:val="1408"/>
              <w:jc w:val="center"/>
              <w:spacing w:before="100" w:after="100" w:line="240" w:lineRule="auto"/>
              <w:rPr>
                <w:rStyle w:val="1172"/>
                <w:rFonts w:hint="default"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pPr>
            <w:r>
              <w:rPr>
                <w:rStyle w:val="1172"/>
                <w:rFonts w:hint="eastAsia"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t xml:space="preserve">8</w:t>
            </w:r>
            <w:r/>
          </w:p>
        </w:tc>
        <w:tc>
          <w:tcPr>
            <w:tcMar>
              <w:left w:w="108" w:type="dxa"/>
              <w:top w:w="0" w:type="dxa"/>
              <w:right w:w="108" w:type="dxa"/>
              <w:bottom w:w="0" w:type="dxa"/>
            </w:tcMar>
            <w:tcW w:w="2297" w:type="pct"/>
            <w:vAlign w:val="center"/>
            <w:textDirection w:val="lrTb"/>
            <w:noWrap w:val="false"/>
          </w:tcPr>
          <w:p>
            <w:pPr>
              <w:jc w:val="left"/>
              <w:rPr>
                <w:rFonts w:hint="eastAsia" w:ascii="Times New Roman" w:hAnsi="Times New Roman" w:cs="Times New Roman"/>
                <w:color w:val="000000" w:themeColor="text1"/>
                <w:sz w:val="24"/>
                <w:szCs w:val="24"/>
                <w:highlight w:val="none"/>
                <w:lang w:val="en-US" w:eastAsia="zh-CN"/>
                <w14:textFill>
                  <w14:solidFill>
                    <w14:schemeClr w14:val="tx1"/>
                  </w14:solidFill>
                </w14:textFill>
              </w:rPr>
            </w:pPr>
            <w:r>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不得逾越工作权限；不得在</w:t>
            </w:r>
            <w:r>
              <w:rPr>
                <w:rStyle w:val="1172"/>
                <w:rFonts w:hint="eastAsia"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t xml:space="preserve">采购人</w:t>
            </w:r>
            <w:r>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未知情的情况下独自开展活动；不得假借政府部门及其工作人员名义或采取不正当手段获取利益；不得借机推销产品或服务；不得进行商业贿赂或其他经济违法行为。</w:t>
            </w:r>
            <w:r/>
          </w:p>
        </w:tc>
        <w:tc>
          <w:tcPr>
            <w:tcMar>
              <w:left w:w="108" w:type="dxa"/>
              <w:top w:w="0" w:type="dxa"/>
              <w:right w:w="108" w:type="dxa"/>
              <w:bottom w:w="0" w:type="dxa"/>
            </w:tcMar>
            <w:tcW w:w="1898" w:type="pct"/>
            <w:vAlign w:val="center"/>
            <w:textDirection w:val="lrTb"/>
            <w:noWrap w:val="false"/>
          </w:tcPr>
          <w:p>
            <w:pPr>
              <w:jc w:val="left"/>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查实一次，扣10分。情节严重的，终止合同，另行处理</w:t>
            </w:r>
            <w:r>
              <w:rPr>
                <w:rStyle w:val="1172"/>
                <w:rFonts w:hint="eastAsia" w:eastAsia="宋体" w:cs="Times New Roman"/>
                <w:b w:val="0"/>
                <w:bCs w:val="0"/>
                <w:i w:val="0"/>
                <w:iCs w:val="0"/>
                <w:smallCaps w:val="0"/>
                <w:color w:val="000000" w:themeColor="text1"/>
                <w:sz w:val="24"/>
                <w:szCs w:val="24"/>
                <w:highlight w:val="none"/>
                <w:lang w:eastAsia="zh-CN"/>
                <w14:textFill>
                  <w14:solidFill>
                    <w14:schemeClr w14:val="tx1"/>
                  </w14:solidFill>
                </w14:textFill>
              </w:rPr>
              <w:t xml:space="preserve">。</w:t>
            </w:r>
            <w:r/>
          </w:p>
        </w:tc>
        <w:tc>
          <w:tcPr>
            <w:tcMar>
              <w:left w:w="108" w:type="dxa"/>
              <w:top w:w="0" w:type="dxa"/>
              <w:right w:w="108" w:type="dxa"/>
              <w:bottom w:w="0" w:type="dxa"/>
            </w:tcMar>
            <w:tcW w:w="435" w:type="pct"/>
            <w:vAlign w:val="center"/>
            <w:textDirection w:val="lrTb"/>
            <w:noWrap w:val="false"/>
          </w:tcPr>
          <w:p>
            <w:pPr>
              <w:pStyle w:val="1408"/>
              <w:jc w:val="center"/>
              <w:spacing w:before="100" w:after="10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r>
            <w:r/>
          </w:p>
        </w:tc>
      </w:tr>
      <w:tr>
        <w:trPr>
          <w:jc w:val="center"/>
          <w:trHeight w:val="567"/>
        </w:trPr>
        <w:tc>
          <w:tcPr>
            <w:gridSpan w:val="4"/>
            <w:tcMar>
              <w:left w:w="108" w:type="dxa"/>
              <w:top w:w="0" w:type="dxa"/>
              <w:right w:w="108" w:type="dxa"/>
              <w:bottom w:w="0" w:type="dxa"/>
            </w:tcMar>
            <w:tcW w:w="5000" w:type="pct"/>
            <w:vAlign w:val="top"/>
            <w:textDirection w:val="lrTb"/>
            <w:noWrap w:val="false"/>
          </w:tcPr>
          <w:p>
            <w:pPr>
              <w:pStyle w:val="1408"/>
              <w:jc w:val="left"/>
              <w:spacing w:after="24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扣</w:t>
            </w:r>
            <w:r>
              <w:rPr>
                <w:rStyle w:val="1172"/>
                <w:rFonts w:hint="eastAsia" w:eastAsia="宋体" w:cs="Times New Roman"/>
                <w:b w:val="0"/>
                <w:bCs w:val="0"/>
                <w:i w:val="0"/>
                <w:iCs w:val="0"/>
                <w:smallCaps w:val="0"/>
                <w:color w:val="000000" w:themeColor="text1"/>
                <w:sz w:val="24"/>
                <w:szCs w:val="24"/>
                <w:highlight w:val="none"/>
                <w:lang w:val="en-US" w:eastAsia="zh-CN"/>
                <w14:textFill>
                  <w14:solidFill>
                    <w14:schemeClr w14:val="tx1"/>
                  </w14:solidFill>
                </w14:textFill>
              </w:rPr>
              <w:t xml:space="preserve">分</w:t>
            </w:r>
            <w:r>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情况说明：</w:t>
            </w:r>
            <w:r/>
          </w:p>
          <w:p>
            <w:pPr>
              <w:pStyle w:val="1408"/>
              <w:jc w:val="both"/>
              <w:spacing w:before="240" w:after="24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r>
            <w:r/>
          </w:p>
          <w:p>
            <w:pPr>
              <w:pStyle w:val="1408"/>
              <w:jc w:val="both"/>
              <w:spacing w:before="240" w:after="24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r>
            <w:r/>
          </w:p>
          <w:p>
            <w:pPr>
              <w:pStyle w:val="1408"/>
              <w:ind w:firstLine="5040"/>
              <w:jc w:val="both"/>
              <w:spacing w:before="240" w:after="24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被考核单位：</w:t>
            </w:r>
            <w:r/>
          </w:p>
          <w:p>
            <w:pPr>
              <w:pStyle w:val="1408"/>
              <w:ind w:firstLine="5280"/>
              <w:jc w:val="both"/>
              <w:spacing w:before="240" w:after="24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考核人员：</w:t>
            </w:r>
            <w:r/>
          </w:p>
          <w:p>
            <w:pPr>
              <w:pStyle w:val="1408"/>
              <w:ind w:firstLine="5760"/>
              <w:jc w:val="both"/>
              <w:spacing w:before="240" w:line="240" w:lineRule="auto"/>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pPr>
            <w:r>
              <w:rPr>
                <w:rStyle w:val="1172"/>
                <w:rFonts w:ascii="Times New Roman" w:hAnsi="Times New Roman" w:eastAsia="Times New Roman" w:cs="Times New Roman"/>
                <w:b w:val="0"/>
                <w:bCs w:val="0"/>
                <w:i w:val="0"/>
                <w:iCs w:val="0"/>
                <w:smallCaps w:val="0"/>
                <w:color w:val="000000" w:themeColor="text1"/>
                <w:sz w:val="24"/>
                <w:szCs w:val="24"/>
                <w:highlight w:val="none"/>
                <w14:textFill>
                  <w14:solidFill>
                    <w14:schemeClr w14:val="tx1"/>
                  </w14:solidFill>
                </w14:textFill>
              </w:rPr>
              <w:t xml:space="preserve">日期：</w:t>
            </w:r>
            <w:r/>
          </w:p>
        </w:tc>
      </w:tr>
    </w:tbl>
    <w:p>
      <w:pPr>
        <w:pStyle w:val="1383"/>
        <w:rPr>
          <w:rFonts w:hint="eastAsia" w:ascii="宋体" w:hAnsi="宋体" w:cs="宋体"/>
          <w:b/>
          <w:color w:val="000000" w:themeColor="text1"/>
          <w:sz w:val="28"/>
          <w:szCs w:val="28"/>
          <w:highlight w:val="none"/>
          <w:lang w:val="en-US" w:eastAsia="zh-CN"/>
          <w14:textFill>
            <w14:solidFill>
              <w14:schemeClr w14:val="tx1"/>
            </w14:solidFill>
          </w14:textFill>
        </w:rPr>
      </w:pPr>
      <w:r>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注：采购人</w:t>
      </w:r>
      <w:r>
        <w:rPr>
          <w:rStyle w:val="1358"/>
          <w:rFonts w:hint="default" w:ascii="宋体" w:hAnsi="宋体" w:eastAsia="宋体" w:cs="宋体"/>
          <w:b/>
          <w:bCs/>
          <w:color w:val="000000" w:themeColor="text1"/>
          <w:sz w:val="24"/>
          <w:szCs w:val="24"/>
          <w:highlight w:val="none"/>
          <w:lang w:val="en-US" w:eastAsia="zh-CN"/>
          <w14:textFill>
            <w14:solidFill>
              <w14:schemeClr w14:val="tx1"/>
            </w14:solidFill>
          </w14:textFill>
        </w:rPr>
        <w:t xml:space="preserve">有权在服务期内根据实际情况提出修改考核细则</w:t>
      </w:r>
      <w:r>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pStyle w:val="1383"/>
        <w:rPr>
          <w:rStyle w:val="1358"/>
          <w:rFonts w:hint="default" w:ascii="宋体" w:hAnsi="宋体" w:eastAsia="宋体" w:cs="宋体"/>
          <w:b/>
          <w:bCs/>
          <w:color w:val="000000" w:themeColor="text1"/>
          <w:sz w:val="24"/>
          <w:szCs w:val="24"/>
          <w:highlight w:val="none"/>
          <w:lang w:val="en-US" w:eastAsia="zh-CN"/>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宋体" w:hAnsi="宋体" w:eastAsia="宋体" w:cs="宋体"/>
          <w:b/>
          <w:bCs/>
          <w:color w:val="000000" w:themeColor="text1"/>
          <w:sz w:val="24"/>
          <w:szCs w:val="24"/>
          <w:highlight w:val="none"/>
          <w:lang w:val="en-US" w:eastAsia="zh-CN"/>
          <w14:textFill>
            <w14:solidFill>
              <w14:schemeClr w14:val="tx1"/>
            </w14:solidFill>
          </w14:textFill>
        </w:rPr>
      </w:r>
      <w:r/>
    </w:p>
    <w:p>
      <w:pPr>
        <w:pStyle w:val="1352"/>
        <w:spacing w:before="313" w:after="313"/>
        <w:rPr>
          <w:rFonts w:ascii="宋体" w:hAnsi="宋体" w:eastAsia="宋体" w:cs="宋体"/>
          <w:color w:val="000000" w:themeColor="text1"/>
          <w:highlight w:val="none"/>
          <w14:textFill>
            <w14:solidFill>
              <w14:schemeClr w14:val="tx1"/>
            </w14:solidFill>
          </w14:textFill>
        </w:rPr>
      </w:pPr>
      <w:r/>
      <w:bookmarkStart w:id="225" w:name="_Toc38368129"/>
      <w:r/>
      <w:bookmarkStart w:id="226" w:name="_Toc5882"/>
      <w:r/>
      <w:bookmarkStart w:id="227" w:name="_Toc35266029"/>
      <w:r/>
      <w:bookmarkStart w:id="228" w:name="_Toc54615247"/>
      <w:r/>
      <w:bookmarkStart w:id="229" w:name="_Toc19919"/>
      <w:r>
        <w:rPr>
          <w:rFonts w:hint="eastAsia" w:ascii="宋体" w:hAnsi="宋体" w:eastAsia="宋体" w:cs="宋体"/>
          <w:color w:val="000000" w:themeColor="text1"/>
          <w:highlight w:val="none"/>
          <w14:textFill>
            <w14:solidFill>
              <w14:schemeClr w14:val="tx1"/>
            </w14:solidFill>
          </w14:textFill>
        </w:rPr>
        <w:t xml:space="preserve">第五章 评标方法与评标标准</w:t>
      </w:r>
      <w:bookmarkEnd w:id="225"/>
      <w:r/>
      <w:bookmarkEnd w:id="226"/>
      <w:r/>
      <w:bookmarkEnd w:id="227"/>
      <w:r/>
      <w:bookmarkEnd w:id="228"/>
      <w:r/>
      <w:bookmarkEnd w:id="229"/>
      <w:r/>
      <w:r/>
    </w:p>
    <w:p>
      <w:pPr>
        <w:pStyle w:val="1387"/>
        <w:keepLines w:val="0"/>
        <w:keepNext w:val="0"/>
        <w:pageBreakBefore w:val="0"/>
        <w:spacing w:line="500" w:lineRule="exact"/>
        <w:rPr>
          <w:rStyle w:val="1358"/>
          <w:rFonts w:ascii="宋体" w:hAnsi="宋体" w:eastAsia="宋体" w:cs="宋体"/>
          <w:b/>
          <w:color w:val="000000" w:themeColor="text1"/>
          <w:sz w:val="28"/>
          <w:szCs w:val="28"/>
          <w:highlight w:val="none"/>
          <w14:textFill>
            <w14:solidFill>
              <w14:schemeClr w14:val="tx1"/>
            </w14:solidFill>
          </w14:textFill>
        </w:rPr>
      </w:pPr>
      <w:r/>
      <w:bookmarkStart w:id="230" w:name="_Toc38368130"/>
      <w:r/>
      <w:bookmarkStart w:id="231" w:name="_Toc54615248"/>
      <w:r/>
      <w:bookmarkStart w:id="232" w:name="_Toc35266030"/>
      <w:r/>
      <w:bookmarkStart w:id="233" w:name="_Toc15851"/>
      <w:r>
        <w:rPr>
          <w:rStyle w:val="1358"/>
          <w:rFonts w:hint="eastAsia" w:ascii="宋体" w:hAnsi="宋体" w:eastAsia="宋体" w:cs="宋体"/>
          <w:b/>
          <w:color w:val="000000" w:themeColor="text1"/>
          <w:sz w:val="28"/>
          <w:szCs w:val="28"/>
          <w:highlight w:val="none"/>
          <w14:textFill>
            <w14:solidFill>
              <w14:schemeClr w14:val="tx1"/>
            </w14:solidFill>
          </w14:textFill>
        </w:rPr>
        <w:t xml:space="preserve">一、评标方法与定标原则</w:t>
      </w:r>
      <w:bookmarkEnd w:id="230"/>
      <w:r/>
      <w:bookmarkEnd w:id="231"/>
      <w:r/>
      <w:bookmarkEnd w:id="232"/>
      <w:r/>
      <w:bookmarkEnd w:id="233"/>
      <w:r/>
      <w:r/>
    </w:p>
    <w:p>
      <w:pPr>
        <w:pStyle w:val="1385"/>
        <w:ind w:firstLine="480"/>
        <w:keepLines w:val="0"/>
        <w:keepNext w:val="0"/>
        <w:pageBreakBefore w:val="0"/>
        <w:spacing w:line="500" w:lineRule="exact"/>
        <w:rPr>
          <w:rStyle w:val="1358"/>
          <w:rFonts w:hint="eastAsia" w:ascii="宋体" w:hAnsi="宋体" w:eastAsia="宋体" w:cs="宋体"/>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5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投标人必须对每个标段进行报价。若投标人只对其中一个或多个标段进行选择性报价，则作无效报价处理且取消全部标段的评标资格。中标顺序按已确定的标段顺序逐个确定，每个标段的最高得分者为该标段的中标候选人。每个投标人最多可中1个标段。</w:t>
      </w:r>
      <w:r/>
    </w:p>
    <w:p>
      <w:pPr>
        <w:ind w:left="0" w:right="0" w:firstLine="5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pStyle w:val="1387"/>
        <w:keepLines w:val="0"/>
        <w:keepNext w:val="0"/>
        <w:pageBreakBefore w:val="0"/>
        <w:spacing w:line="500" w:lineRule="exact"/>
        <w:rPr>
          <w:rStyle w:val="1358"/>
          <w:rFonts w:ascii="宋体" w:hAnsi="宋体" w:eastAsia="宋体" w:cs="宋体"/>
          <w:b/>
          <w:color w:val="000000" w:themeColor="text1"/>
          <w:highlight w:val="none"/>
          <w14:textFill>
            <w14:solidFill>
              <w14:schemeClr w14:val="tx1"/>
            </w14:solidFill>
          </w14:textFill>
        </w:rPr>
      </w:pPr>
      <w:r/>
      <w:bookmarkStart w:id="234" w:name="EBd9567453f96a4fca96262d13cc886515"/>
      <w:r/>
      <w:bookmarkEnd w:id="234"/>
      <w:r/>
      <w:bookmarkStart w:id="235" w:name="EB4d4ec51fae08401e9c82e93d31b337cc"/>
      <w:r/>
      <w:bookmarkEnd w:id="235"/>
      <w:r/>
      <w:bookmarkStart w:id="236" w:name="_Toc24219"/>
      <w:r/>
      <w:bookmarkStart w:id="237" w:name="_Toc54615249"/>
      <w:r/>
      <w:bookmarkStart w:id="238" w:name="_Toc35266031"/>
      <w:r/>
      <w:bookmarkStart w:id="239" w:name="_Toc38368131"/>
      <w:r>
        <w:rPr>
          <w:rStyle w:val="1358"/>
          <w:rFonts w:hint="eastAsia" w:ascii="宋体" w:hAnsi="宋体" w:eastAsia="宋体" w:cs="宋体"/>
          <w:b/>
          <w:color w:val="000000" w:themeColor="text1"/>
          <w:sz w:val="28"/>
          <w:szCs w:val="28"/>
          <w:highlight w:val="none"/>
          <w14:textFill>
            <w14:solidFill>
              <w14:schemeClr w14:val="tx1"/>
            </w14:solidFill>
          </w14:textFill>
        </w:rPr>
        <w:t xml:space="preserve">二、评标标准</w:t>
      </w:r>
      <w:bookmarkEnd w:id="236"/>
      <w:r/>
      <w:bookmarkEnd w:id="237"/>
      <w:r/>
      <w:bookmarkEnd w:id="238"/>
      <w:r/>
      <w:bookmarkEnd w:id="239"/>
      <w:r/>
      <w:r/>
    </w:p>
    <w:p>
      <w:pPr>
        <w:pStyle w:val="1387"/>
        <w:ind w:firstLine="482"/>
        <w:keepLines w:val="0"/>
        <w:keepNext w:val="0"/>
        <w:pageBreakBefore w:val="0"/>
        <w:spacing w:line="500" w:lineRule="exact"/>
        <w:rPr>
          <w:rStyle w:val="1358"/>
          <w:rFonts w:ascii="宋体" w:hAnsi="宋体" w:eastAsia="宋体" w:cs="宋体"/>
          <w:b/>
          <w:color w:val="000000" w:themeColor="text1"/>
          <w:highlight w:val="none"/>
          <w14:textFill>
            <w14:solidFill>
              <w14:schemeClr w14:val="tx1"/>
            </w14:solidFill>
          </w14:textFill>
        </w:rPr>
      </w:pPr>
      <w:r/>
      <w:bookmarkStart w:id="240" w:name="EB5eda7c9be7464788810dca94d24e634f"/>
      <w:r/>
      <w:bookmarkEnd w:id="240"/>
      <w:r>
        <w:rPr>
          <w:rStyle w:val="1358"/>
          <w:rFonts w:hint="eastAsia" w:ascii="宋体" w:hAnsi="宋体" w:eastAsia="宋体" w:cs="宋体"/>
          <w:b/>
          <w:color w:val="000000" w:themeColor="text1"/>
          <w:highlight w:val="none"/>
          <w:lang w:eastAsia="zh-CN"/>
          <w14:textFill>
            <w14:solidFill>
              <w14:schemeClr w14:val="tx1"/>
            </w14:solidFill>
          </w14:textFill>
        </w:rPr>
        <w:t xml:space="preserve">（</w:t>
      </w:r>
      <w:r>
        <w:rPr>
          <w:rStyle w:val="1358"/>
          <w:rFonts w:hint="eastAsia" w:ascii="宋体" w:hAnsi="宋体" w:eastAsia="宋体" w:cs="宋体"/>
          <w:b/>
          <w:color w:val="000000" w:themeColor="text1"/>
          <w:highlight w:val="none"/>
          <w:lang w:val="en-US" w:eastAsia="zh-CN"/>
          <w14:textFill>
            <w14:solidFill>
              <w14:schemeClr w14:val="tx1"/>
            </w14:solidFill>
          </w14:textFill>
        </w:rPr>
        <w:t xml:space="preserve">一</w:t>
      </w:r>
      <w:r>
        <w:rPr>
          <w:rStyle w:val="1358"/>
          <w:rFonts w:hint="eastAsia" w:ascii="宋体" w:hAnsi="宋体" w:eastAsia="宋体" w:cs="宋体"/>
          <w:b/>
          <w:color w:val="000000" w:themeColor="text1"/>
          <w:highlight w:val="none"/>
          <w:lang w:eastAsia="zh-CN"/>
          <w14:textFill>
            <w14:solidFill>
              <w14:schemeClr w14:val="tx1"/>
            </w14:solidFill>
          </w14:textFill>
        </w:rPr>
        <w:t xml:space="preserve">）</w:t>
      </w:r>
      <w:r>
        <w:rPr>
          <w:rStyle w:val="1358"/>
          <w:rFonts w:hint="eastAsia" w:ascii="宋体" w:hAnsi="宋体" w:eastAsia="宋体" w:cs="宋体"/>
          <w:b/>
          <w:color w:val="000000" w:themeColor="text1"/>
          <w:highlight w:val="none"/>
          <w14:textFill>
            <w14:solidFill>
              <w14:schemeClr w14:val="tx1"/>
            </w14:solidFill>
          </w14:textFill>
        </w:rPr>
        <w:t xml:space="preserve">价格分 </w:t>
      </w:r>
      <w:r>
        <w:rPr>
          <w:rStyle w:val="1358"/>
          <w:rFonts w:hint="eastAsia" w:ascii="宋体" w:hAnsi="宋体" w:eastAsia="宋体" w:cs="宋体"/>
          <w:b/>
          <w:color w:val="000000" w:themeColor="text1"/>
          <w:highlight w:val="none"/>
          <w:lang w:val="en-US" w:eastAsia="zh-CN"/>
          <w14:textFill>
            <w14:solidFill>
              <w14:schemeClr w14:val="tx1"/>
            </w14:solidFill>
          </w14:textFill>
        </w:rPr>
        <w:t xml:space="preserve">20 </w:t>
      </w:r>
      <w:r>
        <w:rPr>
          <w:rStyle w:val="1358"/>
          <w:rFonts w:hint="eastAsia" w:ascii="宋体" w:hAnsi="宋体" w:eastAsia="宋体" w:cs="宋体"/>
          <w:b/>
          <w:color w:val="000000" w:themeColor="text1"/>
          <w:highlight w:val="none"/>
          <w14:textFill>
            <w14:solidFill>
              <w14:schemeClr w14:val="tx1"/>
            </w14:solidFill>
          </w14:textFill>
        </w:rPr>
        <w:t xml:space="preserve">分</w:t>
      </w:r>
      <w:r/>
    </w:p>
    <w:p>
      <w:pPr>
        <w:pStyle w:val="1387"/>
        <w:ind w:firstLine="480"/>
        <w:keepLines w:val="0"/>
        <w:keepNext w:val="0"/>
        <w:pageBreakBefore w:val="0"/>
        <w:spacing w:line="500" w:lineRule="exact"/>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采用低价优先法计算，即满足招标文件要求且投标价格最低的投标价为评标基准价，其价格分为满分</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20</w:t>
      </w:r>
      <w:r>
        <w:rPr>
          <w:rStyle w:val="1358"/>
          <w:rFonts w:hint="eastAsia" w:ascii="宋体" w:hAnsi="宋体" w:eastAsia="宋体" w:cs="宋体"/>
          <w:color w:val="000000" w:themeColor="text1"/>
          <w:highlight w:val="none"/>
          <w14:textFill>
            <w14:solidFill>
              <w14:schemeClr w14:val="tx1"/>
            </w14:solidFill>
          </w14:textFill>
        </w:rPr>
        <w:t xml:space="preserve">.0分。其他投标人的价格分统一按照下列公式计算：</w:t>
      </w:r>
      <w:r/>
    </w:p>
    <w:p>
      <w:pPr>
        <w:pStyle w:val="1387"/>
        <w:ind w:firstLine="480"/>
        <w:keepLines w:val="0"/>
        <w:keepNext w:val="0"/>
        <w:pageBreakBefore w:val="0"/>
        <w:spacing w:line="500" w:lineRule="exact"/>
        <w:rPr>
          <w:rStyle w:val="1358"/>
          <w:rFonts w:hint="eastAsia" w:ascii="宋体" w:hAnsi="宋体" w:eastAsia="宋体" w:cs="宋体"/>
          <w:color w:val="000000" w:themeColor="text1"/>
          <w:highlight w:val="none"/>
          <w:lang w:eastAsia="zh-CN"/>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投标报价得分=（评标基准价/投标报价）* </w:t>
      </w: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20</w:t>
      </w:r>
      <w:r>
        <w:rPr>
          <w:rStyle w:val="1358"/>
          <w:rFonts w:hint="eastAsia" w:ascii="宋体" w:hAnsi="宋体" w:eastAsia="宋体" w:cs="宋体"/>
          <w:color w:val="000000" w:themeColor="text1"/>
          <w:highlight w:val="none"/>
          <w14:textFill>
            <w14:solidFill>
              <w14:schemeClr w14:val="tx1"/>
            </w14:solidFill>
          </w14:textFill>
        </w:rPr>
        <w:t xml:space="preserve">.0% * 100（保留二位小数）</w:t>
      </w:r>
      <w:r>
        <w:rPr>
          <w:rStyle w:val="1358"/>
          <w:rFonts w:hint="eastAsia" w:ascii="宋体" w:hAnsi="宋体" w:eastAsia="宋体" w:cs="宋体"/>
          <w:color w:val="000000" w:themeColor="text1"/>
          <w:highlight w:val="none"/>
          <w:lang w:eastAsia="zh-CN"/>
          <w14:textFill>
            <w14:solidFill>
              <w14:schemeClr w14:val="tx1"/>
            </w14:solidFill>
          </w14:textFill>
        </w:rPr>
        <w:t xml:space="preserve">。</w:t>
      </w:r>
      <w:r/>
    </w:p>
    <w:p>
      <w:pPr>
        <w:pStyle w:val="1387"/>
        <w:ind w:firstLine="482"/>
        <w:keepLines w:val="0"/>
        <w:keepNext w:val="0"/>
        <w:pageBreakBefore w:val="0"/>
        <w:spacing w:line="500" w:lineRule="exact"/>
        <w:rPr>
          <w:rStyle w:val="1358"/>
          <w:rFonts w:ascii="宋体" w:hAnsi="宋体" w:eastAsia="宋体" w:cs="宋体"/>
          <w:b/>
          <w:color w:val="000000" w:themeColor="text1"/>
          <w:highlight w:val="none"/>
          <w14:textFill>
            <w14:solidFill>
              <w14:schemeClr w14:val="tx1"/>
            </w14:solidFill>
          </w14:textFill>
        </w:rPr>
      </w:pPr>
      <w:r>
        <w:rPr>
          <w:rStyle w:val="1358"/>
          <w:rFonts w:hint="eastAsia" w:ascii="宋体" w:hAnsi="宋体" w:eastAsia="宋体" w:cs="宋体"/>
          <w:b/>
          <w:color w:val="000000" w:themeColor="text1"/>
          <w:highlight w:val="none"/>
          <w:lang w:eastAsia="zh-CN"/>
          <w14:textFill>
            <w14:solidFill>
              <w14:schemeClr w14:val="tx1"/>
            </w14:solidFill>
          </w14:textFill>
        </w:rPr>
        <w:t xml:space="preserve">（</w:t>
      </w:r>
      <w:r>
        <w:rPr>
          <w:rStyle w:val="1358"/>
          <w:rFonts w:hint="eastAsia" w:ascii="宋体" w:hAnsi="宋体" w:eastAsia="宋体" w:cs="宋体"/>
          <w:b/>
          <w:color w:val="000000" w:themeColor="text1"/>
          <w:highlight w:val="none"/>
          <w:lang w:val="en-US" w:eastAsia="zh-CN"/>
          <w14:textFill>
            <w14:solidFill>
              <w14:schemeClr w14:val="tx1"/>
            </w14:solidFill>
          </w14:textFill>
        </w:rPr>
        <w:t xml:space="preserve">二</w:t>
      </w:r>
      <w:r>
        <w:rPr>
          <w:rStyle w:val="1358"/>
          <w:rFonts w:hint="eastAsia" w:ascii="宋体" w:hAnsi="宋体" w:eastAsia="宋体" w:cs="宋体"/>
          <w:b/>
          <w:color w:val="000000" w:themeColor="text1"/>
          <w:highlight w:val="none"/>
          <w:lang w:eastAsia="zh-CN"/>
          <w14:textFill>
            <w14:solidFill>
              <w14:schemeClr w14:val="tx1"/>
            </w14:solidFill>
          </w14:textFill>
        </w:rPr>
        <w:t xml:space="preserve">）</w:t>
      </w:r>
      <w:r>
        <w:rPr>
          <w:rStyle w:val="1358"/>
          <w:rFonts w:hint="eastAsia" w:ascii="宋体" w:hAnsi="宋体" w:eastAsia="宋体" w:cs="宋体"/>
          <w:b/>
          <w:color w:val="000000" w:themeColor="text1"/>
          <w:highlight w:val="none"/>
          <w14:textFill>
            <w14:solidFill>
              <w14:schemeClr w14:val="tx1"/>
            </w14:solidFill>
          </w14:textFill>
        </w:rPr>
        <w:t xml:space="preserve">技术方案分</w:t>
      </w:r>
      <w:r>
        <w:rPr>
          <w:rStyle w:val="1358"/>
          <w:rFonts w:hint="eastAsia" w:ascii="宋体" w:hAnsi="宋体" w:eastAsia="宋体" w:cs="宋体"/>
          <w:b/>
          <w:color w:val="000000" w:themeColor="text1"/>
          <w:highlight w:val="none"/>
          <w:lang w:val="en-US" w:eastAsia="zh-CN"/>
          <w14:textFill>
            <w14:solidFill>
              <w14:schemeClr w14:val="tx1"/>
            </w14:solidFill>
          </w14:textFill>
        </w:rPr>
        <w:t xml:space="preserve"> </w:t>
      </w:r>
      <w:r>
        <w:rPr>
          <w:rStyle w:val="1358"/>
          <w:rFonts w:hint="eastAsia" w:ascii="宋体" w:hAnsi="宋体" w:eastAsia="宋体" w:cs="宋体"/>
          <w:b/>
          <w:color w:val="000000" w:themeColor="text1"/>
          <w:highlight w:val="none"/>
          <w14:textFill>
            <w14:solidFill>
              <w14:schemeClr w14:val="tx1"/>
            </w14:solidFill>
          </w14:textFill>
        </w:rPr>
        <w:t xml:space="preserve">4</w:t>
      </w:r>
      <w:r>
        <w:rPr>
          <w:rStyle w:val="1358"/>
          <w:rFonts w:hint="eastAsia" w:ascii="宋体" w:hAnsi="宋体" w:eastAsia="宋体" w:cs="宋体"/>
          <w:b/>
          <w:color w:val="000000" w:themeColor="text1"/>
          <w:highlight w:val="none"/>
          <w:lang w:val="en-US" w:eastAsia="zh-CN"/>
          <w14:textFill>
            <w14:solidFill>
              <w14:schemeClr w14:val="tx1"/>
            </w14:solidFill>
          </w14:textFill>
        </w:rPr>
        <w:t xml:space="preserve">0</w:t>
      </w:r>
      <w:r>
        <w:rPr>
          <w:rStyle w:val="1358"/>
          <w:rFonts w:hint="eastAsia" w:ascii="宋体" w:hAnsi="宋体" w:eastAsia="宋体" w:cs="宋体"/>
          <w:b/>
          <w:color w:val="000000" w:themeColor="text1"/>
          <w:highlight w:val="none"/>
          <w14:textFill>
            <w14:solidFill>
              <w14:schemeClr w14:val="tx1"/>
            </w14:solidFill>
          </w14:textFill>
        </w:rPr>
        <w:t xml:space="preserve"> 分</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    1.针对本项目所制定的防治方案包含普查防治整体思路、方案措施、工作流程细化、工作进度计划、普查防治资料记录、保存和整理规范完整。方案包含上述内容且有针对性、合理措施的，得25分；方案内容部分缺少对应内容或有些内容无实质性意义的，得20分；方案内容无实质性意义的，得15分；未作说明的不得分。【0-25】</w:t>
      </w:r>
      <w:r>
        <w:rPr>
          <w:sz w:val="21"/>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   2.针对本项目制定的管理规章制度包含企业组织架构、企业规章制度、培训方案、人员管理方案。方案包含上述内容且有针对性、合理措施的，得10分；方案内容部分缺少对应内容或有些内容无实质性意义的，得7分；方案内容无实质性意义的，得4分；未作说明的不得分。【0-10】</w:t>
      </w:r>
      <w:r>
        <w:rPr>
          <w:sz w:val="21"/>
        </w:rPr>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   3.针对本项目制定的文明施工和安全保护措施包含安全文明施工方案、文明施工措施、扬尘噪音等管控措施、人员安全保护措施、施工现场保护措施。方案包含上述内容且有针对性、合理措施的，得5分；方案内容部分缺少对应内容或有些内容无实质性意义的，得3分；方案内容无实质性意义的，得1分；未作说明的不得分。【0-5】</w:t>
      </w:r>
      <w:r>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r>
      <w:r/>
    </w:p>
    <w:p>
      <w:pPr>
        <w:pStyle w:val="1387"/>
        <w:ind w:firstLine="482"/>
        <w:keepLines w:val="0"/>
        <w:keepNext w:val="0"/>
        <w:pageBreakBefore w:val="0"/>
        <w:spacing w:line="500" w:lineRule="exact"/>
        <w:rPr>
          <w:rStyle w:val="1358"/>
          <w:rFonts w:hint="eastAsia" w:ascii="宋体" w:hAnsi="宋体" w:eastAsia="宋体" w:cs="宋体"/>
          <w:b/>
          <w:color w:val="000000" w:themeColor="text1"/>
          <w:highlight w:val="none"/>
          <w14:textFill>
            <w14:solidFill>
              <w14:schemeClr w14:val="tx1"/>
            </w14:solidFill>
          </w14:textFill>
        </w:rPr>
      </w:pPr>
      <w:r>
        <w:rPr>
          <w:rStyle w:val="1358"/>
          <w:rFonts w:hint="eastAsia" w:ascii="宋体" w:hAnsi="宋体" w:eastAsia="宋体" w:cs="宋体"/>
          <w:b/>
          <w:color w:val="000000" w:themeColor="text1"/>
          <w:highlight w:val="none"/>
          <w:lang w:eastAsia="zh-CN"/>
          <w14:textFill>
            <w14:solidFill>
              <w14:schemeClr w14:val="tx1"/>
            </w14:solidFill>
          </w14:textFill>
        </w:rPr>
        <w:t xml:space="preserve">（</w:t>
      </w:r>
      <w:r>
        <w:rPr>
          <w:rStyle w:val="1358"/>
          <w:rFonts w:hint="eastAsia" w:ascii="宋体" w:hAnsi="宋体" w:eastAsia="宋体" w:cs="宋体"/>
          <w:b/>
          <w:color w:val="000000" w:themeColor="text1"/>
          <w:highlight w:val="none"/>
          <w:lang w:val="en-US" w:eastAsia="zh-CN"/>
          <w14:textFill>
            <w14:solidFill>
              <w14:schemeClr w14:val="tx1"/>
            </w14:solidFill>
          </w14:textFill>
        </w:rPr>
        <w:t xml:space="preserve">三</w:t>
      </w:r>
      <w:r>
        <w:rPr>
          <w:rStyle w:val="1358"/>
          <w:rFonts w:hint="eastAsia" w:ascii="宋体" w:hAnsi="宋体" w:eastAsia="宋体" w:cs="宋体"/>
          <w:b/>
          <w:color w:val="000000" w:themeColor="text1"/>
          <w:highlight w:val="none"/>
          <w:lang w:eastAsia="zh-CN"/>
          <w14:textFill>
            <w14:solidFill>
              <w14:schemeClr w14:val="tx1"/>
            </w14:solidFill>
          </w14:textFill>
        </w:rPr>
        <w:t xml:space="preserve">）</w:t>
      </w:r>
      <w:r>
        <w:rPr>
          <w:rStyle w:val="1358"/>
          <w:rFonts w:hint="eastAsia" w:ascii="宋体" w:hAnsi="宋体" w:eastAsia="宋体" w:cs="宋体"/>
          <w:b/>
          <w:color w:val="000000" w:themeColor="text1"/>
          <w:highlight w:val="none"/>
          <w14:textFill>
            <w14:solidFill>
              <w14:schemeClr w14:val="tx1"/>
            </w14:solidFill>
          </w14:textFill>
        </w:rPr>
        <w:t xml:space="preserve">企业综合实力</w:t>
      </w:r>
      <w:r>
        <w:rPr>
          <w:rStyle w:val="1358"/>
          <w:rFonts w:hint="eastAsia" w:ascii="宋体" w:hAnsi="宋体" w:eastAsia="宋体" w:cs="宋体"/>
          <w:b/>
          <w:color w:val="000000" w:themeColor="text1"/>
          <w:highlight w:val="none"/>
          <w:lang w:val="en-US" w:eastAsia="zh-CN"/>
          <w14:textFill>
            <w14:solidFill>
              <w14:schemeClr w14:val="tx1"/>
            </w14:solidFill>
          </w14:textFill>
        </w:rPr>
        <w:t xml:space="preserve">40</w:t>
      </w:r>
      <w:r>
        <w:rPr>
          <w:rStyle w:val="1358"/>
          <w:rFonts w:hint="eastAsia" w:ascii="宋体" w:hAnsi="宋体" w:eastAsia="宋体" w:cs="宋体"/>
          <w:b/>
          <w:color w:val="000000" w:themeColor="text1"/>
          <w:highlight w:val="none"/>
          <w14:textFill>
            <w14:solidFill>
              <w14:schemeClr w14:val="tx1"/>
            </w14:solidFill>
          </w14:textFill>
        </w:rPr>
        <w:t xml:space="preserve">分</w:t>
      </w:r>
      <w:r/>
    </w:p>
    <w:p>
      <w:pPr>
        <w:ind w:firstLine="508"/>
        <w:jc w:val="both"/>
        <w:keepLines w:val="0"/>
        <w:keepNext w:val="0"/>
        <w:pageBreakBefore w:val="0"/>
        <w:spacing w:line="520" w:lineRule="exact"/>
        <w:rPr>
          <w:rFonts w:hint="eastAsia" w:ascii="Times New Roman" w:hAnsi="Times New Roman" w:eastAsia="仿宋_GB2312" w:cs="仿宋_GB2312"/>
          <w:color w:val="000000" w:themeColor="text1"/>
          <w:sz w:val="32"/>
          <w:szCs w:val="32"/>
          <w:highlight w:val="none"/>
          <w14:textFill>
            <w14:solidFill>
              <w14:schemeClr w14:val="tx1"/>
            </w14:solidFill>
          </w14:textFill>
        </w:rPr>
      </w:pPr>
      <w:r>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t xml:space="preserve">1.投标人拟投入项目负责人具有相关机构颁发的白蚁防治能力证书或省级（含）以上白蚁防治中心培训的从业人员证的，得3分；项目负责人2022年1月1日以后担任过水利堤防白蚁等害堤动物普查及防治项目负责人的，得3分（请在投标文件中提供已完成的有甲方盖章项目验收报</w:t>
      </w:r>
      <w:r>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t xml:space="preserve">告、已完成项目发票等证明材料）。</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【0-6】注：提供证书扫描件及投标人为其缴纳的近期社保证明材料，提供不全不</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得分。</w:t>
      </w:r>
      <w:r/>
    </w:p>
    <w:p>
      <w:pPr>
        <w:ind w:firstLine="508"/>
        <w:jc w:val="both"/>
        <w:keepLines w:val="0"/>
        <w:keepNext w:val="0"/>
        <w:pageBreakBefore w:val="0"/>
        <w:spacing w:line="520" w:lineRule="exact"/>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t xml:space="preserve">2.投标人拟投入项目组人员具有省级（含）以上白蚁防治中心培训的从业人员证或相关机构颁发的白蚁防治能力证书的有一个得2分，人员证书按最高等级计取不重复计算，本项最高得10分。具有相关机构颁发的有害生物防制员证书的，有一个得2分，人员证书按最高等级计取不重复计算，本项最高得4分。【0-14】</w:t>
      </w:r>
      <w:r/>
    </w:p>
    <w:p>
      <w:pPr>
        <w:ind w:firstLine="510"/>
        <w:jc w:val="both"/>
        <w:keepLines w:val="0"/>
        <w:keepNext w:val="0"/>
        <w:pageBreakBefore w:val="0"/>
        <w:spacing w:line="520" w:lineRule="exact"/>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注：提供证书扫描件及投标人为其缴纳的近期社保证明材料，提供不全不得分。</w:t>
      </w:r>
      <w:r/>
    </w:p>
    <w:p>
      <w:pPr>
        <w:ind w:firstLine="508"/>
        <w:jc w:val="both"/>
        <w:keepLines w:val="0"/>
        <w:keepNext w:val="0"/>
        <w:pageBreakBefore w:val="0"/>
        <w:spacing w:line="520" w:lineRule="exact"/>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t xml:space="preserve">3.投标人具</w:t>
      </w:r>
      <w:r>
        <w:rPr>
          <w:rFonts w:hint="eastAsia" w:ascii="宋体" w:hAnsi="宋体" w:cs="宋体"/>
          <w:b w:val="0"/>
          <w:color w:val="000000" w:themeColor="text1"/>
          <w:spacing w:val="7"/>
          <w:sz w:val="24"/>
          <w:szCs w:val="24"/>
          <w:highlight w:val="none"/>
          <w:lang w:val="en-US" w:eastAsia="zh-CN" w:bidi="ar-SA"/>
          <w14:textFill>
            <w14:solidFill>
              <w14:schemeClr w14:val="tx1"/>
            </w14:solidFill>
          </w14:textFill>
        </w:rPr>
        <w:t xml:space="preserve">有</w:t>
      </w:r>
      <w:r>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t xml:space="preserve">有害生物防制证书或白蚁防制资质的得2分；【0-2】</w:t>
      </w:r>
      <w:r/>
    </w:p>
    <w:p>
      <w:pPr>
        <w:ind w:firstLine="510"/>
        <w:jc w:val="both"/>
        <w:keepLines w:val="0"/>
        <w:keepNext w:val="0"/>
        <w:pageBreakBefore w:val="0"/>
        <w:spacing w:line="520" w:lineRule="exact"/>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注：提供证书查询路径、查询信息截图、有害生物防制证书或白蚁防制资质，提供不全不得分。</w:t>
      </w:r>
      <w:r/>
    </w:p>
    <w:p>
      <w:pPr>
        <w:ind w:firstLine="508"/>
        <w:jc w:val="both"/>
        <w:keepLines w:val="0"/>
        <w:keepNext w:val="0"/>
        <w:pageBreakBefore w:val="0"/>
        <w:spacing w:line="520" w:lineRule="exact"/>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t xml:space="preserve">4.投标人2022年1月1日至今（以合同签订时间为准）承接过类似本项目业绩的，每有一个业绩得2分，最高得10分。【0-10】</w:t>
      </w:r>
      <w:r/>
    </w:p>
    <w:p>
      <w:pPr>
        <w:ind w:firstLine="510"/>
        <w:jc w:val="both"/>
        <w:keepLines w:val="0"/>
        <w:keepNext w:val="0"/>
        <w:pageBreakBefore w:val="0"/>
        <w:spacing w:line="520" w:lineRule="exact"/>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注：提供项目业绩合同、发票、甲方盖章验收报告或相关证明材料扫描件，提供不全不得分。</w:t>
      </w:r>
      <w:r/>
    </w:p>
    <w:p>
      <w:pPr>
        <w:ind w:firstLine="508"/>
        <w:jc w:val="both"/>
        <w:keepLines w:val="0"/>
        <w:keepNext w:val="0"/>
        <w:pageBreakBefore w:val="0"/>
        <w:spacing w:line="520" w:lineRule="exact"/>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t xml:space="preserve">5.设备配备分 8分</w:t>
      </w:r>
      <w:r/>
    </w:p>
    <w:p>
      <w:pPr>
        <w:ind w:firstLine="508"/>
        <w:jc w:val="both"/>
        <w:keepLines w:val="0"/>
        <w:keepNext w:val="0"/>
        <w:pageBreakBefore w:val="0"/>
        <w:spacing w:line="520" w:lineRule="exact"/>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t xml:space="preserve">（1）专用工具 6分</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t xml:space="preserve">  根据投标人针对本项目装备情况进行评分（包含但不限于白蚁防治专用工具、钻孔机、车载喷药车、手电筒等内容）：装备方案包含上述内容且满足或高于项目需求的得6分，每缺一项专用工具扣1分；扣完为止</w:t>
      </w:r>
      <w:r>
        <w:rPr>
          <w:rFonts w:ascii="SimSun" w:hAnsi="SimSun" w:eastAsia="SimSun" w:cs="SimSun"/>
          <w:b/>
          <w:color w:val="000000"/>
          <w:sz w:val="24"/>
        </w:rPr>
        <w:t xml:space="preserve">（请在投标文件中提供自有或租赁的相关证明材料，若为自有的请提供购买发票原件/电子件/承诺提供设备清单扫描件，若为租赁的请提供购买发票原件扫描件/电子件及租赁协议（合同）/承诺提供设备清单，不提供或提供不全的不得分）</w:t>
      </w:r>
      <w:r>
        <w:rPr>
          <w:sz w:val="21"/>
        </w:rPr>
      </w:r>
      <w:r/>
    </w:p>
    <w:p>
      <w:pPr>
        <w:ind w:firstLine="508"/>
        <w:jc w:val="both"/>
        <w:keepLines w:val="0"/>
        <w:keepNext w:val="0"/>
        <w:pageBreakBefore w:val="0"/>
        <w:spacing w:line="276" w:lineRule="auto"/>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t xml:space="preserve">（2）作业车辆 2分</w:t>
      </w:r>
      <w:r/>
    </w:p>
    <w:p>
      <w:pPr>
        <w:ind w:firstLine="508"/>
        <w:jc w:val="both"/>
        <w:keepLines w:val="0"/>
        <w:keepNext w:val="0"/>
        <w:pageBreakBefore w:val="0"/>
        <w:spacing w:line="520" w:lineRule="exact"/>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t xml:space="preserve">根据投标人针对本项目配备的施工作业车辆，有一辆得1分，最多得2分</w:t>
      </w:r>
      <w:r>
        <w:rPr>
          <w:rFonts w:hint="eastAsia" w:ascii="宋体" w:hAnsi="宋体" w:cs="宋体"/>
          <w:b/>
          <w:bCs/>
          <w:color w:val="000000" w:themeColor="text1"/>
          <w:spacing w:val="7"/>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请在投标文件中提供自有或租赁的相关证明材料，若为自有的请提供购买发票原件扫描件/电子件、行驶证照片和车辆照片；若为租赁的请提供租赁协议（合同）、购买发票原件扫描件/电子件、行驶证照片和车辆照片，不提供或提供不全的不得分</w:t>
      </w:r>
      <w:r>
        <w:rPr>
          <w:rFonts w:hint="eastAsia" w:ascii="宋体" w:hAnsi="宋体" w:cs="宋体"/>
          <w:b/>
          <w:bCs/>
          <w:color w:val="000000" w:themeColor="text1"/>
          <w:spacing w:val="7"/>
          <w:sz w:val="24"/>
          <w:szCs w:val="24"/>
          <w:highlight w:val="none"/>
          <w:lang w:val="en-US" w:eastAsia="zh-CN" w:bidi="ar-SA"/>
          <w14:textFill>
            <w14:solidFill>
              <w14:schemeClr w14:val="tx1"/>
            </w14:solidFill>
          </w14:textFill>
        </w:rPr>
        <w:t xml:space="preserve">）</w:t>
      </w:r>
      <w:r>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t xml:space="preserve">。</w:t>
      </w:r>
      <w:r/>
    </w:p>
    <w:p>
      <w:pPr>
        <w:ind w:firstLine="508"/>
        <w:jc w:val="both"/>
        <w:keepLines w:val="0"/>
        <w:keepNext w:val="0"/>
        <w:pageBreakBefore w:val="0"/>
        <w:spacing w:line="520" w:lineRule="exact"/>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t xml:space="preserve">注:以上证明材料，不提供不得分。</w:t>
      </w:r>
      <w:bookmarkEnd w:id="219"/>
      <w:r/>
      <w:bookmarkEnd w:id="220"/>
      <w:r/>
      <w:bookmarkEnd w:id="221"/>
      <w:r/>
      <w:r/>
    </w:p>
    <w:p>
      <w:pPr>
        <w:ind w:firstLine="508"/>
        <w:jc w:val="both"/>
        <w:keepLines w:val="0"/>
        <w:keepNext w:val="0"/>
        <w:pageBreakBefore w:val="0"/>
        <w:spacing w:line="520" w:lineRule="exact"/>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sectPr>
          <w:headerReference w:type="default" r:id="rId20"/>
          <w:headerReference w:type="first" r:id="rId21"/>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b w:val="0"/>
          <w:color w:val="000000" w:themeColor="text1"/>
          <w:spacing w:val="7"/>
          <w:sz w:val="24"/>
          <w:szCs w:val="24"/>
          <w:highlight w:val="none"/>
          <w:lang w:val="en-US" w:eastAsia="zh-CN" w:bidi="ar-SA"/>
          <w14:textFill>
            <w14:solidFill>
              <w14:schemeClr w14:val="tx1"/>
            </w14:solidFill>
          </w14:textFill>
        </w:rPr>
      </w:r>
      <w:r/>
    </w:p>
    <w:p>
      <w:pPr>
        <w:pStyle w:val="1352"/>
        <w:spacing w:before="313" w:after="313"/>
        <w:rPr>
          <w:rFonts w:ascii="宋体" w:hAnsi="宋体" w:eastAsia="宋体" w:cs="宋体"/>
          <w:color w:val="000000" w:themeColor="text1"/>
          <w:highlight w:val="none"/>
          <w14:textFill>
            <w14:solidFill>
              <w14:schemeClr w14:val="tx1"/>
            </w14:solidFill>
          </w14:textFill>
        </w:rPr>
      </w:pPr>
      <w:r/>
      <w:bookmarkStart w:id="241" w:name="_Toc20359"/>
      <w:r/>
      <w:bookmarkStart w:id="242" w:name="_Toc11445"/>
      <w:r/>
      <w:bookmarkStart w:id="243" w:name="_Toc54615250"/>
      <w:r/>
      <w:bookmarkStart w:id="244" w:name="_Toc38368132"/>
      <w:r/>
      <w:bookmarkStart w:id="245" w:name="_Toc35266032"/>
      <w:r>
        <w:rPr>
          <w:rFonts w:hint="eastAsia" w:ascii="宋体" w:hAnsi="宋体" w:eastAsia="宋体" w:cs="宋体"/>
          <w:color w:val="000000" w:themeColor="text1"/>
          <w:highlight w:val="none"/>
          <w14:textFill>
            <w14:solidFill>
              <w14:schemeClr w14:val="tx1"/>
            </w14:solidFill>
          </w14:textFill>
        </w:rPr>
        <w:t xml:space="preserve">第六章 投标文件格式</w:t>
      </w:r>
      <w:bookmarkEnd w:id="241"/>
      <w:r/>
      <w:bookmarkEnd w:id="242"/>
      <w:r/>
      <w:bookmarkEnd w:id="243"/>
      <w:r/>
      <w:bookmarkEnd w:id="244"/>
      <w:r/>
      <w:bookmarkEnd w:id="245"/>
      <w:r/>
      <w:r/>
    </w:p>
    <w:p>
      <w:pPr>
        <w:pStyle w:val="1388"/>
        <w:jc w:val="center"/>
        <w:spacing w:before="157" w:after="157"/>
        <w:rPr>
          <w:rStyle w:val="1358"/>
          <w:rFonts w:ascii="宋体" w:hAnsi="宋体" w:eastAsia="宋体" w:cs="宋体"/>
          <w:color w:val="000000" w:themeColor="text1"/>
          <w:sz w:val="40"/>
          <w:szCs w:val="40"/>
          <w:highlight w:val="none"/>
          <w14:textFill>
            <w14:solidFill>
              <w14:schemeClr w14:val="tx1"/>
            </w14:solidFill>
          </w14:textFill>
        </w:rPr>
      </w:pPr>
      <w:r>
        <w:rPr>
          <w:rStyle w:val="1358"/>
          <w:rFonts w:hint="eastAsia" w:ascii="宋体" w:hAnsi="宋体" w:eastAsia="宋体" w:cs="宋体"/>
          <w:color w:val="000000" w:themeColor="text1"/>
          <w:sz w:val="40"/>
          <w:szCs w:val="40"/>
          <w:highlight w:val="none"/>
          <w14:textFill>
            <w14:solidFill>
              <w14:schemeClr w14:val="tx1"/>
            </w14:solidFill>
          </w14:textFill>
        </w:rPr>
        <w:t xml:space="preserve">投标主要文件目录</w:t>
      </w:r>
      <w:r/>
    </w:p>
    <w:p>
      <w:pPr>
        <w:pStyle w:val="1388"/>
        <w:keepLines w:val="0"/>
        <w:keepNext w:val="0"/>
        <w:pageBreakBefore w:val="0"/>
        <w:spacing w:line="480" w:lineRule="auto"/>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一、封面</w:t>
      </w:r>
      <w:r/>
    </w:p>
    <w:p>
      <w:pPr>
        <w:pStyle w:val="1388"/>
        <w:keepLines w:val="0"/>
        <w:keepNext w:val="0"/>
        <w:pageBreakBefore w:val="0"/>
        <w:spacing w:line="480" w:lineRule="auto"/>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二、投标函格式</w:t>
      </w:r>
      <w:r/>
    </w:p>
    <w:p>
      <w:pPr>
        <w:pStyle w:val="1388"/>
        <w:keepLines w:val="0"/>
        <w:keepNext w:val="0"/>
        <w:pageBreakBefore w:val="0"/>
        <w:spacing w:line="480" w:lineRule="auto"/>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三、开标一览表</w:t>
      </w:r>
      <w:r/>
    </w:p>
    <w:p>
      <w:pPr>
        <w:pStyle w:val="1388"/>
        <w:keepLines w:val="0"/>
        <w:keepNext w:val="0"/>
        <w:pageBreakBefore w:val="0"/>
        <w:spacing w:line="480" w:lineRule="auto"/>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四</w:t>
      </w:r>
      <w:r>
        <w:rPr>
          <w:rStyle w:val="1358"/>
          <w:rFonts w:hint="eastAsia" w:ascii="宋体" w:hAnsi="宋体" w:eastAsia="宋体" w:cs="宋体"/>
          <w:color w:val="000000" w:themeColor="text1"/>
          <w:highlight w:val="none"/>
          <w14:textFill>
            <w14:solidFill>
              <w14:schemeClr w14:val="tx1"/>
            </w14:solidFill>
          </w14:textFill>
        </w:rPr>
        <w:t xml:space="preserve">、经费测算明细表</w:t>
      </w:r>
      <w:r/>
    </w:p>
    <w:p>
      <w:pPr>
        <w:pStyle w:val="1388"/>
        <w:keepLines w:val="0"/>
        <w:keepNext w:val="0"/>
        <w:pageBreakBefore w:val="0"/>
        <w:spacing w:line="480" w:lineRule="auto"/>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五</w:t>
      </w:r>
      <w:r>
        <w:rPr>
          <w:rStyle w:val="1358"/>
          <w:rFonts w:hint="eastAsia" w:ascii="宋体" w:hAnsi="宋体" w:eastAsia="宋体" w:cs="宋体"/>
          <w:color w:val="000000" w:themeColor="text1"/>
          <w:highlight w:val="none"/>
          <w14:textFill>
            <w14:solidFill>
              <w14:schemeClr w14:val="tx1"/>
            </w14:solidFill>
          </w14:textFill>
        </w:rPr>
        <w:t xml:space="preserve">、第四章项目需求中实质性要求响应对照表</w:t>
      </w:r>
      <w:r/>
    </w:p>
    <w:p>
      <w:pPr>
        <w:pStyle w:val="1388"/>
        <w:keepLines w:val="0"/>
        <w:keepNext w:val="0"/>
        <w:pageBreakBefore w:val="0"/>
        <w:spacing w:line="480" w:lineRule="auto"/>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六</w:t>
      </w:r>
      <w:r>
        <w:rPr>
          <w:rStyle w:val="1358"/>
          <w:rFonts w:hint="eastAsia" w:ascii="宋体" w:hAnsi="宋体" w:eastAsia="宋体" w:cs="宋体"/>
          <w:color w:val="000000" w:themeColor="text1"/>
          <w:highlight w:val="none"/>
          <w14:textFill>
            <w14:solidFill>
              <w14:schemeClr w14:val="tx1"/>
            </w14:solidFill>
          </w14:textFill>
        </w:rPr>
        <w:t xml:space="preserve">、服务方案</w:t>
      </w:r>
      <w:r/>
    </w:p>
    <w:p>
      <w:pPr>
        <w:pStyle w:val="1388"/>
        <w:keepLines w:val="0"/>
        <w:keepNext w:val="0"/>
        <w:pageBreakBefore w:val="0"/>
        <w:spacing w:line="480" w:lineRule="auto"/>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七</w:t>
      </w:r>
      <w:r>
        <w:rPr>
          <w:rStyle w:val="1358"/>
          <w:rFonts w:hint="eastAsia" w:ascii="宋体" w:hAnsi="宋体" w:eastAsia="宋体" w:cs="宋体"/>
          <w:color w:val="000000" w:themeColor="text1"/>
          <w:highlight w:val="none"/>
          <w14:textFill>
            <w14:solidFill>
              <w14:schemeClr w14:val="tx1"/>
            </w14:solidFill>
          </w14:textFill>
        </w:rPr>
        <w:t xml:space="preserve">、投标人情况介绍</w:t>
      </w:r>
      <w:r/>
    </w:p>
    <w:p>
      <w:pPr>
        <w:pStyle w:val="1388"/>
        <w:ind w:firstLine="480"/>
        <w:keepLines w:val="0"/>
        <w:keepNext w:val="0"/>
        <w:pageBreakBefore w:val="0"/>
        <w:spacing w:line="480" w:lineRule="auto"/>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投标人拥有的设施设备情况</w:t>
      </w:r>
      <w:r/>
    </w:p>
    <w:p>
      <w:pPr>
        <w:pStyle w:val="1388"/>
        <w:ind w:firstLine="480"/>
        <w:keepLines w:val="0"/>
        <w:keepNext w:val="0"/>
        <w:pageBreakBefore w:val="0"/>
        <w:spacing w:line="480" w:lineRule="auto"/>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项目负责人及其他</w:t>
      </w:r>
      <w:r>
        <w:rPr>
          <w:rStyle w:val="1358"/>
          <w:rFonts w:hint="eastAsia" w:ascii="宋体" w:hAnsi="宋体" w:eastAsia="宋体" w:cs="宋体"/>
          <w:color w:val="000000" w:themeColor="text1"/>
          <w:highlight w:val="none"/>
          <w14:textFill>
            <w14:solidFill>
              <w14:schemeClr w14:val="tx1"/>
            </w14:solidFill>
          </w14:textFill>
        </w:rPr>
        <w:t xml:space="preserve">人员介绍</w:t>
      </w:r>
      <w:r/>
    </w:p>
    <w:p>
      <w:pPr>
        <w:pStyle w:val="1388"/>
        <w:ind w:firstLine="480"/>
        <w:keepLines w:val="0"/>
        <w:keepNext w:val="0"/>
        <w:pageBreakBefore w:val="0"/>
        <w:spacing w:line="480" w:lineRule="auto"/>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类似业绩一览表</w:t>
      </w:r>
      <w:r/>
    </w:p>
    <w:p>
      <w:pPr>
        <w:pStyle w:val="1388"/>
        <w:ind w:firstLine="480"/>
        <w:keepLines w:val="0"/>
        <w:keepNext w:val="0"/>
        <w:pageBreakBefore w:val="0"/>
        <w:spacing w:line="480" w:lineRule="auto"/>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投标人获得的相关证书</w:t>
      </w:r>
      <w:r/>
    </w:p>
    <w:p>
      <w:pPr>
        <w:pStyle w:val="1388"/>
        <w:ind w:firstLine="480"/>
        <w:keepLines w:val="0"/>
        <w:keepNext w:val="0"/>
        <w:pageBreakBefore w:val="0"/>
        <w:spacing w:line="480" w:lineRule="auto"/>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投标人获得的相关奖项</w:t>
      </w:r>
      <w:r/>
    </w:p>
    <w:p>
      <w:pPr>
        <w:pStyle w:val="1388"/>
        <w:keepLines w:val="0"/>
        <w:keepNext w:val="0"/>
        <w:pageBreakBefore w:val="0"/>
        <w:spacing w:line="480" w:lineRule="auto"/>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八</w:t>
      </w:r>
      <w:r>
        <w:rPr>
          <w:rStyle w:val="1358"/>
          <w:rFonts w:hint="eastAsia" w:ascii="宋体" w:hAnsi="宋体" w:eastAsia="宋体" w:cs="宋体"/>
          <w:color w:val="000000" w:themeColor="text1"/>
          <w:highlight w:val="none"/>
          <w14:textFill>
            <w14:solidFill>
              <w14:schemeClr w14:val="tx1"/>
            </w14:solidFill>
          </w14:textFill>
        </w:rPr>
        <w:t xml:space="preserve">、技术要求响应及偏离表</w:t>
      </w:r>
      <w:r/>
    </w:p>
    <w:p>
      <w:pPr>
        <w:pStyle w:val="1388"/>
        <w:keepLines w:val="0"/>
        <w:keepNext w:val="0"/>
        <w:pageBreakBefore w:val="0"/>
        <w:spacing w:line="480" w:lineRule="auto"/>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lang w:val="en-US" w:eastAsia="zh-CN"/>
          <w14:textFill>
            <w14:solidFill>
              <w14:schemeClr w14:val="tx1"/>
            </w14:solidFill>
          </w14:textFill>
        </w:rPr>
        <w:t xml:space="preserve">九</w:t>
      </w:r>
      <w:r>
        <w:rPr>
          <w:rStyle w:val="1358"/>
          <w:rFonts w:hint="eastAsia" w:ascii="宋体" w:hAnsi="宋体" w:eastAsia="宋体" w:cs="宋体"/>
          <w:color w:val="000000" w:themeColor="text1"/>
          <w:highlight w:val="none"/>
          <w14:textFill>
            <w14:solidFill>
              <w14:schemeClr w14:val="tx1"/>
            </w14:solidFill>
          </w14:textFill>
        </w:rPr>
        <w:t xml:space="preserve">、商务条款响应及偏离表</w:t>
      </w:r>
      <w:r/>
    </w:p>
    <w:p>
      <w:pPr>
        <w:pStyle w:val="1388"/>
        <w:keepLines w:val="0"/>
        <w:keepNext w:val="0"/>
        <w:pageBreakBefore w:val="0"/>
        <w:spacing w:line="480" w:lineRule="auto"/>
        <w:widowControl/>
        <w:rPr>
          <w:rStyle w:val="1358"/>
          <w:rFonts w:ascii="宋体" w:hAnsi="宋体" w:eastAsia="宋体" w:cs="宋体"/>
          <w:color w:val="000000" w:themeColor="text1"/>
          <w:highlight w:val="none"/>
          <w14:textFill>
            <w14:solidFill>
              <w14:schemeClr w14:val="tx1"/>
            </w14:solidFill>
          </w14:textFill>
        </w:rPr>
      </w:pPr>
      <w:r>
        <w:rPr>
          <w:rStyle w:val="1358"/>
          <w:rFonts w:hint="eastAsia" w:ascii="宋体" w:hAnsi="宋体" w:eastAsia="宋体" w:cs="宋体"/>
          <w:color w:val="000000" w:themeColor="text1"/>
          <w:highlight w:val="none"/>
          <w14:textFill>
            <w14:solidFill>
              <w14:schemeClr w14:val="tx1"/>
            </w14:solidFill>
          </w14:textFill>
        </w:rPr>
        <w:t xml:space="preserve">十、其他材料</w:t>
      </w:r>
      <w:r/>
    </w:p>
    <w:p>
      <w:pPr>
        <w:pStyle w:val="1389"/>
        <w:jc w:val="left"/>
        <w:keepLines w:val="0"/>
        <w:keepNext w:val="0"/>
        <w:pageBreakBefore w:val="0"/>
        <w:spacing w:line="400" w:lineRule="exact"/>
        <w:shd w:val="clear" w:color="auto" w:fill="auto"/>
        <w:widowControl/>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rPr>
          <w:rStyle w:val="1358"/>
          <w:rFonts w:hint="eastAsia" w:ascii="宋体" w:hAnsi="宋体" w:eastAsia="宋体" w:cs="宋体"/>
          <w:color w:val="000000" w:themeColor="text1"/>
          <w:highlight w:val="none"/>
          <w14:textFill>
            <w14:solidFill>
              <w14:schemeClr w14:val="tx1"/>
            </w14:solidFill>
          </w14:textFill>
        </w:rPr>
        <w:br w:type="page" w:clear="all"/>
      </w:r>
      <w:bookmarkStart w:id="246" w:name="_Toc24520"/>
      <w:r/>
      <w:bookmarkStart w:id="247" w:name="_Toc10661"/>
      <w:r>
        <w:rPr>
          <w:rStyle w:val="1358"/>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一、封面</w:t>
      </w:r>
      <w:bookmarkEnd w:id="246"/>
      <w:r/>
      <w:bookmarkEnd w:id="247"/>
      <w:r/>
      <w:r/>
    </w:p>
    <w:p>
      <w:pPr>
        <w:pStyle w:val="1390"/>
        <w:jc w:val="center"/>
        <w:spacing w:before="540" w:after="540"/>
        <w:shd w:val="clear" w:color="auto" w:fill="auto"/>
        <w:rPr>
          <w:rStyle w:val="1358"/>
          <w:rFonts w:hint="eastAsia" w:ascii="宋体" w:hAnsi="宋体" w:eastAsia="宋体" w:cs="宋体"/>
          <w:b/>
          <w:bCs/>
          <w:caps w:val="0"/>
          <w:smallCaps w:val="0"/>
          <w:color w:val="000000" w:themeColor="text1"/>
          <w:spacing w:val="0"/>
          <w:sz w:val="72"/>
          <w:szCs w:val="72"/>
          <w:highlight w:val="none"/>
          <w:shd w:val="clear" w:color="auto" w:fill="auto"/>
          <w14:textFill>
            <w14:solidFill>
              <w14:schemeClr w14:val="tx1"/>
            </w14:solidFill>
          </w14:textFill>
        </w:rPr>
      </w:pPr>
      <w:r>
        <w:rPr>
          <w:rStyle w:val="1358"/>
          <w:rFonts w:hint="eastAsia" w:ascii="宋体" w:hAnsi="宋体" w:eastAsia="宋体" w:cs="宋体"/>
          <w:b/>
          <w:bCs/>
          <w:caps w:val="0"/>
          <w:smallCaps w:val="0"/>
          <w:color w:val="000000" w:themeColor="text1"/>
          <w:spacing w:val="0"/>
          <w:sz w:val="72"/>
          <w:szCs w:val="72"/>
          <w:highlight w:val="none"/>
          <w:shd w:val="clear" w:color="auto" w:fill="auto"/>
          <w14:textFill>
            <w14:solidFill>
              <w14:schemeClr w14:val="tx1"/>
            </w14:solidFill>
          </w14:textFill>
        </w:rPr>
        <w:t xml:space="preserve">投 标 文 件</w:t>
      </w:r>
      <w:r/>
    </w:p>
    <w:p>
      <w:pPr>
        <w:pStyle w:val="1390"/>
        <w:keepLines w:val="0"/>
        <w:keepNext w:val="0"/>
        <w:pageBreakBefore w:val="0"/>
        <w:spacing w:line="520" w:lineRule="exact"/>
        <w:shd w:val="clear" w:color="auto" w:fill="auto"/>
        <w:widowControl/>
        <w:rPr>
          <w:rStyle w:val="1358"/>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390"/>
        <w:keepLines w:val="0"/>
        <w:keepNext w:val="0"/>
        <w:pageBreakBefore w:val="0"/>
        <w:spacing w:line="520" w:lineRule="exact"/>
        <w:shd w:val="clear" w:color="auto" w:fill="auto"/>
        <w:widowControl/>
        <w:rPr>
          <w:rStyle w:val="1358"/>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390"/>
        <w:keepLines w:val="0"/>
        <w:keepNext w:val="0"/>
        <w:pageBreakBefore w:val="0"/>
        <w:spacing w:line="520" w:lineRule="exact"/>
        <w:shd w:val="clear" w:color="auto" w:fill="auto"/>
        <w:widowControl/>
        <w:rPr>
          <w:rStyle w:val="1358"/>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390"/>
        <w:ind w:firstLine="2530"/>
        <w:jc w:val="both"/>
        <w:spacing w:before="360" w:after="360"/>
        <w:shd w:val="clear" w:color="auto" w:fill="auto"/>
        <w:rPr>
          <w:rStyle w:val="1358"/>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1358"/>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项目名称：</w:t>
      </w:r>
      <w:r>
        <w:rPr>
          <w:rStyle w:val="1358"/>
          <w:rFonts w:hint="eastAsia" w:ascii="宋体" w:hAnsi="宋体" w:eastAsia="宋体" w:cs="宋体"/>
          <w:b/>
          <w:bCs/>
          <w:caps w:val="0"/>
          <w:smallCaps w:val="0"/>
          <w:color w:val="000000" w:themeColor="text1"/>
          <w:spacing w:val="0"/>
          <w:highlight w:val="none"/>
          <w:u w:val="single"/>
          <w:shd w:val="clear" w:color="auto" w:fill="auto"/>
          <w:lang w:val="en-US" w:eastAsia="zh-CN"/>
          <w14:textFill>
            <w14:solidFill>
              <w14:schemeClr w14:val="tx1"/>
            </w14:solidFill>
          </w14:textFill>
        </w:rPr>
        <w:t xml:space="preserve">                      </w:t>
      </w:r>
      <w:r/>
    </w:p>
    <w:p>
      <w:pPr>
        <w:pStyle w:val="1390"/>
        <w:ind w:firstLine="2530"/>
        <w:jc w:val="both"/>
        <w:spacing w:before="360" w:after="360"/>
        <w:shd w:val="clear" w:color="auto" w:fill="auto"/>
        <w:rPr>
          <w:rStyle w:val="1358"/>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1358"/>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招标编号：</w:t>
      </w:r>
      <w:r>
        <w:rPr>
          <w:rStyle w:val="1358"/>
          <w:rFonts w:hint="eastAsia" w:ascii="宋体" w:hAnsi="宋体" w:eastAsia="宋体" w:cs="宋体"/>
          <w:b/>
          <w:bCs/>
          <w:caps w:val="0"/>
          <w:smallCaps w:val="0"/>
          <w:color w:val="000000" w:themeColor="text1"/>
          <w:spacing w:val="0"/>
          <w:highlight w:val="none"/>
          <w:u w:val="single"/>
          <w:shd w:val="clear" w:color="auto" w:fill="auto"/>
          <w:lang w:val="en-US" w:eastAsia="zh-CN"/>
          <w14:textFill>
            <w14:solidFill>
              <w14:schemeClr w14:val="tx1"/>
            </w14:solidFill>
          </w14:textFill>
        </w:rPr>
        <w:t xml:space="preserve">                      </w:t>
      </w:r>
      <w:r/>
    </w:p>
    <w:p>
      <w:pPr>
        <w:pStyle w:val="1390"/>
        <w:keepLines w:val="0"/>
        <w:keepNext w:val="0"/>
        <w:pageBreakBefore w:val="0"/>
        <w:spacing w:line="520" w:lineRule="exact"/>
        <w:shd w:val="clear" w:color="auto" w:fill="auto"/>
        <w:widowControl/>
        <w:rPr>
          <w:rStyle w:val="1358"/>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390"/>
        <w:keepLines w:val="0"/>
        <w:keepNext w:val="0"/>
        <w:pageBreakBefore w:val="0"/>
        <w:spacing w:line="520" w:lineRule="exact"/>
        <w:shd w:val="clear" w:color="auto" w:fill="auto"/>
        <w:widowControl/>
        <w:rPr>
          <w:rStyle w:val="1358"/>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390"/>
        <w:keepLines w:val="0"/>
        <w:keepNext w:val="0"/>
        <w:pageBreakBefore w:val="0"/>
        <w:spacing w:line="520" w:lineRule="exact"/>
        <w:shd w:val="clear" w:color="auto" w:fill="auto"/>
        <w:widowControl/>
        <w:rPr>
          <w:rStyle w:val="1358"/>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390"/>
        <w:keepLines w:val="0"/>
        <w:keepNext w:val="0"/>
        <w:pageBreakBefore w:val="0"/>
        <w:spacing w:line="520" w:lineRule="exact"/>
        <w:shd w:val="clear" w:color="auto" w:fill="auto"/>
        <w:widowControl/>
        <w:rPr>
          <w:rStyle w:val="1358"/>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390"/>
        <w:keepLines w:val="0"/>
        <w:keepNext w:val="0"/>
        <w:pageBreakBefore w:val="0"/>
        <w:spacing w:line="520" w:lineRule="exact"/>
        <w:shd w:val="clear" w:color="auto" w:fill="auto"/>
        <w:widowControl/>
        <w:rPr>
          <w:rStyle w:val="1358"/>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390"/>
        <w:keepLines w:val="0"/>
        <w:keepNext w:val="0"/>
        <w:pageBreakBefore w:val="0"/>
        <w:spacing w:line="520" w:lineRule="exact"/>
        <w:shd w:val="clear" w:color="auto" w:fill="auto"/>
        <w:widowControl/>
        <w:rPr>
          <w:rStyle w:val="1358"/>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390"/>
        <w:keepLines w:val="0"/>
        <w:keepNext w:val="0"/>
        <w:pageBreakBefore w:val="0"/>
        <w:spacing w:line="520" w:lineRule="exact"/>
        <w:shd w:val="clear" w:color="auto" w:fill="auto"/>
        <w:widowControl/>
        <w:rPr>
          <w:rStyle w:val="1358"/>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390"/>
        <w:ind w:firstLine="2168"/>
        <w:jc w:val="both"/>
        <w:spacing w:before="360" w:after="360"/>
        <w:shd w:val="clear" w:color="auto" w:fill="auto"/>
        <w:rPr>
          <w:rStyle w:val="1358"/>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1358"/>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投标人名称：</w:t>
      </w:r>
      <w:r>
        <w:rPr>
          <w:rStyle w:val="1358"/>
          <w:rFonts w:hint="eastAsia" w:ascii="宋体" w:hAnsi="宋体" w:eastAsia="宋体" w:cs="宋体"/>
          <w:b/>
          <w:bCs/>
          <w:caps w:val="0"/>
          <w:smallCaps w:val="0"/>
          <w:color w:val="000000" w:themeColor="text1"/>
          <w:spacing w:val="0"/>
          <w:sz w:val="36"/>
          <w:szCs w:val="36"/>
          <w:highlight w:val="none"/>
          <w:u w:val="single"/>
          <w:shd w:val="clear" w:color="auto" w:fill="auto"/>
          <w:lang w:val="en-US" w:eastAsia="zh-CN"/>
          <w14:textFill>
            <w14:solidFill>
              <w14:schemeClr w14:val="tx1"/>
            </w14:solidFill>
          </w14:textFill>
        </w:rPr>
        <w:t xml:space="preserve">                </w:t>
      </w:r>
      <w:r/>
    </w:p>
    <w:p>
      <w:pPr>
        <w:pStyle w:val="1390"/>
        <w:ind w:firstLine="2168"/>
        <w:jc w:val="both"/>
        <w:spacing w:before="360" w:after="360"/>
        <w:shd w:val="clear" w:color="auto" w:fill="auto"/>
        <w:rPr>
          <w:rStyle w:val="1358"/>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358"/>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日</w:t>
      </w:r>
      <w:r>
        <w:rPr>
          <w:rStyle w:val="1358"/>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      </w:t>
      </w:r>
      <w:r>
        <w:rPr>
          <w:rStyle w:val="1358"/>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期：</w:t>
      </w:r>
      <w:r>
        <w:rPr>
          <w:rStyle w:val="1358"/>
          <w:rFonts w:hint="eastAsia" w:ascii="宋体" w:hAnsi="宋体" w:eastAsia="宋体" w:cs="宋体"/>
          <w:b/>
          <w:bCs/>
          <w:caps w:val="0"/>
          <w:smallCaps w:val="0"/>
          <w:color w:val="000000" w:themeColor="text1"/>
          <w:spacing w:val="0"/>
          <w:highlight w:val="none"/>
          <w:u w:val="single"/>
          <w:shd w:val="clear" w:color="auto" w:fill="auto"/>
          <w:lang w:val="en-US" w:eastAsia="zh-CN"/>
          <w14:textFill>
            <w14:solidFill>
              <w14:schemeClr w14:val="tx1"/>
            </w14:solidFill>
          </w14:textFill>
        </w:rPr>
        <w:t xml:space="preserve">                        </w:t>
      </w:r>
      <w:r/>
    </w:p>
    <w:p>
      <w:pPr>
        <w:pStyle w:val="1390"/>
        <w:jc w:val="center"/>
        <w:keepLines w:val="0"/>
        <w:keepNext w:val="0"/>
        <w:pageBreakBefore w:val="0"/>
        <w:spacing w:line="520" w:lineRule="exact"/>
        <w:shd w:val="clear" w:color="auto" w:fill="auto"/>
        <w:widowControl/>
        <w:rPr>
          <w:rStyle w:val="1358"/>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390"/>
        <w:jc w:val="center"/>
        <w:keepLines w:val="0"/>
        <w:keepNext w:val="0"/>
        <w:pageBreakBefore w:val="0"/>
        <w:spacing w:line="520" w:lineRule="exact"/>
        <w:shd w:val="clear" w:color="auto" w:fill="auto"/>
        <w:widowControl/>
        <w:rPr>
          <w:rStyle w:val="1358"/>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r>
      <w:r/>
    </w:p>
    <w:p>
      <w:pPr>
        <w:pStyle w:val="1391"/>
        <w:jc w:val="both"/>
        <w:shd w:val="clear" w:color="auto" w:fill="auto"/>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br w:type="page" w:clear="all"/>
      </w:r>
      <w:bookmarkStart w:id="248" w:name="_Toc28507"/>
      <w:r/>
      <w:bookmarkStart w:id="249" w:name="_Toc19488"/>
      <w:r>
        <w:rPr>
          <w:rStyle w:val="1358"/>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二、投标函格式</w:t>
      </w:r>
      <w:bookmarkEnd w:id="248"/>
      <w:r/>
      <w:bookmarkEnd w:id="249"/>
      <w:r/>
      <w:r/>
    </w:p>
    <w:p>
      <w:pPr>
        <w:pStyle w:val="1392"/>
        <w:jc w:val="center"/>
        <w:keepLines w:val="0"/>
        <w:keepNext w:val="0"/>
        <w:pageBreakBefore w:val="0"/>
        <w:spacing w:before="567" w:after="567" w:line="240" w:lineRule="auto"/>
        <w:shd w:val="clear" w:color="auto" w:fill="auto"/>
        <w:widowControl/>
        <w:rPr>
          <w:rStyle w:val="1358"/>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358"/>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投标函</w:t>
      </w:r>
      <w:r/>
    </w:p>
    <w:p>
      <w:pPr>
        <w:pStyle w:val="1393"/>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致：</w:t>
      </w:r>
      <w:r>
        <w:rPr>
          <w:rStyle w:val="1358"/>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苏州润禹工程咨询管理有限公司</w:t>
      </w: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w:t>
      </w:r>
      <w:r/>
    </w:p>
    <w:p>
      <w:pPr>
        <w:pStyle w:val="1393"/>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根据贵方的</w:t>
      </w:r>
      <w:r>
        <w:rPr>
          <w:rStyle w:val="1358"/>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号招标文件，正式授权下述签字人</w:t>
      </w:r>
      <w:r>
        <w:rPr>
          <w:rStyle w:val="1358"/>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(姓名和职务)代表我方</w:t>
      </w:r>
      <w:r>
        <w:rPr>
          <w:rStyle w:val="1358"/>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（投标人的名称），全权处理本次项目投标的有关事宜。</w:t>
      </w:r>
      <w:r/>
    </w:p>
    <w:p>
      <w:pPr>
        <w:pStyle w:val="1393"/>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据此函，签字人兹宣布同意如下：</w:t>
      </w:r>
      <w:r/>
    </w:p>
    <w:p>
      <w:pPr>
        <w:pStyle w:val="1393"/>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1、同意向贵方提供贵方可能另外要求的与投标有关的任何证据或资料；</w:t>
      </w:r>
      <w:r/>
    </w:p>
    <w:p>
      <w:pPr>
        <w:pStyle w:val="1393"/>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2、我们完全理解贵方不一定将合同授予最低报价的投标人；</w:t>
      </w:r>
      <w:r/>
    </w:p>
    <w:p>
      <w:pPr>
        <w:pStyle w:val="1393"/>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3、我们已详细审核全部招标文件及其有效补充文件，我们知道必须放弃提出含糊不清或误解问题的权利；</w:t>
      </w:r>
      <w:r/>
    </w:p>
    <w:p>
      <w:pPr>
        <w:pStyle w:val="1393"/>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4、一旦我方中标，我们将根据招标文件的规定，严格履行合同条款的责任和义务，并保证按照合同条款提供服务；</w:t>
      </w:r>
      <w:r/>
    </w:p>
    <w:p>
      <w:pPr>
        <w:pStyle w:val="1393"/>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5、与本投标有关的正式通讯地址为：</w:t>
      </w:r>
      <w:r/>
    </w:p>
    <w:p>
      <w:pPr>
        <w:pStyle w:val="1393"/>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地址：</w:t>
      </w:r>
      <w:r>
        <w:rPr>
          <w:rStyle w:val="1358"/>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393"/>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邮编：</w:t>
      </w:r>
      <w:r>
        <w:rPr>
          <w:rStyle w:val="1358"/>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393"/>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电话：</w:t>
      </w:r>
      <w:r>
        <w:rPr>
          <w:rStyle w:val="1358"/>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393"/>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传真：</w:t>
      </w:r>
      <w:r>
        <w:rPr>
          <w:rStyle w:val="1358"/>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393"/>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投标单位代表姓名：</w:t>
      </w:r>
      <w:r>
        <w:rPr>
          <w:rStyle w:val="1358"/>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393"/>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投标单位名称：</w:t>
      </w:r>
      <w:r>
        <w:rPr>
          <w:rStyle w:val="1358"/>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393"/>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公章：</w:t>
      </w:r>
      <w:r>
        <w:rPr>
          <w:rStyle w:val="1358"/>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393"/>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日期：</w:t>
      </w:r>
      <w:r>
        <w:rPr>
          <w:rStyle w:val="1358"/>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394"/>
        <w:jc w:val="left"/>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br w:type="page" w:clear="all"/>
      </w:r>
      <w:bookmarkStart w:id="250" w:name="_Toc23994"/>
      <w:r/>
      <w:bookmarkStart w:id="251" w:name="_Toc32465"/>
      <w:r>
        <w:rPr>
          <w:rStyle w:val="1358"/>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三、开标一览表</w:t>
      </w:r>
      <w:bookmarkEnd w:id="250"/>
      <w:r/>
      <w:bookmarkEnd w:id="251"/>
      <w:r/>
      <w:r/>
    </w:p>
    <w:p>
      <w:pPr>
        <w:pStyle w:val="1392"/>
        <w:jc w:val="center"/>
        <w:keepLines w:val="0"/>
        <w:keepNext w:val="0"/>
        <w:pageBreakBefore w:val="0"/>
        <w:spacing w:before="567" w:after="567" w:line="240" w:lineRule="auto"/>
        <w:shd w:val="clear" w:color="auto" w:fill="auto"/>
        <w:widowControl/>
        <w:rPr>
          <w:rStyle w:val="1358"/>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358"/>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﻿开标一览表</w:t>
      </w:r>
      <w:r/>
    </w:p>
    <w:p>
      <w:pPr>
        <w:pStyle w:val="1392"/>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投标单位全称（加盖公章）：</w:t>
      </w:r>
      <w:r>
        <w:rPr>
          <w:rStyle w:val="1358"/>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p>
    <w:p>
      <w:pPr>
        <w:pStyle w:val="1392"/>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tbl>
      <w:tblPr>
        <w:tblStyle w:val="117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85"/>
        <w:gridCol w:w="2998"/>
        <w:gridCol w:w="2468"/>
        <w:gridCol w:w="2101"/>
      </w:tblGrid>
      <w:tr>
        <w:trPr>
          <w:trHeight w:val="567"/>
        </w:trPr>
        <w:tc>
          <w:tcPr>
            <w:tcMar>
              <w:left w:w="0" w:type="dxa"/>
              <w:top w:w="0" w:type="dxa"/>
              <w:right w:w="0" w:type="dxa"/>
              <w:bottom w:w="0" w:type="dxa"/>
            </w:tcMar>
            <w:tcW w:w="2185" w:type="dxa"/>
            <w:vAlign w:val="center"/>
            <w:textDirection w:val="lrTb"/>
            <w:noWrap w:val="false"/>
          </w:tcPr>
          <w:p>
            <w:pPr>
              <w:pStyle w:val="1392"/>
              <w:jc w:val="center"/>
              <w:spacing w:line="240" w:lineRule="auto"/>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项目名称</w:t>
            </w:r>
            <w:r/>
          </w:p>
        </w:tc>
        <w:tc>
          <w:tcPr>
            <w:tcMar>
              <w:left w:w="0" w:type="dxa"/>
              <w:top w:w="0" w:type="dxa"/>
              <w:right w:w="0" w:type="dxa"/>
              <w:bottom w:w="0" w:type="dxa"/>
            </w:tcMar>
            <w:tcW w:w="2998" w:type="dxa"/>
            <w:vAlign w:val="center"/>
            <w:textDirection w:val="lrTb"/>
            <w:noWrap w:val="false"/>
          </w:tcPr>
          <w:p>
            <w:pPr>
              <w:pStyle w:val="1392"/>
              <w:jc w:val="center"/>
              <w:spacing w:line="240" w:lineRule="auto"/>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服务期限</w:t>
            </w:r>
            <w:r/>
          </w:p>
        </w:tc>
        <w:tc>
          <w:tcPr>
            <w:tcMar>
              <w:left w:w="0" w:type="dxa"/>
              <w:top w:w="0" w:type="dxa"/>
              <w:right w:w="0" w:type="dxa"/>
              <w:bottom w:w="0" w:type="dxa"/>
            </w:tcMar>
            <w:tcW w:w="2468" w:type="dxa"/>
            <w:vAlign w:val="center"/>
            <w:textDirection w:val="lrTb"/>
            <w:noWrap w:val="false"/>
          </w:tcPr>
          <w:p>
            <w:pPr>
              <w:pStyle w:val="1392"/>
              <w:jc w:val="center"/>
              <w:spacing w:line="240" w:lineRule="auto"/>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总价（元）</w:t>
            </w:r>
            <w:r/>
          </w:p>
        </w:tc>
        <w:tc>
          <w:tcPr>
            <w:tcMar>
              <w:left w:w="0" w:type="dxa"/>
              <w:top w:w="0" w:type="dxa"/>
              <w:right w:w="0" w:type="dxa"/>
              <w:bottom w:w="0" w:type="dxa"/>
            </w:tcMar>
            <w:tcW w:w="2101" w:type="dxa"/>
            <w:vAlign w:val="center"/>
            <w:textDirection w:val="lrTb"/>
            <w:noWrap w:val="false"/>
          </w:tcPr>
          <w:p>
            <w:pPr>
              <w:pStyle w:val="1392"/>
              <w:jc w:val="center"/>
              <w:spacing w:line="240" w:lineRule="auto"/>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备注</w:t>
            </w:r>
            <w:r/>
          </w:p>
        </w:tc>
      </w:tr>
      <w:tr>
        <w:trPr>
          <w:trHeight w:val="1134"/>
        </w:trPr>
        <w:tc>
          <w:tcPr>
            <w:tcMar>
              <w:left w:w="0" w:type="dxa"/>
              <w:top w:w="0" w:type="dxa"/>
              <w:right w:w="0" w:type="dxa"/>
              <w:bottom w:w="0" w:type="dxa"/>
            </w:tcMar>
            <w:tcW w:w="2185" w:type="dxa"/>
            <w:vAlign w:val="center"/>
            <w:textDirection w:val="lrTb"/>
            <w:noWrap w:val="false"/>
          </w:tcPr>
          <w:p>
            <w:pPr>
              <w:pStyle w:val="1392"/>
              <w:jc w:val="center"/>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lang w:eastAsia="zh-CN"/>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lang w:eastAsia="zh-CN"/>
                <w14:textFill>
                  <w14:solidFill>
                    <w14:schemeClr w14:val="tx1"/>
                  </w14:solidFill>
                </w14:textFill>
              </w:rPr>
              <w:t xml:space="preserve">2025年度白蚁等害堤动物普查及治理项目</w:t>
            </w:r>
            <w:r/>
          </w:p>
        </w:tc>
        <w:tc>
          <w:tcPr>
            <w:tcMar>
              <w:left w:w="0" w:type="dxa"/>
              <w:top w:w="0" w:type="dxa"/>
              <w:right w:w="0" w:type="dxa"/>
              <w:bottom w:w="0" w:type="dxa"/>
            </w:tcMar>
            <w:tcW w:w="2998" w:type="dxa"/>
            <w:vAlign w:val="center"/>
            <w:textDirection w:val="lrTb"/>
            <w:noWrap w:val="false"/>
          </w:tcPr>
          <w:p>
            <w:pPr>
              <w:pStyle w:val="1392"/>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468" w:type="dxa"/>
            <w:vAlign w:val="center"/>
            <w:textDirection w:val="lrTb"/>
            <w:noWrap w:val="false"/>
          </w:tcPr>
          <w:p>
            <w:pPr>
              <w:pStyle w:val="1392"/>
              <w:jc w:val="center"/>
              <w:spacing w:line="240" w:lineRule="auto"/>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101" w:type="dxa"/>
            <w:vAlign w:val="center"/>
            <w:textDirection w:val="lrTb"/>
            <w:noWrap w:val="false"/>
          </w:tcPr>
          <w:p>
            <w:pPr>
              <w:pStyle w:val="1392"/>
              <w:jc w:val="center"/>
              <w:spacing w:line="240" w:lineRule="auto"/>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2185" w:type="dxa"/>
            <w:vAlign w:val="center"/>
            <w:textDirection w:val="lrTb"/>
            <w:noWrap w:val="false"/>
          </w:tcPr>
          <w:p>
            <w:pPr>
              <w:pStyle w:val="1392"/>
              <w:jc w:val="center"/>
              <w:spacing w:line="360" w:lineRule="auto"/>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投标总报价</w:t>
            </w:r>
            <w:r/>
          </w:p>
          <w:p>
            <w:pPr>
              <w:pStyle w:val="1392"/>
              <w:jc w:val="center"/>
              <w:spacing w:line="360" w:lineRule="auto"/>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（大写）</w:t>
            </w:r>
            <w:r/>
          </w:p>
        </w:tc>
        <w:tc>
          <w:tcPr>
            <w:gridSpan w:val="3"/>
            <w:tcMar>
              <w:left w:w="0" w:type="dxa"/>
              <w:top w:w="0" w:type="dxa"/>
              <w:right w:w="0" w:type="dxa"/>
              <w:bottom w:w="0" w:type="dxa"/>
            </w:tcMar>
            <w:tcW w:w="7567" w:type="dxa"/>
            <w:vAlign w:val="center"/>
            <w:textDirection w:val="lrTb"/>
            <w:noWrap w:val="false"/>
          </w:tcPr>
          <w:p>
            <w:pPr>
              <w:pStyle w:val="1392"/>
              <w:jc w:val="center"/>
              <w:spacing w:line="240" w:lineRule="auto"/>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（人民币）￥：</w:t>
            </w:r>
            <w:r>
              <w:rPr>
                <w:rStyle w:val="1358"/>
                <w:rFonts w:hint="eastAsia" w:ascii="宋体" w:hAnsi="宋体" w:eastAsia="宋体" w:cs="宋体"/>
                <w:b/>
                <w:bCs/>
                <w:i w:val="0"/>
                <w:iCs w:val="0"/>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元</w:t>
            </w:r>
            <w:r/>
          </w:p>
        </w:tc>
      </w:tr>
    </w:tbl>
    <w:p>
      <w:pPr>
        <w:pStyle w:val="1392"/>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392"/>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注：</w:t>
      </w:r>
      <w:r/>
    </w:p>
    <w:p>
      <w:pPr>
        <w:pStyle w:val="1392"/>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1、总价为综合报价，详见招标文件第二章12.4。</w:t>
      </w:r>
      <w:r/>
    </w:p>
    <w:p>
      <w:pPr>
        <w:pStyle w:val="1392"/>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p>
    <w:p>
      <w:pPr>
        <w:pStyle w:val="1392"/>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3、本表中的报价已包括公共责任险（第三者险），中标单位未及时投保所造成的损害责任由中标单位承担。</w:t>
      </w:r>
      <w:r/>
    </w:p>
    <w:p>
      <w:pPr>
        <w:pStyle w:val="1409"/>
        <w:jc w:val="left"/>
        <w:shd w:val="clear" w:color="auto" w:fill="auto"/>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br w:type="page" w:clear="all"/>
      </w:r>
      <w:bookmarkStart w:id="252" w:name="_Toc28557"/>
      <w:r/>
      <w:bookmarkStart w:id="253" w:name="_Toc12028"/>
      <w:r>
        <w:rPr>
          <w:rStyle w:val="1358"/>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 xml:space="preserve">四</w:t>
      </w:r>
      <w:r>
        <w:rPr>
          <w:rStyle w:val="1358"/>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、经费测算明细表</w:t>
      </w:r>
      <w:bookmarkEnd w:id="252"/>
      <w:r/>
      <w:bookmarkEnd w:id="253"/>
      <w:r/>
      <w:r/>
    </w:p>
    <w:p>
      <w:pPr>
        <w:pStyle w:val="1392"/>
        <w:jc w:val="center"/>
        <w:keepLines w:val="0"/>
        <w:keepNext w:val="0"/>
        <w:pageBreakBefore w:val="0"/>
        <w:spacing w:before="567" w:after="567" w:line="240" w:lineRule="auto"/>
        <w:shd w:val="clear" w:color="auto" w:fill="auto"/>
        <w:widowControl/>
        <w:rPr>
          <w:rStyle w:val="1358"/>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358"/>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经费测算明细表</w:t>
      </w:r>
      <w:r/>
    </w:p>
    <w:tbl>
      <w:tblPr>
        <w:tblStyle w:val="117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4"/>
        <w:gridCol w:w="2236"/>
        <w:gridCol w:w="4149"/>
        <w:gridCol w:w="867"/>
        <w:gridCol w:w="867"/>
        <w:gridCol w:w="939"/>
      </w:tblGrid>
      <w:tr>
        <w:trPr>
          <w:jc w:val="center"/>
          <w:trHeight w:val="567"/>
        </w:trPr>
        <w:tc>
          <w:tcPr>
            <w:tcMar>
              <w:left w:w="0" w:type="dxa"/>
              <w:top w:w="0" w:type="dxa"/>
              <w:right w:w="0" w:type="dxa"/>
              <w:bottom w:w="0" w:type="dxa"/>
            </w:tcMar>
            <w:tcW w:w="356" w:type="pct"/>
            <w:vAlign w:val="center"/>
            <w:textDirection w:val="lrTb"/>
            <w:noWrap w:val="false"/>
          </w:tcPr>
          <w:p>
            <w:pPr>
              <w:pStyle w:val="1410"/>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序号</w:t>
            </w:r>
            <w:r/>
          </w:p>
        </w:tc>
        <w:tc>
          <w:tcPr>
            <w:tcMar>
              <w:left w:w="0" w:type="dxa"/>
              <w:top w:w="0" w:type="dxa"/>
              <w:right w:w="0" w:type="dxa"/>
              <w:bottom w:w="0" w:type="dxa"/>
            </w:tcMar>
            <w:tcW w:w="1146" w:type="pct"/>
            <w:vAlign w:val="center"/>
            <w:textDirection w:val="lrTb"/>
            <w:noWrap w:val="false"/>
          </w:tcPr>
          <w:p>
            <w:pPr>
              <w:pStyle w:val="1410"/>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项目</w:t>
            </w:r>
            <w:r/>
          </w:p>
        </w:tc>
        <w:tc>
          <w:tcPr>
            <w:tcMar>
              <w:left w:w="0" w:type="dxa"/>
              <w:top w:w="0" w:type="dxa"/>
              <w:right w:w="0" w:type="dxa"/>
              <w:bottom w:w="0" w:type="dxa"/>
            </w:tcMar>
            <w:tcW w:w="2125" w:type="pct"/>
            <w:vAlign w:val="center"/>
            <w:textDirection w:val="lrTb"/>
            <w:noWrap w:val="false"/>
          </w:tcPr>
          <w:p>
            <w:pPr>
              <w:pStyle w:val="1410"/>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测算依据和测算式</w:t>
            </w:r>
            <w:r/>
          </w:p>
        </w:tc>
        <w:tc>
          <w:tcPr>
            <w:tcMar>
              <w:left w:w="0" w:type="dxa"/>
              <w:top w:w="0" w:type="dxa"/>
              <w:right w:w="0" w:type="dxa"/>
              <w:bottom w:w="0" w:type="dxa"/>
            </w:tcMar>
            <w:tcW w:w="444" w:type="pct"/>
            <w:vAlign w:val="center"/>
            <w:textDirection w:val="lrTb"/>
            <w:noWrap w:val="false"/>
          </w:tcPr>
          <w:p>
            <w:pPr>
              <w:pStyle w:val="1410"/>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444" w:type="pct"/>
            <w:vAlign w:val="center"/>
            <w:textDirection w:val="lrTb"/>
            <w:noWrap w:val="false"/>
          </w:tcPr>
          <w:p>
            <w:pPr>
              <w:pStyle w:val="1410"/>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481" w:type="pct"/>
            <w:vAlign w:val="center"/>
            <w:textDirection w:val="lrTb"/>
            <w:noWrap w:val="false"/>
          </w:tcPr>
          <w:p>
            <w:pPr>
              <w:pStyle w:val="1410"/>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备注</w:t>
            </w:r>
            <w:r/>
          </w:p>
        </w:tc>
      </w:tr>
      <w:tr>
        <w:trPr>
          <w:jc w:val="center"/>
          <w:trHeight w:val="567"/>
        </w:trPr>
        <w:tc>
          <w:tcPr>
            <w:tcMar>
              <w:left w:w="0" w:type="dxa"/>
              <w:top w:w="0" w:type="dxa"/>
              <w:right w:w="0" w:type="dxa"/>
              <w:bottom w:w="0" w:type="dxa"/>
            </w:tcMar>
            <w:tcW w:w="356"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t xml:space="preserve">1</w:t>
            </w:r>
            <w:r/>
          </w:p>
        </w:tc>
        <w:tc>
          <w:tcPr>
            <w:tcMar>
              <w:left w:w="0" w:type="dxa"/>
              <w:top w:w="0" w:type="dxa"/>
              <w:right w:w="0" w:type="dxa"/>
              <w:bottom w:w="0" w:type="dxa"/>
            </w:tcMar>
            <w:tcW w:w="1146"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125"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444"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444"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481"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356"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146"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125"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444"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444"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481"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356"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146"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125"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444"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444"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481"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356"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146"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2125"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444"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444"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481"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gridSpan w:val="3"/>
            <w:tcMar>
              <w:left w:w="0" w:type="dxa"/>
              <w:top w:w="0" w:type="dxa"/>
              <w:right w:w="0" w:type="dxa"/>
              <w:bottom w:w="0" w:type="dxa"/>
            </w:tcMar>
            <w:tcW w:w="3628" w:type="pct"/>
            <w:vAlign w:val="center"/>
            <w:textDirection w:val="lrTb"/>
            <w:noWrap w:val="false"/>
          </w:tcPr>
          <w:p>
            <w:pPr>
              <w:pStyle w:val="1410"/>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合计（元）</w:t>
            </w:r>
            <w:r/>
          </w:p>
        </w:tc>
        <w:tc>
          <w:tcPr>
            <w:tcMar>
              <w:left w:w="0" w:type="dxa"/>
              <w:top w:w="0" w:type="dxa"/>
              <w:right w:w="0" w:type="dxa"/>
              <w:bottom w:w="0" w:type="dxa"/>
            </w:tcMar>
            <w:tcW w:w="444" w:type="pct"/>
            <w:vAlign w:val="center"/>
            <w:textDirection w:val="lrTb"/>
            <w:noWrap w:val="false"/>
          </w:tcPr>
          <w:p>
            <w:pPr>
              <w:pStyle w:val="1410"/>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444" w:type="pct"/>
            <w:vAlign w:val="center"/>
            <w:textDirection w:val="lrTb"/>
            <w:noWrap w:val="false"/>
          </w:tcPr>
          <w:p>
            <w:pPr>
              <w:pStyle w:val="1410"/>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481" w:type="pct"/>
            <w:vAlign w:val="center"/>
            <w:textDirection w:val="lrTb"/>
            <w:noWrap w:val="false"/>
          </w:tcPr>
          <w:p>
            <w:pPr>
              <w:pStyle w:val="1410"/>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bl>
    <w:p>
      <w:pPr>
        <w:pStyle w:val="1408"/>
        <w:ind w:firstLine="480"/>
        <w:keepLines w:val="0"/>
        <w:keepNext w:val="0"/>
        <w:pageBreakBefore w:val="0"/>
        <w:spacing w:before="240" w:after="240"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注：以上表格必须如实提供，内容表述不全的可自行调整或添加。此表的合计金额应与开标一览表相符，如有不符，以开标一览表为准。</w:t>
      </w:r>
      <w:r/>
    </w:p>
    <w:p>
      <w:pPr>
        <w:pStyle w:val="1411"/>
        <w:jc w:val="left"/>
        <w:shd w:val="clear" w:color="auto" w:fill="auto"/>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br w:type="page" w:clear="all"/>
      </w:r>
      <w:bookmarkStart w:id="254" w:name="_Toc17337"/>
      <w:r/>
      <w:bookmarkStart w:id="255" w:name="_Toc5493"/>
      <w:r>
        <w:rPr>
          <w:rStyle w:val="1358"/>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 xml:space="preserve">五</w:t>
      </w:r>
      <w:r>
        <w:rPr>
          <w:rStyle w:val="1358"/>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、第四章项目需求中实质性要求响应对照表</w:t>
      </w:r>
      <w:bookmarkEnd w:id="254"/>
      <w:r/>
      <w:bookmarkEnd w:id="255"/>
      <w:r/>
      <w:r/>
    </w:p>
    <w:p>
      <w:pPr>
        <w:pStyle w:val="1392"/>
        <w:jc w:val="center"/>
        <w:keepLines w:val="0"/>
        <w:keepNext w:val="0"/>
        <w:pageBreakBefore w:val="0"/>
        <w:spacing w:before="567" w:after="567" w:line="240" w:lineRule="auto"/>
        <w:shd w:val="clear" w:color="auto" w:fill="auto"/>
        <w:widowControl/>
        <w:rPr>
          <w:rStyle w:val="1358"/>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1358"/>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第四章项目需求中实质性要求响应对照表</w:t>
      </w:r>
      <w:r/>
    </w:p>
    <w:tbl>
      <w:tblPr>
        <w:tblStyle w:val="117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2"/>
        <w:gridCol w:w="6359"/>
        <w:gridCol w:w="2433"/>
      </w:tblGrid>
      <w:tr>
        <w:trPr>
          <w:trHeight w:val="567"/>
        </w:trPr>
        <w:tc>
          <w:tcPr>
            <w:tcMar>
              <w:left w:w="0" w:type="dxa"/>
              <w:top w:w="0" w:type="dxa"/>
              <w:right w:w="0" w:type="dxa"/>
              <w:bottom w:w="0" w:type="dxa"/>
            </w:tcMar>
            <w:tcW w:w="493" w:type="pct"/>
            <w:vAlign w:val="center"/>
            <w:textDirection w:val="lrTb"/>
            <w:noWrap w:val="false"/>
          </w:tcPr>
          <w:p>
            <w:pPr>
              <w:pStyle w:val="1412"/>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序号</w:t>
            </w:r>
            <w:r/>
          </w:p>
        </w:tc>
        <w:tc>
          <w:tcPr>
            <w:tcMar>
              <w:left w:w="0" w:type="dxa"/>
              <w:top w:w="0" w:type="dxa"/>
              <w:right w:w="0" w:type="dxa"/>
              <w:bottom w:w="0" w:type="dxa"/>
            </w:tcMar>
            <w:tcW w:w="3259" w:type="pct"/>
            <w:vAlign w:val="center"/>
            <w:textDirection w:val="lrTb"/>
            <w:noWrap w:val="false"/>
          </w:tcPr>
          <w:p>
            <w:pPr>
              <w:pStyle w:val="1412"/>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第四章项目需求中的实质性要求</w:t>
            </w:r>
            <w:r/>
          </w:p>
          <w:p>
            <w:pPr>
              <w:pStyle w:val="1412"/>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（即斜体且有下划线部分，每条详细列出）</w:t>
            </w:r>
            <w:r/>
          </w:p>
        </w:tc>
        <w:tc>
          <w:tcPr>
            <w:tcMar>
              <w:left w:w="0" w:type="dxa"/>
              <w:top w:w="0" w:type="dxa"/>
              <w:right w:w="0" w:type="dxa"/>
              <w:bottom w:w="0" w:type="dxa"/>
            </w:tcMar>
            <w:tcW w:w="1247" w:type="pct"/>
            <w:vAlign w:val="center"/>
            <w:textDirection w:val="lrTb"/>
            <w:noWrap w:val="false"/>
          </w:tcPr>
          <w:p>
            <w:pPr>
              <w:pStyle w:val="1412"/>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是否响应</w:t>
            </w:r>
            <w:r/>
          </w:p>
          <w:p>
            <w:pPr>
              <w:pStyle w:val="1412"/>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（填是或者否）</w:t>
            </w:r>
            <w:r/>
          </w:p>
        </w:tc>
      </w:tr>
      <w:tr>
        <w:trPr>
          <w:trHeight w:val="567"/>
        </w:trPr>
        <w:tc>
          <w:tcPr>
            <w:tcMar>
              <w:left w:w="0" w:type="dxa"/>
              <w:top w:w="0" w:type="dxa"/>
              <w:right w:w="0" w:type="dxa"/>
              <w:bottom w:w="0" w:type="dxa"/>
            </w:tcMar>
            <w:tcW w:w="493" w:type="pct"/>
            <w:vAlign w:val="center"/>
            <w:textDirection w:val="lrTb"/>
            <w:noWrap w:val="false"/>
          </w:tcPr>
          <w:p>
            <w:pPr>
              <w:pStyle w:val="1412"/>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3259" w:type="pct"/>
            <w:vAlign w:val="center"/>
            <w:textDirection w:val="lrTb"/>
            <w:noWrap w:val="false"/>
          </w:tcPr>
          <w:p>
            <w:pPr>
              <w:pStyle w:val="1412"/>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7" w:type="pct"/>
            <w:vAlign w:val="center"/>
            <w:textDirection w:val="lrTb"/>
            <w:noWrap w:val="false"/>
          </w:tcPr>
          <w:p>
            <w:pPr>
              <w:pStyle w:val="1412"/>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493" w:type="pct"/>
            <w:vAlign w:val="center"/>
            <w:textDirection w:val="lrTb"/>
            <w:noWrap w:val="false"/>
          </w:tcPr>
          <w:p>
            <w:pPr>
              <w:pStyle w:val="1412"/>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3259" w:type="pct"/>
            <w:vAlign w:val="center"/>
            <w:textDirection w:val="lrTb"/>
            <w:noWrap w:val="false"/>
          </w:tcPr>
          <w:p>
            <w:pPr>
              <w:pStyle w:val="1412"/>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7" w:type="pct"/>
            <w:vAlign w:val="center"/>
            <w:textDirection w:val="lrTb"/>
            <w:noWrap w:val="false"/>
          </w:tcPr>
          <w:p>
            <w:pPr>
              <w:pStyle w:val="1412"/>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493" w:type="pct"/>
            <w:vAlign w:val="center"/>
            <w:textDirection w:val="lrTb"/>
            <w:noWrap w:val="false"/>
          </w:tcPr>
          <w:p>
            <w:pPr>
              <w:pStyle w:val="1412"/>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3259" w:type="pct"/>
            <w:vAlign w:val="center"/>
            <w:textDirection w:val="lrTb"/>
            <w:noWrap w:val="false"/>
          </w:tcPr>
          <w:p>
            <w:pPr>
              <w:pStyle w:val="1412"/>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7" w:type="pct"/>
            <w:vAlign w:val="center"/>
            <w:textDirection w:val="lrTb"/>
            <w:noWrap w:val="false"/>
          </w:tcPr>
          <w:p>
            <w:pPr>
              <w:pStyle w:val="1412"/>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493" w:type="pct"/>
            <w:vAlign w:val="center"/>
            <w:textDirection w:val="lrTb"/>
            <w:noWrap w:val="false"/>
          </w:tcPr>
          <w:p>
            <w:pPr>
              <w:pStyle w:val="1412"/>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3259" w:type="pct"/>
            <w:vAlign w:val="center"/>
            <w:textDirection w:val="lrTb"/>
            <w:noWrap w:val="false"/>
          </w:tcPr>
          <w:p>
            <w:pPr>
              <w:pStyle w:val="1412"/>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7" w:type="pct"/>
            <w:vAlign w:val="center"/>
            <w:textDirection w:val="lrTb"/>
            <w:noWrap w:val="false"/>
          </w:tcPr>
          <w:p>
            <w:pPr>
              <w:pStyle w:val="1412"/>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493" w:type="pct"/>
            <w:vAlign w:val="center"/>
            <w:textDirection w:val="lrTb"/>
            <w:noWrap w:val="false"/>
          </w:tcPr>
          <w:p>
            <w:pPr>
              <w:pStyle w:val="1412"/>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3259" w:type="pct"/>
            <w:vAlign w:val="center"/>
            <w:textDirection w:val="lrTb"/>
            <w:noWrap w:val="false"/>
          </w:tcPr>
          <w:p>
            <w:pPr>
              <w:pStyle w:val="1412"/>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7" w:type="pct"/>
            <w:vAlign w:val="center"/>
            <w:textDirection w:val="lrTb"/>
            <w:noWrap w:val="false"/>
          </w:tcPr>
          <w:p>
            <w:pPr>
              <w:pStyle w:val="1412"/>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493" w:type="pct"/>
            <w:vAlign w:val="center"/>
            <w:textDirection w:val="lrTb"/>
            <w:noWrap w:val="false"/>
          </w:tcPr>
          <w:p>
            <w:pPr>
              <w:pStyle w:val="1412"/>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3259" w:type="pct"/>
            <w:vAlign w:val="center"/>
            <w:textDirection w:val="lrTb"/>
            <w:noWrap w:val="false"/>
          </w:tcPr>
          <w:p>
            <w:pPr>
              <w:pStyle w:val="1412"/>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7" w:type="pct"/>
            <w:vAlign w:val="center"/>
            <w:textDirection w:val="lrTb"/>
            <w:noWrap w:val="false"/>
          </w:tcPr>
          <w:p>
            <w:pPr>
              <w:pStyle w:val="1412"/>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bl>
    <w:p>
      <w:pPr>
        <w:pStyle w:val="1412"/>
        <w:shd w:val="clear" w:color="auto" w:fill="auto"/>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13"/>
        <w:jc w:val="left"/>
        <w:shd w:val="clear" w:color="auto" w:fill="auto"/>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br w:type="page" w:clear="all"/>
      </w:r>
      <w:bookmarkStart w:id="256" w:name="_Toc11261"/>
      <w:r/>
      <w:bookmarkStart w:id="257" w:name="_Toc19964"/>
      <w:r>
        <w:rPr>
          <w:rStyle w:val="1358"/>
          <w:rFonts w:hint="eastAsia" w:ascii="宋体" w:hAnsi="宋体" w:eastAsia="宋体" w:cs="宋体"/>
          <w:b/>
          <w:caps w:val="0"/>
          <w:smallCaps w:val="0"/>
          <w:color w:val="000000" w:themeColor="text1"/>
          <w:spacing w:val="0"/>
          <w:sz w:val="32"/>
          <w:szCs w:val="24"/>
          <w:highlight w:val="none"/>
          <w:shd w:val="clear" w:color="auto" w:fill="auto"/>
          <w:lang w:val="en-US" w:eastAsia="zh-CN"/>
          <w14:textFill>
            <w14:solidFill>
              <w14:schemeClr w14:val="tx1"/>
            </w14:solidFill>
          </w14:textFill>
        </w:rPr>
        <w:t xml:space="preserve">六</w:t>
      </w:r>
      <w:r>
        <w:rPr>
          <w:rStyle w:val="1358"/>
          <w:rFonts w:hint="eastAsia" w:ascii="宋体" w:hAnsi="宋体" w:eastAsia="宋体" w:cs="宋体"/>
          <w:b/>
          <w:caps w:val="0"/>
          <w:smallCaps w:val="0"/>
          <w:color w:val="000000" w:themeColor="text1"/>
          <w:spacing w:val="0"/>
          <w:sz w:val="32"/>
          <w:szCs w:val="24"/>
          <w:highlight w:val="none"/>
          <w:shd w:val="clear" w:color="auto" w:fill="auto"/>
          <w14:textFill>
            <w14:solidFill>
              <w14:schemeClr w14:val="tx1"/>
            </w14:solidFill>
          </w14:textFill>
        </w:rPr>
        <w:t xml:space="preserve">、服务方案</w:t>
      </w:r>
      <w:bookmarkEnd w:id="256"/>
      <w:r/>
      <w:bookmarkEnd w:id="257"/>
      <w:r/>
      <w:r/>
    </w:p>
    <w:p>
      <w:pPr>
        <w:pStyle w:val="1392"/>
        <w:jc w:val="center"/>
        <w:keepLines w:val="0"/>
        <w:keepNext w:val="0"/>
        <w:pageBreakBefore w:val="0"/>
        <w:spacing w:before="567" w:after="567" w:line="240" w:lineRule="auto"/>
        <w:shd w:val="clear" w:color="auto" w:fill="auto"/>
        <w:widowControl/>
        <w:rPr>
          <w:rStyle w:val="1358"/>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bookmarkStart w:id="258" w:name="_Toc43285583"/>
      <w:r/>
      <w:bookmarkStart w:id="259" w:name="_Toc35266041"/>
      <w:r>
        <w:rPr>
          <w:rStyle w:val="1358"/>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 xml:space="preserve">服务方案</w:t>
      </w:r>
      <w:bookmarkEnd w:id="258"/>
      <w:r/>
      <w:bookmarkEnd w:id="259"/>
      <w:r/>
      <w:r/>
    </w:p>
    <w:p>
      <w:pPr>
        <w:pStyle w:val="1414"/>
        <w:jc w:val="center"/>
        <w:keepLines w:val="0"/>
        <w:keepNext w:val="0"/>
        <w:pageBreakBefore w:val="0"/>
        <w:spacing w:line="520" w:lineRule="exact"/>
        <w:shd w:val="clear" w:color="auto" w:fill="auto"/>
        <w:widowControl w:val="off"/>
        <w:rPr>
          <w:rStyle w:val="1358"/>
          <w:rFonts w:hint="eastAsia" w:ascii="宋体" w:hAnsi="宋体" w:eastAsia="宋体" w:cs="宋体"/>
          <w:caps w:val="0"/>
          <w:smallCaps w:val="0"/>
          <w:color w:val="000000" w:themeColor="text1"/>
          <w:spacing w:val="0"/>
          <w:sz w:val="24"/>
          <w:szCs w:val="21"/>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sz w:val="24"/>
          <w:szCs w:val="21"/>
          <w:highlight w:val="none"/>
          <w:shd w:val="clear" w:color="auto" w:fill="auto"/>
          <w14:textFill>
            <w14:solidFill>
              <w14:schemeClr w14:val="tx1"/>
            </w14:solidFill>
          </w14:textFill>
        </w:rPr>
        <w:t xml:space="preserve">（服务方案的内容编排等由投标人自定）</w:t>
      </w:r>
      <w:r/>
    </w:p>
    <w:p>
      <w:pPr>
        <w:pStyle w:val="1416"/>
        <w:jc w:val="left"/>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16"/>
        <w:jc w:val="left"/>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16"/>
        <w:jc w:val="left"/>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br w:type="page" w:clear="all"/>
      </w:r>
      <w:bookmarkStart w:id="260" w:name="_Toc29190"/>
      <w:r/>
      <w:bookmarkStart w:id="261" w:name="_Toc12415"/>
      <w:r>
        <w:rPr>
          <w:rStyle w:val="1358"/>
          <w:rFonts w:hint="eastAsia" w:ascii="宋体" w:hAnsi="宋体" w:eastAsia="宋体" w:cs="宋体"/>
          <w:b/>
          <w:caps w:val="0"/>
          <w:smallCaps w:val="0"/>
          <w:color w:val="000000" w:themeColor="text1"/>
          <w:spacing w:val="0"/>
          <w:sz w:val="32"/>
          <w:szCs w:val="24"/>
          <w:highlight w:val="none"/>
          <w:shd w:val="clear" w:color="auto" w:fill="auto"/>
          <w:lang w:val="en-US" w:eastAsia="zh-CN"/>
          <w14:textFill>
            <w14:solidFill>
              <w14:schemeClr w14:val="tx1"/>
            </w14:solidFill>
          </w14:textFill>
        </w:rPr>
        <w:t xml:space="preserve">七</w:t>
      </w:r>
      <w:r>
        <w:rPr>
          <w:rStyle w:val="1358"/>
          <w:rFonts w:hint="eastAsia" w:ascii="宋体" w:hAnsi="宋体" w:eastAsia="宋体" w:cs="宋体"/>
          <w:b/>
          <w:caps w:val="0"/>
          <w:smallCaps w:val="0"/>
          <w:color w:val="000000" w:themeColor="text1"/>
          <w:spacing w:val="0"/>
          <w:sz w:val="32"/>
          <w:szCs w:val="24"/>
          <w:highlight w:val="none"/>
          <w:shd w:val="clear" w:color="auto" w:fill="auto"/>
          <w14:textFill>
            <w14:solidFill>
              <w14:schemeClr w14:val="tx1"/>
            </w14:solidFill>
          </w14:textFill>
        </w:rPr>
        <w:t xml:space="preserve">、投标人情况介绍</w:t>
      </w:r>
      <w:bookmarkEnd w:id="260"/>
      <w:r/>
      <w:bookmarkEnd w:id="261"/>
      <w:r/>
      <w:r/>
    </w:p>
    <w:p>
      <w:pPr>
        <w:pStyle w:val="1401"/>
        <w:jc w:val="center"/>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01"/>
        <w:jc w:val="center"/>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01"/>
        <w:jc w:val="center"/>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17"/>
        <w:jc w:val="left"/>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2"/>
      </w:pPr>
      <w:r>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br w:type="page" w:clear="all"/>
      </w:r>
      <w:r>
        <w:rPr>
          <w:rStyle w:val="1358"/>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投标人拥有的设施设备情况</w:t>
      </w:r>
      <w:r/>
    </w:p>
    <w:p>
      <w:pPr>
        <w:pStyle w:val="1392"/>
        <w:jc w:val="center"/>
        <w:keepLines w:val="0"/>
        <w:keepNext w:val="0"/>
        <w:pageBreakBefore w:val="0"/>
        <w:spacing w:before="567" w:after="567" w:line="520" w:lineRule="exact"/>
        <w:shd w:val="clear" w:color="auto" w:fill="auto"/>
        <w:widowControl/>
        <w:rPr>
          <w:rStyle w:val="1358"/>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1358"/>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投标人拥有的设施设备情况（若有的话）</w:t>
      </w:r>
      <w:r/>
    </w:p>
    <w:p>
      <w:pPr>
        <w:pStyle w:val="1392"/>
        <w:jc w:val="center"/>
        <w:keepLines w:val="0"/>
        <w:keepNext w:val="0"/>
        <w:pageBreakBefore w:val="0"/>
        <w:spacing w:before="567" w:after="567" w:line="520" w:lineRule="exact"/>
        <w:shd w:val="clear" w:color="auto" w:fill="auto"/>
        <w:widowControl/>
        <w:rPr>
          <w:rStyle w:val="1358"/>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r>
      <w:r/>
    </w:p>
    <w:p>
      <w:pPr>
        <w:pStyle w:val="1401"/>
        <w:jc w:val="both"/>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01"/>
        <w:jc w:val="center"/>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sectPr>
          <w:headerReference w:type="default" r:id="rId22"/>
          <w:headerReference w:type="first" r:id="rId23"/>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418"/>
        <w:jc w:val="left"/>
        <w:keepLines w:val="0"/>
        <w:keepNext w:val="0"/>
        <w:pageBreakBefore w:val="0"/>
        <w:spacing w:line="520" w:lineRule="exact"/>
        <w:shd w:val="clear" w:color="auto" w:fill="auto"/>
        <w:widowControl/>
        <w:rPr>
          <w:rStyle w:val="1358"/>
          <w:rFonts w:hint="default" w:ascii="宋体" w:hAnsi="宋体" w:eastAsia="宋体" w:cs="宋体"/>
          <w:b/>
          <w:caps w:val="0"/>
          <w:smallCaps w:val="0"/>
          <w:color w:val="000000" w:themeColor="text1"/>
          <w:spacing w:val="0"/>
          <w:sz w:val="28"/>
          <w:highlight w:val="none"/>
          <w:shd w:val="clear" w:color="auto" w:fill="auto"/>
          <w:lang w:val="en-US" w:eastAsia="zh-CN"/>
          <w14:textFill>
            <w14:solidFill>
              <w14:schemeClr w14:val="tx1"/>
            </w14:solidFill>
          </w14:textFill>
        </w:rPr>
        <w:outlineLvl w:val="2"/>
      </w:pPr>
      <w:r>
        <w:rPr>
          <w:rStyle w:val="1358"/>
          <w:rFonts w:hint="eastAsia" w:ascii="宋体" w:hAnsi="宋体" w:eastAsia="宋体" w:cs="宋体"/>
          <w:b/>
          <w:caps w:val="0"/>
          <w:smallCaps w:val="0"/>
          <w:color w:val="000000" w:themeColor="text1"/>
          <w:spacing w:val="0"/>
          <w:sz w:val="28"/>
          <w:highlight w:val="none"/>
          <w:shd w:val="clear" w:color="auto" w:fill="auto"/>
          <w:lang w:val="en-US" w:eastAsia="zh-CN"/>
          <w14:textFill>
            <w14:solidFill>
              <w14:schemeClr w14:val="tx1"/>
            </w14:solidFill>
          </w14:textFill>
        </w:rPr>
        <w:t xml:space="preserve">项目负责人及其他人员介绍</w:t>
      </w:r>
      <w:r/>
    </w:p>
    <w:p>
      <w:pPr>
        <w:pStyle w:val="1392"/>
        <w:jc w:val="center"/>
        <w:keepLines w:val="0"/>
        <w:keepNext w:val="0"/>
        <w:pageBreakBefore w:val="0"/>
        <w:spacing w:before="567" w:after="567" w:line="520" w:lineRule="exact"/>
        <w:shd w:val="clear" w:color="auto" w:fill="auto"/>
        <w:widowControl/>
        <w:rPr>
          <w:rStyle w:val="1358"/>
          <w:rFonts w:hint="eastAsia" w:ascii="宋体" w:hAnsi="宋体" w:eastAsia="宋体" w:cs="宋体"/>
          <w:b/>
          <w:caps w:val="0"/>
          <w:smallCaps w:val="0"/>
          <w:color w:val="000000" w:themeColor="text1"/>
          <w:spacing w:val="0"/>
          <w:sz w:val="28"/>
          <w:highlight w:val="none"/>
          <w:shd w:val="clear" w:color="auto" w:fill="auto"/>
          <w:lang w:val="en-US" w:eastAsia="zh-CN"/>
          <w14:textFill>
            <w14:solidFill>
              <w14:schemeClr w14:val="tx1"/>
            </w14:solidFill>
          </w14:textFill>
        </w:rPr>
      </w:pPr>
      <w:r>
        <w:rPr>
          <w:rStyle w:val="1358"/>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项目负责人及其他人员介绍</w:t>
      </w:r>
      <w:r/>
    </w:p>
    <w:tbl>
      <w:tblPr>
        <w:tblStyle w:val="1173"/>
        <w:tblW w:w="14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70"/>
        <w:gridCol w:w="673"/>
        <w:gridCol w:w="602"/>
        <w:gridCol w:w="1275"/>
        <w:gridCol w:w="1061"/>
        <w:gridCol w:w="1322"/>
        <w:gridCol w:w="708"/>
        <w:gridCol w:w="708"/>
        <w:gridCol w:w="1854"/>
        <w:gridCol w:w="2472"/>
        <w:gridCol w:w="1080"/>
        <w:gridCol w:w="945"/>
      </w:tblGrid>
      <w:tr>
        <w:trPr>
          <w:jc w:val="center"/>
          <w:trHeight w:val="567"/>
        </w:trPr>
        <w:tc>
          <w:tcPr>
            <w:tcW w:w="703"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1270"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姓名</w:t>
            </w:r>
            <w:r/>
          </w:p>
        </w:tc>
        <w:tc>
          <w:tcPr>
            <w:tcW w:w="673"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性别</w:t>
            </w:r>
            <w:r/>
          </w:p>
        </w:tc>
        <w:tc>
          <w:tcPr>
            <w:tcW w:w="602"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年龄</w:t>
            </w:r>
            <w:r/>
          </w:p>
        </w:tc>
        <w:tc>
          <w:tcPr>
            <w:tcW w:w="1275"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文化程度</w:t>
            </w:r>
            <w:r/>
          </w:p>
        </w:tc>
        <w:tc>
          <w:tcPr>
            <w:tcW w:w="1061"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专业</w:t>
            </w:r>
            <w:r/>
          </w:p>
        </w:tc>
        <w:tc>
          <w:tcPr>
            <w:tcW w:w="1322"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技术职称</w:t>
            </w:r>
            <w:r/>
          </w:p>
        </w:tc>
        <w:tc>
          <w:tcPr>
            <w:gridSpan w:val="2"/>
            <w:tcW w:w="1416"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资格证书</w:t>
            </w:r>
            <w:r/>
          </w:p>
        </w:tc>
        <w:tc>
          <w:tcPr>
            <w:tcW w:w="1854"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人事隶属关系</w:t>
            </w:r>
            <w:r/>
          </w:p>
        </w:tc>
        <w:tc>
          <w:tcPr>
            <w:tcW w:w="2472"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主要资历、经验及承担过的管理项目</w:t>
            </w:r>
            <w:r/>
          </w:p>
        </w:tc>
        <w:tc>
          <w:tcPr>
            <w:tcW w:w="1080"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本项目拟担任的职务</w:t>
            </w:r>
            <w:r/>
          </w:p>
        </w:tc>
        <w:tc>
          <w:tcPr>
            <w:tcW w:w="945"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备注</w:t>
            </w:r>
            <w:r/>
          </w:p>
        </w:tc>
      </w:tr>
      <w:tr>
        <w:trPr>
          <w:jc w:val="center"/>
          <w:trHeight w:val="567"/>
        </w:trPr>
        <w:tc>
          <w:tcPr>
            <w:tcW w:w="703"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0"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3"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2"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1"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22"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类别</w:t>
            </w:r>
            <w:r/>
          </w:p>
        </w:tc>
        <w:tc>
          <w:tcPr>
            <w:tcW w:w="708"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编号</w:t>
            </w:r>
            <w:r/>
          </w:p>
        </w:tc>
        <w:tc>
          <w:tcPr>
            <w:tcW w:w="1854"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72"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18"/>
        </w:trPr>
        <w:tc>
          <w:tcPr>
            <w:tcW w:w="70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27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2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5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48"/>
        </w:trPr>
        <w:tc>
          <w:tcPr>
            <w:tcW w:w="70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27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2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5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95"/>
        </w:trPr>
        <w:tc>
          <w:tcPr>
            <w:tcW w:w="70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27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2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5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13"/>
        </w:trPr>
        <w:tc>
          <w:tcPr>
            <w:tcW w:w="70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27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2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5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480"/>
        <w:jc w:val="left"/>
        <w:spacing w:line="52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注：</w:t>
      </w:r>
      <w:r/>
    </w:p>
    <w:p>
      <w:pPr>
        <w:ind w:firstLine="480"/>
        <w:jc w:val="left"/>
        <w:spacing w:line="52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1．资格证书类别一栏按资格证书、岗位证书、培训证书填写。</w:t>
      </w:r>
      <w:r/>
    </w:p>
    <w:p>
      <w:pPr>
        <w:ind w:firstLine="480"/>
        <w:jc w:val="left"/>
        <w:spacing w:line="52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2．提供人员相关证书、</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社保或</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劳动合同</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，条目不限于此，可自行添加。</w:t>
      </w:r>
      <w:r/>
    </w:p>
    <w:p>
      <w:pPr>
        <w:pStyle w:val="1418"/>
        <w:jc w:val="left"/>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highlight w:val="none"/>
          <w:shd w:val="clear" w:color="auto" w:fill="auto"/>
          <w:lang w:val="en-US" w:eastAsia="zh-CN"/>
          <w14:textFill>
            <w14:solidFill>
              <w14:schemeClr w14:val="tx1"/>
            </w14:solidFill>
          </w14:textFill>
        </w:rPr>
        <w:outlineLvl w:val="2"/>
      </w:pPr>
      <w:r>
        <w:rPr>
          <w:rFonts w:hint="eastAsia" w:ascii="宋体" w:hAnsi="宋体" w:eastAsia="宋体" w:cs="宋体"/>
          <w:caps w:val="0"/>
          <w:smallCaps w:val="0"/>
          <w:color w:val="000000" w:themeColor="text1"/>
          <w:spacing w:val="0"/>
          <w:highlight w:val="none"/>
          <w:shd w:val="clear" w:color="auto" w:fill="auto"/>
          <w:lang w:val="en-US" w:eastAsia="zh-CN"/>
          <w14:textFill>
            <w14:solidFill>
              <w14:schemeClr w14:val="tx1"/>
            </w14:solidFill>
          </w14:textFill>
        </w:rPr>
      </w:r>
      <w:r/>
    </w:p>
    <w:p>
      <w:pPr>
        <w:pStyle w:val="1418"/>
        <w:jc w:val="left"/>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highlight w:val="none"/>
          <w:shd w:val="clear" w:color="auto" w:fill="auto"/>
          <w:lang w:val="en-US" w:eastAsia="zh-CN"/>
          <w14:textFill>
            <w14:solidFill>
              <w14:schemeClr w14:val="tx1"/>
            </w14:solidFill>
          </w14:textFill>
        </w:rPr>
        <w:sectPr>
          <w:footnotePr/>
          <w:endnotePr/>
          <w:type w:val="nextPage"/>
          <w:pgSz w:w="16838" w:h="11906" w:orient="landscape"/>
          <w:pgMar w:top="1440" w:right="1080" w:bottom="1440" w:left="1080" w:header="851" w:footer="992" w:gutter="0"/>
          <w:cols w:num="1" w:sep="0" w:space="1701" w:equalWidth="1"/>
          <w:docGrid w:linePitch="360"/>
          <w:titlePg/>
        </w:sectPr>
        <w:outlineLvl w:val="2"/>
      </w:pPr>
      <w:r>
        <w:rPr>
          <w:rFonts w:hint="eastAsia" w:ascii="宋体" w:hAnsi="宋体" w:eastAsia="宋体" w:cs="宋体"/>
          <w:caps w:val="0"/>
          <w:smallCaps w:val="0"/>
          <w:color w:val="000000" w:themeColor="text1"/>
          <w:spacing w:val="0"/>
          <w:highlight w:val="none"/>
          <w:shd w:val="clear" w:color="auto" w:fill="auto"/>
          <w:lang w:val="en-US" w:eastAsia="zh-CN"/>
          <w14:textFill>
            <w14:solidFill>
              <w14:schemeClr w14:val="tx1"/>
            </w14:solidFill>
          </w14:textFill>
        </w:rPr>
      </w:r>
      <w:r/>
    </w:p>
    <w:p>
      <w:pPr>
        <w:pStyle w:val="1418"/>
        <w:jc w:val="left"/>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2"/>
      </w:pPr>
      <w:r>
        <w:rPr>
          <w:rStyle w:val="1358"/>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类似业绩一览表</w:t>
      </w:r>
      <w:r/>
    </w:p>
    <w:p>
      <w:pPr>
        <w:pStyle w:val="1392"/>
        <w:jc w:val="center"/>
        <w:keepLines w:val="0"/>
        <w:keepNext w:val="0"/>
        <w:pageBreakBefore w:val="0"/>
        <w:spacing w:before="567" w:after="567" w:line="520" w:lineRule="exact"/>
        <w:shd w:val="clear" w:color="auto" w:fill="auto"/>
        <w:widowControl/>
        <w:rPr>
          <w:rStyle w:val="1358"/>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1358"/>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类似业绩一览表</w:t>
      </w:r>
      <w:r/>
    </w:p>
    <w:tbl>
      <w:tblPr>
        <w:tblStyle w:val="1173"/>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32"/>
        <w:gridCol w:w="2441"/>
        <w:gridCol w:w="3650"/>
        <w:gridCol w:w="2441"/>
      </w:tblGrid>
      <w:tr>
        <w:trPr>
          <w:jc w:val="center"/>
          <w:trHeight w:val="567"/>
        </w:trPr>
        <w:tc>
          <w:tcPr>
            <w:tcMar>
              <w:left w:w="0" w:type="dxa"/>
              <w:top w:w="0" w:type="dxa"/>
              <w:right w:w="0" w:type="dxa"/>
              <w:bottom w:w="0" w:type="dxa"/>
            </w:tcMar>
            <w:tcW w:w="631" w:type="pct"/>
            <w:vAlign w:val="center"/>
            <w:textDirection w:val="lrTb"/>
            <w:noWrap w:val="false"/>
          </w:tcPr>
          <w:p>
            <w:pPr>
              <w:pStyle w:val="1419"/>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序号</w:t>
            </w:r>
            <w:r/>
          </w:p>
        </w:tc>
        <w:tc>
          <w:tcPr>
            <w:tcMar>
              <w:left w:w="0" w:type="dxa"/>
              <w:top w:w="0" w:type="dxa"/>
              <w:right w:w="0" w:type="dxa"/>
              <w:bottom w:w="0" w:type="dxa"/>
            </w:tcMar>
            <w:tcW w:w="1249" w:type="pct"/>
            <w:vAlign w:val="center"/>
            <w:textDirection w:val="lrTb"/>
            <w:noWrap w:val="false"/>
          </w:tcPr>
          <w:p>
            <w:pPr>
              <w:pStyle w:val="1419"/>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项目名称</w:t>
            </w:r>
            <w:r/>
          </w:p>
        </w:tc>
        <w:tc>
          <w:tcPr>
            <w:tcMar>
              <w:left w:w="0" w:type="dxa"/>
              <w:top w:w="0" w:type="dxa"/>
              <w:right w:w="0" w:type="dxa"/>
              <w:bottom w:w="0" w:type="dxa"/>
            </w:tcMar>
            <w:tcW w:w="1868" w:type="pct"/>
            <w:vAlign w:val="center"/>
            <w:textDirection w:val="lrTb"/>
            <w:noWrap w:val="false"/>
          </w:tcPr>
          <w:p>
            <w:pPr>
              <w:pStyle w:val="1419"/>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合同期（天）</w:t>
            </w:r>
            <w:r/>
          </w:p>
        </w:tc>
        <w:tc>
          <w:tcPr>
            <w:tcMar>
              <w:left w:w="0" w:type="dxa"/>
              <w:top w:w="0" w:type="dxa"/>
              <w:right w:w="0" w:type="dxa"/>
              <w:bottom w:w="0" w:type="dxa"/>
            </w:tcMar>
            <w:tcW w:w="1249" w:type="pct"/>
            <w:vAlign w:val="center"/>
            <w:textDirection w:val="lrTb"/>
            <w:noWrap w:val="false"/>
          </w:tcPr>
          <w:p>
            <w:pPr>
              <w:pStyle w:val="1419"/>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合同金额</w:t>
            </w:r>
            <w:r/>
          </w:p>
        </w:tc>
      </w:tr>
      <w:tr>
        <w:trPr>
          <w:jc w:val="center"/>
          <w:trHeight w:val="567"/>
        </w:trPr>
        <w:tc>
          <w:tcPr>
            <w:tcMar>
              <w:left w:w="0" w:type="dxa"/>
              <w:top w:w="0" w:type="dxa"/>
              <w:right w:w="0" w:type="dxa"/>
              <w:bottom w:w="0" w:type="dxa"/>
            </w:tcMar>
            <w:tcW w:w="631"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bookmarkStart w:id="262" w:name="xh"/>
            <w:r/>
            <w:bookmarkEnd w:id="262"/>
            <w:r/>
            <w:r/>
          </w:p>
        </w:tc>
        <w:tc>
          <w:tcPr>
            <w:tcMar>
              <w:left w:w="0" w:type="dxa"/>
              <w:top w:w="0" w:type="dxa"/>
              <w:right w:w="0" w:type="dxa"/>
              <w:bottom w:w="0" w:type="dxa"/>
            </w:tcMar>
            <w:tcW w:w="1249"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bookmarkStart w:id="263" w:name="XmName"/>
            <w:r/>
            <w:bookmarkEnd w:id="263"/>
            <w:r/>
            <w:r/>
          </w:p>
        </w:tc>
        <w:tc>
          <w:tcPr>
            <w:tcMar>
              <w:left w:w="0" w:type="dxa"/>
              <w:top w:w="0" w:type="dxa"/>
              <w:right w:w="0" w:type="dxa"/>
              <w:bottom w:w="0" w:type="dxa"/>
            </w:tcMar>
            <w:tcW w:w="1868"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9"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bookmarkStart w:id="264" w:name="ZhongBiaoJia"/>
            <w:r/>
            <w:bookmarkEnd w:id="264"/>
            <w:r/>
            <w:r/>
          </w:p>
        </w:tc>
      </w:tr>
      <w:tr>
        <w:trPr>
          <w:jc w:val="center"/>
          <w:trHeight w:val="567"/>
        </w:trPr>
        <w:tc>
          <w:tcPr>
            <w:tcMar>
              <w:left w:w="0" w:type="dxa"/>
              <w:top w:w="0" w:type="dxa"/>
              <w:right w:w="0" w:type="dxa"/>
              <w:bottom w:w="0" w:type="dxa"/>
            </w:tcMar>
            <w:tcW w:w="631"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9"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68"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9"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9"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68"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9"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9"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68"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9"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9"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68"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9"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9"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868"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49" w:type="pct"/>
            <w:vAlign w:val="center"/>
            <w:textDirection w:val="lrTb"/>
            <w:noWrap w:val="false"/>
          </w:tcPr>
          <w:p>
            <w:pPr>
              <w:pStyle w:val="1419"/>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bl>
    <w:p>
      <w:pPr>
        <w:pStyle w:val="1419"/>
        <w:jc w:val="center"/>
        <w:spacing w:before="240" w:after="240"/>
        <w:shd w:val="clear" w:color="auto" w:fill="auto"/>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20"/>
        <w:jc w:val="left"/>
        <w:shd w:val="clear" w:color="auto" w:fill="auto"/>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2"/>
      </w:pPr>
      <w:r>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br w:type="page" w:clear="all"/>
      </w:r>
      <w:r>
        <w:rPr>
          <w:rStyle w:val="1358"/>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投标人获得的相关证书</w:t>
      </w:r>
      <w:r/>
    </w:p>
    <w:p>
      <w:pPr>
        <w:pStyle w:val="1392"/>
        <w:jc w:val="center"/>
        <w:keepLines w:val="0"/>
        <w:keepNext w:val="0"/>
        <w:pageBreakBefore w:val="0"/>
        <w:spacing w:before="567" w:after="567" w:line="520" w:lineRule="exact"/>
        <w:shd w:val="clear" w:color="auto" w:fill="auto"/>
        <w:widowControl/>
        <w:rPr>
          <w:rStyle w:val="1358"/>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1358"/>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各类证书（若有的话）</w:t>
      </w:r>
      <w:r/>
    </w:p>
    <w:p>
      <w:pPr>
        <w:pStyle w:val="1419"/>
        <w:jc w:val="center"/>
        <w:keepLines w:val="0"/>
        <w:keepNext w:val="0"/>
        <w:pageBreakBefore w:val="0"/>
        <w:spacing w:before="240" w:after="240"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r>
      <w:r/>
    </w:p>
    <w:p>
      <w:pPr>
        <w:pStyle w:val="1419"/>
        <w:jc w:val="center"/>
        <w:keepLines w:val="0"/>
        <w:keepNext w:val="0"/>
        <w:pageBreakBefore w:val="0"/>
        <w:spacing w:before="240" w:after="240"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19"/>
        <w:jc w:val="center"/>
        <w:keepLines w:val="0"/>
        <w:keepNext w:val="0"/>
        <w:pageBreakBefore w:val="0"/>
        <w:spacing w:before="240" w:after="240"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19"/>
        <w:jc w:val="center"/>
        <w:keepLines w:val="0"/>
        <w:keepNext w:val="0"/>
        <w:pageBreakBefore w:val="0"/>
        <w:spacing w:before="240" w:after="240"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21"/>
        <w:jc w:val="left"/>
        <w:shd w:val="clear" w:color="auto" w:fill="auto"/>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2"/>
      </w:pPr>
      <w:r>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br w:type="page" w:clear="all"/>
      </w:r>
      <w:r>
        <w:rPr>
          <w:rStyle w:val="1358"/>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 xml:space="preserve">投标人获得的相关奖项</w:t>
      </w:r>
      <w:r/>
    </w:p>
    <w:p>
      <w:pPr>
        <w:pStyle w:val="1392"/>
        <w:jc w:val="center"/>
        <w:keepLines w:val="0"/>
        <w:keepNext w:val="0"/>
        <w:pageBreakBefore w:val="0"/>
        <w:spacing w:before="567" w:after="567" w:line="520" w:lineRule="exact"/>
        <w:shd w:val="clear" w:color="auto" w:fill="auto"/>
        <w:widowControl/>
        <w:rPr>
          <w:rStyle w:val="1358"/>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1358"/>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各类奖项（若有的话）</w:t>
      </w:r>
      <w:r/>
    </w:p>
    <w:p>
      <w:pPr>
        <w:pStyle w:val="1419"/>
        <w:jc w:val="center"/>
        <w:keepLines w:val="0"/>
        <w:keepNext w:val="0"/>
        <w:pageBreakBefore w:val="0"/>
        <w:spacing w:before="240" w:after="240"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r>
      <w:r/>
    </w:p>
    <w:p>
      <w:pPr>
        <w:pStyle w:val="1419"/>
        <w:jc w:val="center"/>
        <w:keepLines w:val="0"/>
        <w:keepNext w:val="0"/>
        <w:pageBreakBefore w:val="0"/>
        <w:spacing w:before="240" w:after="240"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19"/>
        <w:jc w:val="center"/>
        <w:keepLines w:val="0"/>
        <w:keepNext w:val="0"/>
        <w:pageBreakBefore w:val="0"/>
        <w:spacing w:before="240" w:after="240"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19"/>
        <w:jc w:val="center"/>
        <w:keepLines w:val="0"/>
        <w:keepNext w:val="0"/>
        <w:pageBreakBefore w:val="0"/>
        <w:spacing w:before="240" w:after="240" w:line="520" w:lineRule="exact"/>
        <w:shd w:val="clear" w:color="auto" w:fill="auto"/>
        <w:widowControl/>
        <w:rPr>
          <w:rStyle w:val="1358"/>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pStyle w:val="1431"/>
        <w:keepLines w:val="0"/>
        <w:keepNext w:val="0"/>
        <w:pageBreakBefore w:val="0"/>
        <w:spacing w:before="240" w:after="240" w:line="520" w:lineRule="exact"/>
        <w:shd w:val="clear" w:color="auto" w:fill="auto"/>
        <w:widowControl/>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br w:type="page" w:clear="all"/>
      </w:r>
      <w:r/>
    </w:p>
    <w:p>
      <w:pPr>
        <w:pStyle w:val="1432"/>
        <w:jc w:val="left"/>
        <w:shd w:val="clear" w:color="auto" w:fill="auto"/>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outlineLvl w:val="1"/>
      </w:pPr>
      <w:r/>
      <w:bookmarkStart w:id="265" w:name="_Toc29532"/>
      <w:r/>
      <w:bookmarkStart w:id="266" w:name="_Toc285"/>
      <w:r>
        <w:rPr>
          <w:rStyle w:val="1358"/>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 xml:space="preserve">八</w:t>
      </w:r>
      <w:r>
        <w:rPr>
          <w:rStyle w:val="1358"/>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、技术</w:t>
      </w:r>
      <w:r>
        <w:rPr>
          <w:rStyle w:val="1358"/>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 xml:space="preserve">要求</w:t>
      </w:r>
      <w:r>
        <w:rPr>
          <w:rStyle w:val="1358"/>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 xml:space="preserve">响应及偏离表</w:t>
      </w:r>
      <w:bookmarkEnd w:id="265"/>
      <w:r/>
      <w:bookmarkEnd w:id="266"/>
      <w:r/>
      <w:r/>
    </w:p>
    <w:p>
      <w:pPr>
        <w:pStyle w:val="1392"/>
        <w:jc w:val="center"/>
        <w:keepLines w:val="0"/>
        <w:keepNext w:val="0"/>
        <w:pageBreakBefore w:val="0"/>
        <w:spacing w:before="567" w:after="567" w:line="520" w:lineRule="exact"/>
        <w:shd w:val="clear" w:color="auto" w:fill="auto"/>
        <w:widowControl/>
        <w:rPr>
          <w:rStyle w:val="1358"/>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1358"/>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技术要求响应及偏离表</w:t>
      </w:r>
      <w:r/>
    </w:p>
    <w:tbl>
      <w:tblPr>
        <w:tblStyle w:val="117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48"/>
        <w:gridCol w:w="2374"/>
        <w:gridCol w:w="2014"/>
        <w:gridCol w:w="1880"/>
        <w:gridCol w:w="1808"/>
        <w:gridCol w:w="1128"/>
      </w:tblGrid>
      <w:tr>
        <w:trPr>
          <w:trHeight w:val="567"/>
        </w:trPr>
        <w:tc>
          <w:tcPr>
            <w:tcMar>
              <w:left w:w="0" w:type="dxa"/>
              <w:top w:w="0" w:type="dxa"/>
              <w:right w:w="0" w:type="dxa"/>
              <w:bottom w:w="0" w:type="dxa"/>
            </w:tcMar>
            <w:tcW w:w="281" w:type="pct"/>
            <w:vAlign w:val="center"/>
            <w:textDirection w:val="lrTb"/>
            <w:noWrap w:val="false"/>
          </w:tcPr>
          <w:p>
            <w:pPr>
              <w:pStyle w:val="1433"/>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序号</w:t>
            </w:r>
            <w:r/>
          </w:p>
        </w:tc>
        <w:tc>
          <w:tcPr>
            <w:tcMar>
              <w:left w:w="0" w:type="dxa"/>
              <w:top w:w="0" w:type="dxa"/>
              <w:right w:w="0" w:type="dxa"/>
              <w:bottom w:w="0" w:type="dxa"/>
            </w:tcMar>
            <w:tcW w:w="1216" w:type="pct"/>
            <w:vAlign w:val="center"/>
            <w:textDirection w:val="lrTb"/>
            <w:noWrap w:val="false"/>
          </w:tcPr>
          <w:p>
            <w:pPr>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t xml:space="preserve">招标文件技术要求中的要求</w:t>
            </w:r>
            <w:r/>
          </w:p>
        </w:tc>
        <w:tc>
          <w:tcPr>
            <w:tcMar>
              <w:left w:w="0" w:type="dxa"/>
              <w:top w:w="0" w:type="dxa"/>
              <w:right w:w="0" w:type="dxa"/>
              <w:bottom w:w="0" w:type="dxa"/>
            </w:tcMar>
            <w:tcW w:w="1032" w:type="pct"/>
            <w:vAlign w:val="center"/>
            <w:textDirection w:val="lrTb"/>
            <w:noWrap w:val="false"/>
          </w:tcPr>
          <w:p>
            <w:pPr>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t xml:space="preserve">投标文件对应要求的服务承诺</w:t>
            </w:r>
            <w:r/>
          </w:p>
        </w:tc>
        <w:tc>
          <w:tcPr>
            <w:tcMar>
              <w:left w:w="0" w:type="dxa"/>
              <w:top w:w="0" w:type="dxa"/>
              <w:right w:w="0" w:type="dxa"/>
              <w:bottom w:w="0" w:type="dxa"/>
            </w:tcMar>
            <w:tcW w:w="963" w:type="pct"/>
            <w:vAlign w:val="center"/>
            <w:textDirection w:val="lrTb"/>
            <w:noWrap w:val="false"/>
          </w:tcPr>
          <w:p>
            <w:pPr>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t xml:space="preserve">有无偏离</w:t>
            </w:r>
            <w:r/>
          </w:p>
        </w:tc>
        <w:tc>
          <w:tcPr>
            <w:tcMar>
              <w:left w:w="0" w:type="dxa"/>
              <w:top w:w="0" w:type="dxa"/>
              <w:right w:w="0" w:type="dxa"/>
              <w:bottom w:w="0" w:type="dxa"/>
            </w:tcMar>
            <w:tcW w:w="926" w:type="pct"/>
            <w:vAlign w:val="center"/>
            <w:textDirection w:val="lrTb"/>
            <w:noWrap w:val="false"/>
          </w:tcPr>
          <w:p>
            <w:pPr>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t xml:space="preserve">偏离内容及原因</w:t>
            </w:r>
            <w:r/>
          </w:p>
        </w:tc>
        <w:tc>
          <w:tcPr>
            <w:tcMar>
              <w:left w:w="0" w:type="dxa"/>
              <w:top w:w="0" w:type="dxa"/>
              <w:right w:w="0" w:type="dxa"/>
              <w:bottom w:w="0" w:type="dxa"/>
            </w:tcMar>
            <w:tcW w:w="578" w:type="pct"/>
            <w:vAlign w:val="center"/>
            <w:textDirection w:val="lrTb"/>
            <w:noWrap w:val="false"/>
          </w:tcPr>
          <w:p>
            <w:pPr>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备注</w:t>
            </w:r>
            <w:r/>
          </w:p>
        </w:tc>
      </w:tr>
      <w:tr>
        <w:trPr>
          <w:trHeight w:val="567"/>
        </w:trPr>
        <w:tc>
          <w:tcPr>
            <w:tcMar>
              <w:left w:w="0" w:type="dxa"/>
              <w:top w:w="0" w:type="dxa"/>
              <w:right w:w="0" w:type="dxa"/>
              <w:bottom w:w="0" w:type="dxa"/>
            </w:tcMar>
            <w:tcW w:w="281"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16"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032"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963"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926"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578"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281"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16"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032"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963"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926"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578"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281"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16"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032"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963"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926"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578"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281"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16"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032"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963"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926"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578"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281"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16"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032"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963"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926"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578"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281"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16"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032"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963"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926"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578"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281"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216"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032"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963"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926"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578" w:type="pct"/>
            <w:vAlign w:val="center"/>
            <w:textDirection w:val="lrTb"/>
            <w:noWrap w:val="false"/>
          </w:tcPr>
          <w:p>
            <w:pPr>
              <w:pStyle w:val="1433"/>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bl>
    <w:p>
      <w:pPr>
        <w:pStyle w:val="1431"/>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t xml:space="preserve">注：</w:t>
      </w:r>
      <w:r/>
    </w:p>
    <w:p>
      <w:pPr>
        <w:pStyle w:val="1431"/>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t xml:space="preserve">1</w:t>
      </w:r>
      <w:r>
        <w:rPr>
          <w:rStyle w:val="1358"/>
          <w:rFonts w:hint="eastAsia" w:ascii="宋体" w:hAnsi="宋体" w:eastAsia="宋体" w:cs="宋体"/>
          <w:caps w:val="0"/>
          <w:smallCaps w:val="0"/>
          <w:color w:val="000000" w:themeColor="text1"/>
          <w:spacing w:val="0"/>
          <w:highlight w:val="none"/>
          <w:shd w:val="clear" w:color="auto" w:fill="auto"/>
          <w:lang w:eastAsia="zh-CN"/>
          <w14:textFill>
            <w14:solidFill>
              <w14:schemeClr w14:val="tx1"/>
            </w14:solidFill>
          </w14:textFill>
        </w:rPr>
        <w:t xml:space="preserve">、</w:t>
      </w:r>
      <w:r>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t xml:space="preserve">投标人应根据招标文件技术</w:t>
      </w:r>
      <w:r>
        <w:rPr>
          <w:rStyle w:val="1358"/>
          <w:rFonts w:hint="eastAsia" w:ascii="宋体" w:hAnsi="宋体" w:eastAsia="宋体" w:cs="宋体"/>
          <w:caps w:val="0"/>
          <w:smallCaps w:val="0"/>
          <w:color w:val="000000" w:themeColor="text1"/>
          <w:spacing w:val="0"/>
          <w:highlight w:val="none"/>
          <w:shd w:val="clear" w:color="auto" w:fill="auto"/>
          <w:lang w:val="en-US" w:eastAsia="zh-CN"/>
          <w14:textFill>
            <w14:solidFill>
              <w14:schemeClr w14:val="tx1"/>
            </w14:solidFill>
          </w14:textFill>
        </w:rPr>
        <w:t xml:space="preserve">要求</w:t>
      </w:r>
      <w:r>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t xml:space="preserve">中的要求对照投标人所提供的服务承诺进行逐项评议。</w:t>
      </w:r>
      <w:r/>
    </w:p>
    <w:p>
      <w:pPr>
        <w:pStyle w:val="1431"/>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t xml:space="preserve">2</w:t>
      </w:r>
      <w:r>
        <w:rPr>
          <w:rStyle w:val="1358"/>
          <w:rFonts w:hint="eastAsia" w:ascii="宋体" w:hAnsi="宋体" w:eastAsia="宋体" w:cs="宋体"/>
          <w:caps w:val="0"/>
          <w:smallCaps w:val="0"/>
          <w:color w:val="000000" w:themeColor="text1"/>
          <w:spacing w:val="0"/>
          <w:highlight w:val="none"/>
          <w:shd w:val="clear" w:color="auto" w:fill="auto"/>
          <w:lang w:eastAsia="zh-CN"/>
          <w14:textFill>
            <w14:solidFill>
              <w14:schemeClr w14:val="tx1"/>
            </w14:solidFill>
          </w14:textFill>
        </w:rPr>
        <w:t xml:space="preserve">、</w:t>
      </w:r>
      <w:r>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t xml:space="preserve">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r/>
    </w:p>
    <w:p>
      <w:pPr>
        <w:pStyle w:val="1431"/>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t xml:space="preserve">3</w:t>
      </w:r>
      <w:r>
        <w:rPr>
          <w:rStyle w:val="1358"/>
          <w:rFonts w:hint="eastAsia" w:ascii="宋体" w:hAnsi="宋体" w:eastAsia="宋体" w:cs="宋体"/>
          <w:caps w:val="0"/>
          <w:smallCaps w:val="0"/>
          <w:color w:val="000000" w:themeColor="text1"/>
          <w:spacing w:val="0"/>
          <w:highlight w:val="none"/>
          <w:shd w:val="clear" w:color="auto" w:fill="auto"/>
          <w:lang w:eastAsia="zh-CN"/>
          <w14:textFill>
            <w14:solidFill>
              <w14:schemeClr w14:val="tx1"/>
            </w14:solidFill>
          </w14:textFill>
        </w:rPr>
        <w:t xml:space="preserve">、</w:t>
      </w:r>
      <w:r>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t xml:space="preserve">表格不够可另接。</w:t>
      </w:r>
      <w:r/>
    </w:p>
    <w:p>
      <w:pPr>
        <w:pStyle w:val="1392"/>
        <w:jc w:val="both"/>
        <w:keepLines w:val="0"/>
        <w:keepNext w:val="0"/>
        <w:pageBreakBefore w:val="0"/>
        <w:spacing w:line="520" w:lineRule="exact"/>
        <w:shd w:val="clear" w:color="auto" w:fill="auto"/>
        <w:widowControl/>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br w:type="page" w:clear="all"/>
      </w:r>
      <w:r>
        <w:rPr>
          <w:rStyle w:val="1358"/>
          <w:rFonts w:hint="eastAsia" w:ascii="宋体" w:hAnsi="宋体" w:eastAsia="宋体" w:cs="宋体"/>
          <w:b/>
          <w:caps w:val="0"/>
          <w:smallCaps w:val="0"/>
          <w:color w:val="000000" w:themeColor="text1"/>
          <w:spacing w:val="0"/>
          <w:sz w:val="32"/>
          <w:szCs w:val="24"/>
          <w:highlight w:val="none"/>
          <w:shd w:val="clear" w:color="auto" w:fill="auto"/>
          <w:lang w:val="en-US" w:eastAsia="zh-CN" w:bidi="ar-SA"/>
          <w14:textFill>
            <w14:solidFill>
              <w14:schemeClr w14:val="tx1"/>
            </w14:solidFill>
          </w14:textFill>
        </w:rPr>
        <w:t xml:space="preserve">九、商务条款响应及偏离表</w:t>
      </w:r>
      <w:r/>
    </w:p>
    <w:p>
      <w:pPr>
        <w:pStyle w:val="1392"/>
        <w:jc w:val="center"/>
        <w:keepLines w:val="0"/>
        <w:keepNext w:val="0"/>
        <w:pageBreakBefore w:val="0"/>
        <w:spacing w:before="567" w:after="567" w:line="520" w:lineRule="exact"/>
        <w:shd w:val="clear" w:color="auto" w:fill="auto"/>
        <w:widowControl/>
        <w:rPr>
          <w:rStyle w:val="1358"/>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1358"/>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﻿商务条款响应及偏离表</w:t>
      </w:r>
      <w:r/>
    </w:p>
    <w:tbl>
      <w:tblPr>
        <w:tblStyle w:val="117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777"/>
        <w:gridCol w:w="2777"/>
        <w:gridCol w:w="1415"/>
        <w:gridCol w:w="2785"/>
      </w:tblGrid>
      <w:tr>
        <w:trPr>
          <w:trHeight w:val="567"/>
        </w:trPr>
        <w:tc>
          <w:tcPr>
            <w:tcMar>
              <w:left w:w="0" w:type="dxa"/>
              <w:top w:w="0" w:type="dxa"/>
              <w:right w:w="0" w:type="dxa"/>
              <w:bottom w:w="0" w:type="dxa"/>
            </w:tcMar>
            <w:tcW w:w="1423" w:type="pct"/>
            <w:vAlign w:val="center"/>
            <w:textDirection w:val="lrTb"/>
            <w:noWrap w:val="false"/>
          </w:tcPr>
          <w:p>
            <w:pPr>
              <w:pStyle w:val="1434"/>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项目</w:t>
            </w:r>
            <w:r/>
          </w:p>
        </w:tc>
        <w:tc>
          <w:tcPr>
            <w:tcMar>
              <w:left w:w="0" w:type="dxa"/>
              <w:top w:w="0" w:type="dxa"/>
              <w:right w:w="0" w:type="dxa"/>
              <w:bottom w:w="0" w:type="dxa"/>
            </w:tcMar>
            <w:tcW w:w="1423" w:type="pct"/>
            <w:vAlign w:val="center"/>
            <w:textDirection w:val="lrTb"/>
            <w:noWrap w:val="false"/>
          </w:tcPr>
          <w:p>
            <w:pPr>
              <w:pStyle w:val="1434"/>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招标文件要求</w:t>
            </w:r>
            <w:r/>
          </w:p>
        </w:tc>
        <w:tc>
          <w:tcPr>
            <w:tcMar>
              <w:left w:w="0" w:type="dxa"/>
              <w:top w:w="0" w:type="dxa"/>
              <w:right w:w="0" w:type="dxa"/>
              <w:bottom w:w="0" w:type="dxa"/>
            </w:tcMar>
            <w:tcW w:w="725" w:type="pct"/>
            <w:vAlign w:val="center"/>
            <w:textDirection w:val="lrTb"/>
            <w:noWrap w:val="false"/>
          </w:tcPr>
          <w:p>
            <w:pPr>
              <w:pStyle w:val="1434"/>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是否响应</w:t>
            </w:r>
            <w:r/>
          </w:p>
        </w:tc>
        <w:tc>
          <w:tcPr>
            <w:tcMar>
              <w:left w:w="0" w:type="dxa"/>
              <w:top w:w="0" w:type="dxa"/>
              <w:right w:w="0" w:type="dxa"/>
              <w:bottom w:w="0" w:type="dxa"/>
            </w:tcMar>
            <w:tcW w:w="1427" w:type="pct"/>
            <w:vAlign w:val="center"/>
            <w:textDirection w:val="lrTb"/>
            <w:noWrap w:val="false"/>
          </w:tcPr>
          <w:p>
            <w:pPr>
              <w:pStyle w:val="1434"/>
              <w:jc w:val="center"/>
              <w:shd w:val="clear" w:color="auto" w:fill="auto"/>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1358"/>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投标人的承诺或说明</w:t>
            </w:r>
            <w:r/>
          </w:p>
        </w:tc>
      </w:tr>
      <w:tr>
        <w:trPr>
          <w:trHeight w:val="567"/>
        </w:trPr>
        <w:tc>
          <w:tcPr>
            <w:tcMar>
              <w:left w:w="0" w:type="dxa"/>
              <w:top w:w="0" w:type="dxa"/>
              <w:right w:w="0" w:type="dxa"/>
              <w:bottom w:w="0" w:type="dxa"/>
            </w:tcMar>
            <w:tcW w:w="1423"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23"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725"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27"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1423"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23"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725"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27"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1423"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23"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725"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27"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1423"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23"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725"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27"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1423"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23"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725"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27"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1423"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23"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725"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27"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1423"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23"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725"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27"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trHeight w:val="567"/>
        </w:trPr>
        <w:tc>
          <w:tcPr>
            <w:tcMar>
              <w:left w:w="0" w:type="dxa"/>
              <w:top w:w="0" w:type="dxa"/>
              <w:right w:w="0" w:type="dxa"/>
              <w:bottom w:w="0" w:type="dxa"/>
            </w:tcMar>
            <w:tcW w:w="1423"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23"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725"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27" w:type="pct"/>
            <w:vAlign w:val="center"/>
            <w:textDirection w:val="lrTb"/>
            <w:noWrap w:val="false"/>
          </w:tcPr>
          <w:p>
            <w:pPr>
              <w:pStyle w:val="1434"/>
              <w:jc w:val="center"/>
              <w:shd w:val="clear" w:color="auto" w:fill="auto"/>
              <w:rPr>
                <w:rStyle w:val="1358"/>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bl>
    <w:p>
      <w:pPr>
        <w:pStyle w:val="1435"/>
        <w:rPr>
          <w:rStyle w:val="1358"/>
          <w:rFonts w:ascii="宋体" w:hAnsi="宋体" w:eastAsia="宋体" w:cs="宋体"/>
          <w:color w:val="000000" w:themeColor="text1"/>
          <w:highlight w:val="none"/>
          <w14:textFill>
            <w14:solidFill>
              <w14:schemeClr w14:val="tx1"/>
            </w14:solidFill>
          </w14:textFill>
        </w:rPr>
        <w:outlineLvl w:val="1"/>
      </w:pPr>
      <w:r>
        <w:rPr>
          <w:rStyle w:val="1358"/>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br w:type="page" w:clear="all"/>
      </w:r>
      <w:bookmarkStart w:id="267" w:name="_Toc9898"/>
      <w:r/>
      <w:bookmarkStart w:id="268" w:name="_Toc25839"/>
      <w:r>
        <w:rPr>
          <w:rStyle w:val="1358"/>
          <w:rFonts w:hint="eastAsia" w:ascii="宋体" w:hAnsi="宋体" w:eastAsia="宋体" w:cs="宋体"/>
          <w:b/>
          <w:caps w:val="0"/>
          <w:smallCaps w:val="0"/>
          <w:color w:val="000000" w:themeColor="text1"/>
          <w:spacing w:val="0"/>
          <w:sz w:val="32"/>
          <w:szCs w:val="24"/>
          <w:highlight w:val="none"/>
          <w:shd w:val="clear" w:color="auto" w:fill="auto"/>
          <w14:textFill>
            <w14:solidFill>
              <w14:schemeClr w14:val="tx1"/>
            </w14:solidFill>
          </w14:textFill>
        </w:rPr>
        <w:t xml:space="preserve">十、其他材料</w:t>
      </w:r>
      <w:bookmarkEnd w:id="267"/>
      <w:r/>
      <w:bookmarkEnd w:id="268"/>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24"/>
      <w:headerReference w:type="first" r:id="rId25"/>
      <w:footerReference w:type="default" r:id="rId34"/>
      <w:footerReference w:type="first" r:id="rId35"/>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7"/>
      <w:rPr>
        <w:rStyle w:val="1438"/>
      </w:rPr>
      <w:framePr w:wrap="around" w:vAnchor="text" w:hAnchor="margin" w:xAlign="center" w:y="1"/>
    </w:pPr>
    <w:r>
      <w:fldChar w:fldCharType="begin"/>
    </w:r>
    <w:r>
      <w:rPr>
        <w:rStyle w:val="1438"/>
      </w:rPr>
      <w:instrText xml:space="preserve">PAGE  </w:instrText>
    </w:r>
    <w:r>
      <w:fldChar w:fldCharType="end"/>
    </w:r>
    <w:r/>
  </w:p>
  <w:p>
    <w:pPr>
      <w:pStyle w:val="14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7"/>
      <w:ind w:firstLine="360"/>
      <w:jc w:val="lef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20775" cy="217170"/>
              <wp:effectExtent l="3175" t="3175" r="3175" b="3175"/>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120888" cy="217091"/>
                      </a:xfrm>
                      <a:prstGeom prst="rect">
                        <a:avLst/>
                      </a:prstGeom>
                      <a:noFill/>
                      <a:ln w="6350">
                        <a:noFill/>
                      </a:ln>
                      <a:effectLst/>
                    </wps:spPr>
                    <wps:txbx>
                      <w:txbxContent>
                        <w:p>
                          <w:pPr>
                            <w:pStyle w:val="1184"/>
                            <w:jc w:val="center"/>
                          </w:pPr>
                          <w:r>
                            <w:fldChar w:fldCharType="begin"/>
                          </w:r>
                          <w:r>
                            <w:instrText xml:space="preserve"> PAGE  \* MERGEFORMAT </w:instrText>
                          </w:r>
                          <w:r>
                            <w:fldChar w:fldCharType="begin"/>
                          </w:r>
                          <w:r>
                            <w:instrText xml:space="preserve">PAGE \* MERGEFORMAT</w:instrText>
                          </w:r>
                          <w:r>
                            <w:fldChar w:fldCharType="separate"/>
                          </w:r>
                          <w:r>
                            <w:instrText xml:space="preserve">1</w:instrText>
                          </w:r>
                          <w:r>
                            <w:fldChar w:fldCharType="end"/>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88.2pt;height:17.1pt;mso-wrap-distance-left:9.0pt;mso-wrap-distance-top:0.0pt;mso-wrap-distance-right:9.0pt;mso-wrap-distance-bottom:0.0pt;v-text-anchor:top;visibility:visible;" filled="f" stroked="f" strokeweight="0.50pt">
              <v:textbox inset="0,0,0,0">
                <w:txbxContent>
                  <w:p>
                    <w:pPr>
                      <w:pStyle w:val="1184"/>
                      <w:jc w:val="center"/>
                    </w:pPr>
                    <w:r>
                      <w:fldChar w:fldCharType="begin"/>
                    </w:r>
                    <w:r>
                      <w:instrText xml:space="preserve"> PAGE  \* MERGEFORMAT </w:instrText>
                    </w:r>
                    <w:r>
                      <w:fldChar w:fldCharType="begin"/>
                    </w:r>
                    <w:r>
                      <w:instrText xml:space="preserve">PAGE \* MERGEFORMAT</w:instrText>
                    </w:r>
                    <w:r>
                      <w:fldChar w:fldCharType="separate"/>
                    </w:r>
                    <w:r>
                      <w:instrText xml:space="preserve">1</w:instrText>
                    </w:r>
                    <w:r>
                      <w:fldChar w:fldCharType="end"/>
                    </w:r>
                    <w:r>
                      <w:fldChar w:fldCharType="separate"/>
                    </w:r>
                    <w:r>
                      <w:t xml:space="preserve">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7"/>
      <w:ind w:firstLine="360"/>
      <w:rPr>
        <w:rStyle w:val="1438"/>
      </w:rPr>
      <w:framePr w:wrap="around" w:vAnchor="text" w:hAnchor="margin" w:xAlign="right" w:y="1"/>
    </w:pPr>
    <w:r>
      <w:fldChar w:fldCharType="begin"/>
    </w:r>
    <w:r>
      <w:rPr>
        <w:rStyle w:val="1438"/>
        <w:color w:val="000000"/>
      </w:rPr>
      <w:instrText xml:space="preserve">PAGE  </w:instrText>
    </w:r>
    <w:r>
      <w:fldChar w:fldCharType="end"/>
    </w:r>
    <w:r/>
  </w:p>
  <w:p>
    <w:pPr>
      <w:pStyle w:val="1437"/>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pPr>
    <w:r>
      <w:fldChar w:fldCharType="begin"/>
    </w:r>
    <w:r>
      <w:instrText xml:space="preserve">PAGE \* MERGEFORMAT</w:instrText>
    </w:r>
    <w:r>
      <w:fldChar w:fldCharType="separate"/>
    </w:r>
    <w:r>
      <w:t xml:space="preserve">1</w:t>
    </w:r>
    <w:r>
      <w:fldChar w:fldCharType="end"/>
    </w:r>
    <w:r/>
  </w:p>
  <w:p>
    <w:pPr>
      <w:pStyle w:val="118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8645" cy="217170"/>
              <wp:effectExtent l="3175" t="3175" r="3175" b="3175"/>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588343" cy="217258"/>
                      </a:xfrm>
                      <a:prstGeom prst="rect">
                        <a:avLst/>
                      </a:prstGeom>
                      <a:noFill/>
                      <a:ln w="6350">
                        <a:noFill/>
                      </a:ln>
                      <a:effectLst/>
                    </wps:spPr>
                    <wps:txbx>
                      <w:txbxContent>
                        <w:p>
                          <w:pPr>
                            <w:pStyle w:val="1184"/>
                            <w:jc w:val="center"/>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46.3pt;height:17.1pt;mso-wrap-distance-left:9.0pt;mso-wrap-distance-top:0.0pt;mso-wrap-distance-right:9.0pt;mso-wrap-distance-bottom:0.0pt;v-text-anchor:top;visibility:visible;" filled="f" stroked="f" strokeweight="0.50pt">
              <v:textbox inset="0,0,0,0">
                <w:txbxContent>
                  <w:p>
                    <w:pPr>
                      <w:pStyle w:val="1184"/>
                      <w:jc w:val="center"/>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88645" cy="169545"/>
              <wp:effectExtent l="3175" t="3175" r="3175" b="3175"/>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588950" cy="169633"/>
                      </a:xfrm>
                      <a:prstGeom prst="rect">
                        <a:avLst/>
                      </a:prstGeom>
                      <a:noFill/>
                      <a:ln w="6350">
                        <a:noFill/>
                      </a:ln>
                      <a:effectLst/>
                    </wps:spPr>
                    <wps:txbx>
                      <w:txbxContent>
                        <w:p>
                          <w:pPr>
                            <w:pStyle w:val="1184"/>
                            <w:jc w:val="center"/>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46.3pt;height:13.3pt;mso-wrap-distance-left:9.0pt;mso-wrap-distance-top:0.0pt;mso-wrap-distance-right:9.0pt;mso-wrap-distance-bottom:0.0pt;v-text-anchor:top;visibility:visible;" filled="f" stroked="f" strokeweight="0.50pt">
              <v:textbox inset="0,0,0,0">
                <w:txbxContent>
                  <w:p>
                    <w:pPr>
                      <w:pStyle w:val="1184"/>
                      <w:jc w:val="center"/>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8645" cy="217170"/>
              <wp:effectExtent l="0" t="0" r="0" b="0"/>
              <wp:wrapNone/>
              <wp:docPr id="8" name="文本框 12"/>
              <wp:cNvGraphicFramePr/>
              <a:graphic xmlns:a="http://schemas.openxmlformats.org/drawingml/2006/main">
                <a:graphicData uri="http://schemas.microsoft.com/office/word/2010/wordprocessingShape">
                  <wps:wsp>
                    <wps:cNvPr id="0" name=""/>
                    <wps:cNvSpPr txBox="1"/>
                    <wps:spPr bwMode="auto">
                      <a:xfrm>
                        <a:off x="0" y="0"/>
                        <a:ext cx="588343" cy="217258"/>
                      </a:xfrm>
                      <a:prstGeom prst="rect">
                        <a:avLst/>
                      </a:prstGeom>
                      <a:noFill/>
                      <a:ln w="6350">
                        <a:noFill/>
                      </a:ln>
                      <a:effectLst/>
                    </wps:spPr>
                    <wps:txbx>
                      <w:txbxContent>
                        <w:p>
                          <w:pPr>
                            <w:pStyle w:val="1184"/>
                            <w:jc w:val="center"/>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46.3pt;height:17.1pt;mso-wrap-distance-left:9.0pt;mso-wrap-distance-top:0.0pt;mso-wrap-distance-right:9.0pt;mso-wrap-distance-bottom:0.0pt;v-text-anchor:top;visibility:visible;" filled="f" stroked="f" strokeweight="0.50pt">
              <v:textbox inset="0,0,0,0">
                <w:txbxContent>
                  <w:p>
                    <w:pPr>
                      <w:pStyle w:val="1184"/>
                      <w:jc w:val="center"/>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88645" cy="169545"/>
              <wp:effectExtent l="0" t="0" r="0" b="0"/>
              <wp:wrapNone/>
              <wp:docPr id="9" name="文本框 11"/>
              <wp:cNvGraphicFramePr/>
              <a:graphic xmlns:a="http://schemas.openxmlformats.org/drawingml/2006/main">
                <a:graphicData uri="http://schemas.microsoft.com/office/word/2010/wordprocessingShape">
                  <wps:wsp>
                    <wps:cNvPr id="0" name=""/>
                    <wps:cNvSpPr txBox="1"/>
                    <wps:spPr bwMode="auto">
                      <a:xfrm>
                        <a:off x="0" y="0"/>
                        <a:ext cx="588950" cy="169633"/>
                      </a:xfrm>
                      <a:prstGeom prst="rect">
                        <a:avLst/>
                      </a:prstGeom>
                      <a:noFill/>
                      <a:ln w="6350">
                        <a:noFill/>
                      </a:ln>
                      <a:effectLst/>
                    </wps:spPr>
                    <wps:txbx>
                      <w:txbxContent>
                        <w:p>
                          <w:pPr>
                            <w:pStyle w:val="1184"/>
                            <w:jc w:val="center"/>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46.3pt;height:13.3pt;mso-wrap-distance-left:9.0pt;mso-wrap-distance-top:0.0pt;mso-wrap-distance-right:9.0pt;mso-wrap-distance-bottom:0.0pt;v-text-anchor:top;visibility:visible;" filled="f" stroked="f" strokeweight="0.50pt">
              <v:textbox inset="0,0,0,0">
                <w:txbxContent>
                  <w:p>
                    <w:pPr>
                      <w:pStyle w:val="1184"/>
                      <w:jc w:val="center"/>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7"/>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53390" cy="162560"/>
              <wp:effectExtent l="3175" t="3175" r="3175" b="3175"/>
              <wp:wrapNone/>
              <wp:docPr id="10" name="文本框 4"/>
              <wp:cNvGraphicFramePr/>
              <a:graphic xmlns:a="http://schemas.openxmlformats.org/drawingml/2006/main">
                <a:graphicData uri="http://schemas.microsoft.com/office/word/2010/wordprocessingShape">
                  <wps:wsp>
                    <wps:cNvPr id="0" name=""/>
                    <wps:cNvSpPr txBox="1"/>
                    <wps:spPr bwMode="auto">
                      <a:xfrm>
                        <a:off x="0" y="0"/>
                        <a:ext cx="453405" cy="162780"/>
                      </a:xfrm>
                      <a:prstGeom prst="rect">
                        <a:avLst/>
                      </a:prstGeom>
                      <a:noFill/>
                      <a:ln w="6350">
                        <a:noFill/>
                      </a:ln>
                      <a:effectLst/>
                    </wps:spPr>
                    <wps:txbx>
                      <w:txbxContent>
                        <w:p>
                          <w:pPr>
                            <w:pStyle w:val="1184"/>
                            <w:jc w:val="center"/>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9" o:spid="_x0000_s9" o:spt="202" type="#_x0000_t202" style="position:absolute;z-index:251662336;o:allowoverlap:true;o:allowincell:true;mso-position-horizontal-relative:margin;mso-position-horizontal:center;mso-position-vertical-relative:text;margin-top:0.0pt;mso-position-vertical:absolute;width:35.7pt;height:12.8pt;mso-wrap-distance-left:9.0pt;mso-wrap-distance-top:0.0pt;mso-wrap-distance-right:9.0pt;mso-wrap-distance-bottom:0.0pt;v-text-anchor:top;visibility:visible;" filled="f" stroked="f" strokeweight="0.50pt">
              <v:textbox inset="0,0,0,0">
                <w:txbxContent>
                  <w:p>
                    <w:pPr>
                      <w:pStyle w:val="1184"/>
                      <w:jc w:val="center"/>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7"/>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445770" cy="210185"/>
              <wp:effectExtent l="3175" t="3175" r="3175" b="3175"/>
              <wp:wrapNone/>
              <wp:docPr id="11" name="文本框 5"/>
              <wp:cNvGraphicFramePr/>
              <a:graphic xmlns:a="http://schemas.openxmlformats.org/drawingml/2006/main">
                <a:graphicData uri="http://schemas.microsoft.com/office/word/2010/wordprocessingShape">
                  <wps:wsp>
                    <wps:cNvPr id="0" name=""/>
                    <wps:cNvSpPr txBox="1"/>
                    <wps:spPr bwMode="auto">
                      <a:xfrm>
                        <a:off x="0" y="0"/>
                        <a:ext cx="445468" cy="209878"/>
                      </a:xfrm>
                      <a:prstGeom prst="rect">
                        <a:avLst/>
                      </a:prstGeom>
                      <a:noFill/>
                      <a:ln w="6350">
                        <a:noFill/>
                      </a:ln>
                      <a:effectLst/>
                    </wps:spPr>
                    <wps:txbx>
                      <w:txbxContent>
                        <w:p>
                          <w:pPr>
                            <w:pStyle w:val="1184"/>
                            <w:jc w:val="center"/>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0" o:spid="_x0000_s10" o:spt="202" type="#_x0000_t202" style="position:absolute;z-index:251663360;o:allowoverlap:true;o:allowincell:true;mso-position-horizontal-relative:margin;mso-position-horizontal:center;mso-position-vertical-relative:text;margin-top:0.0pt;mso-position-vertical:absolute;width:35.1pt;height:16.6pt;mso-wrap-distance-left:9.0pt;mso-wrap-distance-top:0.0pt;mso-wrap-distance-right:9.0pt;mso-wrap-distance-bottom:0.0pt;v-text-anchor:top;visibility:visible;" filled="f" stroked="f" strokeweight="0.50pt">
              <v:textbox inset="0,0,0,0">
                <w:txbxContent>
                  <w:p>
                    <w:pPr>
                      <w:pStyle w:val="1184"/>
                      <w:jc w:val="center"/>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6"/>
      <w:jc w:val="left"/>
      <w:pBdr>
        <w:bottom w:val="single" w:color="auto" w:sz="4" w:space="1"/>
      </w:pBdr>
    </w:pPr>
    <w:r>
      <mc:AlternateContent>
        <mc:Choice Requires="wpg">
          <w:drawing>
            <wp:inline xmlns:wp="http://schemas.openxmlformats.org/drawingml/2006/wordprocessingDrawing" distT="0" distB="0" distL="0" distR="0">
              <wp:extent cx="398145" cy="425450"/>
              <wp:effectExtent l="0" t="0" r="8255" b="635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
                      <a:stretch/>
                    </pic:blipFill>
                    <pic:spPr bwMode="auto">
                      <a:xfrm>
                        <a:off x="0" y="0"/>
                        <a:ext cx="398145" cy="425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3pt;height:33.5pt;mso-wrap-distance-left:0.0pt;mso-wrap-distance-top:0.0pt;mso-wrap-distance-right:0.0pt;mso-wrap-distance-bottom:0.0pt;" stroked="f">
              <v:path textboxrect="0,0,0,0"/>
              <v:imagedata r:id="rId1" o:title=""/>
            </v:shape>
          </w:pict>
        </mc:Fallback>
      </mc:AlternateContent>
    </w:r>
    <w:r>
      <w:rPr>
        <w:rFonts w:hint="eastAsia"/>
        <w:sz w:val="24"/>
        <w:szCs w:val="24"/>
        <w:lang w:eastAsia="zh-CN"/>
      </w:rPr>
      <w:t xml:space="preserve">苏州润禹工程咨询管理有限公司</w:t>
    </w:r>
    <w:r>
      <w:rPr>
        <w:rFonts w:hint="eastAsia"/>
        <w:sz w:val="24"/>
        <w:szCs w:val="24"/>
        <w:lang w:val="en-US" w:eastAsia="zh-CN"/>
      </w:rPr>
      <w:t xml:space="preserve">                                       </w:t>
    </w:r>
    <w:r>
      <w:rPr>
        <w:rFonts w:hint="eastAsia"/>
        <w:sz w:val="24"/>
        <w:szCs w:val="24"/>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6"/>
      <w:jc w:val="left"/>
      <w:rPr>
        <w:sz w:val="24"/>
        <w:szCs w:val="24"/>
      </w:rPr>
      <w:pBdr>
        <w:bottom w:val="single" w:color="auto" w:sz="4" w:space="1"/>
      </w:pBdr>
    </w:pPr>
    <w:r>
      <mc:AlternateContent>
        <mc:Choice Requires="wpg">
          <w:drawing>
            <wp:inline xmlns:wp="http://schemas.openxmlformats.org/drawingml/2006/wordprocessingDrawing" distT="0" distB="0" distL="0" distR="0">
              <wp:extent cx="398145" cy="425450"/>
              <wp:effectExtent l="0" t="0" r="8255"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
                      <a:stretch/>
                    </pic:blipFill>
                    <pic:spPr bwMode="auto">
                      <a:xfrm>
                        <a:off x="0" y="0"/>
                        <a:ext cx="398145" cy="425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1.3pt;height:33.5pt;mso-wrap-distance-left:0.0pt;mso-wrap-distance-top:0.0pt;mso-wrap-distance-right:0.0pt;mso-wrap-distance-bottom:0.0pt;" stroked="f">
              <v:path textboxrect="0,0,0,0"/>
              <v:imagedata r:id="rId1" o:title=""/>
            </v:shape>
          </w:pict>
        </mc:Fallback>
      </mc:AlternateContent>
    </w:r>
    <w:r>
      <w:rPr>
        <w:rFonts w:hint="eastAsia"/>
        <w:sz w:val="24"/>
        <w:szCs w:val="24"/>
        <w:lang w:eastAsia="zh-CN"/>
      </w:rPr>
      <w:t xml:space="preserve">苏州润禹工程咨询管理有限公司</w:t>
    </w:r>
    <w:r>
      <w:rPr>
        <w:rFonts w:hint="eastAsia"/>
        <w:sz w:val="24"/>
        <w:szCs w:val="24"/>
        <w:lang w:val="en-US" w:eastAsia="zh-CN"/>
      </w:rPr>
      <w:t xml:space="preserve">                                       </w:t>
    </w:r>
    <w:r>
      <w:rPr>
        <w:rFonts w:hint="eastAsia"/>
        <w:sz w:val="24"/>
        <w:szCs w:val="24"/>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6"/>
      <w:jc w:val="left"/>
      <w:pBdr>
        <w:bottom w:val="single" w:color="auto" w:sz="4" w:space="1"/>
      </w:pBdr>
    </w:pPr>
    <w:r>
      <mc:AlternateContent>
        <mc:Choice Requires="wpg">
          <w:drawing>
            <wp:inline xmlns:wp="http://schemas.openxmlformats.org/drawingml/2006/wordprocessingDrawing" distT="0" distB="0" distL="0" distR="0">
              <wp:extent cx="398145" cy="425450"/>
              <wp:effectExtent l="0" t="0" r="8255" b="635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
                      <a:stretch/>
                    </pic:blipFill>
                    <pic:spPr bwMode="auto">
                      <a:xfrm>
                        <a:off x="0" y="0"/>
                        <a:ext cx="398145" cy="425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1.3pt;height:33.5pt;mso-wrap-distance-left:0.0pt;mso-wrap-distance-top:0.0pt;mso-wrap-distance-right:0.0pt;mso-wrap-distance-bottom:0.0pt;" stroked="f">
              <v:path textboxrect="0,0,0,0"/>
              <v:imagedata r:id="rId1" o:title=""/>
            </v:shape>
          </w:pict>
        </mc:Fallback>
      </mc:AlternateContent>
    </w:r>
    <w:r>
      <w:rPr>
        <w:rFonts w:hint="eastAsia"/>
        <w:sz w:val="24"/>
        <w:szCs w:val="24"/>
        <w:lang w:eastAsia="zh-CN"/>
      </w:rPr>
      <w:t xml:space="preserve">苏州润禹工程咨询管理有限公司</w:t>
    </w:r>
    <w:r>
      <w:rPr>
        <w:rFonts w:hint="eastAsia"/>
        <w:sz w:val="24"/>
        <w:szCs w:val="24"/>
        <w:lang w:val="en-US" w:eastAsia="zh-CN"/>
      </w:rPr>
      <w:t xml:space="preserve">                                       </w:t>
    </w:r>
    <w:r>
      <w:rPr>
        <w:rFonts w:hint="eastAsia"/>
        <w:sz w:val="24"/>
        <w:szCs w:val="24"/>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6"/>
      <w:jc w:val="left"/>
      <w:pBdr>
        <w:bottom w:val="single" w:color="auto" w:sz="4" w:space="1"/>
      </w:pBdr>
    </w:pPr>
    <w:r>
      <mc:AlternateContent>
        <mc:Choice Requires="wpg">
          <w:drawing>
            <wp:inline xmlns:wp="http://schemas.openxmlformats.org/drawingml/2006/wordprocessingDrawing" distT="0" distB="0" distL="0" distR="0">
              <wp:extent cx="398145" cy="425450"/>
              <wp:effectExtent l="0" t="0" r="8255" b="635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
                      <a:stretch/>
                    </pic:blipFill>
                    <pic:spPr bwMode="auto">
                      <a:xfrm>
                        <a:off x="0" y="0"/>
                        <a:ext cx="398145" cy="425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1.3pt;height:33.5pt;mso-wrap-distance-left:0.0pt;mso-wrap-distance-top:0.0pt;mso-wrap-distance-right:0.0pt;mso-wrap-distance-bottom:0.0pt;" stroked="f">
              <v:path textboxrect="0,0,0,0"/>
              <v:imagedata r:id="rId1" o:title=""/>
            </v:shape>
          </w:pict>
        </mc:Fallback>
      </mc:AlternateContent>
    </w:r>
    <w:r>
      <w:rPr>
        <w:rFonts w:hint="eastAsia"/>
        <w:sz w:val="24"/>
        <w:szCs w:val="24"/>
        <w:lang w:eastAsia="zh-CN"/>
      </w:rPr>
      <w:t xml:space="preserve">苏州润禹工程咨询管理有限公司</w:t>
    </w:r>
    <w:r>
      <w:rPr>
        <w:rFonts w:hint="eastAsia"/>
        <w:sz w:val="24"/>
        <w:szCs w:val="24"/>
        <w:lang w:val="en-US" w:eastAsia="zh-CN"/>
      </w:rPr>
      <w:t xml:space="preserve">                                       </w:t>
    </w:r>
    <w:r>
      <w:rPr>
        <w:rFonts w:hint="eastAsia"/>
        <w:sz w:val="24"/>
        <w:szCs w:val="24"/>
      </w:rPr>
      <w:t xml:space="preserve">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6"/>
      <w:jc w:val="left"/>
      <w:pBdr>
        <w:bottom w:val="single" w:color="auto" w:sz="4" w:space="1"/>
      </w:pBdr>
    </w:pPr>
    <w:r>
      <w:rPr>
        <w:rFonts w:hint="eastAsia"/>
        <w:sz w:val="24"/>
        <w:szCs w:val="24"/>
        <w:lang w:eastAsia="zh-CN"/>
      </w:rPr>
      <w:t xml:space="preserve">苏州润禹工程咨询管理有限公司</w:t>
    </w:r>
    <w:r>
      <w:rPr>
        <w:rFonts w:hint="eastAsia"/>
        <w:sz w:val="24"/>
        <w:szCs w:val="24"/>
      </w:rPr>
      <w:t xml:space="preserve">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6"/>
      <w:jc w:val="left"/>
      <w:pBdr>
        <w:bottom w:val="single" w:color="auto" w:sz="4" w:space="1"/>
      </w:pBdr>
    </w:pPr>
    <w:r>
      <w:rPr>
        <w:rFonts w:hint="eastAsia"/>
        <w:sz w:val="24"/>
        <w:szCs w:val="24"/>
        <w:lang w:eastAsia="zh-CN"/>
      </w:rPr>
      <w:t xml:space="preserve">苏州润禹工程咨询管理有限公司</w:t>
    </w:r>
    <w:r>
      <w:rPr>
        <w:rFonts w:hint="eastAsia"/>
        <w:sz w:val="24"/>
        <w:szCs w:val="24"/>
      </w:rPr>
      <w:t xml:space="preserve">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6"/>
      <w:jc w:val="left"/>
      <w:pBdr>
        <w:bottom w:val="single" w:color="auto" w:sz="4" w:space="1"/>
      </w:pBdr>
    </w:pPr>
    <w:r>
      <w:rPr>
        <w:rFonts w:hint="eastAsia"/>
        <w:sz w:val="24"/>
        <w:szCs w:val="24"/>
        <w:lang w:eastAsia="zh-CN"/>
      </w:rPr>
      <w:t xml:space="preserve">苏州润禹工程咨询管理有限公司</w:t>
    </w:r>
    <w:r>
      <w:rPr>
        <w:rFonts w:hint="eastAsia"/>
        <w:sz w:val="24"/>
        <w:szCs w:val="24"/>
      </w:rPr>
      <w:t xml:space="preserve">招标文件</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6"/>
      <w:jc w:val="left"/>
      <w:pBdr>
        <w:bottom w:val="single" w:color="auto" w:sz="4" w:space="1"/>
      </w:pBdr>
    </w:pPr>
    <w:r>
      <w:rPr>
        <w:rFonts w:hint="eastAsia"/>
        <w:sz w:val="24"/>
        <w:szCs w:val="24"/>
        <w:lang w:eastAsia="zh-CN"/>
      </w:rPr>
      <w:t xml:space="preserve">苏州润禹工程咨询管理有限公司</w:t>
    </w:r>
    <w:r>
      <w:rPr>
        <w:rFonts w:hint="eastAsia"/>
        <w:sz w:val="24"/>
        <w:szCs w:val="24"/>
      </w:rPr>
      <w:t xml:space="preserve">招标文件</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6"/>
      <w:jc w:val="left"/>
      <w:pBdr>
        <w:bottom w:val="single" w:color="auto" w:sz="4" w:space="1"/>
      </w:pBdr>
    </w:pPr>
    <w:r>
      <w:rPr>
        <w:rFonts w:hint="eastAsia"/>
        <w:sz w:val="24"/>
        <w:szCs w:val="24"/>
        <w:lang w:eastAsia="zh-CN"/>
      </w:rPr>
      <w:t xml:space="preserve">苏州润禹工程咨询管理有限公司</w:t>
    </w:r>
    <w:r>
      <w:rPr>
        <w:rFonts w:hint="eastAsia"/>
        <w:sz w:val="24"/>
        <w:szCs w:val="24"/>
      </w:rPr>
      <w:t xml:space="preserve">招标文件</w: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6"/>
      <w:pBdr>
        <w:bottom w:val="none" w:color="000000" w:sz="0" w:space="0"/>
      </w:pBdr>
    </w:p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6"/>
      <w:pBdr>
        <w:bottom w:val="none" w:color="000000" w:sz="0" w:space="1"/>
      </w:pBdr>
    </w:p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6"/>
      <w:pBdr>
        <w:bottom w:val="none" w:color="000000" w:sz="0" w:space="0"/>
      </w:pBdr>
    </w:p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62"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1163">
    <w:name w:val="Heading 1"/>
    <w:basedOn w:val="1162"/>
    <w:next w:val="1162"/>
    <w:link w:val="1200"/>
    <w:uiPriority w:val="9"/>
    <w:qFormat/>
    <w:pPr>
      <w:keepLines/>
      <w:keepNext/>
      <w:spacing w:before="480" w:after="200"/>
      <w:outlineLvl w:val="0"/>
    </w:pPr>
    <w:rPr>
      <w:rFonts w:ascii="Arial" w:hAnsi="Arial" w:eastAsia="Arial" w:cs="Arial"/>
      <w:sz w:val="40"/>
      <w:szCs w:val="40"/>
    </w:rPr>
  </w:style>
  <w:style w:type="paragraph" w:styleId="1164">
    <w:name w:val="Heading 2"/>
    <w:basedOn w:val="1162"/>
    <w:next w:val="1162"/>
    <w:link w:val="1201"/>
    <w:uiPriority w:val="9"/>
    <w:unhideWhenUsed/>
    <w:qFormat/>
    <w:pPr>
      <w:keepLines/>
      <w:keepNext/>
      <w:spacing w:before="360" w:after="200"/>
      <w:outlineLvl w:val="1"/>
    </w:pPr>
    <w:rPr>
      <w:rFonts w:ascii="Arial" w:hAnsi="Arial" w:eastAsia="Arial" w:cs="Arial"/>
      <w:sz w:val="34"/>
    </w:rPr>
  </w:style>
  <w:style w:type="paragraph" w:styleId="1165">
    <w:name w:val="Heading 3"/>
    <w:basedOn w:val="1162"/>
    <w:next w:val="1162"/>
    <w:uiPriority w:val="9"/>
    <w:unhideWhenUsed/>
    <w:qFormat/>
    <w:pPr>
      <w:keepLines/>
      <w:keepNext/>
      <w:spacing w:before="320" w:after="200"/>
      <w:outlineLvl w:val="2"/>
    </w:pPr>
    <w:rPr>
      <w:rFonts w:ascii="Arial" w:hAnsi="Arial" w:eastAsia="Arial" w:cs="Arial"/>
      <w:sz w:val="30"/>
      <w:szCs w:val="30"/>
    </w:rPr>
  </w:style>
  <w:style w:type="paragraph" w:styleId="1166">
    <w:name w:val="Heading 4"/>
    <w:basedOn w:val="1162"/>
    <w:next w:val="1162"/>
    <w:link w:val="1203"/>
    <w:uiPriority w:val="9"/>
    <w:unhideWhenUsed/>
    <w:qFormat/>
    <w:pPr>
      <w:keepLines/>
      <w:keepNext/>
      <w:spacing w:before="320" w:after="200"/>
      <w:outlineLvl w:val="3"/>
    </w:pPr>
    <w:rPr>
      <w:rFonts w:ascii="Arial" w:hAnsi="Arial" w:eastAsia="Arial" w:cs="Arial"/>
      <w:b/>
      <w:bCs/>
      <w:sz w:val="26"/>
      <w:szCs w:val="26"/>
    </w:rPr>
  </w:style>
  <w:style w:type="paragraph" w:styleId="1167">
    <w:name w:val="Heading 5"/>
    <w:basedOn w:val="1162"/>
    <w:next w:val="1162"/>
    <w:link w:val="1204"/>
    <w:uiPriority w:val="9"/>
    <w:unhideWhenUsed/>
    <w:qFormat/>
    <w:pPr>
      <w:keepLines/>
      <w:keepNext/>
      <w:spacing w:before="320" w:after="200"/>
      <w:outlineLvl w:val="4"/>
    </w:pPr>
    <w:rPr>
      <w:rFonts w:ascii="Arial" w:hAnsi="Arial" w:eastAsia="Arial" w:cs="Arial"/>
      <w:b/>
      <w:bCs/>
      <w:sz w:val="24"/>
      <w:szCs w:val="24"/>
    </w:rPr>
  </w:style>
  <w:style w:type="paragraph" w:styleId="1168">
    <w:name w:val="Heading 6"/>
    <w:basedOn w:val="1162"/>
    <w:next w:val="1162"/>
    <w:link w:val="1205"/>
    <w:uiPriority w:val="9"/>
    <w:unhideWhenUsed/>
    <w:qFormat/>
    <w:pPr>
      <w:keepLines/>
      <w:keepNext/>
      <w:spacing w:before="320" w:after="200"/>
      <w:outlineLvl w:val="5"/>
    </w:pPr>
    <w:rPr>
      <w:rFonts w:ascii="Arial" w:hAnsi="Arial" w:eastAsia="Arial" w:cs="Arial"/>
      <w:b/>
      <w:bCs/>
      <w:sz w:val="22"/>
      <w:szCs w:val="22"/>
    </w:rPr>
  </w:style>
  <w:style w:type="paragraph" w:styleId="1169">
    <w:name w:val="Heading 7"/>
    <w:basedOn w:val="1162"/>
    <w:next w:val="1162"/>
    <w:link w:val="1206"/>
    <w:uiPriority w:val="9"/>
    <w:unhideWhenUsed/>
    <w:qFormat/>
    <w:pPr>
      <w:keepLines/>
      <w:keepNext/>
      <w:spacing w:before="320" w:after="200"/>
      <w:outlineLvl w:val="6"/>
    </w:pPr>
    <w:rPr>
      <w:rFonts w:ascii="Arial" w:hAnsi="Arial" w:eastAsia="Arial" w:cs="Arial"/>
      <w:b/>
      <w:bCs/>
      <w:i/>
      <w:iCs/>
      <w:sz w:val="22"/>
      <w:szCs w:val="22"/>
    </w:rPr>
  </w:style>
  <w:style w:type="paragraph" w:styleId="1170">
    <w:name w:val="Heading 8"/>
    <w:basedOn w:val="1162"/>
    <w:next w:val="1162"/>
    <w:link w:val="1207"/>
    <w:uiPriority w:val="9"/>
    <w:unhideWhenUsed/>
    <w:qFormat/>
    <w:pPr>
      <w:keepLines/>
      <w:keepNext/>
      <w:spacing w:before="320" w:after="200"/>
      <w:outlineLvl w:val="7"/>
    </w:pPr>
    <w:rPr>
      <w:rFonts w:ascii="Arial" w:hAnsi="Arial" w:eastAsia="Arial" w:cs="Arial"/>
      <w:i/>
      <w:iCs/>
      <w:sz w:val="22"/>
      <w:szCs w:val="22"/>
    </w:rPr>
  </w:style>
  <w:style w:type="paragraph" w:styleId="1171">
    <w:name w:val="Heading 9"/>
    <w:basedOn w:val="1162"/>
    <w:next w:val="1162"/>
    <w:link w:val="1208"/>
    <w:uiPriority w:val="9"/>
    <w:unhideWhenUsed/>
    <w:qFormat/>
    <w:pPr>
      <w:keepLines/>
      <w:keepNext/>
      <w:spacing w:before="320" w:after="200"/>
      <w:outlineLvl w:val="8"/>
    </w:pPr>
    <w:rPr>
      <w:rFonts w:ascii="Arial" w:hAnsi="Arial" w:eastAsia="Arial" w:cs="Arial"/>
      <w:i/>
      <w:iCs/>
      <w:sz w:val="21"/>
      <w:szCs w:val="21"/>
    </w:rPr>
  </w:style>
  <w:style w:type="character" w:styleId="1172" w:default="1">
    <w:name w:val="Default Paragraph Font"/>
    <w:uiPriority w:val="1"/>
    <w:semiHidden/>
    <w:unhideWhenUsed/>
    <w:qFormat/>
  </w:style>
  <w:style w:type="table" w:styleId="1173" w:default="1">
    <w:name w:val="Normal Table"/>
    <w:uiPriority w:val="99"/>
    <w:semiHidden/>
    <w:unhideWhenUsed/>
    <w:qFormat/>
    <w:tblPr>
      <w:tblCellMar>
        <w:left w:w="108" w:type="dxa"/>
        <w:top w:w="0" w:type="dxa"/>
        <w:right w:w="108" w:type="dxa"/>
        <w:bottom w:w="0" w:type="dxa"/>
      </w:tblCellMar>
    </w:tblPr>
  </w:style>
  <w:style w:type="paragraph" w:styleId="1174">
    <w:name w:val="toc 7"/>
    <w:basedOn w:val="1162"/>
    <w:next w:val="1162"/>
    <w:uiPriority w:val="39"/>
    <w:unhideWhenUsed/>
    <w:qFormat/>
    <w:pPr>
      <w:ind w:left="1701" w:right="0" w:firstLine="0"/>
      <w:spacing w:after="57"/>
    </w:pPr>
  </w:style>
  <w:style w:type="paragraph" w:styleId="1175">
    <w:name w:val="table of authorities"/>
    <w:basedOn w:val="1162"/>
    <w:next w:val="1162"/>
    <w:uiPriority w:val="0"/>
    <w:qFormat/>
    <w:pPr>
      <w:ind w:left="420"/>
    </w:pPr>
    <w:rPr>
      <w:rFonts w:ascii="Calibri" w:hAnsi="Calibri"/>
    </w:rPr>
  </w:style>
  <w:style w:type="paragraph" w:styleId="1176">
    <w:name w:val="Caption"/>
    <w:basedOn w:val="1162"/>
    <w:next w:val="116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177">
    <w:name w:val="annotation text"/>
    <w:basedOn w:val="1162"/>
    <w:uiPriority w:val="99"/>
    <w:semiHidden/>
    <w:unhideWhenUsed/>
    <w:qFormat/>
    <w:pPr>
      <w:jc w:val="left"/>
    </w:pPr>
  </w:style>
  <w:style w:type="paragraph" w:styleId="1178">
    <w:name w:val="Body Text"/>
    <w:basedOn w:val="1162"/>
    <w:next w:val="1179"/>
    <w:uiPriority w:val="0"/>
    <w:qFormat/>
    <w:pPr>
      <w:tabs>
        <w:tab w:val="left" w:pos="5250" w:leader="none"/>
      </w:tabs>
    </w:pPr>
    <w:rPr>
      <w:sz w:val="28"/>
    </w:rPr>
  </w:style>
  <w:style w:type="paragraph" w:styleId="1179">
    <w:name w:val="Body Text First Indent"/>
    <w:basedOn w:val="1178"/>
    <w:next w:val="1162"/>
    <w:uiPriority w:val="0"/>
    <w:qFormat/>
    <w:pPr>
      <w:ind w:firstLine="420"/>
    </w:pPr>
  </w:style>
  <w:style w:type="paragraph" w:styleId="1180">
    <w:name w:val="toc 5"/>
    <w:basedOn w:val="1162"/>
    <w:next w:val="1162"/>
    <w:uiPriority w:val="39"/>
    <w:unhideWhenUsed/>
    <w:qFormat/>
    <w:pPr>
      <w:ind w:left="1134" w:right="0" w:firstLine="0"/>
      <w:spacing w:after="57"/>
    </w:pPr>
  </w:style>
  <w:style w:type="paragraph" w:styleId="1181">
    <w:name w:val="toc 3"/>
    <w:basedOn w:val="1162"/>
    <w:next w:val="1162"/>
    <w:uiPriority w:val="39"/>
    <w:unhideWhenUsed/>
    <w:qFormat/>
    <w:pPr>
      <w:ind w:left="567" w:right="0" w:firstLine="0"/>
      <w:spacing w:after="57"/>
    </w:pPr>
  </w:style>
  <w:style w:type="paragraph" w:styleId="1182">
    <w:name w:val="toc 8"/>
    <w:basedOn w:val="1162"/>
    <w:next w:val="1162"/>
    <w:uiPriority w:val="39"/>
    <w:unhideWhenUsed/>
    <w:qFormat/>
    <w:pPr>
      <w:ind w:left="1984" w:right="0" w:firstLine="0"/>
      <w:spacing w:after="57"/>
    </w:pPr>
  </w:style>
  <w:style w:type="paragraph" w:styleId="1183">
    <w:name w:val="endnote text"/>
    <w:basedOn w:val="1162"/>
    <w:link w:val="1346"/>
    <w:uiPriority w:val="99"/>
    <w:semiHidden/>
    <w:unhideWhenUsed/>
    <w:qFormat/>
    <w:pPr>
      <w:spacing w:after="0" w:line="240" w:lineRule="auto"/>
    </w:pPr>
    <w:rPr>
      <w:sz w:val="20"/>
    </w:rPr>
  </w:style>
  <w:style w:type="paragraph" w:styleId="1184">
    <w:name w:val="Footer"/>
    <w:basedOn w:val="1162"/>
    <w:uiPriority w:val="99"/>
    <w:unhideWhenUsed/>
    <w:qFormat/>
    <w:pPr>
      <w:tabs>
        <w:tab w:val="center" w:pos="7143" w:leader="none"/>
        <w:tab w:val="right" w:pos="14287" w:leader="none"/>
      </w:tabs>
    </w:pPr>
  </w:style>
  <w:style w:type="paragraph" w:styleId="1185">
    <w:name w:val="Header"/>
    <w:basedOn w:val="1162"/>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186">
    <w:name w:val="toc 1"/>
    <w:basedOn w:val="1162"/>
    <w:next w:val="1162"/>
    <w:uiPriority w:val="39"/>
    <w:unhideWhenUsed/>
    <w:qFormat/>
    <w:pPr>
      <w:spacing w:after="57"/>
    </w:pPr>
  </w:style>
  <w:style w:type="paragraph" w:styleId="1187">
    <w:name w:val="toc 4"/>
    <w:basedOn w:val="1162"/>
    <w:next w:val="1162"/>
    <w:uiPriority w:val="39"/>
    <w:unhideWhenUsed/>
    <w:qFormat/>
    <w:pPr>
      <w:ind w:left="850" w:right="0" w:firstLine="0"/>
      <w:spacing w:after="57"/>
    </w:pPr>
  </w:style>
  <w:style w:type="paragraph" w:styleId="1188">
    <w:name w:val="Subtitle"/>
    <w:basedOn w:val="1162"/>
    <w:next w:val="1162"/>
    <w:link w:val="1212"/>
    <w:uiPriority w:val="11"/>
    <w:qFormat/>
    <w:pPr>
      <w:spacing w:before="200" w:after="200"/>
    </w:pPr>
    <w:rPr>
      <w:sz w:val="24"/>
      <w:szCs w:val="24"/>
    </w:rPr>
  </w:style>
  <w:style w:type="paragraph" w:styleId="1189">
    <w:name w:val="footnote text"/>
    <w:basedOn w:val="1162"/>
    <w:link w:val="1345"/>
    <w:uiPriority w:val="99"/>
    <w:semiHidden/>
    <w:unhideWhenUsed/>
    <w:qFormat/>
    <w:pPr>
      <w:spacing w:after="40" w:line="240" w:lineRule="auto"/>
    </w:pPr>
    <w:rPr>
      <w:sz w:val="18"/>
    </w:rPr>
  </w:style>
  <w:style w:type="paragraph" w:styleId="1190">
    <w:name w:val="toc 6"/>
    <w:basedOn w:val="1162"/>
    <w:next w:val="1162"/>
    <w:uiPriority w:val="39"/>
    <w:unhideWhenUsed/>
    <w:qFormat/>
    <w:pPr>
      <w:ind w:left="1417" w:right="0" w:firstLine="0"/>
      <w:spacing w:after="57"/>
    </w:pPr>
  </w:style>
  <w:style w:type="paragraph" w:styleId="1191">
    <w:name w:val="table of figures"/>
    <w:basedOn w:val="1162"/>
    <w:next w:val="1162"/>
    <w:uiPriority w:val="99"/>
    <w:unhideWhenUsed/>
    <w:qFormat/>
    <w:pPr>
      <w:spacing w:after="0" w:afterAutospacing="0"/>
    </w:pPr>
  </w:style>
  <w:style w:type="paragraph" w:styleId="1192">
    <w:name w:val="toc 2"/>
    <w:basedOn w:val="1162"/>
    <w:next w:val="1162"/>
    <w:uiPriority w:val="39"/>
    <w:unhideWhenUsed/>
    <w:qFormat/>
    <w:pPr>
      <w:ind w:left="283"/>
      <w:spacing w:after="57"/>
    </w:pPr>
  </w:style>
  <w:style w:type="paragraph" w:styleId="1193">
    <w:name w:val="toc 9"/>
    <w:basedOn w:val="1162"/>
    <w:next w:val="1162"/>
    <w:uiPriority w:val="39"/>
    <w:unhideWhenUsed/>
    <w:qFormat/>
    <w:pPr>
      <w:ind w:left="2268" w:right="0" w:firstLine="0"/>
      <w:spacing w:after="57"/>
    </w:pPr>
  </w:style>
  <w:style w:type="paragraph" w:styleId="1194">
    <w:name w:val="Normal (Web)"/>
    <w:basedOn w:val="1162"/>
    <w:uiPriority w:val="0"/>
    <w:qFormat/>
    <w:pPr>
      <w:ind w:left="0" w:right="0"/>
      <w:jc w:val="left"/>
      <w:spacing w:before="0" w:beforeAutospacing="1" w:after="0" w:afterAutospacing="1"/>
    </w:pPr>
    <w:rPr>
      <w:sz w:val="24"/>
      <w:lang w:val="en-US" w:eastAsia="zh-CN" w:bidi="ar"/>
    </w:rPr>
  </w:style>
  <w:style w:type="paragraph" w:styleId="1195">
    <w:name w:val="Title"/>
    <w:basedOn w:val="1162"/>
    <w:next w:val="1162"/>
    <w:link w:val="1211"/>
    <w:uiPriority w:val="10"/>
    <w:qFormat/>
    <w:pPr>
      <w:contextualSpacing/>
      <w:spacing w:before="300" w:after="200"/>
    </w:pPr>
    <w:rPr>
      <w:sz w:val="48"/>
      <w:szCs w:val="48"/>
    </w:rPr>
  </w:style>
  <w:style w:type="table" w:styleId="1196">
    <w:name w:val="Table Grid"/>
    <w:basedOn w:val="117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97">
    <w:name w:val="endnote reference"/>
    <w:basedOn w:val="1172"/>
    <w:uiPriority w:val="99"/>
    <w:semiHidden/>
    <w:unhideWhenUsed/>
    <w:qFormat/>
    <w:rPr>
      <w:vertAlign w:val="superscript"/>
    </w:rPr>
  </w:style>
  <w:style w:type="character" w:styleId="1198">
    <w:name w:val="Hyperlink"/>
    <w:uiPriority w:val="99"/>
    <w:unhideWhenUsed/>
    <w:qFormat/>
    <w:rPr>
      <w:color w:val="0026e5" w:themeColor="hyperlink"/>
      <w:u w:val="single"/>
      <w14:textFill>
        <w14:solidFill>
          <w14:schemeClr w14:val="hlink"/>
        </w14:solidFill>
      </w14:textFill>
    </w:rPr>
  </w:style>
  <w:style w:type="character" w:styleId="1199">
    <w:name w:val="footnote reference"/>
    <w:basedOn w:val="1172"/>
    <w:uiPriority w:val="99"/>
    <w:unhideWhenUsed/>
    <w:qFormat/>
    <w:rPr>
      <w:vertAlign w:val="superscript"/>
    </w:rPr>
  </w:style>
  <w:style w:type="character" w:styleId="1200" w:customStyle="1">
    <w:name w:val="Heading 1 Char"/>
    <w:basedOn w:val="1172"/>
    <w:link w:val="1163"/>
    <w:uiPriority w:val="9"/>
    <w:qFormat/>
    <w:rPr>
      <w:rFonts w:ascii="Arial" w:hAnsi="Arial" w:eastAsia="Arial" w:cs="Arial"/>
      <w:sz w:val="40"/>
      <w:szCs w:val="40"/>
    </w:rPr>
  </w:style>
  <w:style w:type="character" w:styleId="1201" w:customStyle="1">
    <w:name w:val="Heading 2 Char"/>
    <w:basedOn w:val="1172"/>
    <w:link w:val="1164"/>
    <w:uiPriority w:val="9"/>
    <w:qFormat/>
    <w:rPr>
      <w:rFonts w:ascii="Arial" w:hAnsi="Arial" w:eastAsia="Arial" w:cs="Arial"/>
      <w:sz w:val="34"/>
    </w:rPr>
  </w:style>
  <w:style w:type="character" w:styleId="1202" w:customStyle="1">
    <w:name w:val="Heading 3 Char"/>
    <w:basedOn w:val="1172"/>
    <w:uiPriority w:val="9"/>
    <w:qFormat/>
    <w:rPr>
      <w:rFonts w:ascii="Arial" w:hAnsi="Arial" w:eastAsia="Arial" w:cs="Arial"/>
      <w:sz w:val="30"/>
      <w:szCs w:val="30"/>
    </w:rPr>
  </w:style>
  <w:style w:type="character" w:styleId="1203" w:customStyle="1">
    <w:name w:val="Heading 4 Char"/>
    <w:basedOn w:val="1172"/>
    <w:link w:val="1166"/>
    <w:uiPriority w:val="9"/>
    <w:qFormat/>
    <w:rPr>
      <w:rFonts w:ascii="Arial" w:hAnsi="Arial" w:eastAsia="Arial" w:cs="Arial"/>
      <w:b/>
      <w:bCs/>
      <w:sz w:val="26"/>
      <w:szCs w:val="26"/>
    </w:rPr>
  </w:style>
  <w:style w:type="character" w:styleId="1204" w:customStyle="1">
    <w:name w:val="Heading 5 Char"/>
    <w:basedOn w:val="1172"/>
    <w:link w:val="1167"/>
    <w:uiPriority w:val="9"/>
    <w:qFormat/>
    <w:rPr>
      <w:rFonts w:ascii="Arial" w:hAnsi="Arial" w:eastAsia="Arial" w:cs="Arial"/>
      <w:b/>
      <w:bCs/>
      <w:sz w:val="24"/>
      <w:szCs w:val="24"/>
    </w:rPr>
  </w:style>
  <w:style w:type="character" w:styleId="1205" w:customStyle="1">
    <w:name w:val="Heading 6 Char"/>
    <w:basedOn w:val="1172"/>
    <w:link w:val="1168"/>
    <w:uiPriority w:val="9"/>
    <w:qFormat/>
    <w:rPr>
      <w:rFonts w:ascii="Arial" w:hAnsi="Arial" w:eastAsia="Arial" w:cs="Arial"/>
      <w:b/>
      <w:bCs/>
      <w:sz w:val="22"/>
      <w:szCs w:val="22"/>
    </w:rPr>
  </w:style>
  <w:style w:type="character" w:styleId="1206" w:customStyle="1">
    <w:name w:val="Heading 7 Char"/>
    <w:basedOn w:val="1172"/>
    <w:link w:val="1169"/>
    <w:uiPriority w:val="9"/>
    <w:qFormat/>
    <w:rPr>
      <w:rFonts w:ascii="Arial" w:hAnsi="Arial" w:eastAsia="Arial" w:cs="Arial"/>
      <w:b/>
      <w:bCs/>
      <w:i/>
      <w:iCs/>
      <w:sz w:val="22"/>
      <w:szCs w:val="22"/>
    </w:rPr>
  </w:style>
  <w:style w:type="character" w:styleId="1207" w:customStyle="1">
    <w:name w:val="Heading 8 Char"/>
    <w:basedOn w:val="1172"/>
    <w:link w:val="1170"/>
    <w:uiPriority w:val="9"/>
    <w:qFormat/>
    <w:rPr>
      <w:rFonts w:ascii="Arial" w:hAnsi="Arial" w:eastAsia="Arial" w:cs="Arial"/>
      <w:i/>
      <w:iCs/>
      <w:sz w:val="22"/>
      <w:szCs w:val="22"/>
    </w:rPr>
  </w:style>
  <w:style w:type="character" w:styleId="1208" w:customStyle="1">
    <w:name w:val="Heading 9 Char"/>
    <w:basedOn w:val="1172"/>
    <w:link w:val="1171"/>
    <w:uiPriority w:val="9"/>
    <w:qFormat/>
    <w:rPr>
      <w:rFonts w:ascii="Arial" w:hAnsi="Arial" w:eastAsia="Arial" w:cs="Arial"/>
      <w:i/>
      <w:iCs/>
      <w:sz w:val="21"/>
      <w:szCs w:val="21"/>
    </w:rPr>
  </w:style>
  <w:style w:type="paragraph" w:styleId="1209">
    <w:name w:val="List Paragraph"/>
    <w:basedOn w:val="1162"/>
    <w:uiPriority w:val="34"/>
    <w:qFormat/>
    <w:pPr>
      <w:contextualSpacing/>
      <w:ind w:left="720"/>
    </w:pPr>
  </w:style>
  <w:style w:type="paragraph" w:styleId="1210">
    <w:name w:val="No Spacing"/>
    <w:uiPriority w:val="1"/>
    <w:qFormat/>
    <w:pPr>
      <w:spacing w:before="0" w:after="0" w:line="240" w:lineRule="auto"/>
    </w:pPr>
    <w:rPr>
      <w:rFonts w:hint="default" w:ascii="Times New Roman" w:hAnsi="Times New Roman" w:eastAsia="宋体" w:cs="Times New Roman"/>
    </w:rPr>
  </w:style>
  <w:style w:type="character" w:styleId="1211" w:customStyle="1">
    <w:name w:val="Title Char"/>
    <w:basedOn w:val="1172"/>
    <w:link w:val="1195"/>
    <w:uiPriority w:val="10"/>
    <w:qFormat/>
    <w:rPr>
      <w:sz w:val="48"/>
      <w:szCs w:val="48"/>
    </w:rPr>
  </w:style>
  <w:style w:type="character" w:styleId="1212" w:customStyle="1">
    <w:name w:val="Subtitle Char"/>
    <w:basedOn w:val="1172"/>
    <w:link w:val="1188"/>
    <w:uiPriority w:val="11"/>
    <w:qFormat/>
    <w:rPr>
      <w:sz w:val="24"/>
      <w:szCs w:val="24"/>
    </w:rPr>
  </w:style>
  <w:style w:type="paragraph" w:styleId="1213">
    <w:name w:val="Quote"/>
    <w:basedOn w:val="1162"/>
    <w:next w:val="1162"/>
    <w:link w:val="1214"/>
    <w:uiPriority w:val="29"/>
    <w:qFormat/>
    <w:pPr>
      <w:ind w:left="720" w:right="720"/>
    </w:pPr>
    <w:rPr>
      <w:i/>
    </w:rPr>
  </w:style>
  <w:style w:type="character" w:styleId="1214" w:customStyle="1">
    <w:name w:val="Quote Char"/>
    <w:link w:val="1213"/>
    <w:uiPriority w:val="29"/>
    <w:qFormat/>
    <w:rPr>
      <w:i/>
    </w:rPr>
  </w:style>
  <w:style w:type="paragraph" w:styleId="1215">
    <w:name w:val="Intense Quote"/>
    <w:basedOn w:val="1162"/>
    <w:next w:val="1162"/>
    <w:link w:val="12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16" w:customStyle="1">
    <w:name w:val="Intense Quote Char"/>
    <w:link w:val="1215"/>
    <w:uiPriority w:val="30"/>
    <w:qFormat/>
    <w:rPr>
      <w:i/>
    </w:rPr>
  </w:style>
  <w:style w:type="character" w:styleId="1217" w:customStyle="1">
    <w:name w:val="Header Char"/>
    <w:basedOn w:val="1172"/>
    <w:uiPriority w:val="99"/>
    <w:qFormat/>
  </w:style>
  <w:style w:type="character" w:styleId="1218" w:customStyle="1">
    <w:name w:val="Footer Char"/>
    <w:basedOn w:val="1172"/>
    <w:uiPriority w:val="99"/>
    <w:qFormat/>
  </w:style>
  <w:style w:type="character" w:styleId="1219" w:customStyle="1">
    <w:name w:val="Caption Char"/>
    <w:uiPriority w:val="99"/>
    <w:qFormat/>
  </w:style>
  <w:style w:type="table" w:styleId="1220" w:customStyle="1">
    <w:name w:val="Table Grid Light"/>
    <w:basedOn w:val="11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21" w:customStyle="1">
    <w:name w:val="Plain Table 1"/>
    <w:basedOn w:val="11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22" w:customStyle="1">
    <w:name w:val="Plain Table 2"/>
    <w:basedOn w:val="11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23" w:customStyle="1">
    <w:name w:val="Plain Table 3"/>
    <w:basedOn w:val="11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24" w:customStyle="1">
    <w:name w:val="Plain Table 4"/>
    <w:basedOn w:val="11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25" w:customStyle="1">
    <w:name w:val="Plain Table 5"/>
    <w:basedOn w:val="11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26" w:customStyle="1">
    <w:name w:val="Grid Table 1 Light"/>
    <w:basedOn w:val="11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27" w:customStyle="1">
    <w:name w:val="Grid Table 1 Light - Accent 1"/>
    <w:basedOn w:val="117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228" w:customStyle="1">
    <w:name w:val="Grid Table 1 Light - Accent 2"/>
    <w:basedOn w:val="117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229" w:customStyle="1">
    <w:name w:val="Grid Table 1 Light - Accent 3"/>
    <w:basedOn w:val="117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230" w:customStyle="1">
    <w:name w:val="Grid Table 1 Light - Accent 4"/>
    <w:basedOn w:val="117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231" w:customStyle="1">
    <w:name w:val="Grid Table 1 Light - Accent 5"/>
    <w:basedOn w:val="117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232" w:customStyle="1">
    <w:name w:val="Grid Table 1 Light - Accent 6"/>
    <w:basedOn w:val="117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233" w:customStyle="1">
    <w:name w:val="Grid Table 2"/>
    <w:basedOn w:val="11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34" w:customStyle="1">
    <w:name w:val="Grid Table 2 - Accent 1"/>
    <w:basedOn w:val="117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235" w:customStyle="1">
    <w:name w:val="Grid Table 2 - Accent 2"/>
    <w:basedOn w:val="117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236" w:customStyle="1">
    <w:name w:val="Grid Table 2 - Accent 3"/>
    <w:basedOn w:val="117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237" w:customStyle="1">
    <w:name w:val="Grid Table 2 - Accent 4"/>
    <w:basedOn w:val="117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238" w:customStyle="1">
    <w:name w:val="Grid Table 2 - Accent 5"/>
    <w:basedOn w:val="117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239" w:customStyle="1">
    <w:name w:val="Grid Table 2 - Accent 6"/>
    <w:basedOn w:val="117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240" w:customStyle="1">
    <w:name w:val="Grid Table 3"/>
    <w:basedOn w:val="11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1" w:customStyle="1">
    <w:name w:val="Grid Table 3 - Accent 1"/>
    <w:basedOn w:val="117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2" w:customStyle="1">
    <w:name w:val="Grid Table 3 - Accent 2"/>
    <w:basedOn w:val="117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3" w:customStyle="1">
    <w:name w:val="Grid Table 3 - Accent 3"/>
    <w:basedOn w:val="117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4" w:customStyle="1">
    <w:name w:val="Grid Table 3 - Accent 4"/>
    <w:basedOn w:val="117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5" w:customStyle="1">
    <w:name w:val="Grid Table 3 - Accent 5"/>
    <w:basedOn w:val="117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6" w:customStyle="1">
    <w:name w:val="Grid Table 3 - Accent 6"/>
    <w:basedOn w:val="117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7" w:customStyle="1">
    <w:name w:val="Grid Table 4"/>
    <w:basedOn w:val="11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8" w:customStyle="1">
    <w:name w:val="Grid Table 4 - Accent 1"/>
    <w:basedOn w:val="117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249" w:customStyle="1">
    <w:name w:val="Grid Table 4 - Accent 2"/>
    <w:basedOn w:val="117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250" w:customStyle="1">
    <w:name w:val="Grid Table 4 - Accent 3"/>
    <w:basedOn w:val="117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251" w:customStyle="1">
    <w:name w:val="Grid Table 4 - Accent 4"/>
    <w:basedOn w:val="117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252" w:customStyle="1">
    <w:name w:val="Grid Table 4 - Accent 5"/>
    <w:basedOn w:val="117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253" w:customStyle="1">
    <w:name w:val="Grid Table 4 - Accent 6"/>
    <w:basedOn w:val="117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254" w:customStyle="1">
    <w:name w:val="Grid Table 5 Dark"/>
    <w:basedOn w:val="11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55" w:customStyle="1">
    <w:name w:val="Grid Table 5 Dark- Accent 1"/>
    <w:basedOn w:val="11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256" w:customStyle="1">
    <w:name w:val="Grid Table 5 Dark - Accent 2"/>
    <w:basedOn w:val="11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257" w:customStyle="1">
    <w:name w:val="Grid Table 5 Dark - Accent 3"/>
    <w:basedOn w:val="11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258" w:customStyle="1">
    <w:name w:val="Grid Table 5 Dark- Accent 4"/>
    <w:basedOn w:val="11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259" w:customStyle="1">
    <w:name w:val="Grid Table 5 Dark - Accent 5"/>
    <w:basedOn w:val="11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260" w:customStyle="1">
    <w:name w:val="Grid Table 5 Dark - Accent 6"/>
    <w:basedOn w:val="11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261" w:customStyle="1">
    <w:name w:val="Grid Table 6 Colorful"/>
    <w:basedOn w:val="11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62" w:customStyle="1">
    <w:name w:val="Grid Table 6 Colorful - Accent 1"/>
    <w:basedOn w:val="117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263" w:customStyle="1">
    <w:name w:val="Grid Table 6 Colorful - Accent 2"/>
    <w:basedOn w:val="117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264" w:customStyle="1">
    <w:name w:val="Grid Table 6 Colorful - Accent 3"/>
    <w:basedOn w:val="117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265" w:customStyle="1">
    <w:name w:val="Grid Table 6 Colorful - Accent 4"/>
    <w:basedOn w:val="117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266" w:customStyle="1">
    <w:name w:val="Grid Table 6 Colorful - Accent 5"/>
    <w:basedOn w:val="117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267" w:customStyle="1">
    <w:name w:val="Grid Table 6 Colorful - Accent 6"/>
    <w:basedOn w:val="117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268" w:customStyle="1">
    <w:name w:val="Grid Table 7 Colorful"/>
    <w:basedOn w:val="11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69" w:customStyle="1">
    <w:name w:val="Grid Table 7 Colorful - Accent 1"/>
    <w:basedOn w:val="117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270" w:customStyle="1">
    <w:name w:val="Grid Table 7 Colorful - Accent 2"/>
    <w:basedOn w:val="117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71" w:customStyle="1">
    <w:name w:val="Grid Table 7 Colorful - Accent 3"/>
    <w:basedOn w:val="117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272" w:customStyle="1">
    <w:name w:val="Grid Table 7 Colorful - Accent 4"/>
    <w:basedOn w:val="117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73" w:customStyle="1">
    <w:name w:val="Grid Table 7 Colorful - Accent 5"/>
    <w:basedOn w:val="117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274" w:customStyle="1">
    <w:name w:val="Grid Table 7 Colorful - Accent 6"/>
    <w:basedOn w:val="117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275" w:customStyle="1">
    <w:name w:val="List Table 1 Light"/>
    <w:basedOn w:val="11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76" w:customStyle="1">
    <w:name w:val="List Table 1 Light - Accent 1"/>
    <w:basedOn w:val="117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277" w:customStyle="1">
    <w:name w:val="List Table 1 Light - Accent 2"/>
    <w:basedOn w:val="117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278" w:customStyle="1">
    <w:name w:val="List Table 1 Light - Accent 3"/>
    <w:basedOn w:val="117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279" w:customStyle="1">
    <w:name w:val="List Table 1 Light - Accent 4"/>
    <w:basedOn w:val="117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280" w:customStyle="1">
    <w:name w:val="List Table 1 Light - Accent 5"/>
    <w:basedOn w:val="117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281" w:customStyle="1">
    <w:name w:val="List Table 1 Light - Accent 6"/>
    <w:basedOn w:val="117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282" w:customStyle="1">
    <w:name w:val="List Table 2"/>
    <w:basedOn w:val="11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83" w:customStyle="1">
    <w:name w:val="List Table 2 - Accent 1"/>
    <w:basedOn w:val="117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284" w:customStyle="1">
    <w:name w:val="List Table 2 - Accent 2"/>
    <w:basedOn w:val="117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285" w:customStyle="1">
    <w:name w:val="List Table 2 - Accent 3"/>
    <w:basedOn w:val="117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286" w:customStyle="1">
    <w:name w:val="List Table 2 - Accent 4"/>
    <w:basedOn w:val="117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287" w:customStyle="1">
    <w:name w:val="List Table 2 - Accent 5"/>
    <w:basedOn w:val="117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288" w:customStyle="1">
    <w:name w:val="List Table 2 - Accent 6"/>
    <w:basedOn w:val="117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289" w:customStyle="1">
    <w:name w:val="List Table 3"/>
    <w:basedOn w:val="11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90" w:customStyle="1">
    <w:name w:val="List Table 3 - Accent 1"/>
    <w:basedOn w:val="117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91" w:customStyle="1">
    <w:name w:val="List Table 3 - Accent 2"/>
    <w:basedOn w:val="117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292" w:customStyle="1">
    <w:name w:val="List Table 3 - Accent 3"/>
    <w:basedOn w:val="117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293" w:customStyle="1">
    <w:name w:val="List Table 3 - Accent 4"/>
    <w:basedOn w:val="117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294" w:customStyle="1">
    <w:name w:val="List Table 3 - Accent 5"/>
    <w:basedOn w:val="117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295" w:customStyle="1">
    <w:name w:val="List Table 3 - Accent 6"/>
    <w:basedOn w:val="117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296" w:customStyle="1">
    <w:name w:val="List Table 4"/>
    <w:basedOn w:val="11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97" w:customStyle="1">
    <w:name w:val="List Table 4 - Accent 1"/>
    <w:basedOn w:val="117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98" w:customStyle="1">
    <w:name w:val="List Table 4 - Accent 2"/>
    <w:basedOn w:val="117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299" w:customStyle="1">
    <w:name w:val="List Table 4 - Accent 3"/>
    <w:basedOn w:val="117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300" w:customStyle="1">
    <w:name w:val="List Table 4 - Accent 4"/>
    <w:basedOn w:val="117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301" w:customStyle="1">
    <w:name w:val="List Table 4 - Accent 5"/>
    <w:basedOn w:val="117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302" w:customStyle="1">
    <w:name w:val="List Table 4 - Accent 6"/>
    <w:basedOn w:val="117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303" w:customStyle="1">
    <w:name w:val="List Table 5 Dark"/>
    <w:basedOn w:val="11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4" w:customStyle="1">
    <w:name w:val="List Table 5 Dark - Accent 1"/>
    <w:basedOn w:val="117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5" w:customStyle="1">
    <w:name w:val="List Table 5 Dark - Accent 2"/>
    <w:basedOn w:val="117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6" w:customStyle="1">
    <w:name w:val="List Table 5 Dark - Accent 3"/>
    <w:basedOn w:val="117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7" w:customStyle="1">
    <w:name w:val="List Table 5 Dark - Accent 4"/>
    <w:basedOn w:val="117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8" w:customStyle="1">
    <w:name w:val="List Table 5 Dark - Accent 5"/>
    <w:basedOn w:val="117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9" w:customStyle="1">
    <w:name w:val="List Table 5 Dark - Accent 6"/>
    <w:basedOn w:val="117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0" w:customStyle="1">
    <w:name w:val="List Table 6 Colorful"/>
    <w:basedOn w:val="11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11" w:customStyle="1">
    <w:name w:val="List Table 6 Colorful - Accent 1"/>
    <w:basedOn w:val="117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312" w:customStyle="1">
    <w:name w:val="List Table 6 Colorful - Accent 2"/>
    <w:basedOn w:val="117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313" w:customStyle="1">
    <w:name w:val="List Table 6 Colorful - Accent 3"/>
    <w:basedOn w:val="117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314" w:customStyle="1">
    <w:name w:val="List Table 6 Colorful - Accent 4"/>
    <w:basedOn w:val="117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315" w:customStyle="1">
    <w:name w:val="List Table 6 Colorful - Accent 5"/>
    <w:basedOn w:val="117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316" w:customStyle="1">
    <w:name w:val="List Table 6 Colorful - Accent 6"/>
    <w:basedOn w:val="117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317" w:customStyle="1">
    <w:name w:val="List Table 7 Colorful"/>
    <w:basedOn w:val="11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18" w:customStyle="1">
    <w:name w:val="List Table 7 Colorful - Accent 1"/>
    <w:basedOn w:val="117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319" w:customStyle="1">
    <w:name w:val="List Table 7 Colorful - Accent 2"/>
    <w:basedOn w:val="117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320" w:customStyle="1">
    <w:name w:val="List Table 7 Colorful - Accent 3"/>
    <w:basedOn w:val="117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321" w:customStyle="1">
    <w:name w:val="List Table 7 Colorful - Accent 4"/>
    <w:basedOn w:val="117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322" w:customStyle="1">
    <w:name w:val="List Table 7 Colorful - Accent 5"/>
    <w:basedOn w:val="117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323" w:customStyle="1">
    <w:name w:val="List Table 7 Colorful - Accent 6"/>
    <w:basedOn w:val="117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324" w:customStyle="1">
    <w:name w:val="Lined - Accent"/>
    <w:basedOn w:val="11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25" w:customStyle="1">
    <w:name w:val="Lined - Accent 1"/>
    <w:basedOn w:val="11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326" w:customStyle="1">
    <w:name w:val="Lined - Accent 2"/>
    <w:basedOn w:val="11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327" w:customStyle="1">
    <w:name w:val="Lined - Accent 3"/>
    <w:basedOn w:val="11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328" w:customStyle="1">
    <w:name w:val="Lined - Accent 4"/>
    <w:basedOn w:val="11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329" w:customStyle="1">
    <w:name w:val="Lined - Accent 5"/>
    <w:basedOn w:val="11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330" w:customStyle="1">
    <w:name w:val="Lined - Accent 6"/>
    <w:basedOn w:val="11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331" w:customStyle="1">
    <w:name w:val="Bordered &amp; Lined - Accent"/>
    <w:basedOn w:val="117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32" w:customStyle="1">
    <w:name w:val="Bordered &amp; Lined - Accent 1"/>
    <w:basedOn w:val="117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333" w:customStyle="1">
    <w:name w:val="Bordered &amp; Lined - Accent 2"/>
    <w:basedOn w:val="117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334" w:customStyle="1">
    <w:name w:val="Bordered &amp; Lined - Accent 3"/>
    <w:basedOn w:val="117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335" w:customStyle="1">
    <w:name w:val="Bordered &amp; Lined - Accent 4"/>
    <w:basedOn w:val="117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336" w:customStyle="1">
    <w:name w:val="Bordered &amp; Lined - Accent 5"/>
    <w:basedOn w:val="117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337" w:customStyle="1">
    <w:name w:val="Bordered &amp; Lined - Accent 6"/>
    <w:basedOn w:val="117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338" w:customStyle="1">
    <w:name w:val="Bordered"/>
    <w:basedOn w:val="117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39" w:customStyle="1">
    <w:name w:val="Bordered - Accent 1"/>
    <w:basedOn w:val="117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340" w:customStyle="1">
    <w:name w:val="Bordered - Accent 2"/>
    <w:basedOn w:val="117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341" w:customStyle="1">
    <w:name w:val="Bordered - Accent 3"/>
    <w:basedOn w:val="117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342" w:customStyle="1">
    <w:name w:val="Bordered - Accent 4"/>
    <w:basedOn w:val="117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343" w:customStyle="1">
    <w:name w:val="Bordered - Accent 5"/>
    <w:basedOn w:val="117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344" w:customStyle="1">
    <w:name w:val="Bordered - Accent 6"/>
    <w:basedOn w:val="117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345" w:customStyle="1">
    <w:name w:val="Footnote Text Char"/>
    <w:link w:val="1189"/>
    <w:uiPriority w:val="99"/>
    <w:qFormat/>
    <w:rPr>
      <w:sz w:val="18"/>
    </w:rPr>
  </w:style>
  <w:style w:type="character" w:styleId="1346" w:customStyle="1">
    <w:name w:val="Endnote Text Char"/>
    <w:link w:val="1183"/>
    <w:uiPriority w:val="99"/>
    <w:qFormat/>
    <w:rPr>
      <w:sz w:val="20"/>
    </w:rPr>
  </w:style>
  <w:style w:type="paragraph" w:styleId="1347" w:customStyle="1">
    <w:name w:val="TOC Heading"/>
    <w:uiPriority w:val="39"/>
    <w:unhideWhenUsed/>
    <w:qFormat/>
    <w:rPr>
      <w:rFonts w:hint="default" w:ascii="Times New Roman" w:hAnsi="Times New Roman" w:eastAsia="宋体" w:cs="Times New Roman"/>
    </w:rPr>
  </w:style>
  <w:style w:type="paragraph" w:styleId="1348" w:customStyle="1">
    <w:name w:val="一级标题"/>
    <w:basedOn w:val="1162"/>
    <w:next w:val="1178"/>
    <w:uiPriority w:val="0"/>
    <w:qFormat/>
    <w:pPr>
      <w:outlineLvl w:val="0"/>
    </w:pPr>
    <w:rPr>
      <w:b/>
      <w:bCs/>
      <w:sz w:val="32"/>
    </w:rPr>
  </w:style>
  <w:style w:type="paragraph" w:styleId="1349" w:customStyle="1">
    <w:name w:val="普通正文"/>
    <w:basedOn w:val="1162"/>
    <w:uiPriority w:val="0"/>
    <w:qFormat/>
    <w:pPr>
      <w:ind w:firstLine="480"/>
      <w:jc w:val="left"/>
      <w:spacing w:before="120" w:after="120" w:line="360" w:lineRule="auto"/>
    </w:pPr>
    <w:rPr>
      <w:rFonts w:ascii="Arial" w:hAnsi="Arial"/>
      <w:sz w:val="24"/>
    </w:rPr>
  </w:style>
  <w:style w:type="paragraph" w:styleId="1350" w:customStyle="1">
    <w:name w:val="日期1"/>
    <w:basedOn w:val="1162"/>
    <w:next w:val="1162"/>
    <w:uiPriority w:val="0"/>
    <w:qFormat/>
    <w:rPr>
      <w:sz w:val="24"/>
    </w:rPr>
  </w:style>
  <w:style w:type="paragraph" w:styleId="1351" w:customStyle="1">
    <w:name w:val="正文文本1"/>
    <w:basedOn w:val="1162"/>
    <w:next w:val="1162"/>
    <w:uiPriority w:val="99"/>
    <w:qFormat/>
    <w:rPr>
      <w:rFonts w:ascii="楷体_GB2312" w:hAnsi="宋体" w:eastAsia="楷体_GB2312"/>
      <w:sz w:val="28"/>
      <w:szCs w:val="28"/>
    </w:rPr>
  </w:style>
  <w:style w:type="paragraph" w:styleId="1352" w:customStyle="1">
    <w:name w:val="标题11"/>
    <w:basedOn w:val="1162"/>
    <w:uiPriority w:val="0"/>
    <w:qFormat/>
    <w:pPr>
      <w:jc w:val="center"/>
      <w:spacing w:before="240" w:after="60"/>
      <w:outlineLvl w:val="0"/>
    </w:pPr>
    <w:rPr>
      <w:rFonts w:ascii="Arial" w:hAnsi="Arial" w:eastAsia="黑体"/>
      <w:b/>
      <w:bCs/>
      <w:sz w:val="44"/>
      <w:szCs w:val="32"/>
    </w:rPr>
  </w:style>
  <w:style w:type="table" w:styleId="1353" w:customStyle="1">
    <w:name w:val="网格型1"/>
    <w:basedOn w:val="1354"/>
    <w:uiPriority w:val="39"/>
    <w:qFormat/>
    <w:rPr>
      <w:rFonts w:ascii="Calibri" w:hAnsi="Calibri"/>
    </w:rPr>
    <w:tblPr>
      <w:tblCellMar>
        <w:left w:w="0" w:type="dxa"/>
        <w:top w:w="0" w:type="dxa"/>
        <w:right w:w="0" w:type="dxa"/>
        <w:bottom w:w="0" w:type="dxa"/>
      </w:tblCellMar>
    </w:tblPr>
  </w:style>
  <w:style w:type="table" w:styleId="1354" w:customStyle="1">
    <w:name w:val="普通表格1"/>
    <w:uiPriority w:val="0"/>
    <w:semiHidden/>
    <w:qFormat/>
    <w:tblPr>
      <w:tblCellMar>
        <w:left w:w="0" w:type="dxa"/>
        <w:top w:w="0" w:type="dxa"/>
        <w:right w:w="0" w:type="dxa"/>
        <w:bottom w:w="0" w:type="dxa"/>
      </w:tblCellMar>
    </w:tblPr>
  </w:style>
  <w:style w:type="paragraph" w:styleId="1355" w:customStyle="1">
    <w:name w:val="标题 21"/>
    <w:basedOn w:val="1162"/>
    <w:uiPriority w:val="0"/>
    <w:qFormat/>
    <w:pPr>
      <w:jc w:val="center"/>
      <w:keepLines/>
      <w:keepNext/>
      <w:spacing w:before="260" w:after="260" w:line="415" w:lineRule="auto"/>
      <w:outlineLvl w:val="1"/>
    </w:pPr>
    <w:rPr>
      <w:rFonts w:ascii="Arial" w:hAnsi="Arial" w:eastAsia="幼圆"/>
      <w:b/>
      <w:bCs/>
      <w:sz w:val="44"/>
      <w:szCs w:val="44"/>
    </w:rPr>
  </w:style>
  <w:style w:type="character" w:styleId="1356" w:customStyle="1">
    <w:name w:val="标题 4 Char"/>
    <w:uiPriority w:val="0"/>
    <w:qFormat/>
    <w:rPr>
      <w:rFonts w:hint="default" w:ascii="Calibri" w:hAnsi="Calibri" w:eastAsia="宋体" w:cs="Times New Roman"/>
      <w:sz w:val="21"/>
      <w:szCs w:val="22"/>
      <w:lang w:val="en-US" w:eastAsia="zh-CN" w:bidi="ar-SA"/>
    </w:rPr>
  </w:style>
  <w:style w:type="paragraph" w:styleId="1357" w:customStyle="1">
    <w:name w:val="Normal_1"/>
    <w:uiPriority w:val="0"/>
    <w:qFormat/>
    <w:rPr>
      <w:rFonts w:hint="default" w:ascii="Times New Roman" w:hAnsi="Times New Roman" w:eastAsia="Times New Roman" w:cs="Times New Roman"/>
      <w:sz w:val="24"/>
      <w:szCs w:val="24"/>
      <w:lang w:val="en-US" w:eastAsia="zh-CN" w:bidi="ar-SA"/>
    </w:rPr>
  </w:style>
  <w:style w:type="character" w:styleId="1358" w:customStyle="1">
    <w:name w:val="默认段落字体1"/>
    <w:uiPriority w:val="1"/>
    <w:unhideWhenUsed/>
    <w:qFormat/>
  </w:style>
  <w:style w:type="paragraph" w:styleId="1359"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360" w:customStyle="1">
    <w:name w:val="p0"/>
    <w:basedOn w:val="1162"/>
    <w:uiPriority w:val="99"/>
    <w:qFormat/>
    <w:pPr>
      <w:widowControl/>
    </w:pPr>
    <w:rPr>
      <w:rFonts w:cs="宋体"/>
      <w:szCs w:val="21"/>
    </w:rPr>
  </w:style>
  <w:style w:type="paragraph" w:styleId="1361"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362"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363"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364"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365"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36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67"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368"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369"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37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71"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372"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373" w:customStyle="1">
    <w:name w:val="Normal_0"/>
    <w:next w:val="1374"/>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374" w:customStyle="1">
    <w:name w:val="首行缩进_0"/>
    <w:basedOn w:val="1373"/>
    <w:uiPriority w:val="0"/>
    <w:qFormat/>
    <w:pPr>
      <w:ind w:firstLine="480"/>
      <w:jc w:val="left"/>
      <w:spacing w:line="360" w:lineRule="auto"/>
    </w:pPr>
    <w:rPr>
      <w:rFonts w:ascii="宋体" w:hAnsi="宋体"/>
      <w:sz w:val="24"/>
    </w:rPr>
  </w:style>
  <w:style w:type="paragraph" w:styleId="1375"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376"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377"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378"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379"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380"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381"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382"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383"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384" w:customStyle="1">
    <w:name w:val="首行缩进"/>
    <w:basedOn w:val="1162"/>
    <w:uiPriority w:val="0"/>
    <w:qFormat/>
    <w:pPr>
      <w:ind w:firstLine="480"/>
      <w:jc w:val="left"/>
      <w:spacing w:line="360" w:lineRule="auto"/>
    </w:pPr>
    <w:rPr>
      <w:rFonts w:ascii="宋体" w:hAnsi="宋体"/>
      <w:sz w:val="24"/>
    </w:rPr>
  </w:style>
  <w:style w:type="paragraph" w:styleId="1385"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386"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387"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88"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38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90"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391"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392"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93"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394"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395"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96"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39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98"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99"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400"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401"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402"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403"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404"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405"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406"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407" w:customStyle="1">
    <w:name w:val="Normal_19_0"/>
    <w:uiPriority w:val="0"/>
    <w:qFormat/>
    <w:rPr>
      <w:rFonts w:hint="default" w:ascii="Times New Roman" w:hAnsi="Times New Roman" w:eastAsia="Times New Roman" w:cs="Times New Roman"/>
      <w:sz w:val="24"/>
      <w:szCs w:val="24"/>
      <w:lang w:val="en-US" w:eastAsia="zh-CN" w:bidi="ar-SA"/>
    </w:rPr>
  </w:style>
  <w:style w:type="paragraph" w:styleId="1408"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409"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410"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411"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412"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413"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414" w:customStyle="1">
    <w:name w:val="正文_0_0"/>
    <w:next w:val="1415"/>
    <w:uiPriority w:val="0"/>
    <w:qFormat/>
    <w:pPr>
      <w:jc w:val="both"/>
      <w:widowControl w:val="off"/>
    </w:pPr>
    <w:rPr>
      <w:rFonts w:hint="default" w:ascii="Times New Roman" w:hAnsi="Times New Roman" w:eastAsia="宋体" w:cs="Times New Roman"/>
      <w:sz w:val="21"/>
      <w:lang w:val="en-US" w:eastAsia="zh-CN" w:bidi="ar-SA"/>
    </w:rPr>
  </w:style>
  <w:style w:type="paragraph" w:styleId="1415" w:customStyle="1">
    <w:name w:val="正文文本_0"/>
    <w:basedOn w:val="1414"/>
    <w:uiPriority w:val="0"/>
    <w:qFormat/>
    <w:pPr>
      <w:spacing w:line="400" w:lineRule="exact"/>
    </w:pPr>
    <w:rPr>
      <w:sz w:val="24"/>
    </w:rPr>
  </w:style>
  <w:style w:type="paragraph" w:styleId="1416"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417"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418"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419"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420"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421"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422"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423"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424"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425"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426"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427" w:customStyle="1">
    <w:name w:val="正文文本_1"/>
    <w:basedOn w:val="1428"/>
    <w:uiPriority w:val="0"/>
    <w:qFormat/>
    <w:pPr>
      <w:spacing w:line="400" w:lineRule="exact"/>
    </w:pPr>
    <w:rPr>
      <w:sz w:val="24"/>
    </w:rPr>
  </w:style>
  <w:style w:type="paragraph" w:styleId="1428" w:customStyle="1">
    <w:name w:val="正文_2"/>
    <w:next w:val="1427"/>
    <w:uiPriority w:val="0"/>
    <w:qFormat/>
    <w:pPr>
      <w:jc w:val="both"/>
      <w:widowControl w:val="off"/>
    </w:pPr>
    <w:rPr>
      <w:rFonts w:hint="default" w:ascii="Times New Roman" w:hAnsi="Times New Roman" w:eastAsia="宋体" w:cs="Times New Roman"/>
      <w:sz w:val="21"/>
      <w:lang w:val="en-US" w:eastAsia="zh-CN" w:bidi="ar-SA"/>
    </w:rPr>
  </w:style>
  <w:style w:type="paragraph" w:styleId="1429" w:customStyle="1">
    <w:name w:val="Normal_42"/>
    <w:uiPriority w:val="0"/>
    <w:qFormat/>
    <w:rPr>
      <w:rFonts w:hint="default" w:ascii="Times New Roman" w:hAnsi="Times New Roman" w:eastAsia="Times New Roman" w:cs="Times New Roman"/>
      <w:sz w:val="24"/>
      <w:szCs w:val="24"/>
      <w:lang w:val="en-US" w:eastAsia="zh-CN" w:bidi="ar-SA"/>
    </w:rPr>
  </w:style>
  <w:style w:type="paragraph" w:styleId="1430"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431"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432"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433"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434"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435"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436" w:customStyle="1">
    <w:name w:val="页眉1"/>
    <w:basedOn w:val="1162"/>
    <w:uiPriority w:val="99"/>
    <w:qFormat/>
    <w:pPr>
      <w:jc w:val="center"/>
      <w:tabs>
        <w:tab w:val="center" w:pos="4153" w:leader="none"/>
        <w:tab w:val="right" w:pos="8306" w:leader="none"/>
      </w:tabs>
      <w:pBdr>
        <w:bottom w:val="single" w:color="000000" w:sz="6" w:space="1"/>
      </w:pBdr>
    </w:pPr>
    <w:rPr>
      <w:sz w:val="18"/>
      <w:szCs w:val="18"/>
    </w:rPr>
  </w:style>
  <w:style w:type="paragraph" w:styleId="1437" w:customStyle="1">
    <w:name w:val="页脚1"/>
    <w:basedOn w:val="1162"/>
    <w:uiPriority w:val="99"/>
    <w:qFormat/>
    <w:pPr>
      <w:jc w:val="left"/>
      <w:tabs>
        <w:tab w:val="center" w:pos="4153" w:leader="none"/>
        <w:tab w:val="right" w:pos="8306" w:leader="none"/>
      </w:tabs>
    </w:pPr>
    <w:rPr>
      <w:sz w:val="18"/>
      <w:szCs w:val="18"/>
    </w:rPr>
  </w:style>
  <w:style w:type="character" w:styleId="1438" w:customStyle="1">
    <w:name w:val="页码1"/>
    <w:uiPriority w:val="0"/>
    <w:qFormat/>
  </w:style>
  <w:style w:type="table" w:styleId="1439" w:customStyle="1">
    <w:name w:val="Table Normal"/>
    <w:uiPriority w:val="0"/>
    <w:semiHidden/>
    <w:unhideWhenUsed/>
    <w:qFormat/>
    <w:tblPr>
      <w:tblCellMar>
        <w:left w:w="0" w:type="dxa"/>
        <w:top w:w="0" w:type="dxa"/>
        <w:right w:w="0" w:type="dxa"/>
        <w:bottom w:w="0" w:type="dxa"/>
      </w:tblCellMar>
    </w:tblPr>
  </w:style>
  <w:style w:type="paragraph" w:styleId="1440" w:customStyle="1">
    <w:name w:val="Table Text"/>
    <w:basedOn w:val="1162"/>
    <w:uiPriority w:val="0"/>
    <w:semiHidden/>
    <w:qFormat/>
    <w:rPr>
      <w:rFonts w:ascii="宋体" w:hAnsi="宋体" w:cs="宋体"/>
      <w:szCs w:val="21"/>
      <w:lang w:eastAsia="en-US"/>
    </w:rPr>
  </w:style>
  <w:style w:type="numbering" w:styleId="14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1.xml" /><Relationship Id="rId27" Type="http://schemas.openxmlformats.org/officeDocument/2006/relationships/footer" Target="footer2.xml" /><Relationship Id="rId28" Type="http://schemas.openxmlformats.org/officeDocument/2006/relationships/footer" Target="footer3.xml" /><Relationship Id="rId29" Type="http://schemas.openxmlformats.org/officeDocument/2006/relationships/footer" Target="footer4.xml" /><Relationship Id="rId30" Type="http://schemas.openxmlformats.org/officeDocument/2006/relationships/footer" Target="footer5.xml" /><Relationship Id="rId31" Type="http://schemas.openxmlformats.org/officeDocument/2006/relationships/footer" Target="footer6.xml" /><Relationship Id="rId32" Type="http://schemas.openxmlformats.org/officeDocument/2006/relationships/footer" Target="footer7.xml" /><Relationship Id="rId33" Type="http://schemas.openxmlformats.org/officeDocument/2006/relationships/footer" Target="footer8.xml" /><Relationship Id="rId34" Type="http://schemas.openxmlformats.org/officeDocument/2006/relationships/footer" Target="footer9.xml" /><Relationship Id="rId35" Type="http://schemas.openxmlformats.org/officeDocument/2006/relationships/footer" Target="footer10.xml" /><Relationship Id="rId36" Type="http://schemas.openxmlformats.org/officeDocument/2006/relationships/customXml" Target="../customXml/item1.xml" /><Relationship Id="rId37" Type="http://schemas.openxmlformats.org/officeDocument/2006/relationships/customXml" Target="../customXml/item2.xml" /><Relationship Id="rId3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3CA3B30-D05F-46F6-9140-8269C58CE92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孙佳</cp:lastModifiedBy>
  <cp:revision>21</cp:revision>
  <dcterms:created xsi:type="dcterms:W3CDTF">2024-03-27T07:55:00Z</dcterms:created>
  <dcterms:modified xsi:type="dcterms:W3CDTF">2025-09-24T07:43:58Z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942D9F15BF8B4332997FB9A4243AC1E9_13</vt:lpwstr>
  </property>
  <property fmtid="{D5CDD505-2E9C-101B-9397-08002B2CF9AE}" pid="4" name="KSOTemplateDocerSaveRecord">
    <vt:lpwstr>eyJoZGlkIjoiYzcwNzA1MzI3N2JjMTIzYzgwNDI2OTFmMDdjMWUwYzEiLCJ1c2VySWQiOiIyMzk5MTY5NCJ9</vt:lpwstr>
  </property>
</Properties>
</file>