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B3D98">
      <w:pPr>
        <w:pStyle w:val="5"/>
        <w:keepNext w:val="0"/>
        <w:keepLines w:val="0"/>
        <w:pageBreakBefore/>
        <w:widowControl/>
        <w:kinsoku/>
        <w:wordWrap/>
        <w:overflowPunct/>
        <w:topLinePunct w:val="0"/>
        <w:autoSpaceDE/>
        <w:autoSpaceDN/>
        <w:bidi w:val="0"/>
        <w:adjustRightInd/>
        <w:snapToGrid/>
        <w:ind w:left="425" w:hanging="425"/>
        <w:jc w:val="center"/>
        <w:textAlignment w:val="auto"/>
        <w:rPr>
          <w:rFonts w:hint="eastAsia" w:ascii="楷体" w:hAnsi="楷体" w:eastAsia="楷体"/>
          <w:highlight w:val="none"/>
        </w:rPr>
      </w:pPr>
      <w:r>
        <w:rPr>
          <w:rFonts w:hint="eastAsia" w:ascii="楷体" w:hAnsi="楷体" w:eastAsia="楷体"/>
          <w:highlight w:val="none"/>
        </w:rPr>
        <w:t>采购需求</w:t>
      </w:r>
    </w:p>
    <w:p w14:paraId="7863BFA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一、项目概况</w:t>
      </w:r>
    </w:p>
    <w:p w14:paraId="592D233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为了加快镇江高新区科技型企业培育进程，加速科技成果转化，促进高新技术产业发展，更好的发挥国家级载体优势，本着“诚实守信、平等互利”的原则，需委托高层次、专业化孵化器运营管理机构运营管理“镇江高新区高新技术创业服务中心”。</w:t>
      </w:r>
    </w:p>
    <w:p w14:paraId="3905EBC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楷体" w:hAnsi="楷体" w:eastAsia="楷体" w:cs="楷体"/>
          <w:color w:val="auto"/>
          <w:sz w:val="24"/>
          <w:szCs w:val="24"/>
          <w:highlight w:val="none"/>
          <w:lang w:val="en-US" w:eastAsia="zh-CN"/>
        </w:rPr>
      </w:pPr>
      <w:r>
        <w:rPr>
          <w:rFonts w:hint="eastAsia" w:ascii="楷体" w:hAnsi="楷体" w:eastAsia="楷体" w:cs="楷体"/>
          <w:sz w:val="24"/>
          <w:szCs w:val="24"/>
          <w:highlight w:val="none"/>
        </w:rPr>
        <w:t>“镇江高新区高新技术创业服务中心”位于镇江市润州区润兴路20号，建筑面积</w:t>
      </w:r>
      <w:r>
        <w:rPr>
          <w:rFonts w:hint="eastAsia" w:ascii="楷体" w:hAnsi="楷体" w:eastAsia="楷体" w:cs="楷体"/>
          <w:color w:val="000000"/>
          <w:sz w:val="24"/>
          <w:szCs w:val="24"/>
          <w:highlight w:val="none"/>
        </w:rPr>
        <w:t>15700</w:t>
      </w:r>
      <w:r>
        <w:rPr>
          <w:rFonts w:hint="eastAsia" w:ascii="楷体" w:hAnsi="楷体" w:eastAsia="楷体" w:cs="楷体"/>
          <w:sz w:val="24"/>
          <w:szCs w:val="24"/>
          <w:highlight w:val="none"/>
        </w:rPr>
        <w:t>m²，</w:t>
      </w:r>
      <w:r>
        <w:rPr>
          <w:rFonts w:hint="eastAsia" w:ascii="楷体" w:hAnsi="楷体" w:eastAsia="楷体" w:cs="楷体"/>
          <w:sz w:val="24"/>
          <w:szCs w:val="24"/>
          <w:highlight w:val="none"/>
          <w:lang w:val="en-US" w:eastAsia="zh-CN"/>
        </w:rPr>
        <w:t>实际运营面积为11500</w:t>
      </w:r>
      <w:r>
        <w:rPr>
          <w:rFonts w:hint="eastAsia" w:ascii="楷体" w:hAnsi="楷体" w:eastAsia="楷体" w:cs="楷体"/>
          <w:sz w:val="24"/>
          <w:szCs w:val="24"/>
          <w:highlight w:val="none"/>
        </w:rPr>
        <w:t>m²，包含办公场地、多功能会议室、接待室、活动室等。</w:t>
      </w:r>
      <w:r>
        <w:rPr>
          <w:rFonts w:hint="eastAsia" w:ascii="楷体" w:hAnsi="楷体" w:eastAsia="楷体" w:cs="楷体"/>
          <w:color w:val="auto"/>
          <w:sz w:val="24"/>
          <w:szCs w:val="24"/>
          <w:highlight w:val="none"/>
          <w:lang w:val="en-US" w:eastAsia="zh-CN"/>
        </w:rPr>
        <w:t>本项目预算金额300万元/年，基本运营费和绩效奖励各占项目资金的50%。</w:t>
      </w:r>
    </w:p>
    <w:p w14:paraId="347EF79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二、总体目标</w:t>
      </w:r>
    </w:p>
    <w:p w14:paraId="6B3D941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围绕镇江高新区重点产业链，着力打造具有竞争力的科技企业孵化器，为高新区高质量发展。委托运营管理的内容主要有：载体招商、企业引进培育</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经济活动建设</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人才项目招引</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运营质效、</w:t>
      </w:r>
      <w:r>
        <w:rPr>
          <w:rFonts w:hint="eastAsia" w:ascii="楷体" w:hAnsi="楷体" w:eastAsia="楷体" w:cs="楷体"/>
          <w:sz w:val="24"/>
          <w:szCs w:val="24"/>
          <w:highlight w:val="none"/>
        </w:rPr>
        <w:t>载体资质升级</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市场推广及产业导入、</w:t>
      </w:r>
      <w:r>
        <w:rPr>
          <w:rFonts w:hint="eastAsia" w:ascii="楷体" w:hAnsi="楷体" w:eastAsia="楷体" w:cs="楷体"/>
          <w:sz w:val="24"/>
          <w:szCs w:val="24"/>
          <w:highlight w:val="none"/>
        </w:rPr>
        <w:t>政务接待、会务场地、活动策划、科技成果转化、项目申报等与科技服务相关的配套服务</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物业对接</w:t>
      </w:r>
      <w:r>
        <w:rPr>
          <w:rFonts w:hint="eastAsia" w:ascii="楷体" w:hAnsi="楷体" w:eastAsia="楷体" w:cs="楷体"/>
          <w:sz w:val="24"/>
          <w:szCs w:val="24"/>
          <w:highlight w:val="none"/>
        </w:rPr>
        <w:t>等内容。</w:t>
      </w:r>
    </w:p>
    <w:p w14:paraId="3EA1D3B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三、采购内容</w:t>
      </w:r>
    </w:p>
    <w:p w14:paraId="6B0E6EA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1、运营团队</w:t>
      </w:r>
      <w:r>
        <w:rPr>
          <w:rFonts w:hint="eastAsia" w:ascii="楷体" w:hAnsi="楷体" w:eastAsia="楷体" w:cs="楷体"/>
          <w:b/>
          <w:bCs/>
          <w:sz w:val="24"/>
          <w:szCs w:val="24"/>
          <w:highlight w:val="none"/>
          <w:lang w:val="en-US" w:eastAsia="zh-CN"/>
        </w:rPr>
        <w:t>要求</w:t>
      </w:r>
      <w:r>
        <w:rPr>
          <w:rFonts w:hint="eastAsia" w:ascii="楷体" w:hAnsi="楷体" w:eastAsia="楷体" w:cs="楷体"/>
          <w:b/>
          <w:bCs/>
          <w:sz w:val="24"/>
          <w:szCs w:val="24"/>
          <w:highlight w:val="none"/>
        </w:rPr>
        <w:t>：</w:t>
      </w:r>
    </w:p>
    <w:p w14:paraId="45FFE41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sz w:val="24"/>
          <w:szCs w:val="24"/>
          <w:highlight w:val="none"/>
          <w:lang w:val="en-US" w:eastAsia="zh-CN"/>
        </w:rPr>
        <w:t>投标供应商</w:t>
      </w:r>
      <w:r>
        <w:rPr>
          <w:rFonts w:hint="eastAsia" w:ascii="楷体" w:hAnsi="楷体" w:eastAsia="楷体" w:cs="楷体"/>
          <w:sz w:val="24"/>
          <w:szCs w:val="24"/>
          <w:highlight w:val="none"/>
        </w:rPr>
        <w:t>组建不少于5人的专业运营团队对项目进行运营管理，项目负责人具有研究生及以上学历，同时具有十年及以上的管理经验和孵化器运营经验；本项目除项目负责人拟派人员不少于4人团队服务本项目，具有本科及以上学历，同时具有五年及以上的孵化器运</w:t>
      </w:r>
      <w:r>
        <w:rPr>
          <w:rFonts w:hint="eastAsia" w:ascii="楷体" w:hAnsi="楷体" w:eastAsia="楷体" w:cs="楷体"/>
          <w:color w:val="auto"/>
          <w:sz w:val="24"/>
          <w:szCs w:val="24"/>
          <w:highlight w:val="none"/>
        </w:rPr>
        <w:t>营经验</w:t>
      </w:r>
      <w:r>
        <w:rPr>
          <w:rFonts w:hint="eastAsia" w:ascii="楷体" w:hAnsi="楷体" w:eastAsia="楷体" w:cs="楷体"/>
          <w:b/>
          <w:bCs/>
          <w:color w:val="auto"/>
          <w:sz w:val="24"/>
          <w:szCs w:val="24"/>
          <w:highlight w:val="none"/>
          <w:lang w:val="en-US" w:eastAsia="zh-CN"/>
        </w:rPr>
        <w:t>（在响应文件中提供人员名单、学历证书及相关工作经验证明，未提供视或提供的资料不全视为未响应招标文件，作无效标处理）</w:t>
      </w:r>
      <w:r>
        <w:rPr>
          <w:rFonts w:hint="eastAsia" w:ascii="楷体" w:hAnsi="楷体" w:eastAsia="楷体" w:cs="楷体"/>
          <w:color w:val="auto"/>
          <w:sz w:val="24"/>
          <w:szCs w:val="24"/>
          <w:highlight w:val="none"/>
        </w:rPr>
        <w:t>。</w:t>
      </w:r>
    </w:p>
    <w:p w14:paraId="59EF9925">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2、服务内容及绩效考核：</w:t>
      </w:r>
    </w:p>
    <w:p w14:paraId="1B76C6F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方正小标宋_GBK" w:cs="Times New Roman"/>
          <w:color w:val="auto"/>
          <w:sz w:val="44"/>
          <w:szCs w:val="44"/>
          <w:highlight w:val="none"/>
          <w:lang w:val="en-US" w:eastAsia="zh-CN"/>
        </w:rPr>
      </w:pPr>
      <w:r>
        <w:rPr>
          <w:rFonts w:hint="eastAsia" w:ascii="楷体" w:hAnsi="楷体" w:eastAsia="楷体" w:cs="楷体"/>
          <w:sz w:val="24"/>
          <w:szCs w:val="24"/>
          <w:highlight w:val="none"/>
          <w:lang w:val="en-US" w:eastAsia="zh-CN"/>
        </w:rPr>
        <w:t>投标供应商</w:t>
      </w:r>
      <w:r>
        <w:rPr>
          <w:rFonts w:hint="eastAsia" w:ascii="楷体" w:hAnsi="楷体" w:eastAsia="楷体" w:cs="楷体"/>
          <w:sz w:val="24"/>
          <w:szCs w:val="24"/>
          <w:highlight w:val="none"/>
        </w:rPr>
        <w:t>应结合自身优势及外部资源对项目进行运营服务，采购方在年初制定运营服务目标值，运营服务项如下：</w:t>
      </w:r>
    </w:p>
    <w:p w14:paraId="0B8476D3">
      <w:pPr>
        <w:keepNext w:val="0"/>
        <w:keepLines w:val="0"/>
        <w:pageBreakBefore w:val="0"/>
        <w:widowControl w:val="0"/>
        <w:tabs>
          <w:tab w:val="left" w:pos="720"/>
        </w:tabs>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_GBK" w:cs="Times New Roman"/>
          <w:color w:val="auto"/>
          <w:sz w:val="44"/>
          <w:szCs w:val="44"/>
          <w:highlight w:val="none"/>
          <w:lang w:val="en-US" w:eastAsia="zh-CN"/>
        </w:rPr>
        <w:sectPr>
          <w:footerReference r:id="rId3" w:type="default"/>
          <w:pgSz w:w="11905" w:h="16838"/>
          <w:pgMar w:top="1440" w:right="1689" w:bottom="1440" w:left="1689" w:header="850" w:footer="992" w:gutter="0"/>
          <w:pgNumType w:fmt="decimal"/>
          <w:cols w:space="0" w:num="1"/>
          <w:rtlGutter w:val="0"/>
          <w:docGrid w:type="lines" w:linePitch="317" w:charSpace="0"/>
        </w:sectPr>
      </w:pPr>
    </w:p>
    <w:p w14:paraId="7B0BF670">
      <w:pPr>
        <w:spacing w:after="63" w:afterLines="20" w:line="560" w:lineRule="exact"/>
        <w:jc w:val="center"/>
        <w:rPr>
          <w:rFonts w:ascii="楷体" w:hAnsi="楷体" w:eastAsia="楷体" w:cs="楷体"/>
          <w:b/>
          <w:bCs/>
          <w:sz w:val="32"/>
          <w:szCs w:val="32"/>
        </w:rPr>
      </w:pPr>
      <w:r>
        <w:rPr>
          <w:rFonts w:hint="eastAsia" w:ascii="楷体" w:hAnsi="楷体" w:eastAsia="楷体" w:cs="楷体"/>
          <w:b/>
          <w:bCs/>
          <w:sz w:val="32"/>
          <w:szCs w:val="32"/>
        </w:rPr>
        <w:t>表1 年度基本运营考核表</w:t>
      </w:r>
    </w:p>
    <w:p w14:paraId="2857147D">
      <w:pPr>
        <w:spacing w:after="63" w:afterLines="20" w:line="560" w:lineRule="exact"/>
        <w:jc w:val="center"/>
        <w:rPr>
          <w:rFonts w:ascii="楷体" w:hAnsi="楷体" w:eastAsia="楷体" w:cs="楷体"/>
          <w:b/>
          <w:bCs/>
          <w:sz w:val="32"/>
          <w:szCs w:val="32"/>
        </w:rPr>
      </w:pPr>
    </w:p>
    <w:tbl>
      <w:tblPr>
        <w:tblStyle w:val="3"/>
        <w:tblW w:w="13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3949"/>
        <w:gridCol w:w="2482"/>
        <w:gridCol w:w="1983"/>
        <w:gridCol w:w="1811"/>
        <w:gridCol w:w="1978"/>
      </w:tblGrid>
      <w:tr w14:paraId="2057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094" w:type="dxa"/>
            <w:shd w:val="clear" w:color="auto" w:fill="auto"/>
            <w:vAlign w:val="center"/>
          </w:tcPr>
          <w:p w14:paraId="58ABFB1B">
            <w:pPr>
              <w:spacing w:line="300" w:lineRule="exact"/>
              <w:jc w:val="center"/>
              <w:rPr>
                <w:rFonts w:ascii="楷体" w:hAnsi="楷体" w:eastAsia="楷体" w:cs="楷体"/>
                <w:sz w:val="24"/>
              </w:rPr>
            </w:pPr>
            <w:r>
              <w:rPr>
                <w:rFonts w:hint="eastAsia" w:ascii="楷体" w:hAnsi="楷体" w:eastAsia="楷体" w:cs="楷体"/>
                <w:sz w:val="24"/>
              </w:rPr>
              <w:t>序号</w:t>
            </w:r>
          </w:p>
        </w:tc>
        <w:tc>
          <w:tcPr>
            <w:tcW w:w="3949" w:type="dxa"/>
            <w:shd w:val="clear" w:color="auto" w:fill="auto"/>
            <w:vAlign w:val="center"/>
          </w:tcPr>
          <w:p w14:paraId="094C2A70">
            <w:pPr>
              <w:spacing w:line="300" w:lineRule="exact"/>
              <w:jc w:val="center"/>
              <w:rPr>
                <w:rFonts w:ascii="楷体" w:hAnsi="楷体" w:eastAsia="楷体" w:cs="楷体"/>
                <w:sz w:val="24"/>
              </w:rPr>
            </w:pPr>
            <w:r>
              <w:rPr>
                <w:rFonts w:hint="eastAsia" w:ascii="楷体" w:hAnsi="楷体" w:eastAsia="楷体" w:cs="楷体"/>
                <w:sz w:val="24"/>
              </w:rPr>
              <w:t>指标内容</w:t>
            </w:r>
          </w:p>
        </w:tc>
        <w:tc>
          <w:tcPr>
            <w:tcW w:w="2482" w:type="dxa"/>
            <w:shd w:val="clear" w:color="auto" w:fill="auto"/>
            <w:vAlign w:val="center"/>
          </w:tcPr>
          <w:p w14:paraId="4EA2A0C8">
            <w:pPr>
              <w:spacing w:line="300" w:lineRule="exact"/>
              <w:jc w:val="center"/>
              <w:rPr>
                <w:rFonts w:ascii="楷体" w:hAnsi="楷体" w:eastAsia="楷体" w:cs="楷体"/>
                <w:sz w:val="24"/>
              </w:rPr>
            </w:pPr>
            <w:r>
              <w:rPr>
                <w:rFonts w:hint="eastAsia" w:ascii="楷体" w:hAnsi="楷体" w:eastAsia="楷体" w:cs="楷体"/>
                <w:sz w:val="24"/>
              </w:rPr>
              <w:t>第一年</w:t>
            </w:r>
          </w:p>
        </w:tc>
        <w:tc>
          <w:tcPr>
            <w:tcW w:w="1983" w:type="dxa"/>
            <w:shd w:val="clear" w:color="auto" w:fill="auto"/>
            <w:vAlign w:val="center"/>
          </w:tcPr>
          <w:p w14:paraId="41D785E1">
            <w:pPr>
              <w:spacing w:line="300" w:lineRule="exact"/>
              <w:jc w:val="center"/>
              <w:rPr>
                <w:rFonts w:ascii="楷体" w:hAnsi="楷体" w:eastAsia="楷体" w:cs="楷体"/>
                <w:sz w:val="24"/>
              </w:rPr>
            </w:pPr>
            <w:r>
              <w:rPr>
                <w:rFonts w:hint="eastAsia" w:ascii="楷体" w:hAnsi="楷体" w:eastAsia="楷体" w:cs="楷体"/>
                <w:sz w:val="24"/>
              </w:rPr>
              <w:t>第二年</w:t>
            </w:r>
          </w:p>
        </w:tc>
        <w:tc>
          <w:tcPr>
            <w:tcW w:w="1811" w:type="dxa"/>
            <w:shd w:val="clear" w:color="auto" w:fill="auto"/>
            <w:vAlign w:val="center"/>
          </w:tcPr>
          <w:p w14:paraId="0F465A62">
            <w:pPr>
              <w:spacing w:line="300" w:lineRule="exact"/>
              <w:jc w:val="center"/>
              <w:rPr>
                <w:rFonts w:ascii="楷体" w:hAnsi="楷体" w:eastAsia="楷体" w:cs="楷体"/>
                <w:sz w:val="24"/>
              </w:rPr>
            </w:pPr>
            <w:r>
              <w:rPr>
                <w:rFonts w:hint="eastAsia" w:ascii="楷体" w:hAnsi="楷体" w:eastAsia="楷体" w:cs="楷体"/>
                <w:sz w:val="24"/>
              </w:rPr>
              <w:t>第三年</w:t>
            </w:r>
          </w:p>
        </w:tc>
        <w:tc>
          <w:tcPr>
            <w:tcW w:w="1978" w:type="dxa"/>
            <w:shd w:val="clear" w:color="auto" w:fill="auto"/>
            <w:vAlign w:val="center"/>
          </w:tcPr>
          <w:p w14:paraId="35D1A7A9">
            <w:pPr>
              <w:spacing w:line="300" w:lineRule="exact"/>
              <w:jc w:val="center"/>
              <w:rPr>
                <w:rFonts w:ascii="楷体" w:hAnsi="楷体" w:eastAsia="楷体" w:cs="楷体"/>
                <w:sz w:val="24"/>
              </w:rPr>
            </w:pPr>
            <w:r>
              <w:rPr>
                <w:rFonts w:hint="eastAsia" w:ascii="楷体" w:hAnsi="楷体" w:eastAsia="楷体" w:cs="楷体"/>
                <w:sz w:val="24"/>
              </w:rPr>
              <w:t>分值</w:t>
            </w:r>
          </w:p>
        </w:tc>
      </w:tr>
      <w:tr w14:paraId="3E05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42AB4067">
            <w:pPr>
              <w:spacing w:line="300" w:lineRule="exact"/>
              <w:jc w:val="center"/>
              <w:rPr>
                <w:rFonts w:ascii="楷体" w:hAnsi="楷体" w:eastAsia="楷体" w:cs="楷体"/>
                <w:color w:val="auto"/>
                <w:sz w:val="24"/>
              </w:rPr>
            </w:pPr>
            <w:r>
              <w:rPr>
                <w:rFonts w:hint="eastAsia" w:ascii="楷体" w:hAnsi="楷体" w:eastAsia="楷体" w:cs="楷体"/>
                <w:color w:val="auto"/>
                <w:sz w:val="24"/>
              </w:rPr>
              <w:t>1</w:t>
            </w:r>
          </w:p>
        </w:tc>
        <w:tc>
          <w:tcPr>
            <w:tcW w:w="3949" w:type="dxa"/>
            <w:shd w:val="clear" w:color="auto" w:fill="auto"/>
            <w:vAlign w:val="center"/>
          </w:tcPr>
          <w:p w14:paraId="63A61F3F">
            <w:pPr>
              <w:spacing w:line="300" w:lineRule="exact"/>
              <w:jc w:val="center"/>
              <w:rPr>
                <w:rFonts w:ascii="楷体" w:hAnsi="楷体" w:eastAsia="楷体" w:cs="楷体"/>
                <w:color w:val="auto"/>
                <w:sz w:val="24"/>
              </w:rPr>
            </w:pPr>
            <w:r>
              <w:rPr>
                <w:rFonts w:hint="eastAsia" w:ascii="楷体" w:hAnsi="楷体" w:eastAsia="楷体" w:cs="楷体"/>
                <w:color w:val="auto"/>
                <w:sz w:val="24"/>
              </w:rPr>
              <w:t>出租率</w:t>
            </w:r>
          </w:p>
        </w:tc>
        <w:tc>
          <w:tcPr>
            <w:tcW w:w="2482" w:type="dxa"/>
            <w:shd w:val="clear" w:color="auto" w:fill="auto"/>
            <w:vAlign w:val="center"/>
          </w:tcPr>
          <w:p w14:paraId="35994279">
            <w:pPr>
              <w:spacing w:line="300" w:lineRule="exact"/>
              <w:jc w:val="center"/>
              <w:rPr>
                <w:rFonts w:ascii="楷体" w:hAnsi="楷体" w:eastAsia="楷体" w:cs="楷体"/>
                <w:color w:val="auto"/>
                <w:sz w:val="24"/>
              </w:rPr>
            </w:pPr>
            <w:r>
              <w:rPr>
                <w:rFonts w:hint="eastAsia" w:ascii="楷体" w:hAnsi="楷体" w:eastAsia="楷体" w:cs="楷体"/>
                <w:color w:val="auto"/>
                <w:sz w:val="24"/>
              </w:rPr>
              <w:t>88%</w:t>
            </w:r>
          </w:p>
        </w:tc>
        <w:tc>
          <w:tcPr>
            <w:tcW w:w="1983" w:type="dxa"/>
            <w:shd w:val="clear" w:color="auto" w:fill="auto"/>
            <w:vAlign w:val="center"/>
          </w:tcPr>
          <w:p w14:paraId="5BD7B93D">
            <w:pPr>
              <w:spacing w:line="300" w:lineRule="exact"/>
              <w:jc w:val="center"/>
              <w:rPr>
                <w:rFonts w:ascii="楷体" w:hAnsi="楷体" w:eastAsia="楷体" w:cs="楷体"/>
                <w:color w:val="auto"/>
                <w:sz w:val="24"/>
              </w:rPr>
            </w:pPr>
            <w:r>
              <w:rPr>
                <w:rFonts w:hint="eastAsia" w:ascii="楷体" w:hAnsi="楷体" w:eastAsia="楷体" w:cs="楷体"/>
                <w:color w:val="auto"/>
                <w:sz w:val="24"/>
              </w:rPr>
              <w:t>90%</w:t>
            </w:r>
          </w:p>
        </w:tc>
        <w:tc>
          <w:tcPr>
            <w:tcW w:w="1811" w:type="dxa"/>
            <w:shd w:val="clear" w:color="auto" w:fill="auto"/>
            <w:vAlign w:val="center"/>
          </w:tcPr>
          <w:p w14:paraId="187F49E2">
            <w:pPr>
              <w:spacing w:line="300" w:lineRule="exact"/>
              <w:jc w:val="center"/>
              <w:rPr>
                <w:rFonts w:ascii="楷体" w:hAnsi="楷体" w:eastAsia="楷体" w:cs="楷体"/>
                <w:color w:val="auto"/>
                <w:sz w:val="24"/>
              </w:rPr>
            </w:pPr>
            <w:r>
              <w:rPr>
                <w:rFonts w:hint="eastAsia" w:ascii="楷体" w:hAnsi="楷体" w:eastAsia="楷体" w:cs="楷体"/>
                <w:color w:val="auto"/>
                <w:sz w:val="24"/>
              </w:rPr>
              <w:t>92%</w:t>
            </w:r>
          </w:p>
        </w:tc>
        <w:tc>
          <w:tcPr>
            <w:tcW w:w="1978" w:type="dxa"/>
            <w:shd w:val="clear" w:color="auto" w:fill="auto"/>
            <w:vAlign w:val="center"/>
          </w:tcPr>
          <w:p w14:paraId="7BCC005D">
            <w:pPr>
              <w:spacing w:line="300" w:lineRule="exact"/>
              <w:jc w:val="center"/>
              <w:rPr>
                <w:rFonts w:ascii="楷体" w:hAnsi="楷体" w:eastAsia="楷体" w:cs="楷体"/>
                <w:color w:val="auto"/>
                <w:sz w:val="24"/>
              </w:rPr>
            </w:pPr>
            <w:r>
              <w:rPr>
                <w:rFonts w:hint="eastAsia" w:ascii="楷体" w:hAnsi="楷体" w:eastAsia="楷体" w:cs="楷体"/>
                <w:color w:val="auto"/>
                <w:sz w:val="24"/>
              </w:rPr>
              <w:t>15</w:t>
            </w:r>
          </w:p>
        </w:tc>
      </w:tr>
      <w:tr w14:paraId="5EC9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3639D09F">
            <w:pPr>
              <w:spacing w:line="300" w:lineRule="exact"/>
              <w:jc w:val="center"/>
              <w:rPr>
                <w:rFonts w:ascii="楷体" w:hAnsi="楷体" w:eastAsia="楷体" w:cs="楷体"/>
                <w:color w:val="auto"/>
                <w:sz w:val="24"/>
              </w:rPr>
            </w:pPr>
            <w:r>
              <w:rPr>
                <w:rFonts w:hint="eastAsia" w:ascii="楷体" w:hAnsi="楷体" w:eastAsia="楷体" w:cs="楷体"/>
                <w:color w:val="auto"/>
                <w:sz w:val="24"/>
              </w:rPr>
              <w:t>2</w:t>
            </w:r>
          </w:p>
        </w:tc>
        <w:tc>
          <w:tcPr>
            <w:tcW w:w="3949" w:type="dxa"/>
            <w:shd w:val="clear" w:color="auto" w:fill="auto"/>
            <w:vAlign w:val="center"/>
          </w:tcPr>
          <w:p w14:paraId="47759E7C">
            <w:pPr>
              <w:spacing w:line="300" w:lineRule="exact"/>
              <w:jc w:val="center"/>
              <w:rPr>
                <w:rFonts w:ascii="楷体" w:hAnsi="楷体" w:eastAsia="楷体" w:cs="楷体"/>
                <w:color w:val="auto"/>
                <w:sz w:val="24"/>
              </w:rPr>
            </w:pPr>
            <w:r>
              <w:rPr>
                <w:rFonts w:hint="eastAsia" w:ascii="楷体" w:hAnsi="楷体" w:eastAsia="楷体" w:cs="楷体"/>
                <w:color w:val="auto"/>
                <w:sz w:val="24"/>
              </w:rPr>
              <w:t>在孵企业年平均应税销售额</w:t>
            </w:r>
          </w:p>
        </w:tc>
        <w:tc>
          <w:tcPr>
            <w:tcW w:w="2482" w:type="dxa"/>
            <w:shd w:val="clear" w:color="auto" w:fill="auto"/>
            <w:vAlign w:val="center"/>
          </w:tcPr>
          <w:p w14:paraId="4F58CADC">
            <w:pPr>
              <w:spacing w:line="300" w:lineRule="exact"/>
              <w:jc w:val="center"/>
              <w:rPr>
                <w:rFonts w:ascii="楷体" w:hAnsi="楷体" w:eastAsia="楷体" w:cs="楷体"/>
                <w:color w:val="auto"/>
                <w:sz w:val="24"/>
              </w:rPr>
            </w:pPr>
            <w:r>
              <w:rPr>
                <w:rFonts w:hint="eastAsia" w:ascii="楷体" w:hAnsi="楷体" w:eastAsia="楷体" w:cs="楷体"/>
                <w:color w:val="auto"/>
                <w:sz w:val="24"/>
              </w:rPr>
              <w:t>5500元/㎡</w:t>
            </w:r>
          </w:p>
        </w:tc>
        <w:tc>
          <w:tcPr>
            <w:tcW w:w="1983" w:type="dxa"/>
            <w:shd w:val="clear" w:color="auto" w:fill="auto"/>
            <w:vAlign w:val="center"/>
          </w:tcPr>
          <w:p w14:paraId="0B4477B9">
            <w:pPr>
              <w:spacing w:line="300" w:lineRule="exact"/>
              <w:jc w:val="center"/>
              <w:rPr>
                <w:rFonts w:ascii="楷体" w:hAnsi="楷体" w:eastAsia="楷体" w:cs="楷体"/>
                <w:color w:val="auto"/>
                <w:sz w:val="24"/>
              </w:rPr>
            </w:pPr>
            <w:r>
              <w:rPr>
                <w:rFonts w:hint="eastAsia" w:ascii="楷体" w:hAnsi="楷体" w:eastAsia="楷体" w:cs="楷体"/>
                <w:color w:val="auto"/>
                <w:sz w:val="24"/>
              </w:rPr>
              <w:t>6000元/㎡</w:t>
            </w:r>
          </w:p>
        </w:tc>
        <w:tc>
          <w:tcPr>
            <w:tcW w:w="1811" w:type="dxa"/>
            <w:shd w:val="clear" w:color="auto" w:fill="auto"/>
            <w:vAlign w:val="center"/>
          </w:tcPr>
          <w:p w14:paraId="7710FEB9">
            <w:pPr>
              <w:spacing w:line="300" w:lineRule="exact"/>
              <w:jc w:val="center"/>
              <w:rPr>
                <w:rFonts w:ascii="楷体" w:hAnsi="楷体" w:eastAsia="楷体" w:cs="楷体"/>
                <w:color w:val="auto"/>
                <w:sz w:val="24"/>
              </w:rPr>
            </w:pPr>
            <w:r>
              <w:rPr>
                <w:rFonts w:hint="eastAsia" w:ascii="楷体" w:hAnsi="楷体" w:eastAsia="楷体" w:cs="楷体"/>
                <w:color w:val="auto"/>
                <w:sz w:val="24"/>
              </w:rPr>
              <w:t>6500元/㎡</w:t>
            </w:r>
          </w:p>
        </w:tc>
        <w:tc>
          <w:tcPr>
            <w:tcW w:w="1978" w:type="dxa"/>
            <w:shd w:val="clear" w:color="auto" w:fill="auto"/>
            <w:vAlign w:val="center"/>
          </w:tcPr>
          <w:p w14:paraId="54BFD7DB">
            <w:pPr>
              <w:spacing w:line="300" w:lineRule="exact"/>
              <w:jc w:val="center"/>
              <w:rPr>
                <w:rFonts w:ascii="楷体" w:hAnsi="楷体" w:eastAsia="楷体" w:cs="楷体"/>
                <w:color w:val="auto"/>
                <w:sz w:val="24"/>
              </w:rPr>
            </w:pPr>
            <w:r>
              <w:rPr>
                <w:rFonts w:hint="eastAsia" w:ascii="楷体" w:hAnsi="楷体" w:eastAsia="楷体" w:cs="楷体"/>
                <w:color w:val="auto"/>
                <w:sz w:val="24"/>
              </w:rPr>
              <w:t>20</w:t>
            </w:r>
          </w:p>
        </w:tc>
      </w:tr>
      <w:tr w14:paraId="6B2C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2BB4EDE5">
            <w:pPr>
              <w:spacing w:line="300" w:lineRule="exact"/>
              <w:jc w:val="center"/>
              <w:rPr>
                <w:rFonts w:ascii="楷体" w:hAnsi="楷体" w:eastAsia="楷体" w:cs="楷体"/>
                <w:color w:val="auto"/>
                <w:sz w:val="24"/>
              </w:rPr>
            </w:pPr>
            <w:r>
              <w:rPr>
                <w:rFonts w:hint="eastAsia" w:ascii="楷体" w:hAnsi="楷体" w:eastAsia="楷体" w:cs="楷体"/>
                <w:color w:val="auto"/>
                <w:sz w:val="24"/>
              </w:rPr>
              <w:t>3</w:t>
            </w:r>
          </w:p>
        </w:tc>
        <w:tc>
          <w:tcPr>
            <w:tcW w:w="3949" w:type="dxa"/>
            <w:shd w:val="clear" w:color="auto" w:fill="auto"/>
            <w:vAlign w:val="center"/>
          </w:tcPr>
          <w:p w14:paraId="2A38F251">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开展双创活动（场）</w:t>
            </w:r>
          </w:p>
        </w:tc>
        <w:tc>
          <w:tcPr>
            <w:tcW w:w="2482" w:type="dxa"/>
            <w:shd w:val="clear" w:color="auto" w:fill="auto"/>
            <w:vAlign w:val="center"/>
          </w:tcPr>
          <w:p w14:paraId="3FF2D00A">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8</w:t>
            </w:r>
          </w:p>
        </w:tc>
        <w:tc>
          <w:tcPr>
            <w:tcW w:w="1983" w:type="dxa"/>
            <w:shd w:val="clear" w:color="auto" w:fill="auto"/>
            <w:vAlign w:val="center"/>
          </w:tcPr>
          <w:p w14:paraId="11F7C21B">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c>
          <w:tcPr>
            <w:tcW w:w="1811" w:type="dxa"/>
            <w:shd w:val="clear" w:color="auto" w:fill="auto"/>
            <w:vAlign w:val="center"/>
          </w:tcPr>
          <w:p w14:paraId="435ACC34">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12</w:t>
            </w:r>
          </w:p>
        </w:tc>
        <w:tc>
          <w:tcPr>
            <w:tcW w:w="1978" w:type="dxa"/>
            <w:shd w:val="clear" w:color="auto" w:fill="auto"/>
            <w:vAlign w:val="center"/>
          </w:tcPr>
          <w:p w14:paraId="1D4F8E9B">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r>
      <w:tr w14:paraId="0399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64F70DE0">
            <w:pPr>
              <w:spacing w:line="300" w:lineRule="exact"/>
              <w:jc w:val="center"/>
              <w:rPr>
                <w:rFonts w:ascii="楷体" w:hAnsi="楷体" w:eastAsia="楷体" w:cs="楷体"/>
                <w:color w:val="auto"/>
                <w:sz w:val="24"/>
              </w:rPr>
            </w:pPr>
            <w:r>
              <w:rPr>
                <w:rFonts w:hint="eastAsia" w:ascii="楷体" w:hAnsi="楷体" w:eastAsia="楷体" w:cs="楷体"/>
                <w:color w:val="auto"/>
                <w:sz w:val="24"/>
              </w:rPr>
              <w:t>4</w:t>
            </w:r>
          </w:p>
        </w:tc>
        <w:tc>
          <w:tcPr>
            <w:tcW w:w="3949" w:type="dxa"/>
            <w:shd w:val="clear" w:color="auto" w:fill="auto"/>
            <w:vAlign w:val="center"/>
          </w:tcPr>
          <w:p w14:paraId="121EA80F">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在孵企业知识产权申请量（件）</w:t>
            </w:r>
          </w:p>
        </w:tc>
        <w:tc>
          <w:tcPr>
            <w:tcW w:w="2482" w:type="dxa"/>
            <w:shd w:val="clear" w:color="auto" w:fill="auto"/>
            <w:vAlign w:val="center"/>
          </w:tcPr>
          <w:p w14:paraId="4299C643">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75</w:t>
            </w:r>
          </w:p>
        </w:tc>
        <w:tc>
          <w:tcPr>
            <w:tcW w:w="1983" w:type="dxa"/>
            <w:shd w:val="clear" w:color="auto" w:fill="auto"/>
            <w:vAlign w:val="center"/>
          </w:tcPr>
          <w:p w14:paraId="1A7EC8CE">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90</w:t>
            </w:r>
          </w:p>
        </w:tc>
        <w:tc>
          <w:tcPr>
            <w:tcW w:w="1811" w:type="dxa"/>
            <w:shd w:val="clear" w:color="auto" w:fill="auto"/>
            <w:vAlign w:val="center"/>
          </w:tcPr>
          <w:p w14:paraId="2FDC9A2B">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120</w:t>
            </w:r>
          </w:p>
        </w:tc>
        <w:tc>
          <w:tcPr>
            <w:tcW w:w="1978" w:type="dxa"/>
            <w:shd w:val="clear" w:color="auto" w:fill="auto"/>
            <w:vAlign w:val="center"/>
          </w:tcPr>
          <w:p w14:paraId="03D1C462">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r>
      <w:tr w14:paraId="2476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0485BB18">
            <w:pPr>
              <w:spacing w:line="300" w:lineRule="exact"/>
              <w:jc w:val="center"/>
              <w:rPr>
                <w:rFonts w:ascii="楷体" w:hAnsi="楷体" w:eastAsia="楷体" w:cs="楷体"/>
                <w:color w:val="auto"/>
                <w:sz w:val="24"/>
              </w:rPr>
            </w:pPr>
            <w:r>
              <w:rPr>
                <w:rFonts w:hint="eastAsia" w:ascii="楷体" w:hAnsi="楷体" w:eastAsia="楷体" w:cs="楷体"/>
                <w:color w:val="auto"/>
                <w:sz w:val="24"/>
              </w:rPr>
              <w:t>5</w:t>
            </w:r>
          </w:p>
        </w:tc>
        <w:tc>
          <w:tcPr>
            <w:tcW w:w="3949" w:type="dxa"/>
            <w:shd w:val="clear" w:color="auto" w:fill="auto"/>
            <w:vAlign w:val="center"/>
          </w:tcPr>
          <w:p w14:paraId="6A66E02C">
            <w:pPr>
              <w:widowControl/>
              <w:overflowPunct w:val="0"/>
              <w:adjustRightInd w:val="0"/>
              <w:snapToGrid w:val="0"/>
              <w:spacing w:line="240" w:lineRule="atLeast"/>
              <w:jc w:val="center"/>
              <w:textAlignment w:val="top"/>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创业导师数量（个）</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保有量</w:t>
            </w:r>
            <w:r>
              <w:rPr>
                <w:rFonts w:hint="eastAsia" w:ascii="楷体" w:hAnsi="楷体" w:eastAsia="楷体" w:cs="楷体"/>
                <w:color w:val="auto"/>
                <w:sz w:val="24"/>
                <w:highlight w:val="none"/>
                <w:lang w:eastAsia="zh-CN"/>
              </w:rPr>
              <w:t>）</w:t>
            </w:r>
          </w:p>
        </w:tc>
        <w:tc>
          <w:tcPr>
            <w:tcW w:w="2482" w:type="dxa"/>
            <w:shd w:val="clear" w:color="auto" w:fill="auto"/>
            <w:vAlign w:val="center"/>
          </w:tcPr>
          <w:p w14:paraId="51902B3C">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8</w:t>
            </w:r>
          </w:p>
        </w:tc>
        <w:tc>
          <w:tcPr>
            <w:tcW w:w="1983" w:type="dxa"/>
            <w:shd w:val="clear" w:color="auto" w:fill="auto"/>
            <w:vAlign w:val="center"/>
          </w:tcPr>
          <w:p w14:paraId="6FDE77FE">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12</w:t>
            </w:r>
          </w:p>
        </w:tc>
        <w:tc>
          <w:tcPr>
            <w:tcW w:w="1811" w:type="dxa"/>
            <w:shd w:val="clear" w:color="auto" w:fill="auto"/>
            <w:vAlign w:val="center"/>
          </w:tcPr>
          <w:p w14:paraId="6338CE89">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15</w:t>
            </w:r>
          </w:p>
        </w:tc>
        <w:tc>
          <w:tcPr>
            <w:tcW w:w="1978" w:type="dxa"/>
            <w:shd w:val="clear" w:color="auto" w:fill="auto"/>
            <w:vAlign w:val="center"/>
          </w:tcPr>
          <w:p w14:paraId="0C6C110D">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r>
      <w:tr w14:paraId="67D0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139F07BC">
            <w:pPr>
              <w:spacing w:line="300" w:lineRule="exact"/>
              <w:jc w:val="center"/>
              <w:rPr>
                <w:rFonts w:ascii="楷体" w:hAnsi="楷体" w:eastAsia="楷体" w:cs="楷体"/>
                <w:color w:val="auto"/>
                <w:sz w:val="24"/>
              </w:rPr>
            </w:pPr>
            <w:r>
              <w:rPr>
                <w:rFonts w:hint="eastAsia" w:ascii="楷体" w:hAnsi="楷体" w:eastAsia="楷体" w:cs="楷体"/>
                <w:color w:val="auto"/>
                <w:sz w:val="24"/>
              </w:rPr>
              <w:t>6</w:t>
            </w:r>
          </w:p>
        </w:tc>
        <w:tc>
          <w:tcPr>
            <w:tcW w:w="3949" w:type="dxa"/>
            <w:shd w:val="clear" w:color="auto" w:fill="auto"/>
            <w:vAlign w:val="center"/>
          </w:tcPr>
          <w:p w14:paraId="6717D9F0">
            <w:pPr>
              <w:widowControl/>
              <w:overflowPunct w:val="0"/>
              <w:adjustRightInd w:val="0"/>
              <w:snapToGrid w:val="0"/>
              <w:spacing w:line="240" w:lineRule="atLeast"/>
              <w:jc w:val="center"/>
              <w:textAlignment w:val="top"/>
              <w:rPr>
                <w:rFonts w:ascii="楷体" w:hAnsi="楷体" w:eastAsia="楷体" w:cs="楷体"/>
                <w:color w:val="auto"/>
                <w:sz w:val="24"/>
                <w:highlight w:val="none"/>
              </w:rPr>
            </w:pPr>
            <w:r>
              <w:rPr>
                <w:rFonts w:hint="eastAsia" w:ascii="楷体" w:hAnsi="楷体" w:eastAsia="楷体" w:cs="楷体"/>
                <w:color w:val="auto"/>
                <w:sz w:val="24"/>
                <w:highlight w:val="none"/>
              </w:rPr>
              <w:t>合作签约投融资机构数量（个）</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保有量</w:t>
            </w:r>
            <w:r>
              <w:rPr>
                <w:rFonts w:hint="eastAsia" w:ascii="楷体" w:hAnsi="楷体" w:eastAsia="楷体" w:cs="楷体"/>
                <w:color w:val="auto"/>
                <w:sz w:val="24"/>
                <w:highlight w:val="none"/>
                <w:lang w:eastAsia="zh-CN"/>
              </w:rPr>
              <w:t>）</w:t>
            </w:r>
          </w:p>
        </w:tc>
        <w:tc>
          <w:tcPr>
            <w:tcW w:w="2482" w:type="dxa"/>
            <w:shd w:val="clear" w:color="auto" w:fill="auto"/>
            <w:vAlign w:val="center"/>
          </w:tcPr>
          <w:p w14:paraId="4EECB943">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3</w:t>
            </w:r>
          </w:p>
        </w:tc>
        <w:tc>
          <w:tcPr>
            <w:tcW w:w="1983" w:type="dxa"/>
            <w:shd w:val="clear" w:color="auto" w:fill="auto"/>
            <w:vAlign w:val="center"/>
          </w:tcPr>
          <w:p w14:paraId="4CED6B2D">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4</w:t>
            </w:r>
          </w:p>
        </w:tc>
        <w:tc>
          <w:tcPr>
            <w:tcW w:w="1811" w:type="dxa"/>
            <w:shd w:val="clear" w:color="auto" w:fill="auto"/>
            <w:vAlign w:val="center"/>
          </w:tcPr>
          <w:p w14:paraId="41C7E083">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5</w:t>
            </w:r>
          </w:p>
        </w:tc>
        <w:tc>
          <w:tcPr>
            <w:tcW w:w="1978" w:type="dxa"/>
            <w:shd w:val="clear" w:color="auto" w:fill="auto"/>
            <w:vAlign w:val="center"/>
          </w:tcPr>
          <w:p w14:paraId="045FE456">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r>
      <w:tr w14:paraId="041F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55FB4513">
            <w:pPr>
              <w:spacing w:line="300" w:lineRule="exact"/>
              <w:jc w:val="center"/>
              <w:rPr>
                <w:rFonts w:ascii="楷体" w:hAnsi="楷体" w:eastAsia="楷体" w:cs="楷体"/>
                <w:color w:val="auto"/>
                <w:sz w:val="24"/>
              </w:rPr>
            </w:pPr>
            <w:r>
              <w:rPr>
                <w:rFonts w:hint="eastAsia" w:ascii="楷体" w:hAnsi="楷体" w:eastAsia="楷体" w:cs="楷体"/>
                <w:color w:val="auto"/>
                <w:sz w:val="24"/>
              </w:rPr>
              <w:t>7</w:t>
            </w:r>
          </w:p>
        </w:tc>
        <w:tc>
          <w:tcPr>
            <w:tcW w:w="3949" w:type="dxa"/>
            <w:shd w:val="clear" w:color="auto" w:fill="auto"/>
            <w:vAlign w:val="center"/>
          </w:tcPr>
          <w:p w14:paraId="7818471F">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服务企业数量（个）</w:t>
            </w:r>
          </w:p>
        </w:tc>
        <w:tc>
          <w:tcPr>
            <w:tcW w:w="2482" w:type="dxa"/>
            <w:shd w:val="clear" w:color="auto" w:fill="auto"/>
            <w:vAlign w:val="center"/>
          </w:tcPr>
          <w:p w14:paraId="11E2201D">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25</w:t>
            </w:r>
          </w:p>
        </w:tc>
        <w:tc>
          <w:tcPr>
            <w:tcW w:w="1983" w:type="dxa"/>
            <w:shd w:val="clear" w:color="auto" w:fill="auto"/>
            <w:vAlign w:val="center"/>
          </w:tcPr>
          <w:p w14:paraId="5F3CBF7F">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30</w:t>
            </w:r>
          </w:p>
        </w:tc>
        <w:tc>
          <w:tcPr>
            <w:tcW w:w="1811" w:type="dxa"/>
            <w:shd w:val="clear" w:color="auto" w:fill="auto"/>
            <w:vAlign w:val="center"/>
          </w:tcPr>
          <w:p w14:paraId="20DA5C25">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35</w:t>
            </w:r>
          </w:p>
        </w:tc>
        <w:tc>
          <w:tcPr>
            <w:tcW w:w="1978" w:type="dxa"/>
            <w:shd w:val="clear" w:color="auto" w:fill="auto"/>
            <w:vAlign w:val="center"/>
          </w:tcPr>
          <w:p w14:paraId="7DB178A3">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r>
      <w:tr w14:paraId="053E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1027403E">
            <w:pPr>
              <w:spacing w:line="300" w:lineRule="exact"/>
              <w:jc w:val="center"/>
              <w:rPr>
                <w:rFonts w:ascii="楷体" w:hAnsi="楷体" w:eastAsia="楷体" w:cs="楷体"/>
                <w:color w:val="auto"/>
                <w:sz w:val="24"/>
              </w:rPr>
            </w:pPr>
            <w:r>
              <w:rPr>
                <w:rFonts w:hint="eastAsia" w:ascii="楷体" w:hAnsi="楷体" w:eastAsia="楷体" w:cs="楷体"/>
                <w:color w:val="auto"/>
                <w:sz w:val="24"/>
              </w:rPr>
              <w:t>8</w:t>
            </w:r>
          </w:p>
        </w:tc>
        <w:tc>
          <w:tcPr>
            <w:tcW w:w="3949" w:type="dxa"/>
            <w:shd w:val="clear" w:color="auto" w:fill="auto"/>
            <w:vAlign w:val="center"/>
          </w:tcPr>
          <w:p w14:paraId="4C4847BD">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新增“四上”企业</w:t>
            </w:r>
          </w:p>
        </w:tc>
        <w:tc>
          <w:tcPr>
            <w:tcW w:w="2482" w:type="dxa"/>
            <w:shd w:val="clear" w:color="auto" w:fill="auto"/>
            <w:vAlign w:val="center"/>
          </w:tcPr>
          <w:p w14:paraId="1C7F2710">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2</w:t>
            </w:r>
          </w:p>
        </w:tc>
        <w:tc>
          <w:tcPr>
            <w:tcW w:w="1983" w:type="dxa"/>
            <w:shd w:val="clear" w:color="auto" w:fill="auto"/>
            <w:vAlign w:val="center"/>
          </w:tcPr>
          <w:p w14:paraId="79E9CFD4">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3</w:t>
            </w:r>
          </w:p>
        </w:tc>
        <w:tc>
          <w:tcPr>
            <w:tcW w:w="1811" w:type="dxa"/>
            <w:shd w:val="clear" w:color="auto" w:fill="auto"/>
            <w:vAlign w:val="center"/>
          </w:tcPr>
          <w:p w14:paraId="1D95B95B">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4</w:t>
            </w:r>
          </w:p>
        </w:tc>
        <w:tc>
          <w:tcPr>
            <w:tcW w:w="1978" w:type="dxa"/>
            <w:shd w:val="clear" w:color="auto" w:fill="auto"/>
            <w:vAlign w:val="center"/>
          </w:tcPr>
          <w:p w14:paraId="4B28ED50">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15</w:t>
            </w:r>
          </w:p>
        </w:tc>
      </w:tr>
    </w:tbl>
    <w:p w14:paraId="3A0574C2">
      <w:pPr>
        <w:spacing w:before="312" w:beforeLines="100" w:after="312" w:afterLines="100" w:line="500" w:lineRule="exact"/>
        <w:rPr>
          <w:rFonts w:ascii="楷体" w:hAnsi="楷体" w:eastAsia="楷体" w:cs="楷体"/>
          <w:sz w:val="28"/>
          <w:szCs w:val="44"/>
        </w:rPr>
        <w:sectPr>
          <w:pgSz w:w="16838" w:h="11905" w:orient="landscape"/>
          <w:pgMar w:top="1803" w:right="1440" w:bottom="1803" w:left="1440" w:header="850" w:footer="992" w:gutter="0"/>
          <w:pgNumType w:fmt="decimal"/>
          <w:cols w:space="0" w:num="1"/>
          <w:rtlGutter w:val="0"/>
          <w:docGrid w:type="lines" w:linePitch="319" w:charSpace="0"/>
        </w:sectPr>
      </w:pPr>
    </w:p>
    <w:p w14:paraId="2D5AE58C">
      <w:pPr>
        <w:tabs>
          <w:tab w:val="left" w:pos="720"/>
        </w:tabs>
        <w:spacing w:line="500" w:lineRule="exact"/>
        <w:jc w:val="center"/>
        <w:rPr>
          <w:rFonts w:hint="eastAsia" w:ascii="楷体" w:hAnsi="楷体" w:eastAsia="楷体" w:cs="楷体"/>
          <w:b/>
          <w:bCs/>
          <w:sz w:val="32"/>
          <w:szCs w:val="32"/>
        </w:rPr>
      </w:pPr>
      <w:r>
        <w:rPr>
          <w:rFonts w:hint="eastAsia" w:ascii="楷体" w:hAnsi="楷体" w:eastAsia="楷体" w:cs="楷体"/>
          <w:b/>
          <w:bCs/>
          <w:sz w:val="32"/>
          <w:szCs w:val="48"/>
        </w:rPr>
        <w:t>表2</w:t>
      </w:r>
      <w:r>
        <w:rPr>
          <w:rFonts w:hint="eastAsia" w:ascii="楷体" w:hAnsi="楷体" w:eastAsia="楷体" w:cs="楷体"/>
          <w:sz w:val="32"/>
          <w:szCs w:val="48"/>
        </w:rPr>
        <w:t xml:space="preserve"> </w:t>
      </w:r>
      <w:r>
        <w:rPr>
          <w:rFonts w:hint="eastAsia" w:ascii="楷体" w:hAnsi="楷体" w:eastAsia="楷体" w:cs="楷体"/>
          <w:b/>
          <w:bCs/>
          <w:sz w:val="32"/>
          <w:szCs w:val="32"/>
        </w:rPr>
        <w:t>年度绩效考核表</w:t>
      </w:r>
    </w:p>
    <w:p w14:paraId="47148E35">
      <w:pPr>
        <w:tabs>
          <w:tab w:val="left" w:pos="720"/>
        </w:tabs>
        <w:spacing w:line="500" w:lineRule="exact"/>
        <w:jc w:val="center"/>
        <w:rPr>
          <w:rFonts w:hint="eastAsia" w:ascii="楷体" w:hAnsi="楷体" w:eastAsia="楷体" w:cs="楷体"/>
          <w:b/>
          <w:bCs/>
          <w:sz w:val="32"/>
          <w:szCs w:val="32"/>
        </w:rPr>
      </w:pPr>
    </w:p>
    <w:tbl>
      <w:tblPr>
        <w:tblStyle w:val="3"/>
        <w:tblW w:w="13605" w:type="dxa"/>
        <w:jc w:val="center"/>
        <w:tblLayout w:type="fixed"/>
        <w:tblCellMar>
          <w:top w:w="0" w:type="dxa"/>
          <w:left w:w="108" w:type="dxa"/>
          <w:bottom w:w="0" w:type="dxa"/>
          <w:right w:w="108" w:type="dxa"/>
        </w:tblCellMar>
      </w:tblPr>
      <w:tblGrid>
        <w:gridCol w:w="856"/>
        <w:gridCol w:w="1411"/>
        <w:gridCol w:w="5346"/>
        <w:gridCol w:w="1364"/>
        <w:gridCol w:w="1553"/>
        <w:gridCol w:w="1650"/>
        <w:gridCol w:w="1425"/>
      </w:tblGrid>
      <w:tr w14:paraId="446DB0D6">
        <w:tblPrEx>
          <w:tblCellMar>
            <w:top w:w="0" w:type="dxa"/>
            <w:left w:w="108" w:type="dxa"/>
            <w:bottom w:w="0" w:type="dxa"/>
            <w:right w:w="108" w:type="dxa"/>
          </w:tblCellMar>
        </w:tblPrEx>
        <w:trPr>
          <w:trHeight w:val="567"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193F26A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序号</w:t>
            </w:r>
          </w:p>
        </w:tc>
        <w:tc>
          <w:tcPr>
            <w:tcW w:w="1411" w:type="dxa"/>
            <w:tcBorders>
              <w:top w:val="single" w:color="000000" w:sz="4" w:space="0"/>
              <w:left w:val="single" w:color="000000" w:sz="4" w:space="0"/>
              <w:bottom w:val="single" w:color="000000" w:sz="4" w:space="0"/>
              <w:right w:val="single" w:color="000000" w:sz="4" w:space="0"/>
            </w:tcBorders>
            <w:vAlign w:val="center"/>
          </w:tcPr>
          <w:p w14:paraId="464838B8">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指标类别</w:t>
            </w:r>
          </w:p>
        </w:tc>
        <w:tc>
          <w:tcPr>
            <w:tcW w:w="5346" w:type="dxa"/>
            <w:tcBorders>
              <w:top w:val="single" w:color="000000" w:sz="4" w:space="0"/>
              <w:left w:val="single" w:color="000000" w:sz="4" w:space="0"/>
              <w:bottom w:val="single" w:color="000000" w:sz="4" w:space="0"/>
              <w:right w:val="single" w:color="000000" w:sz="4" w:space="0"/>
            </w:tcBorders>
            <w:vAlign w:val="center"/>
          </w:tcPr>
          <w:p w14:paraId="7C004DE6">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指标内容</w:t>
            </w:r>
          </w:p>
        </w:tc>
        <w:tc>
          <w:tcPr>
            <w:tcW w:w="1364" w:type="dxa"/>
            <w:tcBorders>
              <w:top w:val="single" w:color="000000" w:sz="4" w:space="0"/>
              <w:left w:val="single" w:color="000000" w:sz="4" w:space="0"/>
              <w:bottom w:val="single" w:color="000000" w:sz="4" w:space="0"/>
              <w:right w:val="single" w:color="auto" w:sz="4" w:space="0"/>
            </w:tcBorders>
            <w:vAlign w:val="center"/>
          </w:tcPr>
          <w:p w14:paraId="64F0BDC1">
            <w:pPr>
              <w:widowControl/>
              <w:overflowPunct w:val="0"/>
              <w:adjustRightInd w:val="0"/>
              <w:snapToGrid w:val="0"/>
              <w:spacing w:line="240" w:lineRule="atLeast"/>
              <w:jc w:val="center"/>
              <w:textAlignment w:val="top"/>
              <w:rPr>
                <w:rFonts w:hint="default" w:ascii="楷体" w:hAnsi="楷体" w:eastAsia="楷体" w:cs="楷体"/>
                <w:sz w:val="24"/>
                <w:lang w:val="en-US"/>
              </w:rPr>
            </w:pPr>
            <w:r>
              <w:rPr>
                <w:rFonts w:hint="eastAsia" w:ascii="楷体" w:hAnsi="楷体" w:eastAsia="楷体" w:cs="楷体"/>
                <w:sz w:val="24"/>
                <w:lang w:val="en-US" w:eastAsia="zh-CN"/>
              </w:rPr>
              <w:t>第一年</w:t>
            </w:r>
          </w:p>
        </w:tc>
        <w:tc>
          <w:tcPr>
            <w:tcW w:w="1553" w:type="dxa"/>
            <w:tcBorders>
              <w:top w:val="single" w:color="000000" w:sz="4" w:space="0"/>
              <w:left w:val="single" w:color="auto" w:sz="4" w:space="0"/>
              <w:bottom w:val="single" w:color="000000" w:sz="4" w:space="0"/>
              <w:right w:val="single" w:color="000000" w:sz="4" w:space="0"/>
            </w:tcBorders>
            <w:vAlign w:val="center"/>
          </w:tcPr>
          <w:p w14:paraId="607A424E">
            <w:pPr>
              <w:widowControl/>
              <w:overflowPunct w:val="0"/>
              <w:adjustRightInd w:val="0"/>
              <w:snapToGrid w:val="0"/>
              <w:spacing w:line="240" w:lineRule="atLeast"/>
              <w:jc w:val="center"/>
              <w:textAlignment w:val="top"/>
              <w:rPr>
                <w:rFonts w:hint="default" w:ascii="楷体" w:hAnsi="楷体" w:eastAsia="楷体" w:cs="楷体"/>
                <w:sz w:val="24"/>
                <w:lang w:val="en-US"/>
              </w:rPr>
            </w:pPr>
            <w:r>
              <w:rPr>
                <w:rFonts w:hint="eastAsia" w:ascii="楷体" w:hAnsi="楷体" w:eastAsia="楷体" w:cs="楷体"/>
                <w:sz w:val="24"/>
                <w:lang w:val="en-US" w:eastAsia="zh-CN"/>
              </w:rPr>
              <w:t>第二年</w:t>
            </w:r>
          </w:p>
        </w:tc>
        <w:tc>
          <w:tcPr>
            <w:tcW w:w="1650" w:type="dxa"/>
            <w:tcBorders>
              <w:top w:val="single" w:color="000000" w:sz="4" w:space="0"/>
              <w:left w:val="single" w:color="000000" w:sz="4" w:space="0"/>
              <w:bottom w:val="single" w:color="000000" w:sz="4" w:space="0"/>
              <w:right w:val="single" w:color="000000" w:sz="4" w:space="0"/>
            </w:tcBorders>
            <w:vAlign w:val="center"/>
          </w:tcPr>
          <w:p w14:paraId="0A2F8781">
            <w:pPr>
              <w:widowControl/>
              <w:overflowPunct w:val="0"/>
              <w:adjustRightInd w:val="0"/>
              <w:snapToGrid w:val="0"/>
              <w:spacing w:line="240" w:lineRule="atLeast"/>
              <w:jc w:val="center"/>
              <w:textAlignment w:val="top"/>
              <w:rPr>
                <w:rFonts w:hint="default" w:ascii="楷体" w:hAnsi="楷体" w:eastAsia="楷体" w:cs="楷体"/>
                <w:sz w:val="24"/>
                <w:lang w:val="en-US"/>
              </w:rPr>
            </w:pPr>
            <w:r>
              <w:rPr>
                <w:rFonts w:hint="eastAsia" w:ascii="楷体" w:hAnsi="楷体" w:eastAsia="楷体" w:cs="楷体"/>
                <w:sz w:val="24"/>
                <w:lang w:val="en-US" w:eastAsia="zh-CN"/>
              </w:rPr>
              <w:t>第三年</w:t>
            </w:r>
          </w:p>
        </w:tc>
        <w:tc>
          <w:tcPr>
            <w:tcW w:w="1425" w:type="dxa"/>
            <w:tcBorders>
              <w:top w:val="single" w:color="000000" w:sz="4" w:space="0"/>
              <w:left w:val="single" w:color="auto" w:sz="4" w:space="0"/>
              <w:bottom w:val="single" w:color="000000" w:sz="4" w:space="0"/>
              <w:right w:val="single" w:color="000000" w:sz="4" w:space="0"/>
            </w:tcBorders>
            <w:vAlign w:val="center"/>
          </w:tcPr>
          <w:p w14:paraId="34ADBF99">
            <w:pPr>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分值</w:t>
            </w:r>
          </w:p>
        </w:tc>
      </w:tr>
      <w:tr w14:paraId="44390604">
        <w:tblPrEx>
          <w:tblCellMar>
            <w:top w:w="0" w:type="dxa"/>
            <w:left w:w="108" w:type="dxa"/>
            <w:bottom w:w="0" w:type="dxa"/>
            <w:right w:w="108" w:type="dxa"/>
          </w:tblCellMar>
        </w:tblPrEx>
        <w:trPr>
          <w:trHeight w:val="567" w:hRule="atLeast"/>
          <w:jc w:val="center"/>
        </w:trPr>
        <w:tc>
          <w:tcPr>
            <w:tcW w:w="856" w:type="dxa"/>
            <w:vMerge w:val="restart"/>
            <w:tcBorders>
              <w:top w:val="single" w:color="000000" w:sz="4" w:space="0"/>
              <w:left w:val="single" w:color="000000" w:sz="4" w:space="0"/>
              <w:right w:val="single" w:color="000000" w:sz="4" w:space="0"/>
            </w:tcBorders>
            <w:vAlign w:val="center"/>
          </w:tcPr>
          <w:p w14:paraId="26DEF90B">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w:t>
            </w:r>
          </w:p>
        </w:tc>
        <w:tc>
          <w:tcPr>
            <w:tcW w:w="1411" w:type="dxa"/>
            <w:vMerge w:val="restart"/>
            <w:tcBorders>
              <w:top w:val="single" w:color="000000" w:sz="4" w:space="0"/>
              <w:left w:val="single" w:color="000000" w:sz="4" w:space="0"/>
              <w:bottom w:val="single" w:color="000000" w:sz="4" w:space="0"/>
              <w:right w:val="single" w:color="000000" w:sz="4" w:space="0"/>
            </w:tcBorders>
            <w:vAlign w:val="center"/>
          </w:tcPr>
          <w:p w14:paraId="5D7B24C0">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rPr>
              <w:t>企业</w:t>
            </w:r>
            <w:r>
              <w:rPr>
                <w:rFonts w:hint="eastAsia" w:ascii="楷体" w:hAnsi="楷体" w:eastAsia="楷体" w:cs="楷体"/>
                <w:sz w:val="24"/>
                <w:lang w:val="en-US" w:eastAsia="zh-CN"/>
              </w:rPr>
              <w:t>引进培育</w:t>
            </w:r>
          </w:p>
          <w:p w14:paraId="79914D8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w:t>
            </w:r>
            <w:r>
              <w:rPr>
                <w:rFonts w:hint="eastAsia" w:ascii="楷体" w:hAnsi="楷体" w:eastAsia="楷体" w:cs="楷体"/>
                <w:sz w:val="24"/>
                <w:lang w:val="en-US" w:eastAsia="zh-CN"/>
              </w:rPr>
              <w:t>40</w:t>
            </w:r>
            <w:r>
              <w:rPr>
                <w:rFonts w:hint="eastAsia" w:ascii="楷体" w:hAnsi="楷体" w:eastAsia="楷体" w:cs="楷体"/>
                <w:sz w:val="24"/>
              </w:rPr>
              <w:t>分)</w:t>
            </w:r>
          </w:p>
        </w:tc>
        <w:tc>
          <w:tcPr>
            <w:tcW w:w="5346" w:type="dxa"/>
            <w:tcBorders>
              <w:top w:val="single" w:color="000000" w:sz="4" w:space="0"/>
              <w:left w:val="single" w:color="000000" w:sz="4" w:space="0"/>
              <w:bottom w:val="single" w:color="000000" w:sz="4" w:space="0"/>
              <w:right w:val="single" w:color="000000" w:sz="4" w:space="0"/>
            </w:tcBorders>
            <w:vAlign w:val="center"/>
          </w:tcPr>
          <w:p w14:paraId="2C15354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年度招引经上级认定的科技型企业数</w:t>
            </w:r>
            <w:r>
              <w:rPr>
                <w:rStyle w:val="6"/>
                <w:rFonts w:ascii="楷体" w:hAnsi="楷体" w:eastAsia="楷体" w:cs="楷体"/>
                <w:color w:val="auto"/>
                <w:sz w:val="24"/>
                <w:szCs w:val="24"/>
                <w:lang w:bidi="ar"/>
              </w:rPr>
              <w:t>（家）</w:t>
            </w:r>
          </w:p>
        </w:tc>
        <w:tc>
          <w:tcPr>
            <w:tcW w:w="1364" w:type="dxa"/>
            <w:tcBorders>
              <w:top w:val="single" w:color="000000" w:sz="4" w:space="0"/>
              <w:left w:val="single" w:color="000000" w:sz="4" w:space="0"/>
              <w:bottom w:val="single" w:color="000000" w:sz="4" w:space="0"/>
              <w:right w:val="single" w:color="auto" w:sz="4" w:space="0"/>
            </w:tcBorders>
            <w:vAlign w:val="center"/>
          </w:tcPr>
          <w:p w14:paraId="2084AF8D">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18</w:t>
            </w:r>
          </w:p>
        </w:tc>
        <w:tc>
          <w:tcPr>
            <w:tcW w:w="1553" w:type="dxa"/>
            <w:tcBorders>
              <w:top w:val="single" w:color="000000" w:sz="4" w:space="0"/>
              <w:left w:val="single" w:color="auto" w:sz="4" w:space="0"/>
              <w:bottom w:val="single" w:color="000000" w:sz="4" w:space="0"/>
              <w:right w:val="single" w:color="000000" w:sz="4" w:space="0"/>
            </w:tcBorders>
            <w:vAlign w:val="center"/>
          </w:tcPr>
          <w:p w14:paraId="0DA5F3A3">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20</w:t>
            </w:r>
          </w:p>
        </w:tc>
        <w:tc>
          <w:tcPr>
            <w:tcW w:w="1650" w:type="dxa"/>
            <w:tcBorders>
              <w:top w:val="single" w:color="000000" w:sz="4" w:space="0"/>
              <w:left w:val="single" w:color="000000" w:sz="4" w:space="0"/>
              <w:bottom w:val="single" w:color="000000" w:sz="4" w:space="0"/>
              <w:right w:val="single" w:color="000000" w:sz="4" w:space="0"/>
            </w:tcBorders>
            <w:vAlign w:val="center"/>
          </w:tcPr>
          <w:p w14:paraId="1090BD4C">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30</w:t>
            </w:r>
          </w:p>
        </w:tc>
        <w:tc>
          <w:tcPr>
            <w:tcW w:w="1425" w:type="dxa"/>
            <w:tcBorders>
              <w:top w:val="single" w:color="000000" w:sz="4" w:space="0"/>
              <w:left w:val="single" w:color="auto" w:sz="4" w:space="0"/>
              <w:bottom w:val="single" w:color="000000" w:sz="4" w:space="0"/>
              <w:right w:val="single" w:color="000000" w:sz="4" w:space="0"/>
            </w:tcBorders>
            <w:vAlign w:val="center"/>
          </w:tcPr>
          <w:p w14:paraId="016A4393">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lang w:val="en-US" w:eastAsia="zh-CN"/>
              </w:rPr>
              <w:t>10</w:t>
            </w:r>
          </w:p>
        </w:tc>
      </w:tr>
      <w:tr w14:paraId="3C81262D">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right w:val="single" w:color="000000" w:sz="4" w:space="0"/>
            </w:tcBorders>
            <w:vAlign w:val="center"/>
          </w:tcPr>
          <w:p w14:paraId="67030E4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w:t>
            </w:r>
          </w:p>
        </w:tc>
        <w:tc>
          <w:tcPr>
            <w:tcW w:w="1411" w:type="dxa"/>
            <w:vMerge w:val="continue"/>
            <w:tcBorders>
              <w:left w:val="single" w:color="000000" w:sz="4" w:space="0"/>
              <w:right w:val="single" w:color="000000" w:sz="4" w:space="0"/>
            </w:tcBorders>
            <w:vAlign w:val="center"/>
          </w:tcPr>
          <w:p w14:paraId="6CD3D42D">
            <w:pPr>
              <w:widowControl/>
              <w:overflowPunct w:val="0"/>
              <w:adjustRightInd w:val="0"/>
              <w:snapToGrid w:val="0"/>
              <w:spacing w:line="240" w:lineRule="atLeast"/>
              <w:jc w:val="center"/>
              <w:textAlignment w:val="top"/>
              <w:rPr>
                <w:rFonts w:ascii="楷体" w:hAnsi="楷体" w:eastAsia="楷体" w:cs="楷体"/>
                <w:sz w:val="24"/>
              </w:rPr>
            </w:pPr>
          </w:p>
        </w:tc>
        <w:tc>
          <w:tcPr>
            <w:tcW w:w="5346" w:type="dxa"/>
            <w:tcBorders>
              <w:top w:val="single" w:color="000000" w:sz="4" w:space="0"/>
              <w:left w:val="single" w:color="000000" w:sz="4" w:space="0"/>
              <w:bottom w:val="single" w:color="000000" w:sz="4" w:space="0"/>
              <w:right w:val="single" w:color="000000" w:sz="4" w:space="0"/>
            </w:tcBorders>
            <w:vAlign w:val="center"/>
          </w:tcPr>
          <w:p w14:paraId="2128D171">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年度获批科技型中小企业数</w:t>
            </w:r>
            <w:r>
              <w:rPr>
                <w:rStyle w:val="6"/>
                <w:rFonts w:ascii="楷体" w:hAnsi="楷体" w:eastAsia="楷体" w:cs="楷体"/>
                <w:color w:val="auto"/>
                <w:sz w:val="24"/>
                <w:szCs w:val="24"/>
                <w:lang w:bidi="ar"/>
              </w:rPr>
              <w:t>（家）</w:t>
            </w:r>
          </w:p>
        </w:tc>
        <w:tc>
          <w:tcPr>
            <w:tcW w:w="1364" w:type="dxa"/>
            <w:tcBorders>
              <w:top w:val="single" w:color="000000" w:sz="4" w:space="0"/>
              <w:left w:val="single" w:color="000000" w:sz="4" w:space="0"/>
              <w:bottom w:val="single" w:color="000000" w:sz="4" w:space="0"/>
              <w:right w:val="single" w:color="000000" w:sz="4" w:space="0"/>
            </w:tcBorders>
            <w:vAlign w:val="center"/>
          </w:tcPr>
          <w:p w14:paraId="473CCB8B">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20</w:t>
            </w:r>
          </w:p>
        </w:tc>
        <w:tc>
          <w:tcPr>
            <w:tcW w:w="1553" w:type="dxa"/>
            <w:tcBorders>
              <w:top w:val="single" w:color="000000" w:sz="4" w:space="0"/>
              <w:left w:val="single" w:color="000000" w:sz="4" w:space="0"/>
              <w:bottom w:val="single" w:color="000000" w:sz="4" w:space="0"/>
              <w:right w:val="single" w:color="000000" w:sz="4" w:space="0"/>
            </w:tcBorders>
            <w:vAlign w:val="center"/>
          </w:tcPr>
          <w:p w14:paraId="22EA56F5">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25</w:t>
            </w:r>
          </w:p>
        </w:tc>
        <w:tc>
          <w:tcPr>
            <w:tcW w:w="1650" w:type="dxa"/>
            <w:tcBorders>
              <w:top w:val="single" w:color="000000" w:sz="4" w:space="0"/>
              <w:left w:val="single" w:color="000000" w:sz="4" w:space="0"/>
              <w:bottom w:val="single" w:color="000000" w:sz="4" w:space="0"/>
              <w:right w:val="single" w:color="000000" w:sz="4" w:space="0"/>
            </w:tcBorders>
            <w:vAlign w:val="center"/>
          </w:tcPr>
          <w:p w14:paraId="52408CE8">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35</w:t>
            </w:r>
          </w:p>
        </w:tc>
        <w:tc>
          <w:tcPr>
            <w:tcW w:w="1425" w:type="dxa"/>
            <w:tcBorders>
              <w:top w:val="single" w:color="000000" w:sz="4" w:space="0"/>
              <w:left w:val="single" w:color="auto" w:sz="4" w:space="0"/>
              <w:bottom w:val="single" w:color="000000" w:sz="4" w:space="0"/>
              <w:right w:val="single" w:color="000000" w:sz="4" w:space="0"/>
            </w:tcBorders>
            <w:vAlign w:val="center"/>
          </w:tcPr>
          <w:p w14:paraId="50731D31">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10</w:t>
            </w:r>
          </w:p>
        </w:tc>
      </w:tr>
      <w:tr w14:paraId="7732C532">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right w:val="single" w:color="000000" w:sz="4" w:space="0"/>
            </w:tcBorders>
            <w:vAlign w:val="center"/>
          </w:tcPr>
          <w:p w14:paraId="167C5ED6">
            <w:pPr>
              <w:widowControl/>
              <w:overflowPunct w:val="0"/>
              <w:adjustRightInd w:val="0"/>
              <w:snapToGrid w:val="0"/>
              <w:spacing w:line="240" w:lineRule="atLeast"/>
              <w:jc w:val="center"/>
              <w:textAlignment w:val="top"/>
              <w:rPr>
                <w:rFonts w:ascii="楷体" w:hAnsi="楷体" w:eastAsia="楷体" w:cs="楷体"/>
                <w:sz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1FD678D2">
            <w:pPr>
              <w:widowControl/>
              <w:overflowPunct w:val="0"/>
              <w:adjustRightInd w:val="0"/>
              <w:snapToGrid w:val="0"/>
              <w:spacing w:line="240" w:lineRule="atLeast"/>
              <w:jc w:val="center"/>
              <w:rPr>
                <w:rFonts w:ascii="楷体" w:hAnsi="楷体" w:eastAsia="楷体" w:cs="楷体"/>
                <w:sz w:val="24"/>
              </w:rPr>
            </w:pP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73E4">
            <w:pPr>
              <w:widowControl/>
              <w:overflowPunct w:val="0"/>
              <w:adjustRightInd w:val="0"/>
              <w:snapToGrid w:val="0"/>
              <w:spacing w:line="240" w:lineRule="atLeast"/>
              <w:jc w:val="center"/>
              <w:textAlignment w:val="top"/>
              <w:rPr>
                <w:rFonts w:ascii="楷体" w:hAnsi="楷体" w:eastAsia="楷体" w:cs="楷体"/>
                <w:sz w:val="24"/>
              </w:rPr>
            </w:pPr>
            <w:r>
              <w:rPr>
                <w:rStyle w:val="6"/>
                <w:rFonts w:ascii="楷体" w:hAnsi="楷体" w:eastAsia="楷体" w:cs="楷体"/>
                <w:color w:val="auto"/>
                <w:sz w:val="24"/>
                <w:szCs w:val="24"/>
                <w:lang w:bidi="ar"/>
              </w:rPr>
              <w:t>有效申报</w:t>
            </w:r>
            <w:r>
              <w:rPr>
                <w:rStyle w:val="6"/>
                <w:rFonts w:hint="eastAsia" w:ascii="楷体" w:hAnsi="楷体" w:eastAsia="楷体" w:cs="楷体"/>
                <w:color w:val="auto"/>
                <w:sz w:val="24"/>
                <w:szCs w:val="24"/>
                <w:lang w:val="en-US" w:eastAsia="zh-CN" w:bidi="ar"/>
              </w:rPr>
              <w:t>国家高新技术企业</w:t>
            </w:r>
            <w:r>
              <w:rPr>
                <w:rStyle w:val="6"/>
                <w:rFonts w:ascii="楷体" w:hAnsi="楷体" w:eastAsia="楷体" w:cs="楷体"/>
                <w:color w:val="auto"/>
                <w:sz w:val="24"/>
                <w:szCs w:val="24"/>
                <w:lang w:bidi="ar"/>
              </w:rPr>
              <w:t>（家）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8AD8">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5B6E">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4B9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8</w:t>
            </w:r>
          </w:p>
        </w:tc>
        <w:tc>
          <w:tcPr>
            <w:tcW w:w="1425" w:type="dxa"/>
            <w:tcBorders>
              <w:top w:val="single" w:color="000000" w:sz="4" w:space="0"/>
              <w:left w:val="single" w:color="auto" w:sz="4" w:space="0"/>
              <w:bottom w:val="single" w:color="000000" w:sz="4" w:space="0"/>
              <w:right w:val="single" w:color="000000" w:sz="4" w:space="0"/>
            </w:tcBorders>
            <w:shd w:val="clear" w:color="auto" w:fill="auto"/>
            <w:vAlign w:val="center"/>
          </w:tcPr>
          <w:p w14:paraId="7752FA15">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10</w:t>
            </w:r>
          </w:p>
        </w:tc>
      </w:tr>
      <w:tr w14:paraId="0F8ED0EE">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right w:val="single" w:color="000000" w:sz="4" w:space="0"/>
            </w:tcBorders>
            <w:vAlign w:val="center"/>
          </w:tcPr>
          <w:p w14:paraId="5FA642E0">
            <w:pPr>
              <w:widowControl/>
              <w:overflowPunct w:val="0"/>
              <w:adjustRightInd w:val="0"/>
              <w:snapToGrid w:val="0"/>
              <w:spacing w:line="240" w:lineRule="atLeast"/>
              <w:jc w:val="center"/>
              <w:textAlignment w:val="top"/>
              <w:rPr>
                <w:rFonts w:ascii="楷体" w:hAnsi="楷体" w:eastAsia="楷体" w:cs="楷体"/>
                <w:sz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0DD2130B">
            <w:pPr>
              <w:widowControl/>
              <w:overflowPunct w:val="0"/>
              <w:adjustRightInd w:val="0"/>
              <w:snapToGrid w:val="0"/>
              <w:spacing w:line="240" w:lineRule="atLeast"/>
              <w:jc w:val="center"/>
              <w:rPr>
                <w:rFonts w:ascii="楷体" w:hAnsi="楷体" w:eastAsia="楷体" w:cs="楷体"/>
                <w:sz w:val="24"/>
              </w:rPr>
            </w:pP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BF19">
            <w:pPr>
              <w:widowControl/>
              <w:overflowPunct w:val="0"/>
              <w:adjustRightInd w:val="0"/>
              <w:snapToGrid w:val="0"/>
              <w:spacing w:line="240" w:lineRule="atLeast"/>
              <w:jc w:val="center"/>
              <w:textAlignment w:val="top"/>
              <w:rPr>
                <w:rStyle w:val="6"/>
                <w:rFonts w:hint="default" w:ascii="楷体" w:hAnsi="楷体" w:eastAsia="楷体" w:cs="楷体"/>
                <w:color w:val="auto"/>
                <w:sz w:val="24"/>
                <w:szCs w:val="24"/>
                <w:lang w:bidi="ar"/>
              </w:rPr>
            </w:pPr>
            <w:r>
              <w:rPr>
                <w:rFonts w:hint="eastAsia" w:ascii="楷体" w:hAnsi="楷体" w:eastAsia="楷体" w:cs="楷体"/>
                <w:kern w:val="2"/>
                <w:sz w:val="24"/>
                <w:lang w:bidi="ar"/>
              </w:rPr>
              <w:t>净增高企数（家）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AB3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3485">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F026">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5</w:t>
            </w:r>
          </w:p>
        </w:tc>
        <w:tc>
          <w:tcPr>
            <w:tcW w:w="1425" w:type="dxa"/>
            <w:tcBorders>
              <w:top w:val="single" w:color="000000" w:sz="4" w:space="0"/>
              <w:left w:val="single" w:color="auto" w:sz="4" w:space="0"/>
              <w:bottom w:val="single" w:color="000000" w:sz="4" w:space="0"/>
              <w:right w:val="single" w:color="000000" w:sz="4" w:space="0"/>
            </w:tcBorders>
            <w:shd w:val="clear" w:color="auto" w:fill="auto"/>
            <w:vAlign w:val="center"/>
          </w:tcPr>
          <w:p w14:paraId="41E2ACE6">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lang w:val="en-US" w:eastAsia="zh-CN"/>
              </w:rPr>
              <w:t>10</w:t>
            </w:r>
          </w:p>
        </w:tc>
      </w:tr>
      <w:tr w14:paraId="1764B8ED">
        <w:tblPrEx>
          <w:tblCellMar>
            <w:top w:w="0" w:type="dxa"/>
            <w:left w:w="108" w:type="dxa"/>
            <w:bottom w:w="0" w:type="dxa"/>
            <w:right w:w="108" w:type="dxa"/>
          </w:tblCellMar>
        </w:tblPrEx>
        <w:trPr>
          <w:trHeight w:val="567" w:hRule="atLeast"/>
          <w:jc w:val="center"/>
        </w:trPr>
        <w:tc>
          <w:tcPr>
            <w:tcW w:w="856" w:type="dxa"/>
            <w:vMerge w:val="restart"/>
            <w:tcBorders>
              <w:top w:val="single" w:color="000000" w:sz="4" w:space="0"/>
              <w:left w:val="single" w:color="000000" w:sz="4" w:space="0"/>
              <w:right w:val="single" w:color="000000" w:sz="4" w:space="0"/>
            </w:tcBorders>
            <w:vAlign w:val="center"/>
          </w:tcPr>
          <w:p w14:paraId="73F8F83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w:t>
            </w:r>
          </w:p>
        </w:tc>
        <w:tc>
          <w:tcPr>
            <w:tcW w:w="1411" w:type="dxa"/>
            <w:vMerge w:val="restart"/>
            <w:tcBorders>
              <w:top w:val="single" w:color="000000" w:sz="4" w:space="0"/>
              <w:left w:val="single" w:color="000000" w:sz="4" w:space="0"/>
              <w:right w:val="single" w:color="000000" w:sz="4" w:space="0"/>
            </w:tcBorders>
            <w:vAlign w:val="center"/>
          </w:tcPr>
          <w:p w14:paraId="1793547B">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rPr>
              <w:t>人才</w:t>
            </w:r>
            <w:r>
              <w:rPr>
                <w:rFonts w:hint="eastAsia" w:ascii="楷体" w:hAnsi="楷体" w:eastAsia="楷体" w:cs="楷体"/>
                <w:sz w:val="24"/>
                <w:lang w:val="en-US" w:eastAsia="zh-CN"/>
              </w:rPr>
              <w:t>项目招引</w:t>
            </w:r>
          </w:p>
          <w:p w14:paraId="717CA576">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w:t>
            </w:r>
            <w:r>
              <w:rPr>
                <w:rFonts w:hint="eastAsia" w:ascii="楷体" w:hAnsi="楷体" w:eastAsia="楷体" w:cs="楷体"/>
                <w:sz w:val="24"/>
                <w:lang w:val="en-US" w:eastAsia="zh-CN"/>
              </w:rPr>
              <w:t>40</w:t>
            </w:r>
            <w:r>
              <w:rPr>
                <w:rFonts w:hint="eastAsia" w:ascii="楷体" w:hAnsi="楷体" w:eastAsia="楷体" w:cs="楷体"/>
                <w:sz w:val="24"/>
              </w:rPr>
              <w:t>分）</w:t>
            </w:r>
          </w:p>
        </w:tc>
        <w:tc>
          <w:tcPr>
            <w:tcW w:w="5346" w:type="dxa"/>
            <w:tcBorders>
              <w:top w:val="single" w:color="000000" w:sz="4" w:space="0"/>
              <w:left w:val="single" w:color="000000" w:sz="4" w:space="0"/>
              <w:bottom w:val="single" w:color="000000" w:sz="4" w:space="0"/>
              <w:right w:val="single" w:color="000000" w:sz="4" w:space="0"/>
            </w:tcBorders>
            <w:vAlign w:val="center"/>
          </w:tcPr>
          <w:p w14:paraId="0116A2A7">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有效申报</w:t>
            </w:r>
            <w:r>
              <w:rPr>
                <w:rFonts w:hint="eastAsia" w:ascii="楷体" w:hAnsi="楷体" w:eastAsia="楷体" w:cs="楷体"/>
                <w:sz w:val="24"/>
                <w:lang w:val="en-US" w:eastAsia="zh-CN"/>
              </w:rPr>
              <w:t>区级人才项目数</w:t>
            </w:r>
            <w:r>
              <w:rPr>
                <w:rFonts w:hint="eastAsia" w:ascii="楷体" w:hAnsi="楷体" w:eastAsia="楷体" w:cs="楷体"/>
                <w:sz w:val="24"/>
              </w:rPr>
              <w:t>（个）</w:t>
            </w:r>
          </w:p>
        </w:tc>
        <w:tc>
          <w:tcPr>
            <w:tcW w:w="1364" w:type="dxa"/>
            <w:tcBorders>
              <w:top w:val="single" w:color="000000" w:sz="4" w:space="0"/>
              <w:left w:val="single" w:color="000000" w:sz="4" w:space="0"/>
              <w:bottom w:val="single" w:color="000000" w:sz="4" w:space="0"/>
              <w:right w:val="single" w:color="000000" w:sz="4" w:space="0"/>
            </w:tcBorders>
            <w:vAlign w:val="center"/>
          </w:tcPr>
          <w:p w14:paraId="356BA32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7</w:t>
            </w:r>
          </w:p>
        </w:tc>
        <w:tc>
          <w:tcPr>
            <w:tcW w:w="1553" w:type="dxa"/>
            <w:tcBorders>
              <w:top w:val="single" w:color="000000" w:sz="4" w:space="0"/>
              <w:left w:val="single" w:color="000000" w:sz="4" w:space="0"/>
              <w:bottom w:val="single" w:color="000000" w:sz="4" w:space="0"/>
              <w:right w:val="single" w:color="000000" w:sz="4" w:space="0"/>
            </w:tcBorders>
            <w:vAlign w:val="center"/>
          </w:tcPr>
          <w:p w14:paraId="4FA11E3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8</w:t>
            </w:r>
          </w:p>
        </w:tc>
        <w:tc>
          <w:tcPr>
            <w:tcW w:w="1650" w:type="dxa"/>
            <w:tcBorders>
              <w:top w:val="single" w:color="000000" w:sz="4" w:space="0"/>
              <w:left w:val="single" w:color="000000" w:sz="4" w:space="0"/>
              <w:bottom w:val="single" w:color="000000" w:sz="4" w:space="0"/>
              <w:right w:val="single" w:color="000000" w:sz="4" w:space="0"/>
            </w:tcBorders>
            <w:vAlign w:val="center"/>
          </w:tcPr>
          <w:p w14:paraId="7469018A">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9</w:t>
            </w:r>
          </w:p>
        </w:tc>
        <w:tc>
          <w:tcPr>
            <w:tcW w:w="1425" w:type="dxa"/>
            <w:tcBorders>
              <w:top w:val="single" w:color="000000" w:sz="4" w:space="0"/>
              <w:left w:val="single" w:color="auto" w:sz="4" w:space="0"/>
              <w:bottom w:val="single" w:color="000000" w:sz="4" w:space="0"/>
              <w:right w:val="single" w:color="000000" w:sz="4" w:space="0"/>
            </w:tcBorders>
            <w:vAlign w:val="center"/>
          </w:tcPr>
          <w:p w14:paraId="6B8E7562">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lang w:val="en-US" w:eastAsia="zh-CN"/>
              </w:rPr>
              <w:t>10</w:t>
            </w:r>
          </w:p>
        </w:tc>
      </w:tr>
      <w:tr w14:paraId="49293C28">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right w:val="single" w:color="000000" w:sz="4" w:space="0"/>
            </w:tcBorders>
            <w:vAlign w:val="center"/>
          </w:tcPr>
          <w:p w14:paraId="56241D5E">
            <w:pPr>
              <w:widowControl/>
              <w:overflowPunct w:val="0"/>
              <w:adjustRightInd w:val="0"/>
              <w:snapToGrid w:val="0"/>
              <w:spacing w:line="240" w:lineRule="atLeast"/>
              <w:jc w:val="center"/>
              <w:textAlignment w:val="top"/>
              <w:rPr>
                <w:rFonts w:ascii="楷体" w:hAnsi="楷体" w:eastAsia="楷体" w:cs="楷体"/>
                <w:sz w:val="24"/>
              </w:rPr>
            </w:pPr>
          </w:p>
        </w:tc>
        <w:tc>
          <w:tcPr>
            <w:tcW w:w="1411" w:type="dxa"/>
            <w:vMerge w:val="continue"/>
            <w:tcBorders>
              <w:left w:val="single" w:color="000000" w:sz="4" w:space="0"/>
              <w:right w:val="single" w:color="000000" w:sz="4" w:space="0"/>
            </w:tcBorders>
            <w:vAlign w:val="center"/>
          </w:tcPr>
          <w:p w14:paraId="07FB2ABD">
            <w:pPr>
              <w:widowControl/>
              <w:overflowPunct w:val="0"/>
              <w:adjustRightInd w:val="0"/>
              <w:snapToGrid w:val="0"/>
              <w:spacing w:line="240" w:lineRule="atLeast"/>
              <w:jc w:val="center"/>
              <w:rPr>
                <w:rFonts w:ascii="楷体" w:hAnsi="楷体" w:eastAsia="楷体" w:cs="楷体"/>
                <w:sz w:val="24"/>
              </w:rPr>
            </w:pPr>
          </w:p>
        </w:tc>
        <w:tc>
          <w:tcPr>
            <w:tcW w:w="5346" w:type="dxa"/>
            <w:tcBorders>
              <w:top w:val="single" w:color="000000" w:sz="4" w:space="0"/>
              <w:left w:val="single" w:color="000000" w:sz="4" w:space="0"/>
              <w:bottom w:val="single" w:color="000000" w:sz="4" w:space="0"/>
              <w:right w:val="single" w:color="000000" w:sz="4" w:space="0"/>
            </w:tcBorders>
            <w:vAlign w:val="center"/>
          </w:tcPr>
          <w:p w14:paraId="3C63D647">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有效申报</w:t>
            </w:r>
            <w:r>
              <w:rPr>
                <w:rFonts w:hint="eastAsia" w:ascii="楷体" w:hAnsi="楷体" w:eastAsia="楷体" w:cs="楷体"/>
                <w:sz w:val="24"/>
                <w:lang w:val="en-US" w:eastAsia="zh-CN"/>
              </w:rPr>
              <w:t>市级人才项目数</w:t>
            </w:r>
            <w:r>
              <w:rPr>
                <w:rFonts w:hint="eastAsia" w:ascii="楷体" w:hAnsi="楷体" w:eastAsia="楷体" w:cs="楷体"/>
                <w:sz w:val="24"/>
              </w:rPr>
              <w:t>（个）</w:t>
            </w:r>
          </w:p>
        </w:tc>
        <w:tc>
          <w:tcPr>
            <w:tcW w:w="1364" w:type="dxa"/>
            <w:tcBorders>
              <w:top w:val="single" w:color="000000" w:sz="4" w:space="0"/>
              <w:left w:val="single" w:color="000000" w:sz="4" w:space="0"/>
              <w:bottom w:val="single" w:color="000000" w:sz="4" w:space="0"/>
              <w:right w:val="single" w:color="000000" w:sz="4" w:space="0"/>
            </w:tcBorders>
            <w:vAlign w:val="center"/>
          </w:tcPr>
          <w:p w14:paraId="704441EB">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4</w:t>
            </w:r>
          </w:p>
        </w:tc>
        <w:tc>
          <w:tcPr>
            <w:tcW w:w="1553" w:type="dxa"/>
            <w:tcBorders>
              <w:top w:val="single" w:color="000000" w:sz="4" w:space="0"/>
              <w:left w:val="single" w:color="000000" w:sz="4" w:space="0"/>
              <w:bottom w:val="single" w:color="000000" w:sz="4" w:space="0"/>
              <w:right w:val="single" w:color="000000" w:sz="4" w:space="0"/>
            </w:tcBorders>
            <w:vAlign w:val="center"/>
          </w:tcPr>
          <w:p w14:paraId="63270C9E">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6</w:t>
            </w:r>
          </w:p>
        </w:tc>
        <w:tc>
          <w:tcPr>
            <w:tcW w:w="1650" w:type="dxa"/>
            <w:tcBorders>
              <w:top w:val="single" w:color="000000" w:sz="4" w:space="0"/>
              <w:left w:val="single" w:color="000000" w:sz="4" w:space="0"/>
              <w:bottom w:val="single" w:color="000000" w:sz="4" w:space="0"/>
              <w:right w:val="single" w:color="000000" w:sz="4" w:space="0"/>
            </w:tcBorders>
            <w:vAlign w:val="center"/>
          </w:tcPr>
          <w:p w14:paraId="1556DEAC">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7</w:t>
            </w:r>
          </w:p>
        </w:tc>
        <w:tc>
          <w:tcPr>
            <w:tcW w:w="1425" w:type="dxa"/>
            <w:tcBorders>
              <w:top w:val="single" w:color="000000" w:sz="4" w:space="0"/>
              <w:left w:val="single" w:color="auto" w:sz="4" w:space="0"/>
              <w:bottom w:val="single" w:color="000000" w:sz="4" w:space="0"/>
              <w:right w:val="single" w:color="000000" w:sz="4" w:space="0"/>
            </w:tcBorders>
            <w:vAlign w:val="center"/>
          </w:tcPr>
          <w:p w14:paraId="2B1C17D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10</w:t>
            </w:r>
          </w:p>
        </w:tc>
      </w:tr>
      <w:tr w14:paraId="0F507CE1">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right w:val="single" w:color="000000" w:sz="4" w:space="0"/>
            </w:tcBorders>
            <w:vAlign w:val="center"/>
          </w:tcPr>
          <w:p w14:paraId="2F8A7E4F">
            <w:pPr>
              <w:widowControl/>
              <w:overflowPunct w:val="0"/>
              <w:adjustRightInd w:val="0"/>
              <w:snapToGrid w:val="0"/>
              <w:spacing w:line="240" w:lineRule="atLeast"/>
              <w:jc w:val="center"/>
              <w:textAlignment w:val="top"/>
              <w:rPr>
                <w:rFonts w:ascii="楷体" w:hAnsi="楷体" w:eastAsia="楷体" w:cs="楷体"/>
                <w:sz w:val="24"/>
              </w:rPr>
            </w:pPr>
          </w:p>
        </w:tc>
        <w:tc>
          <w:tcPr>
            <w:tcW w:w="1411" w:type="dxa"/>
            <w:vMerge w:val="continue"/>
            <w:tcBorders>
              <w:left w:val="single" w:color="000000" w:sz="4" w:space="0"/>
              <w:right w:val="single" w:color="000000" w:sz="4" w:space="0"/>
            </w:tcBorders>
            <w:vAlign w:val="center"/>
          </w:tcPr>
          <w:p w14:paraId="045E2534">
            <w:pPr>
              <w:widowControl/>
              <w:overflowPunct w:val="0"/>
              <w:adjustRightInd w:val="0"/>
              <w:snapToGrid w:val="0"/>
              <w:spacing w:line="240" w:lineRule="atLeast"/>
              <w:jc w:val="center"/>
              <w:rPr>
                <w:rFonts w:ascii="楷体" w:hAnsi="楷体" w:eastAsia="楷体" w:cs="楷体"/>
                <w:sz w:val="24"/>
              </w:rPr>
            </w:pPr>
          </w:p>
        </w:tc>
        <w:tc>
          <w:tcPr>
            <w:tcW w:w="5346" w:type="dxa"/>
            <w:tcBorders>
              <w:top w:val="single" w:color="000000" w:sz="4" w:space="0"/>
              <w:left w:val="single" w:color="000000" w:sz="4" w:space="0"/>
              <w:bottom w:val="single" w:color="auto" w:sz="4" w:space="0"/>
              <w:right w:val="single" w:color="000000" w:sz="4" w:space="0"/>
            </w:tcBorders>
            <w:vAlign w:val="center"/>
          </w:tcPr>
          <w:p w14:paraId="7E2291D8">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有效申报</w:t>
            </w:r>
            <w:r>
              <w:rPr>
                <w:rFonts w:hint="eastAsia" w:ascii="楷体" w:hAnsi="楷体" w:eastAsia="楷体" w:cs="楷体"/>
                <w:sz w:val="24"/>
                <w:lang w:val="en-US" w:eastAsia="zh-CN"/>
              </w:rPr>
              <w:t>省级人才项目数</w:t>
            </w:r>
            <w:r>
              <w:rPr>
                <w:rFonts w:hint="eastAsia" w:ascii="楷体" w:hAnsi="楷体" w:eastAsia="楷体" w:cs="楷体"/>
                <w:sz w:val="24"/>
              </w:rPr>
              <w:t>（个）</w:t>
            </w:r>
          </w:p>
        </w:tc>
        <w:tc>
          <w:tcPr>
            <w:tcW w:w="1364" w:type="dxa"/>
            <w:tcBorders>
              <w:top w:val="single" w:color="000000" w:sz="4" w:space="0"/>
              <w:left w:val="single" w:color="000000" w:sz="4" w:space="0"/>
              <w:bottom w:val="single" w:color="auto" w:sz="4" w:space="0"/>
              <w:right w:val="single" w:color="auto" w:sz="4" w:space="0"/>
            </w:tcBorders>
            <w:vAlign w:val="center"/>
          </w:tcPr>
          <w:p w14:paraId="013FDE3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w:t>
            </w:r>
          </w:p>
        </w:tc>
        <w:tc>
          <w:tcPr>
            <w:tcW w:w="1553" w:type="dxa"/>
            <w:tcBorders>
              <w:top w:val="single" w:color="000000" w:sz="4" w:space="0"/>
              <w:left w:val="single" w:color="auto" w:sz="4" w:space="0"/>
              <w:bottom w:val="single" w:color="auto" w:sz="4" w:space="0"/>
              <w:right w:val="single" w:color="000000" w:sz="4" w:space="0"/>
            </w:tcBorders>
            <w:vAlign w:val="center"/>
          </w:tcPr>
          <w:p w14:paraId="4E227E6E">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w:t>
            </w:r>
          </w:p>
        </w:tc>
        <w:tc>
          <w:tcPr>
            <w:tcW w:w="1650" w:type="dxa"/>
            <w:tcBorders>
              <w:top w:val="single" w:color="000000" w:sz="4" w:space="0"/>
              <w:left w:val="single" w:color="000000" w:sz="4" w:space="0"/>
              <w:bottom w:val="single" w:color="auto" w:sz="4" w:space="0"/>
              <w:right w:val="single" w:color="000000" w:sz="4" w:space="0"/>
            </w:tcBorders>
            <w:vAlign w:val="center"/>
          </w:tcPr>
          <w:p w14:paraId="3D22274D">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3</w:t>
            </w:r>
          </w:p>
        </w:tc>
        <w:tc>
          <w:tcPr>
            <w:tcW w:w="1425" w:type="dxa"/>
            <w:tcBorders>
              <w:top w:val="single" w:color="000000" w:sz="4" w:space="0"/>
              <w:left w:val="single" w:color="auto" w:sz="4" w:space="0"/>
              <w:bottom w:val="single" w:color="auto" w:sz="4" w:space="0"/>
              <w:right w:val="single" w:color="000000" w:sz="4" w:space="0"/>
            </w:tcBorders>
            <w:vAlign w:val="center"/>
          </w:tcPr>
          <w:p w14:paraId="05473F4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10</w:t>
            </w:r>
          </w:p>
        </w:tc>
      </w:tr>
      <w:tr w14:paraId="4FF8573A">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bottom w:val="single" w:color="000000" w:sz="4" w:space="0"/>
              <w:right w:val="single" w:color="000000" w:sz="4" w:space="0"/>
            </w:tcBorders>
            <w:vAlign w:val="center"/>
          </w:tcPr>
          <w:p w14:paraId="61BFF20A">
            <w:pPr>
              <w:widowControl/>
              <w:overflowPunct w:val="0"/>
              <w:adjustRightInd w:val="0"/>
              <w:snapToGrid w:val="0"/>
              <w:spacing w:line="240" w:lineRule="atLeast"/>
              <w:jc w:val="center"/>
              <w:textAlignment w:val="top"/>
              <w:rPr>
                <w:rFonts w:ascii="楷体" w:hAnsi="楷体" w:eastAsia="楷体" w:cs="楷体"/>
                <w:sz w:val="24"/>
              </w:rPr>
            </w:pPr>
          </w:p>
        </w:tc>
        <w:tc>
          <w:tcPr>
            <w:tcW w:w="1411" w:type="dxa"/>
            <w:vMerge w:val="continue"/>
            <w:tcBorders>
              <w:left w:val="single" w:color="000000" w:sz="4" w:space="0"/>
              <w:bottom w:val="single" w:color="000000" w:sz="4" w:space="0"/>
              <w:right w:val="single" w:color="000000" w:sz="4" w:space="0"/>
            </w:tcBorders>
            <w:vAlign w:val="center"/>
          </w:tcPr>
          <w:p w14:paraId="4B7D4ACB">
            <w:pPr>
              <w:widowControl/>
              <w:overflowPunct w:val="0"/>
              <w:adjustRightInd w:val="0"/>
              <w:snapToGrid w:val="0"/>
              <w:spacing w:line="240" w:lineRule="atLeast"/>
              <w:jc w:val="center"/>
              <w:rPr>
                <w:rFonts w:ascii="楷体" w:hAnsi="楷体" w:eastAsia="楷体" w:cs="楷体"/>
                <w:sz w:val="24"/>
              </w:rPr>
            </w:pPr>
          </w:p>
        </w:tc>
        <w:tc>
          <w:tcPr>
            <w:tcW w:w="5346" w:type="dxa"/>
            <w:tcBorders>
              <w:top w:val="single" w:color="000000" w:sz="4" w:space="0"/>
              <w:left w:val="single" w:color="000000" w:sz="4" w:space="0"/>
              <w:bottom w:val="single" w:color="000000" w:sz="4" w:space="0"/>
              <w:right w:val="single" w:color="000000" w:sz="4" w:space="0"/>
            </w:tcBorders>
            <w:vAlign w:val="center"/>
          </w:tcPr>
          <w:p w14:paraId="5974D9FC">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有效申报国家级人才</w:t>
            </w:r>
            <w:r>
              <w:rPr>
                <w:rFonts w:hint="eastAsia" w:ascii="楷体" w:hAnsi="楷体" w:eastAsia="楷体" w:cs="楷体"/>
                <w:sz w:val="24"/>
                <w:lang w:val="en-US" w:eastAsia="zh-CN"/>
              </w:rPr>
              <w:t>项目数</w:t>
            </w:r>
            <w:r>
              <w:rPr>
                <w:rFonts w:hint="eastAsia" w:ascii="楷体" w:hAnsi="楷体" w:eastAsia="楷体" w:cs="楷体"/>
                <w:sz w:val="24"/>
              </w:rPr>
              <w:t>（个）</w:t>
            </w:r>
          </w:p>
        </w:tc>
        <w:tc>
          <w:tcPr>
            <w:tcW w:w="1364" w:type="dxa"/>
            <w:tcBorders>
              <w:top w:val="single" w:color="000000" w:sz="4" w:space="0"/>
              <w:left w:val="single" w:color="000000" w:sz="4" w:space="0"/>
              <w:bottom w:val="single" w:color="000000" w:sz="4" w:space="0"/>
              <w:right w:val="single" w:color="auto" w:sz="4" w:space="0"/>
            </w:tcBorders>
            <w:vAlign w:val="center"/>
          </w:tcPr>
          <w:p w14:paraId="3DCE161A">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w:t>
            </w:r>
          </w:p>
        </w:tc>
        <w:tc>
          <w:tcPr>
            <w:tcW w:w="1553" w:type="dxa"/>
            <w:tcBorders>
              <w:top w:val="single" w:color="000000" w:sz="4" w:space="0"/>
              <w:left w:val="single" w:color="auto" w:sz="4" w:space="0"/>
              <w:bottom w:val="single" w:color="000000" w:sz="4" w:space="0"/>
              <w:right w:val="single" w:color="000000" w:sz="4" w:space="0"/>
            </w:tcBorders>
            <w:vAlign w:val="center"/>
          </w:tcPr>
          <w:p w14:paraId="6C7161B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w:t>
            </w:r>
          </w:p>
        </w:tc>
        <w:tc>
          <w:tcPr>
            <w:tcW w:w="1650" w:type="dxa"/>
            <w:tcBorders>
              <w:top w:val="single" w:color="000000" w:sz="4" w:space="0"/>
              <w:left w:val="single" w:color="000000" w:sz="4" w:space="0"/>
              <w:bottom w:val="single" w:color="000000" w:sz="4" w:space="0"/>
              <w:right w:val="single" w:color="000000" w:sz="4" w:space="0"/>
            </w:tcBorders>
            <w:vAlign w:val="center"/>
          </w:tcPr>
          <w:p w14:paraId="0D4DDA05">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3</w:t>
            </w:r>
          </w:p>
        </w:tc>
        <w:tc>
          <w:tcPr>
            <w:tcW w:w="1425" w:type="dxa"/>
            <w:tcBorders>
              <w:top w:val="single" w:color="000000" w:sz="4" w:space="0"/>
              <w:left w:val="single" w:color="auto" w:sz="4" w:space="0"/>
              <w:bottom w:val="single" w:color="000000" w:sz="4" w:space="0"/>
              <w:right w:val="single" w:color="000000" w:sz="4" w:space="0"/>
            </w:tcBorders>
            <w:vAlign w:val="center"/>
          </w:tcPr>
          <w:p w14:paraId="779F052D">
            <w:pPr>
              <w:widowControl/>
              <w:overflowPunct w:val="0"/>
              <w:adjustRightInd w:val="0"/>
              <w:snapToGrid w:val="0"/>
              <w:jc w:val="center"/>
              <w:textAlignment w:val="top"/>
              <w:rPr>
                <w:rFonts w:ascii="楷体" w:hAnsi="楷体" w:eastAsia="楷体" w:cs="楷体"/>
                <w:sz w:val="24"/>
              </w:rPr>
            </w:pPr>
            <w:r>
              <w:rPr>
                <w:rFonts w:hint="eastAsia" w:ascii="楷体" w:hAnsi="楷体" w:eastAsia="楷体" w:cs="楷体"/>
                <w:sz w:val="24"/>
              </w:rPr>
              <w:t>10</w:t>
            </w:r>
          </w:p>
        </w:tc>
      </w:tr>
      <w:tr w14:paraId="146C56FB">
        <w:tblPrEx>
          <w:tblCellMar>
            <w:top w:w="0" w:type="dxa"/>
            <w:left w:w="108" w:type="dxa"/>
            <w:bottom w:w="0" w:type="dxa"/>
            <w:right w:w="108" w:type="dxa"/>
          </w:tblCellMar>
        </w:tblPrEx>
        <w:trPr>
          <w:trHeight w:val="567" w:hRule="atLeast"/>
          <w:jc w:val="center"/>
        </w:trPr>
        <w:tc>
          <w:tcPr>
            <w:tcW w:w="856" w:type="dxa"/>
            <w:vMerge w:val="restart"/>
            <w:tcBorders>
              <w:top w:val="single" w:color="000000" w:sz="4" w:space="0"/>
              <w:left w:val="single" w:color="000000" w:sz="4" w:space="0"/>
              <w:right w:val="single" w:color="000000" w:sz="4" w:space="0"/>
            </w:tcBorders>
            <w:vAlign w:val="center"/>
          </w:tcPr>
          <w:p w14:paraId="55BBA9D6">
            <w:pPr>
              <w:widowControl/>
              <w:overflowPunct w:val="0"/>
              <w:adjustRightInd w:val="0"/>
              <w:snapToGrid w:val="0"/>
              <w:spacing w:line="240" w:lineRule="atLeast"/>
              <w:jc w:val="center"/>
              <w:textAlignment w:val="top"/>
              <w:rPr>
                <w:rFonts w:hint="eastAsia" w:ascii="楷体" w:hAnsi="楷体" w:eastAsia="楷体" w:cs="楷体"/>
                <w:sz w:val="24"/>
                <w:lang w:eastAsia="zh-CN"/>
              </w:rPr>
            </w:pPr>
            <w:r>
              <w:rPr>
                <w:rFonts w:hint="eastAsia" w:ascii="楷体" w:hAnsi="楷体" w:eastAsia="楷体" w:cs="楷体"/>
                <w:sz w:val="24"/>
                <w:lang w:val="en-US" w:eastAsia="zh-CN"/>
              </w:rPr>
              <w:t>3</w:t>
            </w:r>
          </w:p>
        </w:tc>
        <w:tc>
          <w:tcPr>
            <w:tcW w:w="1411" w:type="dxa"/>
            <w:vMerge w:val="restart"/>
            <w:tcBorders>
              <w:top w:val="single" w:color="000000" w:sz="4" w:space="0"/>
              <w:left w:val="single" w:color="000000" w:sz="4" w:space="0"/>
              <w:right w:val="single" w:color="000000" w:sz="4" w:space="0"/>
            </w:tcBorders>
            <w:vAlign w:val="center"/>
          </w:tcPr>
          <w:p w14:paraId="19C39ABB">
            <w:pPr>
              <w:widowControl/>
              <w:overflowPunct/>
              <w:adjustRightInd w:val="0"/>
              <w:snapToGrid w:val="0"/>
              <w:spacing w:line="240" w:lineRule="atLeast"/>
              <w:jc w:val="center"/>
              <w:rPr>
                <w:rFonts w:ascii="楷体" w:hAnsi="楷体" w:eastAsia="楷体" w:cs="楷体"/>
                <w:sz w:val="24"/>
              </w:rPr>
            </w:pPr>
            <w:r>
              <w:rPr>
                <w:rFonts w:hint="eastAsia" w:ascii="楷体" w:hAnsi="楷体" w:eastAsia="楷体" w:cs="楷体"/>
                <w:sz w:val="24"/>
                <w:lang w:val="en-US" w:eastAsia="zh-CN"/>
              </w:rPr>
              <w:t xml:space="preserve">运营质效 </w:t>
            </w:r>
            <w:r>
              <w:rPr>
                <w:rFonts w:hint="eastAsia" w:ascii="楷体" w:hAnsi="楷体" w:eastAsia="楷体" w:cs="楷体"/>
                <w:sz w:val="24"/>
              </w:rPr>
              <w:t xml:space="preserve">   （</w:t>
            </w:r>
            <w:r>
              <w:rPr>
                <w:rFonts w:hint="eastAsia" w:ascii="楷体" w:hAnsi="楷体" w:eastAsia="楷体" w:cs="楷体"/>
                <w:sz w:val="24"/>
                <w:lang w:val="en-US" w:eastAsia="zh-CN"/>
              </w:rPr>
              <w:t>20</w:t>
            </w:r>
            <w:r>
              <w:rPr>
                <w:rFonts w:hint="eastAsia" w:ascii="楷体" w:hAnsi="楷体" w:eastAsia="楷体" w:cs="楷体"/>
                <w:sz w:val="24"/>
              </w:rPr>
              <w:t>分）</w:t>
            </w: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1DED">
            <w:pPr>
              <w:widowControl/>
              <w:overflowPunct w:val="0"/>
              <w:adjustRightInd w:val="0"/>
              <w:snapToGrid w:val="0"/>
              <w:spacing w:line="240" w:lineRule="atLeast"/>
              <w:jc w:val="center"/>
              <w:textAlignment w:val="top"/>
              <w:rPr>
                <w:rFonts w:ascii="楷体" w:hAnsi="楷体" w:eastAsia="楷体" w:cs="楷体"/>
                <w:sz w:val="24"/>
                <w:szCs w:val="24"/>
                <w:lang w:val="en-US" w:eastAsia="zh-CN" w:bidi="ar-SA"/>
              </w:rPr>
            </w:pPr>
            <w:r>
              <w:rPr>
                <w:rFonts w:hint="eastAsia" w:ascii="楷体" w:hAnsi="楷体" w:eastAsia="楷体" w:cs="楷体"/>
                <w:sz w:val="24"/>
              </w:rPr>
              <w:t>技术合同登记</w:t>
            </w:r>
            <w:r>
              <w:rPr>
                <w:rFonts w:hint="eastAsia" w:ascii="楷体" w:hAnsi="楷体" w:eastAsia="楷体" w:cs="楷体"/>
                <w:sz w:val="24"/>
                <w:lang w:val="en-US" w:eastAsia="zh-CN"/>
              </w:rPr>
              <w:t>额</w:t>
            </w:r>
            <w:r>
              <w:rPr>
                <w:rFonts w:hint="eastAsia" w:ascii="楷体" w:hAnsi="楷体" w:eastAsia="楷体" w:cs="楷体"/>
                <w:sz w:val="24"/>
              </w:rPr>
              <w:t>（亿元）</w:t>
            </w:r>
          </w:p>
        </w:tc>
        <w:tc>
          <w:tcPr>
            <w:tcW w:w="1364" w:type="dxa"/>
            <w:tcBorders>
              <w:top w:val="single" w:color="000000" w:sz="4" w:space="0"/>
              <w:left w:val="single" w:color="000000" w:sz="4" w:space="0"/>
              <w:bottom w:val="single" w:color="000000" w:sz="4" w:space="0"/>
              <w:right w:val="single" w:color="auto" w:sz="4" w:space="0"/>
            </w:tcBorders>
            <w:shd w:val="clear" w:color="auto" w:fill="auto"/>
            <w:vAlign w:val="center"/>
          </w:tcPr>
          <w:p w14:paraId="10C150E2">
            <w:pPr>
              <w:widowControl/>
              <w:overflowPunct w:val="0"/>
              <w:adjustRightInd w:val="0"/>
              <w:snapToGrid w:val="0"/>
              <w:spacing w:line="240" w:lineRule="atLeast"/>
              <w:jc w:val="center"/>
              <w:rPr>
                <w:rFonts w:ascii="楷体" w:hAnsi="楷体" w:eastAsia="楷体" w:cs="楷体"/>
                <w:kern w:val="2"/>
                <w:sz w:val="24"/>
                <w:szCs w:val="24"/>
                <w:lang w:val="en-US" w:eastAsia="zh-CN" w:bidi="ar-SA"/>
              </w:rPr>
            </w:pPr>
            <w:r>
              <w:rPr>
                <w:rFonts w:hint="eastAsia" w:ascii="楷体" w:hAnsi="楷体" w:eastAsia="楷体" w:cs="楷体"/>
                <w:sz w:val="24"/>
              </w:rPr>
              <w:t>2</w:t>
            </w:r>
          </w:p>
        </w:tc>
        <w:tc>
          <w:tcPr>
            <w:tcW w:w="1553" w:type="dxa"/>
            <w:tcBorders>
              <w:top w:val="single" w:color="000000" w:sz="4" w:space="0"/>
              <w:left w:val="single" w:color="auto" w:sz="4" w:space="0"/>
              <w:bottom w:val="single" w:color="000000" w:sz="4" w:space="0"/>
              <w:right w:val="single" w:color="000000" w:sz="4" w:space="0"/>
            </w:tcBorders>
            <w:shd w:val="clear" w:color="auto" w:fill="auto"/>
            <w:vAlign w:val="center"/>
          </w:tcPr>
          <w:p w14:paraId="51FC5370">
            <w:pPr>
              <w:widowControl/>
              <w:overflowPunct w:val="0"/>
              <w:adjustRightInd w:val="0"/>
              <w:snapToGrid w:val="0"/>
              <w:spacing w:line="240" w:lineRule="atLeast"/>
              <w:jc w:val="center"/>
              <w:rPr>
                <w:rFonts w:ascii="楷体" w:hAnsi="楷体" w:eastAsia="楷体" w:cs="楷体"/>
                <w:kern w:val="2"/>
                <w:sz w:val="24"/>
                <w:szCs w:val="24"/>
                <w:lang w:val="en-US" w:eastAsia="zh-CN" w:bidi="ar-SA"/>
              </w:rPr>
            </w:pPr>
            <w:r>
              <w:rPr>
                <w:rFonts w:hint="eastAsia" w:ascii="楷体" w:hAnsi="楷体" w:eastAsia="楷体" w:cs="楷体"/>
                <w:sz w:val="24"/>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0AED">
            <w:pPr>
              <w:widowControl/>
              <w:overflowPunct w:val="0"/>
              <w:adjustRightInd w:val="0"/>
              <w:snapToGrid w:val="0"/>
              <w:spacing w:line="240" w:lineRule="atLeast"/>
              <w:jc w:val="center"/>
              <w:rPr>
                <w:rFonts w:ascii="楷体" w:hAnsi="楷体" w:eastAsia="楷体" w:cs="楷体"/>
                <w:kern w:val="2"/>
                <w:sz w:val="24"/>
                <w:szCs w:val="24"/>
                <w:lang w:val="en-US" w:eastAsia="zh-CN" w:bidi="ar-SA"/>
              </w:rPr>
            </w:pPr>
            <w:r>
              <w:rPr>
                <w:rFonts w:hint="eastAsia" w:ascii="楷体" w:hAnsi="楷体" w:eastAsia="楷体" w:cs="楷体"/>
                <w:sz w:val="24"/>
              </w:rPr>
              <w:t>3</w:t>
            </w:r>
          </w:p>
        </w:tc>
        <w:tc>
          <w:tcPr>
            <w:tcW w:w="1425" w:type="dxa"/>
            <w:tcBorders>
              <w:top w:val="single" w:color="000000" w:sz="4" w:space="0"/>
              <w:left w:val="single" w:color="auto" w:sz="4" w:space="0"/>
              <w:bottom w:val="single" w:color="000000" w:sz="4" w:space="0"/>
              <w:right w:val="single" w:color="000000" w:sz="4" w:space="0"/>
            </w:tcBorders>
            <w:shd w:val="clear" w:color="auto" w:fill="auto"/>
            <w:vAlign w:val="center"/>
          </w:tcPr>
          <w:p w14:paraId="45CDC2BC">
            <w:pPr>
              <w:widowControl/>
              <w:overflowPunct w:val="0"/>
              <w:adjustRightInd w:val="0"/>
              <w:snapToGrid w:val="0"/>
              <w:spacing w:line="240" w:lineRule="atLeast"/>
              <w:jc w:val="center"/>
              <w:textAlignment w:val="top"/>
              <w:rPr>
                <w:rFonts w:ascii="楷体" w:hAnsi="楷体" w:eastAsia="楷体" w:cs="楷体"/>
                <w:sz w:val="24"/>
                <w:szCs w:val="24"/>
                <w:lang w:val="en-US" w:eastAsia="zh-CN" w:bidi="ar-SA"/>
              </w:rPr>
            </w:pPr>
            <w:r>
              <w:rPr>
                <w:rFonts w:hint="eastAsia" w:ascii="楷体" w:hAnsi="楷体" w:eastAsia="楷体" w:cs="楷体"/>
                <w:sz w:val="24"/>
              </w:rPr>
              <w:t>10</w:t>
            </w:r>
          </w:p>
        </w:tc>
      </w:tr>
      <w:tr w14:paraId="1182195E">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bottom w:val="single" w:color="000000" w:sz="4" w:space="0"/>
              <w:right w:val="single" w:color="000000" w:sz="4" w:space="0"/>
            </w:tcBorders>
            <w:vAlign w:val="center"/>
          </w:tcPr>
          <w:p w14:paraId="4B982166">
            <w:pPr>
              <w:widowControl/>
              <w:overflowPunct w:val="0"/>
              <w:adjustRightInd w:val="0"/>
              <w:snapToGrid w:val="0"/>
              <w:spacing w:line="240" w:lineRule="atLeast"/>
              <w:jc w:val="center"/>
              <w:textAlignment w:val="top"/>
              <w:rPr>
                <w:rFonts w:hint="eastAsia" w:ascii="楷体" w:hAnsi="楷体" w:eastAsia="楷体" w:cs="楷体"/>
                <w:sz w:val="24"/>
              </w:rPr>
            </w:pPr>
          </w:p>
        </w:tc>
        <w:tc>
          <w:tcPr>
            <w:tcW w:w="1411" w:type="dxa"/>
            <w:vMerge w:val="continue"/>
            <w:tcBorders>
              <w:left w:val="single" w:color="000000" w:sz="4" w:space="0"/>
              <w:bottom w:val="single" w:color="000000" w:sz="4" w:space="0"/>
              <w:right w:val="single" w:color="000000" w:sz="4" w:space="0"/>
            </w:tcBorders>
            <w:vAlign w:val="center"/>
          </w:tcPr>
          <w:p w14:paraId="669B3139">
            <w:pPr>
              <w:widowControl/>
              <w:overflowPunct/>
              <w:adjustRightInd w:val="0"/>
              <w:snapToGrid w:val="0"/>
              <w:spacing w:line="240" w:lineRule="atLeast"/>
              <w:jc w:val="center"/>
              <w:rPr>
                <w:rFonts w:hint="default" w:ascii="楷体" w:hAnsi="楷体" w:eastAsia="楷体" w:cs="楷体"/>
                <w:sz w:val="24"/>
                <w:lang w:val="en-US" w:eastAsia="zh-CN"/>
              </w:rPr>
            </w:pP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090D">
            <w:pPr>
              <w:widowControl/>
              <w:overflowPunct w:val="0"/>
              <w:adjustRightInd w:val="0"/>
              <w:snapToGrid w:val="0"/>
              <w:spacing w:line="240" w:lineRule="atLeast"/>
              <w:jc w:val="left"/>
              <w:textAlignment w:val="top"/>
              <w:rPr>
                <w:rFonts w:hint="eastAsia" w:ascii="楷体" w:hAnsi="楷体" w:eastAsia="楷体" w:cs="楷体"/>
                <w:sz w:val="24"/>
                <w:lang w:eastAsia="zh-CN"/>
              </w:rPr>
            </w:pPr>
            <w:r>
              <w:rPr>
                <w:rFonts w:hint="eastAsia" w:ascii="楷体" w:hAnsi="楷体" w:eastAsia="楷体" w:cs="楷体"/>
                <w:sz w:val="24"/>
              </w:rPr>
              <w:t>年度不少于30%的在孵企业营业收入或研发经费投入同比增</w:t>
            </w:r>
            <w:r>
              <w:rPr>
                <w:rFonts w:hint="eastAsia" w:ascii="楷体" w:hAnsi="楷体" w:eastAsia="楷体" w:cs="楷体"/>
                <w:sz w:val="24"/>
                <w:lang w:val="en-US" w:eastAsia="zh-CN"/>
              </w:rPr>
              <w:t>幅（%）</w:t>
            </w:r>
          </w:p>
        </w:tc>
        <w:tc>
          <w:tcPr>
            <w:tcW w:w="1364" w:type="dxa"/>
            <w:tcBorders>
              <w:top w:val="single" w:color="000000" w:sz="4" w:space="0"/>
              <w:left w:val="single" w:color="000000" w:sz="4" w:space="0"/>
              <w:bottom w:val="single" w:color="000000" w:sz="4" w:space="0"/>
              <w:right w:val="single" w:color="auto" w:sz="4" w:space="0"/>
            </w:tcBorders>
            <w:shd w:val="clear" w:color="auto" w:fill="auto"/>
            <w:vAlign w:val="center"/>
          </w:tcPr>
          <w:p w14:paraId="3696AACF">
            <w:pPr>
              <w:widowControl/>
              <w:overflowPunct w:val="0"/>
              <w:adjustRightInd w:val="0"/>
              <w:snapToGrid w:val="0"/>
              <w:spacing w:line="240" w:lineRule="atLeast"/>
              <w:jc w:val="center"/>
              <w:rPr>
                <w:rFonts w:hint="default" w:ascii="楷体" w:hAnsi="楷体" w:eastAsia="楷体" w:cs="楷体"/>
                <w:sz w:val="24"/>
                <w:lang w:val="en-US" w:eastAsia="zh-CN"/>
              </w:rPr>
            </w:pPr>
            <w:r>
              <w:rPr>
                <w:rFonts w:hint="eastAsia" w:ascii="楷体" w:hAnsi="楷体" w:eastAsia="楷体" w:cs="楷体"/>
                <w:sz w:val="24"/>
                <w:lang w:val="en-US" w:eastAsia="zh-CN"/>
              </w:rPr>
              <w:t>10</w:t>
            </w:r>
          </w:p>
        </w:tc>
        <w:tc>
          <w:tcPr>
            <w:tcW w:w="1553" w:type="dxa"/>
            <w:tcBorders>
              <w:top w:val="single" w:color="000000" w:sz="4" w:space="0"/>
              <w:left w:val="single" w:color="auto" w:sz="4" w:space="0"/>
              <w:bottom w:val="single" w:color="000000" w:sz="4" w:space="0"/>
              <w:right w:val="single" w:color="000000" w:sz="4" w:space="0"/>
            </w:tcBorders>
            <w:shd w:val="clear" w:color="auto" w:fill="auto"/>
            <w:vAlign w:val="center"/>
          </w:tcPr>
          <w:p w14:paraId="1A088D21">
            <w:pPr>
              <w:widowControl/>
              <w:overflowPunct w:val="0"/>
              <w:adjustRightInd w:val="0"/>
              <w:snapToGrid w:val="0"/>
              <w:spacing w:line="240" w:lineRule="atLeast"/>
              <w:jc w:val="center"/>
              <w:rPr>
                <w:rFonts w:hint="default" w:ascii="楷体" w:hAnsi="楷体" w:eastAsia="楷体" w:cs="楷体"/>
                <w:sz w:val="24"/>
                <w:lang w:val="en-US" w:eastAsia="zh-CN"/>
              </w:rPr>
            </w:pPr>
            <w:r>
              <w:rPr>
                <w:rFonts w:hint="eastAsia" w:ascii="楷体" w:hAnsi="楷体" w:eastAsia="楷体" w:cs="楷体"/>
                <w:sz w:val="24"/>
                <w:lang w:val="en-US" w:eastAsia="zh-CN"/>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C36B">
            <w:pPr>
              <w:widowControl/>
              <w:overflowPunct w:val="0"/>
              <w:adjustRightInd w:val="0"/>
              <w:snapToGrid w:val="0"/>
              <w:spacing w:line="240" w:lineRule="atLeast"/>
              <w:jc w:val="center"/>
              <w:rPr>
                <w:rFonts w:hint="default" w:ascii="楷体" w:hAnsi="楷体" w:eastAsia="楷体" w:cs="楷体"/>
                <w:sz w:val="24"/>
                <w:lang w:val="en-US" w:eastAsia="zh-CN"/>
              </w:rPr>
            </w:pPr>
            <w:r>
              <w:rPr>
                <w:rFonts w:hint="eastAsia" w:ascii="楷体" w:hAnsi="楷体" w:eastAsia="楷体" w:cs="楷体"/>
                <w:sz w:val="24"/>
                <w:lang w:val="en-US" w:eastAsia="zh-CN"/>
              </w:rPr>
              <w:t>20</w:t>
            </w:r>
          </w:p>
        </w:tc>
        <w:tc>
          <w:tcPr>
            <w:tcW w:w="1425" w:type="dxa"/>
            <w:tcBorders>
              <w:top w:val="single" w:color="000000" w:sz="4" w:space="0"/>
              <w:left w:val="single" w:color="auto" w:sz="4" w:space="0"/>
              <w:bottom w:val="single" w:color="000000" w:sz="4" w:space="0"/>
              <w:right w:val="single" w:color="000000" w:sz="4" w:space="0"/>
            </w:tcBorders>
            <w:shd w:val="clear" w:color="auto" w:fill="auto"/>
            <w:vAlign w:val="center"/>
          </w:tcPr>
          <w:p w14:paraId="44464AE0">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lang w:val="en-US" w:eastAsia="zh-CN"/>
              </w:rPr>
              <w:t>10</w:t>
            </w:r>
          </w:p>
        </w:tc>
      </w:tr>
    </w:tbl>
    <w:p w14:paraId="7FDA00BB">
      <w:pPr>
        <w:adjustRightInd w:val="0"/>
        <w:snapToGrid w:val="0"/>
        <w:spacing w:line="500" w:lineRule="exact"/>
        <w:rPr>
          <w:rFonts w:ascii="楷体" w:hAnsi="楷体" w:eastAsia="楷体" w:cs="楷体"/>
          <w:b/>
          <w:bCs/>
          <w:sz w:val="28"/>
          <w:szCs w:val="28"/>
        </w:rPr>
      </w:pPr>
    </w:p>
    <w:p w14:paraId="733A6588">
      <w:pPr>
        <w:spacing w:after="62" w:afterLines="20" w:line="560" w:lineRule="exact"/>
        <w:jc w:val="center"/>
        <w:rPr>
          <w:rFonts w:hint="eastAsia" w:ascii="楷体" w:hAnsi="楷体" w:eastAsia="楷体" w:cs="楷体"/>
          <w:b/>
          <w:bCs/>
          <w:sz w:val="32"/>
          <w:szCs w:val="48"/>
        </w:rPr>
      </w:pPr>
      <w:r>
        <w:rPr>
          <w:rFonts w:hint="eastAsia" w:ascii="楷体" w:hAnsi="楷体" w:eastAsia="楷体" w:cs="楷体"/>
          <w:b/>
          <w:bCs/>
          <w:sz w:val="32"/>
          <w:szCs w:val="48"/>
        </w:rPr>
        <w:t>表</w:t>
      </w:r>
      <w:r>
        <w:rPr>
          <w:rFonts w:hint="eastAsia" w:ascii="楷体" w:hAnsi="楷体" w:eastAsia="楷体" w:cs="楷体"/>
          <w:b/>
          <w:bCs/>
          <w:sz w:val="32"/>
          <w:szCs w:val="48"/>
          <w:lang w:val="en-US" w:eastAsia="zh-CN"/>
        </w:rPr>
        <w:t>3</w:t>
      </w:r>
      <w:r>
        <w:rPr>
          <w:rFonts w:hint="eastAsia" w:ascii="楷体" w:hAnsi="楷体" w:eastAsia="楷体" w:cs="楷体"/>
          <w:b/>
          <w:bCs/>
          <w:sz w:val="32"/>
          <w:szCs w:val="48"/>
        </w:rPr>
        <w:t xml:space="preserve"> 年度附加分值表</w:t>
      </w:r>
    </w:p>
    <w:tbl>
      <w:tblPr>
        <w:tblStyle w:val="3"/>
        <w:tblW w:w="13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4272"/>
        <w:gridCol w:w="2745"/>
        <w:gridCol w:w="1527"/>
        <w:gridCol w:w="1419"/>
        <w:gridCol w:w="2216"/>
      </w:tblGrid>
      <w:tr w14:paraId="7ED7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blHeader/>
          <w:jc w:val="center"/>
        </w:trPr>
        <w:tc>
          <w:tcPr>
            <w:tcW w:w="986" w:type="dxa"/>
            <w:shd w:val="clear" w:color="auto" w:fill="auto"/>
            <w:vAlign w:val="center"/>
          </w:tcPr>
          <w:p w14:paraId="63465DBF">
            <w:pPr>
              <w:spacing w:line="300" w:lineRule="exact"/>
              <w:jc w:val="center"/>
              <w:rPr>
                <w:rFonts w:ascii="楷体" w:hAnsi="楷体" w:eastAsia="楷体" w:cs="楷体"/>
                <w:szCs w:val="28"/>
              </w:rPr>
            </w:pPr>
            <w:r>
              <w:rPr>
                <w:rFonts w:hint="eastAsia" w:ascii="楷体" w:hAnsi="楷体" w:eastAsia="楷体" w:cs="楷体"/>
                <w:szCs w:val="28"/>
              </w:rPr>
              <w:t>序号</w:t>
            </w:r>
          </w:p>
        </w:tc>
        <w:tc>
          <w:tcPr>
            <w:tcW w:w="4272" w:type="dxa"/>
            <w:shd w:val="clear" w:color="auto" w:fill="auto"/>
            <w:vAlign w:val="center"/>
          </w:tcPr>
          <w:p w14:paraId="2540E066">
            <w:pPr>
              <w:spacing w:line="300" w:lineRule="exact"/>
              <w:jc w:val="center"/>
              <w:rPr>
                <w:rFonts w:ascii="楷体" w:hAnsi="楷体" w:eastAsia="楷体" w:cs="楷体"/>
                <w:szCs w:val="28"/>
              </w:rPr>
            </w:pPr>
            <w:r>
              <w:rPr>
                <w:rFonts w:hint="eastAsia" w:ascii="楷体" w:hAnsi="楷体" w:eastAsia="楷体" w:cs="楷体"/>
                <w:szCs w:val="28"/>
              </w:rPr>
              <w:t>加分类别</w:t>
            </w:r>
          </w:p>
        </w:tc>
        <w:tc>
          <w:tcPr>
            <w:tcW w:w="4272" w:type="dxa"/>
            <w:gridSpan w:val="2"/>
            <w:shd w:val="clear" w:color="auto" w:fill="auto"/>
            <w:vAlign w:val="center"/>
          </w:tcPr>
          <w:p w14:paraId="4F170A90">
            <w:pPr>
              <w:spacing w:line="300" w:lineRule="exact"/>
              <w:jc w:val="center"/>
              <w:rPr>
                <w:rFonts w:ascii="楷体" w:hAnsi="楷体" w:eastAsia="楷体" w:cs="楷体"/>
                <w:szCs w:val="28"/>
              </w:rPr>
            </w:pPr>
            <w:r>
              <w:rPr>
                <w:rFonts w:hint="eastAsia" w:ascii="楷体" w:hAnsi="楷体" w:eastAsia="楷体" w:cs="楷体"/>
                <w:szCs w:val="28"/>
              </w:rPr>
              <w:t>加分项</w:t>
            </w:r>
          </w:p>
        </w:tc>
        <w:tc>
          <w:tcPr>
            <w:tcW w:w="1419" w:type="dxa"/>
            <w:shd w:val="clear" w:color="auto" w:fill="auto"/>
            <w:vAlign w:val="center"/>
          </w:tcPr>
          <w:p w14:paraId="7C71B957">
            <w:pPr>
              <w:spacing w:line="300" w:lineRule="exact"/>
              <w:jc w:val="center"/>
              <w:rPr>
                <w:rFonts w:ascii="楷体" w:hAnsi="楷体" w:eastAsia="楷体" w:cs="楷体"/>
                <w:szCs w:val="28"/>
              </w:rPr>
            </w:pPr>
            <w:r>
              <w:rPr>
                <w:rFonts w:hint="eastAsia" w:ascii="楷体" w:hAnsi="楷体" w:eastAsia="楷体" w:cs="楷体"/>
                <w:szCs w:val="28"/>
              </w:rPr>
              <w:t>分值</w:t>
            </w:r>
          </w:p>
        </w:tc>
        <w:tc>
          <w:tcPr>
            <w:tcW w:w="2216" w:type="dxa"/>
            <w:shd w:val="clear" w:color="auto" w:fill="auto"/>
            <w:vAlign w:val="center"/>
          </w:tcPr>
          <w:p w14:paraId="429761CC">
            <w:pPr>
              <w:spacing w:line="300" w:lineRule="exact"/>
              <w:jc w:val="center"/>
              <w:rPr>
                <w:rFonts w:ascii="楷体" w:hAnsi="楷体" w:eastAsia="楷体" w:cs="楷体"/>
                <w:szCs w:val="28"/>
              </w:rPr>
            </w:pPr>
            <w:r>
              <w:rPr>
                <w:rFonts w:hint="eastAsia" w:ascii="楷体" w:hAnsi="楷体" w:eastAsia="楷体" w:cs="楷体"/>
                <w:szCs w:val="28"/>
              </w:rPr>
              <w:t>备注</w:t>
            </w:r>
          </w:p>
        </w:tc>
      </w:tr>
      <w:tr w14:paraId="2088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86" w:type="dxa"/>
            <w:vMerge w:val="restart"/>
            <w:shd w:val="clear" w:color="auto" w:fill="auto"/>
            <w:vAlign w:val="center"/>
          </w:tcPr>
          <w:p w14:paraId="6FE9D547">
            <w:pPr>
              <w:spacing w:line="300" w:lineRule="exact"/>
              <w:jc w:val="center"/>
              <w:rPr>
                <w:rFonts w:hint="eastAsia" w:ascii="楷体" w:hAnsi="楷体" w:eastAsia="楷体" w:cs="楷体"/>
                <w:szCs w:val="28"/>
                <w:lang w:eastAsia="zh-CN"/>
              </w:rPr>
            </w:pPr>
            <w:r>
              <w:rPr>
                <w:rFonts w:hint="eastAsia" w:ascii="楷体" w:hAnsi="楷体" w:eastAsia="楷体" w:cs="楷体"/>
                <w:sz w:val="21"/>
                <w:szCs w:val="28"/>
                <w:lang w:val="en-US" w:eastAsia="zh-CN"/>
              </w:rPr>
              <w:t>1</w:t>
            </w:r>
          </w:p>
        </w:tc>
        <w:tc>
          <w:tcPr>
            <w:tcW w:w="4272" w:type="dxa"/>
            <w:vMerge w:val="restart"/>
            <w:shd w:val="clear" w:color="auto" w:fill="auto"/>
            <w:vAlign w:val="center"/>
          </w:tcPr>
          <w:p w14:paraId="36AC9757">
            <w:pPr>
              <w:spacing w:line="300" w:lineRule="exact"/>
              <w:jc w:val="center"/>
              <w:rPr>
                <w:rFonts w:ascii="楷体" w:hAnsi="楷体" w:eastAsia="楷体" w:cs="楷体"/>
                <w:szCs w:val="28"/>
              </w:rPr>
            </w:pPr>
            <w:r>
              <w:rPr>
                <w:rFonts w:hint="eastAsia" w:ascii="楷体" w:hAnsi="楷体" w:eastAsia="楷体" w:cs="楷体"/>
                <w:szCs w:val="28"/>
              </w:rPr>
              <w:t>经济活动建设</w:t>
            </w:r>
          </w:p>
        </w:tc>
        <w:tc>
          <w:tcPr>
            <w:tcW w:w="2745" w:type="dxa"/>
            <w:vMerge w:val="restart"/>
            <w:shd w:val="clear" w:color="auto" w:fill="auto"/>
            <w:vAlign w:val="center"/>
          </w:tcPr>
          <w:p w14:paraId="2AE9895E">
            <w:pPr>
              <w:spacing w:line="300" w:lineRule="exact"/>
              <w:jc w:val="center"/>
              <w:rPr>
                <w:rFonts w:ascii="楷体" w:hAnsi="楷体" w:eastAsia="楷体" w:cs="楷体"/>
                <w:color w:val="auto"/>
                <w:szCs w:val="28"/>
              </w:rPr>
            </w:pPr>
            <w:r>
              <w:rPr>
                <w:rFonts w:hint="eastAsia" w:ascii="楷体" w:hAnsi="楷体" w:eastAsia="楷体" w:cs="楷体"/>
                <w:color w:val="auto"/>
                <w:szCs w:val="28"/>
              </w:rPr>
              <w:t>单一在孵企业当年纳税额</w:t>
            </w:r>
          </w:p>
        </w:tc>
        <w:tc>
          <w:tcPr>
            <w:tcW w:w="1527" w:type="dxa"/>
            <w:shd w:val="clear" w:color="auto" w:fill="auto"/>
            <w:vAlign w:val="center"/>
          </w:tcPr>
          <w:p w14:paraId="7242893F">
            <w:pPr>
              <w:numPr>
                <w:ilvl w:val="0"/>
                <w:numId w:val="0"/>
              </w:numPr>
              <w:spacing w:line="240" w:lineRule="auto"/>
              <w:jc w:val="center"/>
              <w:rPr>
                <w:rFonts w:hint="eastAsia"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lang w:val="en-US" w:eastAsia="zh-CN"/>
              </w:rPr>
              <w:t>100万元</w:t>
            </w:r>
          </w:p>
        </w:tc>
        <w:tc>
          <w:tcPr>
            <w:tcW w:w="1419" w:type="dxa"/>
            <w:shd w:val="clear" w:color="auto" w:fill="auto"/>
            <w:vAlign w:val="center"/>
          </w:tcPr>
          <w:p w14:paraId="09526D1B">
            <w:pPr>
              <w:spacing w:line="300" w:lineRule="exact"/>
              <w:jc w:val="center"/>
              <w:rPr>
                <w:rFonts w:ascii="楷体" w:hAnsi="楷体" w:eastAsia="楷体" w:cs="楷体"/>
                <w:color w:val="000000"/>
                <w:szCs w:val="28"/>
              </w:rPr>
            </w:pPr>
            <w:r>
              <w:rPr>
                <w:rFonts w:hint="eastAsia" w:ascii="楷体" w:hAnsi="楷体" w:eastAsia="楷体" w:cs="楷体"/>
                <w:color w:val="000000"/>
                <w:szCs w:val="28"/>
              </w:rPr>
              <w:t>1分/家</w:t>
            </w:r>
          </w:p>
        </w:tc>
        <w:tc>
          <w:tcPr>
            <w:tcW w:w="2216" w:type="dxa"/>
            <w:shd w:val="clear" w:color="auto" w:fill="auto"/>
            <w:vAlign w:val="center"/>
          </w:tcPr>
          <w:p w14:paraId="3B77D2DB">
            <w:pPr>
              <w:spacing w:line="300" w:lineRule="exact"/>
              <w:jc w:val="center"/>
              <w:rPr>
                <w:rFonts w:ascii="楷体" w:hAnsi="楷体" w:eastAsia="楷体" w:cs="楷体"/>
                <w:szCs w:val="28"/>
              </w:rPr>
            </w:pPr>
            <w:r>
              <w:rPr>
                <w:rFonts w:hint="eastAsia" w:ascii="楷体" w:hAnsi="楷体" w:eastAsia="楷体" w:cs="楷体"/>
                <w:szCs w:val="28"/>
              </w:rPr>
              <w:t>该项加分不超过3分</w:t>
            </w:r>
          </w:p>
        </w:tc>
      </w:tr>
      <w:tr w14:paraId="44C3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6" w:type="dxa"/>
            <w:vMerge w:val="continue"/>
            <w:shd w:val="clear" w:color="auto" w:fill="auto"/>
            <w:vAlign w:val="center"/>
          </w:tcPr>
          <w:p w14:paraId="6A455994">
            <w:pPr>
              <w:spacing w:line="300" w:lineRule="exact"/>
              <w:jc w:val="center"/>
              <w:rPr>
                <w:rFonts w:ascii="楷体" w:hAnsi="楷体" w:eastAsia="楷体" w:cs="楷体"/>
                <w:szCs w:val="28"/>
              </w:rPr>
            </w:pPr>
          </w:p>
        </w:tc>
        <w:tc>
          <w:tcPr>
            <w:tcW w:w="4272" w:type="dxa"/>
            <w:vMerge w:val="continue"/>
            <w:shd w:val="clear" w:color="auto" w:fill="auto"/>
            <w:vAlign w:val="center"/>
          </w:tcPr>
          <w:p w14:paraId="4C28E150">
            <w:pPr>
              <w:spacing w:line="300" w:lineRule="exact"/>
              <w:jc w:val="center"/>
              <w:rPr>
                <w:rFonts w:ascii="楷体" w:hAnsi="楷体" w:eastAsia="楷体" w:cs="楷体"/>
                <w:szCs w:val="28"/>
              </w:rPr>
            </w:pPr>
          </w:p>
        </w:tc>
        <w:tc>
          <w:tcPr>
            <w:tcW w:w="2745" w:type="dxa"/>
            <w:vMerge w:val="continue"/>
            <w:shd w:val="clear" w:color="auto" w:fill="auto"/>
            <w:vAlign w:val="center"/>
          </w:tcPr>
          <w:p w14:paraId="5BA65848">
            <w:pPr>
              <w:spacing w:line="300" w:lineRule="exact"/>
              <w:jc w:val="center"/>
              <w:rPr>
                <w:rFonts w:ascii="楷体" w:hAnsi="楷体" w:eastAsia="楷体" w:cs="楷体"/>
                <w:color w:val="auto"/>
                <w:szCs w:val="28"/>
              </w:rPr>
            </w:pPr>
          </w:p>
        </w:tc>
        <w:tc>
          <w:tcPr>
            <w:tcW w:w="1527" w:type="dxa"/>
            <w:shd w:val="clear" w:color="auto" w:fill="auto"/>
            <w:vAlign w:val="center"/>
          </w:tcPr>
          <w:p w14:paraId="136F7E48">
            <w:pPr>
              <w:numPr>
                <w:ilvl w:val="0"/>
                <w:numId w:val="0"/>
              </w:numPr>
              <w:spacing w:line="240" w:lineRule="auto"/>
              <w:jc w:val="center"/>
              <w:rPr>
                <w:rFonts w:hint="eastAsia"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lang w:val="en-US" w:eastAsia="zh-CN"/>
              </w:rPr>
              <w:t>300万元</w:t>
            </w:r>
          </w:p>
        </w:tc>
        <w:tc>
          <w:tcPr>
            <w:tcW w:w="1419" w:type="dxa"/>
            <w:shd w:val="clear" w:color="auto" w:fill="auto"/>
            <w:vAlign w:val="center"/>
          </w:tcPr>
          <w:p w14:paraId="001A58B2">
            <w:pPr>
              <w:spacing w:line="300" w:lineRule="exact"/>
              <w:jc w:val="center"/>
              <w:rPr>
                <w:rFonts w:ascii="楷体" w:hAnsi="楷体" w:eastAsia="楷体" w:cs="楷体"/>
                <w:color w:val="000000"/>
                <w:szCs w:val="28"/>
              </w:rPr>
            </w:pPr>
            <w:r>
              <w:rPr>
                <w:rFonts w:hint="eastAsia" w:ascii="楷体" w:hAnsi="楷体" w:eastAsia="楷体" w:cs="楷体"/>
                <w:color w:val="000000"/>
                <w:szCs w:val="28"/>
              </w:rPr>
              <w:t>3分/家</w:t>
            </w:r>
          </w:p>
        </w:tc>
        <w:tc>
          <w:tcPr>
            <w:tcW w:w="2216" w:type="dxa"/>
            <w:shd w:val="clear" w:color="auto" w:fill="auto"/>
            <w:vAlign w:val="center"/>
          </w:tcPr>
          <w:p w14:paraId="2F9E3B5B">
            <w:pPr>
              <w:spacing w:line="300" w:lineRule="exact"/>
              <w:jc w:val="center"/>
              <w:rPr>
                <w:rFonts w:ascii="楷体" w:hAnsi="楷体" w:eastAsia="楷体" w:cs="楷体"/>
                <w:szCs w:val="28"/>
              </w:rPr>
            </w:pPr>
            <w:r>
              <w:rPr>
                <w:rFonts w:hint="eastAsia" w:ascii="楷体" w:hAnsi="楷体" w:eastAsia="楷体" w:cs="楷体"/>
                <w:szCs w:val="28"/>
              </w:rPr>
              <w:t>该项加分不超过6分</w:t>
            </w:r>
          </w:p>
        </w:tc>
      </w:tr>
      <w:tr w14:paraId="5319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86" w:type="dxa"/>
            <w:vMerge w:val="continue"/>
            <w:shd w:val="clear" w:color="auto" w:fill="auto"/>
            <w:vAlign w:val="center"/>
          </w:tcPr>
          <w:p w14:paraId="3E9CB353">
            <w:pPr>
              <w:spacing w:line="300" w:lineRule="exact"/>
              <w:jc w:val="center"/>
              <w:rPr>
                <w:rFonts w:ascii="楷体" w:hAnsi="楷体" w:eastAsia="楷体" w:cs="楷体"/>
                <w:szCs w:val="28"/>
              </w:rPr>
            </w:pPr>
          </w:p>
        </w:tc>
        <w:tc>
          <w:tcPr>
            <w:tcW w:w="4272" w:type="dxa"/>
            <w:vMerge w:val="continue"/>
            <w:shd w:val="clear" w:color="auto" w:fill="auto"/>
            <w:vAlign w:val="center"/>
          </w:tcPr>
          <w:p w14:paraId="6A3BD13A">
            <w:pPr>
              <w:spacing w:line="300" w:lineRule="exact"/>
              <w:jc w:val="center"/>
              <w:rPr>
                <w:rFonts w:ascii="楷体" w:hAnsi="楷体" w:eastAsia="楷体" w:cs="楷体"/>
                <w:szCs w:val="28"/>
              </w:rPr>
            </w:pPr>
          </w:p>
        </w:tc>
        <w:tc>
          <w:tcPr>
            <w:tcW w:w="2745" w:type="dxa"/>
            <w:vMerge w:val="continue"/>
            <w:shd w:val="clear" w:color="auto" w:fill="auto"/>
            <w:vAlign w:val="center"/>
          </w:tcPr>
          <w:p w14:paraId="2D507381">
            <w:pPr>
              <w:spacing w:line="300" w:lineRule="exact"/>
              <w:jc w:val="center"/>
              <w:rPr>
                <w:rFonts w:ascii="楷体" w:hAnsi="楷体" w:eastAsia="楷体" w:cs="楷体"/>
                <w:color w:val="auto"/>
                <w:szCs w:val="28"/>
              </w:rPr>
            </w:pPr>
          </w:p>
        </w:tc>
        <w:tc>
          <w:tcPr>
            <w:tcW w:w="1527" w:type="dxa"/>
            <w:shd w:val="clear" w:color="auto" w:fill="auto"/>
            <w:vAlign w:val="center"/>
          </w:tcPr>
          <w:p w14:paraId="36A03982">
            <w:pPr>
              <w:numPr>
                <w:ilvl w:val="0"/>
                <w:numId w:val="0"/>
              </w:numPr>
              <w:spacing w:line="240" w:lineRule="auto"/>
              <w:jc w:val="center"/>
              <w:rPr>
                <w:rFonts w:hint="eastAsia"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lang w:val="en-US" w:eastAsia="zh-CN"/>
              </w:rPr>
              <w:t>500万元</w:t>
            </w:r>
          </w:p>
        </w:tc>
        <w:tc>
          <w:tcPr>
            <w:tcW w:w="1419" w:type="dxa"/>
            <w:shd w:val="clear" w:color="auto" w:fill="auto"/>
            <w:vAlign w:val="center"/>
          </w:tcPr>
          <w:p w14:paraId="1F857571">
            <w:pPr>
              <w:spacing w:line="300" w:lineRule="exact"/>
              <w:jc w:val="center"/>
              <w:rPr>
                <w:rFonts w:ascii="楷体" w:hAnsi="楷体" w:eastAsia="楷体" w:cs="楷体"/>
                <w:color w:val="000000"/>
                <w:szCs w:val="28"/>
              </w:rPr>
            </w:pPr>
            <w:r>
              <w:rPr>
                <w:rFonts w:hint="eastAsia" w:ascii="楷体" w:hAnsi="楷体" w:eastAsia="楷体" w:cs="楷体"/>
                <w:color w:val="000000"/>
                <w:szCs w:val="28"/>
              </w:rPr>
              <w:t>5分/家</w:t>
            </w:r>
          </w:p>
        </w:tc>
        <w:tc>
          <w:tcPr>
            <w:tcW w:w="2216" w:type="dxa"/>
            <w:shd w:val="clear" w:color="auto" w:fill="auto"/>
            <w:vAlign w:val="center"/>
          </w:tcPr>
          <w:p w14:paraId="5D1AF110">
            <w:pPr>
              <w:spacing w:line="300" w:lineRule="exact"/>
              <w:jc w:val="center"/>
              <w:rPr>
                <w:rFonts w:ascii="楷体" w:hAnsi="楷体" w:eastAsia="楷体" w:cs="楷体"/>
                <w:szCs w:val="28"/>
              </w:rPr>
            </w:pPr>
            <w:r>
              <w:rPr>
                <w:rFonts w:hint="eastAsia" w:ascii="楷体" w:hAnsi="楷体" w:eastAsia="楷体" w:cs="楷体"/>
                <w:szCs w:val="28"/>
              </w:rPr>
              <w:t>该项加分不超过10分</w:t>
            </w:r>
          </w:p>
        </w:tc>
      </w:tr>
      <w:tr w14:paraId="4BED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restart"/>
            <w:shd w:val="clear" w:color="auto" w:fill="auto"/>
            <w:vAlign w:val="center"/>
          </w:tcPr>
          <w:p w14:paraId="10F42C75">
            <w:pPr>
              <w:spacing w:line="300" w:lineRule="exact"/>
              <w:jc w:val="center"/>
              <w:rPr>
                <w:rFonts w:hint="eastAsia" w:ascii="楷体" w:hAnsi="楷体" w:eastAsia="楷体" w:cs="楷体"/>
                <w:szCs w:val="28"/>
                <w:lang w:eastAsia="zh-CN"/>
              </w:rPr>
            </w:pPr>
            <w:r>
              <w:rPr>
                <w:rFonts w:hint="eastAsia" w:ascii="楷体" w:hAnsi="楷体" w:eastAsia="楷体" w:cs="楷体"/>
                <w:szCs w:val="28"/>
                <w:lang w:val="en-US" w:eastAsia="zh-CN"/>
              </w:rPr>
              <w:t>2</w:t>
            </w:r>
          </w:p>
        </w:tc>
        <w:tc>
          <w:tcPr>
            <w:tcW w:w="4272" w:type="dxa"/>
            <w:vMerge w:val="restart"/>
            <w:shd w:val="clear" w:color="auto" w:fill="auto"/>
            <w:vAlign w:val="center"/>
          </w:tcPr>
          <w:p w14:paraId="663C28A7">
            <w:pPr>
              <w:spacing w:line="300" w:lineRule="exact"/>
              <w:jc w:val="center"/>
              <w:rPr>
                <w:rFonts w:ascii="楷体" w:hAnsi="楷体" w:eastAsia="楷体" w:cs="楷体"/>
                <w:szCs w:val="28"/>
              </w:rPr>
            </w:pPr>
            <w:r>
              <w:rPr>
                <w:rFonts w:hint="eastAsia" w:ascii="楷体" w:hAnsi="楷体" w:eastAsia="楷体" w:cs="楷体"/>
                <w:szCs w:val="28"/>
              </w:rPr>
              <w:t>载体资质升级</w:t>
            </w:r>
          </w:p>
        </w:tc>
        <w:tc>
          <w:tcPr>
            <w:tcW w:w="4272" w:type="dxa"/>
            <w:gridSpan w:val="2"/>
            <w:shd w:val="clear" w:color="auto" w:fill="auto"/>
            <w:vAlign w:val="center"/>
          </w:tcPr>
          <w:p w14:paraId="0A712C84">
            <w:pPr>
              <w:spacing w:line="300" w:lineRule="exact"/>
              <w:jc w:val="center"/>
              <w:rPr>
                <w:rFonts w:hint="eastAsia" w:ascii="楷体" w:hAnsi="楷体" w:eastAsia="楷体" w:cs="楷体"/>
                <w:color w:val="auto"/>
                <w:sz w:val="21"/>
                <w:szCs w:val="28"/>
                <w:lang w:val="en-US" w:eastAsia="zh-CN" w:bidi="ar-SA"/>
              </w:rPr>
            </w:pPr>
            <w:r>
              <w:rPr>
                <w:rFonts w:hint="eastAsia" w:ascii="楷体" w:hAnsi="楷体" w:eastAsia="楷体" w:cs="楷体"/>
                <w:color w:val="auto"/>
                <w:szCs w:val="28"/>
              </w:rPr>
              <w:t>获批省级相关资质荣誉</w:t>
            </w:r>
          </w:p>
        </w:tc>
        <w:tc>
          <w:tcPr>
            <w:tcW w:w="1419" w:type="dxa"/>
            <w:shd w:val="clear" w:color="auto" w:fill="auto"/>
            <w:vAlign w:val="center"/>
          </w:tcPr>
          <w:p w14:paraId="0883473C">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3</w:t>
            </w:r>
            <w:r>
              <w:rPr>
                <w:rFonts w:hint="eastAsia" w:ascii="楷体" w:hAnsi="楷体" w:eastAsia="楷体" w:cs="楷体"/>
                <w:color w:val="000000"/>
                <w:szCs w:val="28"/>
              </w:rPr>
              <w:t>分</w:t>
            </w:r>
            <w:r>
              <w:rPr>
                <w:rFonts w:hint="eastAsia" w:ascii="楷体" w:hAnsi="楷体" w:eastAsia="楷体" w:cs="楷体"/>
                <w:szCs w:val="28"/>
              </w:rPr>
              <w:t>/个</w:t>
            </w:r>
          </w:p>
        </w:tc>
        <w:tc>
          <w:tcPr>
            <w:tcW w:w="2216" w:type="dxa"/>
            <w:shd w:val="clear" w:color="auto" w:fill="auto"/>
            <w:vAlign w:val="center"/>
          </w:tcPr>
          <w:p w14:paraId="2059727E">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4A19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3F674593">
            <w:pPr>
              <w:spacing w:line="300" w:lineRule="exact"/>
              <w:jc w:val="center"/>
              <w:rPr>
                <w:rFonts w:ascii="楷体" w:hAnsi="楷体" w:eastAsia="楷体" w:cs="楷体"/>
                <w:szCs w:val="28"/>
              </w:rPr>
            </w:pPr>
          </w:p>
        </w:tc>
        <w:tc>
          <w:tcPr>
            <w:tcW w:w="4272" w:type="dxa"/>
            <w:vMerge w:val="continue"/>
            <w:shd w:val="clear" w:color="auto" w:fill="auto"/>
            <w:vAlign w:val="center"/>
          </w:tcPr>
          <w:p w14:paraId="2AC02EC7">
            <w:pPr>
              <w:spacing w:line="300" w:lineRule="exact"/>
              <w:jc w:val="center"/>
              <w:rPr>
                <w:rFonts w:ascii="楷体" w:hAnsi="楷体" w:eastAsia="楷体" w:cs="楷体"/>
                <w:sz w:val="21"/>
                <w:szCs w:val="28"/>
                <w:lang w:val="en-US" w:eastAsia="zh-CN" w:bidi="ar-SA"/>
              </w:rPr>
            </w:pPr>
          </w:p>
        </w:tc>
        <w:tc>
          <w:tcPr>
            <w:tcW w:w="4272" w:type="dxa"/>
            <w:gridSpan w:val="2"/>
            <w:shd w:val="clear" w:color="auto" w:fill="auto"/>
            <w:vAlign w:val="center"/>
          </w:tcPr>
          <w:p w14:paraId="0AA14D43">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获批国家级相关资质荣誉</w:t>
            </w:r>
          </w:p>
        </w:tc>
        <w:tc>
          <w:tcPr>
            <w:tcW w:w="1419" w:type="dxa"/>
            <w:shd w:val="clear" w:color="auto" w:fill="auto"/>
            <w:vAlign w:val="center"/>
          </w:tcPr>
          <w:p w14:paraId="76E387C9">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5</w:t>
            </w:r>
            <w:r>
              <w:rPr>
                <w:rFonts w:hint="eastAsia" w:ascii="楷体" w:hAnsi="楷体" w:eastAsia="楷体" w:cs="楷体"/>
                <w:color w:val="000000"/>
                <w:szCs w:val="28"/>
              </w:rPr>
              <w:t>分</w:t>
            </w:r>
            <w:r>
              <w:rPr>
                <w:rFonts w:hint="eastAsia" w:ascii="楷体" w:hAnsi="楷体" w:eastAsia="楷体" w:cs="楷体"/>
                <w:szCs w:val="28"/>
              </w:rPr>
              <w:t>/个</w:t>
            </w:r>
          </w:p>
        </w:tc>
        <w:tc>
          <w:tcPr>
            <w:tcW w:w="2216" w:type="dxa"/>
            <w:shd w:val="clear" w:color="auto" w:fill="auto"/>
            <w:vAlign w:val="center"/>
          </w:tcPr>
          <w:p w14:paraId="4622D201">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该项加分不超过10分</w:t>
            </w:r>
          </w:p>
        </w:tc>
      </w:tr>
      <w:tr w14:paraId="30E5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restart"/>
            <w:shd w:val="clear" w:color="auto" w:fill="auto"/>
            <w:vAlign w:val="center"/>
          </w:tcPr>
          <w:p w14:paraId="705E34F4">
            <w:pPr>
              <w:spacing w:line="300" w:lineRule="exact"/>
              <w:jc w:val="center"/>
              <w:rPr>
                <w:rFonts w:hint="eastAsia" w:ascii="楷体" w:hAnsi="楷体" w:eastAsia="楷体" w:cs="楷体"/>
                <w:szCs w:val="28"/>
                <w:lang w:val="en-US" w:eastAsia="zh-CN"/>
              </w:rPr>
            </w:pPr>
            <w:r>
              <w:rPr>
                <w:rFonts w:hint="eastAsia" w:ascii="楷体" w:hAnsi="楷体" w:eastAsia="楷体" w:cs="楷体"/>
                <w:szCs w:val="28"/>
                <w:lang w:val="en-US" w:eastAsia="zh-CN"/>
              </w:rPr>
              <w:t>3</w:t>
            </w:r>
          </w:p>
        </w:tc>
        <w:tc>
          <w:tcPr>
            <w:tcW w:w="4272" w:type="dxa"/>
            <w:vMerge w:val="restart"/>
            <w:shd w:val="clear" w:color="auto" w:fill="auto"/>
            <w:vAlign w:val="center"/>
          </w:tcPr>
          <w:p w14:paraId="1511A733">
            <w:pPr>
              <w:spacing w:line="300" w:lineRule="exact"/>
              <w:jc w:val="center"/>
              <w:rPr>
                <w:rFonts w:ascii="楷体" w:hAnsi="楷体" w:eastAsia="楷体" w:cs="楷体"/>
                <w:sz w:val="21"/>
                <w:szCs w:val="28"/>
                <w:lang w:val="en-US" w:eastAsia="zh-CN" w:bidi="ar-SA"/>
              </w:rPr>
            </w:pPr>
            <w:r>
              <w:rPr>
                <w:rFonts w:hint="eastAsia" w:ascii="楷体" w:hAnsi="楷体" w:eastAsia="楷体" w:cs="楷体"/>
                <w:sz w:val="21"/>
                <w:szCs w:val="28"/>
                <w:lang w:val="en-US" w:eastAsia="zh-CN" w:bidi="ar-SA"/>
              </w:rPr>
              <w:t>企业孵化质效</w:t>
            </w:r>
          </w:p>
        </w:tc>
        <w:tc>
          <w:tcPr>
            <w:tcW w:w="4272" w:type="dxa"/>
            <w:gridSpan w:val="2"/>
            <w:shd w:val="clear" w:color="auto" w:fill="auto"/>
            <w:vAlign w:val="center"/>
          </w:tcPr>
          <w:p w14:paraId="0EAED1A4">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国内外资本市场挂牌、上市企业</w:t>
            </w:r>
          </w:p>
        </w:tc>
        <w:tc>
          <w:tcPr>
            <w:tcW w:w="1419" w:type="dxa"/>
            <w:shd w:val="clear" w:color="auto" w:fill="auto"/>
            <w:vAlign w:val="center"/>
          </w:tcPr>
          <w:p w14:paraId="26FA943D">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rPr>
              <w:t>3分/家</w:t>
            </w:r>
          </w:p>
        </w:tc>
        <w:tc>
          <w:tcPr>
            <w:tcW w:w="2216" w:type="dxa"/>
            <w:shd w:val="clear" w:color="auto" w:fill="auto"/>
            <w:vAlign w:val="center"/>
          </w:tcPr>
          <w:p w14:paraId="420C55CE">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5DD9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13DC083D">
            <w:pPr>
              <w:spacing w:line="300" w:lineRule="exact"/>
              <w:jc w:val="center"/>
              <w:rPr>
                <w:rFonts w:hint="eastAsia" w:ascii="楷体" w:hAnsi="楷体" w:eastAsia="楷体" w:cs="楷体"/>
                <w:szCs w:val="28"/>
                <w:lang w:val="en-US" w:eastAsia="zh-CN"/>
              </w:rPr>
            </w:pPr>
          </w:p>
        </w:tc>
        <w:tc>
          <w:tcPr>
            <w:tcW w:w="4272" w:type="dxa"/>
            <w:vMerge w:val="continue"/>
            <w:shd w:val="clear" w:color="auto" w:fill="auto"/>
            <w:vAlign w:val="center"/>
          </w:tcPr>
          <w:p w14:paraId="5AE8F79E">
            <w:pPr>
              <w:spacing w:line="300" w:lineRule="exact"/>
              <w:jc w:val="center"/>
              <w:rPr>
                <w:rFonts w:ascii="楷体" w:hAnsi="楷体" w:eastAsia="楷体" w:cs="楷体"/>
                <w:sz w:val="21"/>
                <w:szCs w:val="28"/>
                <w:lang w:val="en-US" w:eastAsia="zh-CN" w:bidi="ar-SA"/>
              </w:rPr>
            </w:pPr>
          </w:p>
        </w:tc>
        <w:tc>
          <w:tcPr>
            <w:tcW w:w="4272" w:type="dxa"/>
            <w:gridSpan w:val="2"/>
            <w:shd w:val="clear" w:color="auto" w:fill="auto"/>
            <w:vAlign w:val="center"/>
          </w:tcPr>
          <w:p w14:paraId="1562F441">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获批江苏省专精特新中小企业</w:t>
            </w:r>
          </w:p>
        </w:tc>
        <w:tc>
          <w:tcPr>
            <w:tcW w:w="1419" w:type="dxa"/>
            <w:shd w:val="clear" w:color="auto" w:fill="auto"/>
            <w:vAlign w:val="center"/>
          </w:tcPr>
          <w:p w14:paraId="308E2D82">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rPr>
              <w:t>3分/家</w:t>
            </w:r>
          </w:p>
        </w:tc>
        <w:tc>
          <w:tcPr>
            <w:tcW w:w="2216" w:type="dxa"/>
            <w:shd w:val="clear" w:color="auto" w:fill="auto"/>
            <w:vAlign w:val="center"/>
          </w:tcPr>
          <w:p w14:paraId="480A9DCD">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2D70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1C4CB1B0">
            <w:pPr>
              <w:spacing w:line="300" w:lineRule="exact"/>
              <w:jc w:val="center"/>
              <w:rPr>
                <w:rFonts w:ascii="楷体" w:hAnsi="楷体" w:eastAsia="楷体" w:cs="楷体"/>
                <w:szCs w:val="28"/>
              </w:rPr>
            </w:pPr>
          </w:p>
        </w:tc>
        <w:tc>
          <w:tcPr>
            <w:tcW w:w="4272" w:type="dxa"/>
            <w:vMerge w:val="continue"/>
            <w:shd w:val="clear" w:color="auto" w:fill="auto"/>
            <w:vAlign w:val="center"/>
          </w:tcPr>
          <w:p w14:paraId="7C4048CA">
            <w:pPr>
              <w:spacing w:line="300" w:lineRule="exact"/>
              <w:jc w:val="center"/>
              <w:rPr>
                <w:rFonts w:ascii="楷体" w:hAnsi="楷体" w:eastAsia="楷体" w:cs="楷体"/>
                <w:sz w:val="21"/>
                <w:szCs w:val="28"/>
                <w:lang w:val="en-US" w:eastAsia="zh-CN" w:bidi="ar-SA"/>
              </w:rPr>
            </w:pPr>
          </w:p>
        </w:tc>
        <w:tc>
          <w:tcPr>
            <w:tcW w:w="4272" w:type="dxa"/>
            <w:gridSpan w:val="2"/>
            <w:shd w:val="clear" w:color="auto" w:fill="auto"/>
            <w:vAlign w:val="center"/>
          </w:tcPr>
          <w:p w14:paraId="399F9835">
            <w:pPr>
              <w:spacing w:line="300" w:lineRule="exact"/>
              <w:jc w:val="left"/>
              <w:rPr>
                <w:rFonts w:hint="eastAsia" w:ascii="楷体" w:hAnsi="楷体" w:eastAsia="楷体" w:cs="楷体"/>
                <w:sz w:val="21"/>
                <w:szCs w:val="28"/>
                <w:lang w:val="en-US" w:eastAsia="zh-CN" w:bidi="ar-SA"/>
              </w:rPr>
            </w:pPr>
            <w:r>
              <w:rPr>
                <w:rFonts w:hint="eastAsia" w:ascii="楷体" w:hAnsi="楷体" w:eastAsia="楷体" w:cs="楷体"/>
                <w:szCs w:val="28"/>
              </w:rPr>
              <w:t>获得单笔天使投资或风险投资500万元及以上企业</w:t>
            </w:r>
          </w:p>
        </w:tc>
        <w:tc>
          <w:tcPr>
            <w:tcW w:w="1419" w:type="dxa"/>
            <w:shd w:val="clear" w:color="auto" w:fill="auto"/>
            <w:vAlign w:val="center"/>
          </w:tcPr>
          <w:p w14:paraId="74FB8CCF">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lang w:val="en-US" w:eastAsia="zh-CN"/>
              </w:rPr>
              <w:t>3</w:t>
            </w:r>
            <w:r>
              <w:rPr>
                <w:rFonts w:hint="eastAsia" w:ascii="楷体" w:hAnsi="楷体" w:eastAsia="楷体" w:cs="楷体"/>
                <w:color w:val="000000"/>
                <w:szCs w:val="28"/>
              </w:rPr>
              <w:t>分/家</w:t>
            </w:r>
          </w:p>
        </w:tc>
        <w:tc>
          <w:tcPr>
            <w:tcW w:w="2216" w:type="dxa"/>
            <w:shd w:val="clear" w:color="auto" w:fill="auto"/>
            <w:vAlign w:val="center"/>
          </w:tcPr>
          <w:p w14:paraId="257A1FAB">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6BA6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restart"/>
            <w:shd w:val="clear" w:color="auto" w:fill="auto"/>
            <w:vAlign w:val="center"/>
          </w:tcPr>
          <w:p w14:paraId="613B02D7">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 w:val="21"/>
                <w:szCs w:val="28"/>
                <w:lang w:val="en-US" w:eastAsia="zh-CN"/>
              </w:rPr>
              <w:t>4</w:t>
            </w:r>
          </w:p>
        </w:tc>
        <w:tc>
          <w:tcPr>
            <w:tcW w:w="4272" w:type="dxa"/>
            <w:vMerge w:val="restart"/>
            <w:shd w:val="clear" w:color="auto" w:fill="auto"/>
            <w:vAlign w:val="center"/>
          </w:tcPr>
          <w:p w14:paraId="57CE695D">
            <w:pPr>
              <w:spacing w:line="300" w:lineRule="exact"/>
              <w:jc w:val="center"/>
              <w:rPr>
                <w:rFonts w:hint="default" w:ascii="楷体" w:hAnsi="楷体" w:eastAsia="楷体" w:cs="楷体"/>
                <w:sz w:val="21"/>
                <w:szCs w:val="28"/>
                <w:lang w:val="en-US" w:eastAsia="zh-CN" w:bidi="ar-SA"/>
              </w:rPr>
            </w:pPr>
            <w:r>
              <w:rPr>
                <w:rFonts w:hint="eastAsia" w:ascii="楷体" w:hAnsi="楷体" w:eastAsia="楷体" w:cs="楷体"/>
                <w:sz w:val="21"/>
                <w:szCs w:val="28"/>
                <w:lang w:val="en-US" w:eastAsia="zh-CN"/>
              </w:rPr>
              <w:t>企业引进培育</w:t>
            </w:r>
          </w:p>
        </w:tc>
        <w:tc>
          <w:tcPr>
            <w:tcW w:w="4272" w:type="dxa"/>
            <w:gridSpan w:val="2"/>
            <w:shd w:val="clear" w:color="auto" w:fill="auto"/>
            <w:vAlign w:val="center"/>
          </w:tcPr>
          <w:p w14:paraId="6F2DA1FD">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lang w:val="en-US" w:eastAsia="zh-CN"/>
              </w:rPr>
              <w:t>经上级认定的科技型企业数</w:t>
            </w:r>
          </w:p>
        </w:tc>
        <w:tc>
          <w:tcPr>
            <w:tcW w:w="1419" w:type="dxa"/>
            <w:shd w:val="clear" w:color="auto" w:fill="auto"/>
            <w:vAlign w:val="center"/>
          </w:tcPr>
          <w:p w14:paraId="691D92D2">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rPr>
              <w:t>0.5分/家</w:t>
            </w:r>
          </w:p>
        </w:tc>
        <w:tc>
          <w:tcPr>
            <w:tcW w:w="2216" w:type="dxa"/>
            <w:shd w:val="clear" w:color="auto" w:fill="auto"/>
            <w:vAlign w:val="center"/>
          </w:tcPr>
          <w:p w14:paraId="7EB8F1A8">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该项加分不超过5分</w:t>
            </w:r>
          </w:p>
        </w:tc>
      </w:tr>
      <w:tr w14:paraId="68F3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038478EC">
            <w:pPr>
              <w:spacing w:line="300" w:lineRule="exact"/>
              <w:jc w:val="center"/>
              <w:rPr>
                <w:rFonts w:ascii="楷体" w:hAnsi="楷体" w:eastAsia="楷体" w:cs="楷体"/>
                <w:szCs w:val="28"/>
              </w:rPr>
            </w:pPr>
          </w:p>
        </w:tc>
        <w:tc>
          <w:tcPr>
            <w:tcW w:w="4272" w:type="dxa"/>
            <w:vMerge w:val="continue"/>
            <w:shd w:val="clear" w:color="auto" w:fill="auto"/>
            <w:vAlign w:val="center"/>
          </w:tcPr>
          <w:p w14:paraId="375E1437">
            <w:pPr>
              <w:spacing w:line="300" w:lineRule="exact"/>
              <w:jc w:val="center"/>
              <w:rPr>
                <w:rFonts w:ascii="楷体" w:hAnsi="楷体" w:eastAsia="楷体" w:cs="楷体"/>
                <w:szCs w:val="28"/>
              </w:rPr>
            </w:pPr>
          </w:p>
        </w:tc>
        <w:tc>
          <w:tcPr>
            <w:tcW w:w="4272" w:type="dxa"/>
            <w:gridSpan w:val="2"/>
            <w:shd w:val="clear" w:color="auto" w:fill="auto"/>
            <w:vAlign w:val="center"/>
          </w:tcPr>
          <w:p w14:paraId="6B52EFEE">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 w:val="21"/>
                <w:szCs w:val="28"/>
              </w:rPr>
              <w:t>获批科技型中小企业数</w:t>
            </w:r>
          </w:p>
        </w:tc>
        <w:tc>
          <w:tcPr>
            <w:tcW w:w="1419" w:type="dxa"/>
            <w:shd w:val="clear" w:color="auto" w:fill="auto"/>
            <w:vAlign w:val="center"/>
          </w:tcPr>
          <w:p w14:paraId="45CA4337">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rPr>
              <w:t>0.5分/家</w:t>
            </w:r>
          </w:p>
        </w:tc>
        <w:tc>
          <w:tcPr>
            <w:tcW w:w="2216" w:type="dxa"/>
            <w:shd w:val="clear" w:color="auto" w:fill="auto"/>
            <w:vAlign w:val="center"/>
          </w:tcPr>
          <w:p w14:paraId="2969E212">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该项加分不超过5分</w:t>
            </w:r>
          </w:p>
        </w:tc>
      </w:tr>
      <w:tr w14:paraId="3DD2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07DAE13E">
            <w:pPr>
              <w:spacing w:line="300" w:lineRule="exact"/>
              <w:jc w:val="center"/>
              <w:rPr>
                <w:rFonts w:ascii="楷体" w:hAnsi="楷体" w:eastAsia="楷体" w:cs="楷体"/>
                <w:szCs w:val="28"/>
              </w:rPr>
            </w:pPr>
          </w:p>
        </w:tc>
        <w:tc>
          <w:tcPr>
            <w:tcW w:w="4272" w:type="dxa"/>
            <w:vMerge w:val="continue"/>
            <w:shd w:val="clear" w:color="auto" w:fill="auto"/>
            <w:vAlign w:val="center"/>
          </w:tcPr>
          <w:p w14:paraId="3C4FB8EA">
            <w:pPr>
              <w:spacing w:line="300" w:lineRule="exact"/>
              <w:jc w:val="center"/>
              <w:rPr>
                <w:rFonts w:ascii="楷体" w:hAnsi="楷体" w:eastAsia="楷体" w:cs="楷体"/>
                <w:szCs w:val="28"/>
              </w:rPr>
            </w:pPr>
          </w:p>
        </w:tc>
        <w:tc>
          <w:tcPr>
            <w:tcW w:w="4272" w:type="dxa"/>
            <w:gridSpan w:val="2"/>
            <w:shd w:val="clear" w:color="auto" w:fill="auto"/>
            <w:vAlign w:val="center"/>
          </w:tcPr>
          <w:p w14:paraId="455DB2C0">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lang w:val="en-US" w:eastAsia="zh-CN"/>
              </w:rPr>
              <w:t>净增</w:t>
            </w:r>
            <w:r>
              <w:rPr>
                <w:rFonts w:hint="eastAsia" w:ascii="楷体" w:hAnsi="楷体" w:eastAsia="楷体" w:cs="楷体"/>
                <w:szCs w:val="28"/>
              </w:rPr>
              <w:t>国家高新技术企业</w:t>
            </w:r>
          </w:p>
        </w:tc>
        <w:tc>
          <w:tcPr>
            <w:tcW w:w="1419" w:type="dxa"/>
            <w:shd w:val="clear" w:color="auto" w:fill="auto"/>
            <w:vAlign w:val="center"/>
          </w:tcPr>
          <w:p w14:paraId="3FBC89DC">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lang w:val="en-US" w:eastAsia="zh-CN"/>
              </w:rPr>
              <w:t>3</w:t>
            </w:r>
            <w:r>
              <w:rPr>
                <w:rFonts w:hint="eastAsia" w:ascii="楷体" w:hAnsi="楷体" w:eastAsia="楷体" w:cs="楷体"/>
                <w:color w:val="000000"/>
                <w:szCs w:val="28"/>
              </w:rPr>
              <w:t>分/家</w:t>
            </w:r>
          </w:p>
        </w:tc>
        <w:tc>
          <w:tcPr>
            <w:tcW w:w="2216" w:type="dxa"/>
            <w:shd w:val="clear" w:color="auto" w:fill="auto"/>
            <w:vAlign w:val="center"/>
          </w:tcPr>
          <w:p w14:paraId="2A89088B">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2DCF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restart"/>
            <w:shd w:val="clear" w:color="auto" w:fill="auto"/>
            <w:vAlign w:val="center"/>
          </w:tcPr>
          <w:p w14:paraId="6A450D7F">
            <w:pPr>
              <w:spacing w:line="300" w:lineRule="exact"/>
              <w:jc w:val="center"/>
              <w:rPr>
                <w:rFonts w:hint="eastAsia" w:ascii="楷体" w:hAnsi="楷体" w:eastAsia="楷体" w:cs="楷体"/>
                <w:szCs w:val="28"/>
                <w:lang w:val="en-US" w:eastAsia="zh-CN"/>
              </w:rPr>
            </w:pPr>
            <w:r>
              <w:rPr>
                <w:rFonts w:hint="eastAsia" w:ascii="楷体" w:hAnsi="楷体" w:eastAsia="楷体" w:cs="楷体"/>
                <w:szCs w:val="28"/>
                <w:lang w:val="en-US" w:eastAsia="zh-CN"/>
              </w:rPr>
              <w:t>5</w:t>
            </w:r>
          </w:p>
        </w:tc>
        <w:tc>
          <w:tcPr>
            <w:tcW w:w="4272" w:type="dxa"/>
            <w:vMerge w:val="restart"/>
            <w:shd w:val="clear" w:color="auto" w:fill="auto"/>
            <w:vAlign w:val="center"/>
          </w:tcPr>
          <w:p w14:paraId="020A9FCF">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rPr>
              <w:t>人才</w:t>
            </w:r>
            <w:r>
              <w:rPr>
                <w:rFonts w:hint="eastAsia" w:ascii="楷体" w:hAnsi="楷体" w:eastAsia="楷体" w:cs="楷体"/>
                <w:sz w:val="24"/>
                <w:lang w:val="en-US" w:eastAsia="zh-CN"/>
              </w:rPr>
              <w:t>项目招引</w:t>
            </w:r>
          </w:p>
          <w:p w14:paraId="61F5DA6B">
            <w:pPr>
              <w:spacing w:line="300" w:lineRule="exact"/>
              <w:jc w:val="both"/>
              <w:rPr>
                <w:rFonts w:ascii="楷体" w:hAnsi="楷体" w:eastAsia="楷体" w:cs="楷体"/>
                <w:sz w:val="21"/>
                <w:szCs w:val="28"/>
                <w:lang w:val="en-US" w:eastAsia="zh-CN" w:bidi="ar-SA"/>
              </w:rPr>
            </w:pPr>
          </w:p>
        </w:tc>
        <w:tc>
          <w:tcPr>
            <w:tcW w:w="4272" w:type="dxa"/>
            <w:gridSpan w:val="2"/>
            <w:shd w:val="clear" w:color="auto" w:fill="auto"/>
            <w:vAlign w:val="center"/>
          </w:tcPr>
          <w:p w14:paraId="53BA9191">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入选区级人才项目数</w:t>
            </w:r>
          </w:p>
        </w:tc>
        <w:tc>
          <w:tcPr>
            <w:tcW w:w="1419" w:type="dxa"/>
            <w:shd w:val="clear" w:color="auto" w:fill="auto"/>
            <w:vAlign w:val="center"/>
          </w:tcPr>
          <w:p w14:paraId="67AFB697">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1</w:t>
            </w:r>
            <w:r>
              <w:rPr>
                <w:rFonts w:hint="eastAsia" w:ascii="楷体" w:hAnsi="楷体" w:eastAsia="楷体" w:cs="楷体"/>
                <w:color w:val="000000"/>
                <w:szCs w:val="28"/>
              </w:rPr>
              <w:t>分</w:t>
            </w:r>
            <w:r>
              <w:rPr>
                <w:rFonts w:hint="eastAsia" w:ascii="楷体" w:hAnsi="楷体" w:eastAsia="楷体" w:cs="楷体"/>
                <w:szCs w:val="28"/>
              </w:rPr>
              <w:t>/个</w:t>
            </w:r>
          </w:p>
        </w:tc>
        <w:tc>
          <w:tcPr>
            <w:tcW w:w="2216" w:type="dxa"/>
            <w:shd w:val="clear" w:color="auto" w:fill="auto"/>
            <w:vAlign w:val="center"/>
          </w:tcPr>
          <w:p w14:paraId="1DCA5329">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该项加分不超过3分</w:t>
            </w:r>
          </w:p>
        </w:tc>
      </w:tr>
      <w:tr w14:paraId="654B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5EE72FB6">
            <w:pPr>
              <w:spacing w:line="300" w:lineRule="exact"/>
              <w:jc w:val="center"/>
              <w:rPr>
                <w:rFonts w:ascii="楷体" w:hAnsi="楷体" w:eastAsia="楷体" w:cs="楷体"/>
                <w:szCs w:val="28"/>
              </w:rPr>
            </w:pPr>
          </w:p>
        </w:tc>
        <w:tc>
          <w:tcPr>
            <w:tcW w:w="4272" w:type="dxa"/>
            <w:vMerge w:val="continue"/>
            <w:shd w:val="clear" w:color="auto" w:fill="auto"/>
            <w:vAlign w:val="center"/>
          </w:tcPr>
          <w:p w14:paraId="3DA2A68E">
            <w:pPr>
              <w:spacing w:line="300" w:lineRule="exact"/>
              <w:jc w:val="center"/>
              <w:rPr>
                <w:rFonts w:ascii="楷体" w:hAnsi="楷体" w:eastAsia="楷体" w:cs="楷体"/>
                <w:sz w:val="21"/>
                <w:szCs w:val="28"/>
                <w:lang w:val="en-US" w:eastAsia="zh-CN" w:bidi="ar-SA"/>
              </w:rPr>
            </w:pPr>
          </w:p>
        </w:tc>
        <w:tc>
          <w:tcPr>
            <w:tcW w:w="4272" w:type="dxa"/>
            <w:gridSpan w:val="2"/>
            <w:shd w:val="clear" w:color="auto" w:fill="auto"/>
            <w:vAlign w:val="center"/>
          </w:tcPr>
          <w:p w14:paraId="49E71067">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入选市级人才项目数</w:t>
            </w:r>
          </w:p>
        </w:tc>
        <w:tc>
          <w:tcPr>
            <w:tcW w:w="1419" w:type="dxa"/>
            <w:shd w:val="clear" w:color="auto" w:fill="auto"/>
            <w:vAlign w:val="center"/>
          </w:tcPr>
          <w:p w14:paraId="239D3DDD">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2</w:t>
            </w:r>
            <w:r>
              <w:rPr>
                <w:rFonts w:hint="eastAsia" w:ascii="楷体" w:hAnsi="楷体" w:eastAsia="楷体" w:cs="楷体"/>
                <w:color w:val="000000"/>
                <w:szCs w:val="28"/>
              </w:rPr>
              <w:t>分</w:t>
            </w:r>
            <w:r>
              <w:rPr>
                <w:rFonts w:hint="eastAsia" w:ascii="楷体" w:hAnsi="楷体" w:eastAsia="楷体" w:cs="楷体"/>
                <w:szCs w:val="28"/>
              </w:rPr>
              <w:t>/个</w:t>
            </w:r>
          </w:p>
        </w:tc>
        <w:tc>
          <w:tcPr>
            <w:tcW w:w="2216" w:type="dxa"/>
            <w:shd w:val="clear" w:color="auto" w:fill="auto"/>
            <w:vAlign w:val="center"/>
          </w:tcPr>
          <w:p w14:paraId="4DF17E94">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3461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6718E4E5">
            <w:pPr>
              <w:spacing w:line="300" w:lineRule="exact"/>
              <w:jc w:val="center"/>
              <w:rPr>
                <w:rFonts w:ascii="楷体" w:hAnsi="楷体" w:eastAsia="楷体" w:cs="楷体"/>
                <w:szCs w:val="28"/>
              </w:rPr>
            </w:pPr>
          </w:p>
        </w:tc>
        <w:tc>
          <w:tcPr>
            <w:tcW w:w="4272" w:type="dxa"/>
            <w:vMerge w:val="continue"/>
            <w:shd w:val="clear" w:color="auto" w:fill="auto"/>
            <w:vAlign w:val="center"/>
          </w:tcPr>
          <w:p w14:paraId="57E58607">
            <w:pPr>
              <w:spacing w:line="300" w:lineRule="exact"/>
              <w:jc w:val="center"/>
              <w:rPr>
                <w:rFonts w:ascii="楷体" w:hAnsi="楷体" w:eastAsia="楷体" w:cs="楷体"/>
                <w:sz w:val="21"/>
                <w:szCs w:val="28"/>
                <w:lang w:val="en-US" w:eastAsia="zh-CN" w:bidi="ar-SA"/>
              </w:rPr>
            </w:pPr>
          </w:p>
        </w:tc>
        <w:tc>
          <w:tcPr>
            <w:tcW w:w="4272" w:type="dxa"/>
            <w:gridSpan w:val="2"/>
            <w:shd w:val="clear" w:color="auto" w:fill="auto"/>
            <w:vAlign w:val="center"/>
          </w:tcPr>
          <w:p w14:paraId="26E60875">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入选省级人才项目数</w:t>
            </w:r>
          </w:p>
        </w:tc>
        <w:tc>
          <w:tcPr>
            <w:tcW w:w="1419" w:type="dxa"/>
            <w:shd w:val="clear" w:color="auto" w:fill="auto"/>
            <w:vAlign w:val="center"/>
          </w:tcPr>
          <w:p w14:paraId="124DD7EF">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3</w:t>
            </w:r>
            <w:r>
              <w:rPr>
                <w:rFonts w:hint="eastAsia" w:ascii="楷体" w:hAnsi="楷体" w:eastAsia="楷体" w:cs="楷体"/>
                <w:color w:val="000000"/>
                <w:szCs w:val="28"/>
              </w:rPr>
              <w:t>分</w:t>
            </w:r>
            <w:r>
              <w:rPr>
                <w:rFonts w:hint="eastAsia" w:ascii="楷体" w:hAnsi="楷体" w:eastAsia="楷体" w:cs="楷体"/>
                <w:szCs w:val="28"/>
              </w:rPr>
              <w:t>/个</w:t>
            </w:r>
          </w:p>
        </w:tc>
        <w:tc>
          <w:tcPr>
            <w:tcW w:w="2216" w:type="dxa"/>
            <w:shd w:val="clear" w:color="auto" w:fill="auto"/>
            <w:vAlign w:val="center"/>
          </w:tcPr>
          <w:p w14:paraId="79650407">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bl>
    <w:p w14:paraId="30744F27">
      <w:pPr>
        <w:adjustRightInd w:val="0"/>
        <w:snapToGrid w:val="0"/>
        <w:spacing w:line="500" w:lineRule="exact"/>
        <w:rPr>
          <w:rFonts w:ascii="楷体" w:hAnsi="楷体" w:eastAsia="楷体" w:cs="楷体"/>
          <w:b/>
          <w:bCs/>
          <w:sz w:val="28"/>
          <w:szCs w:val="28"/>
        </w:rPr>
        <w:sectPr>
          <w:pgSz w:w="16838" w:h="11905" w:orient="landscape"/>
          <w:pgMar w:top="1803" w:right="1440" w:bottom="1803" w:left="1440" w:header="850" w:footer="992" w:gutter="0"/>
          <w:pgNumType w:fmt="decimal"/>
          <w:cols w:space="0" w:num="1"/>
          <w:rtlGutter w:val="0"/>
          <w:docGrid w:type="lines" w:linePitch="319" w:charSpace="0"/>
        </w:sectPr>
      </w:pPr>
    </w:p>
    <w:p w14:paraId="5A7AD686">
      <w:pPr>
        <w:spacing w:line="560" w:lineRule="exact"/>
        <w:ind w:firstLine="482" w:firstLineChars="200"/>
        <w:rPr>
          <w:rFonts w:ascii="楷体" w:hAnsi="楷体" w:eastAsia="楷体" w:cs="楷体"/>
          <w:b/>
          <w:bCs/>
          <w:sz w:val="24"/>
        </w:rPr>
      </w:pPr>
      <w:r>
        <w:rPr>
          <w:rFonts w:hint="eastAsia" w:ascii="楷体" w:hAnsi="楷体" w:eastAsia="楷体" w:cs="楷体"/>
          <w:b/>
          <w:bCs/>
          <w:sz w:val="24"/>
        </w:rPr>
        <w:t>备注：</w:t>
      </w:r>
    </w:p>
    <w:p w14:paraId="08EF7221">
      <w:pPr>
        <w:numPr>
          <w:ilvl w:val="0"/>
          <w:numId w:val="1"/>
        </w:numPr>
        <w:spacing w:line="560" w:lineRule="exact"/>
        <w:ind w:firstLine="480" w:firstLineChars="200"/>
        <w:rPr>
          <w:rFonts w:hint="eastAsia" w:ascii="楷体" w:hAnsi="楷体" w:eastAsia="楷体" w:cs="楷体"/>
          <w:sz w:val="24"/>
        </w:rPr>
      </w:pPr>
      <w:r>
        <w:rPr>
          <w:rFonts w:hint="eastAsia" w:ascii="楷体" w:hAnsi="楷体" w:eastAsia="楷体" w:cs="楷体"/>
          <w:sz w:val="24"/>
        </w:rPr>
        <w:t xml:space="preserve">表1满分为100分，各项指标的得分计算方法如下：得分=（实际完成值/目标值）*分值，总得分将按照四舍五入的规则进行取整。 </w:t>
      </w:r>
    </w:p>
    <w:p w14:paraId="46B5B871">
      <w:pPr>
        <w:numPr>
          <w:ilvl w:val="0"/>
          <w:numId w:val="1"/>
        </w:num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表</w:t>
      </w:r>
      <w:r>
        <w:rPr>
          <w:rFonts w:hint="eastAsia" w:ascii="楷体" w:hAnsi="楷体" w:eastAsia="楷体" w:cs="楷体"/>
          <w:sz w:val="24"/>
          <w:lang w:val="en-US" w:eastAsia="zh-CN"/>
        </w:rPr>
        <w:t>2</w:t>
      </w:r>
      <w:r>
        <w:rPr>
          <w:rFonts w:hint="eastAsia" w:ascii="楷体" w:hAnsi="楷体" w:eastAsia="楷体" w:cs="楷体"/>
          <w:sz w:val="24"/>
        </w:rPr>
        <w:t>满分为100分</w:t>
      </w:r>
      <w:r>
        <w:rPr>
          <w:rFonts w:hint="eastAsia" w:ascii="楷体" w:hAnsi="楷体" w:eastAsia="楷体" w:cs="楷体"/>
          <w:sz w:val="24"/>
          <w:lang w:eastAsia="zh-CN"/>
        </w:rPr>
        <w:t>，</w:t>
      </w:r>
      <w:r>
        <w:rPr>
          <w:rFonts w:hint="eastAsia" w:ascii="楷体" w:hAnsi="楷体" w:eastAsia="楷体" w:cs="楷体"/>
          <w:sz w:val="24"/>
        </w:rPr>
        <w:t xml:space="preserve">各项指标的得分计算方法如下：得分=（实际完成值/目标值）*分值，总得分将按照四舍五入的规则进行取整。 </w:t>
      </w:r>
    </w:p>
    <w:p w14:paraId="6B823DF4">
      <w:pPr>
        <w:numPr>
          <w:ilvl w:val="0"/>
          <w:numId w:val="1"/>
        </w:num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表</w:t>
      </w:r>
      <w:r>
        <w:rPr>
          <w:rFonts w:hint="eastAsia" w:ascii="楷体" w:hAnsi="楷体" w:eastAsia="楷体" w:cs="楷体"/>
          <w:sz w:val="24"/>
          <w:highlight w:val="none"/>
          <w:lang w:val="en-US" w:eastAsia="zh-CN"/>
        </w:rPr>
        <w:t>3为年度绩效附加分值表，计入表2总分统计（表2、3合计总分合计上限为100分）。</w:t>
      </w:r>
    </w:p>
    <w:p w14:paraId="57992FFC">
      <w:pPr>
        <w:numPr>
          <w:ilvl w:val="0"/>
          <w:numId w:val="1"/>
        </w:numPr>
        <w:spacing w:line="560" w:lineRule="exact"/>
        <w:ind w:firstLine="480" w:firstLineChars="200"/>
        <w:rPr>
          <w:rFonts w:ascii="楷体" w:hAnsi="楷体" w:eastAsia="楷体" w:cs="楷体"/>
          <w:sz w:val="24"/>
        </w:rPr>
      </w:pPr>
      <w:r>
        <w:rPr>
          <w:rFonts w:hint="eastAsia" w:ascii="楷体" w:hAnsi="楷体" w:eastAsia="楷体" w:cs="楷体"/>
          <w:sz w:val="24"/>
        </w:rPr>
        <w:t>委托载体内企业因发展壮大等各类原因迁出载体落户镇江高新区其他区域的，其各类资质也计入乙方指标</w:t>
      </w:r>
      <w:r>
        <w:rPr>
          <w:rFonts w:hint="eastAsia" w:ascii="楷体" w:hAnsi="楷体" w:eastAsia="楷体" w:cs="楷体"/>
          <w:sz w:val="24"/>
          <w:lang w:eastAsia="zh-CN"/>
        </w:rPr>
        <w:t>（</w:t>
      </w:r>
      <w:r>
        <w:rPr>
          <w:rFonts w:hint="eastAsia" w:ascii="楷体" w:hAnsi="楷体" w:eastAsia="楷体" w:cs="楷体"/>
          <w:sz w:val="24"/>
          <w:lang w:val="en-US" w:eastAsia="zh-CN"/>
        </w:rPr>
        <w:t>相关企业需提供证明材料</w:t>
      </w:r>
      <w:r>
        <w:rPr>
          <w:rFonts w:hint="eastAsia" w:ascii="楷体" w:hAnsi="楷体" w:eastAsia="楷体" w:cs="楷体"/>
          <w:sz w:val="24"/>
          <w:lang w:eastAsia="zh-CN"/>
        </w:rPr>
        <w:t>）</w:t>
      </w:r>
      <w:r>
        <w:rPr>
          <w:rFonts w:hint="eastAsia" w:ascii="楷体" w:hAnsi="楷体" w:eastAsia="楷体" w:cs="楷体"/>
          <w:sz w:val="24"/>
        </w:rPr>
        <w:t>。</w:t>
      </w:r>
    </w:p>
    <w:p w14:paraId="790FED5B">
      <w:pPr>
        <w:numPr>
          <w:ilvl w:val="0"/>
          <w:numId w:val="1"/>
        </w:numPr>
        <w:spacing w:line="560" w:lineRule="exact"/>
        <w:ind w:firstLine="480" w:firstLineChars="200"/>
        <w:rPr>
          <w:rFonts w:hint="eastAsia" w:ascii="楷体" w:hAnsi="楷体" w:eastAsia="楷体" w:cs="楷体"/>
          <w:b/>
          <w:bCs/>
          <w:sz w:val="24"/>
        </w:rPr>
      </w:pPr>
      <w:r>
        <w:rPr>
          <w:rFonts w:hint="eastAsia" w:ascii="楷体" w:hAnsi="楷体" w:eastAsia="楷体" w:cs="楷体"/>
          <w:sz w:val="24"/>
        </w:rPr>
        <w:t>若国家、省市对涉及的考核内容进行政策性调整，相应考核指标应根据实际情况进行调整。</w:t>
      </w:r>
    </w:p>
    <w:p w14:paraId="43AD661B">
      <w:pPr>
        <w:spacing w:line="560" w:lineRule="exact"/>
        <w:ind w:firstLine="482" w:firstLineChars="200"/>
        <w:rPr>
          <w:rFonts w:hint="eastAsia" w:ascii="楷体" w:hAnsi="楷体" w:eastAsia="楷体" w:cs="楷体"/>
          <w:b/>
          <w:bCs/>
          <w:sz w:val="24"/>
        </w:rPr>
      </w:pPr>
      <w:r>
        <w:rPr>
          <w:rFonts w:hint="eastAsia" w:ascii="楷体" w:hAnsi="楷体" w:eastAsia="楷体" w:cs="楷体"/>
          <w:b/>
          <w:bCs/>
          <w:sz w:val="24"/>
        </w:rPr>
        <w:t>考评指标解释</w:t>
      </w:r>
      <w:r>
        <w:rPr>
          <w:rFonts w:hint="eastAsia" w:ascii="楷体" w:hAnsi="楷体" w:eastAsia="楷体" w:cs="楷体"/>
          <w:b/>
          <w:bCs/>
          <w:sz w:val="24"/>
          <w:lang w:eastAsia="zh-CN"/>
        </w:rPr>
        <w:t>（</w:t>
      </w:r>
      <w:r>
        <w:rPr>
          <w:rFonts w:hint="eastAsia" w:ascii="楷体" w:hAnsi="楷体" w:eastAsia="楷体" w:cs="楷体"/>
          <w:b/>
          <w:bCs/>
          <w:sz w:val="24"/>
          <w:lang w:val="en-US" w:eastAsia="zh-CN"/>
        </w:rPr>
        <w:t>表1</w:t>
      </w:r>
      <w:r>
        <w:rPr>
          <w:rFonts w:hint="eastAsia" w:ascii="楷体" w:hAnsi="楷体" w:eastAsia="楷体" w:cs="楷体"/>
          <w:b/>
          <w:bCs/>
          <w:sz w:val="24"/>
          <w:lang w:eastAsia="zh-CN"/>
        </w:rPr>
        <w:t>）</w:t>
      </w:r>
      <w:r>
        <w:rPr>
          <w:rFonts w:hint="eastAsia" w:ascii="楷体" w:hAnsi="楷体" w:eastAsia="楷体" w:cs="楷体"/>
          <w:b/>
          <w:bCs/>
          <w:sz w:val="24"/>
        </w:rPr>
        <w:t>：</w:t>
      </w:r>
    </w:p>
    <w:p w14:paraId="6BCD6EA9">
      <w:pPr>
        <w:numPr>
          <w:ilvl w:val="0"/>
          <w:numId w:val="2"/>
        </w:numPr>
        <w:spacing w:line="560" w:lineRule="exact"/>
        <w:ind w:firstLine="480" w:firstLineChars="200"/>
        <w:rPr>
          <w:rFonts w:hint="eastAsia" w:ascii="楷体" w:hAnsi="楷体" w:eastAsia="楷体" w:cs="楷体"/>
          <w:b w:val="0"/>
          <w:bCs w:val="0"/>
          <w:sz w:val="24"/>
          <w:highlight w:val="none"/>
        </w:rPr>
      </w:pPr>
      <w:r>
        <w:rPr>
          <w:rFonts w:hint="eastAsia" w:ascii="楷体" w:hAnsi="楷体" w:eastAsia="楷体" w:cs="楷体"/>
          <w:b w:val="0"/>
          <w:bCs w:val="0"/>
          <w:sz w:val="24"/>
          <w:lang w:val="en-US" w:eastAsia="zh-CN"/>
        </w:rPr>
        <w:t>出租率：在孵企业租赁面积/可供租赁建筑面积，</w:t>
      </w:r>
      <w:r>
        <w:rPr>
          <w:rFonts w:hint="eastAsia" w:ascii="楷体" w:hAnsi="楷体" w:eastAsia="楷体" w:cs="楷体"/>
          <w:b w:val="0"/>
          <w:bCs w:val="0"/>
          <w:sz w:val="24"/>
          <w:highlight w:val="none"/>
          <w:lang w:val="en-US" w:eastAsia="zh-CN"/>
        </w:rPr>
        <w:t>可供租赁建筑面积为实际运营面积去除载体运营管理用房、物业用房、公共配套所涉及的建筑面积后的面积。</w:t>
      </w:r>
    </w:p>
    <w:p w14:paraId="5A2C0028">
      <w:pPr>
        <w:numPr>
          <w:ilvl w:val="0"/>
          <w:numId w:val="2"/>
        </w:numPr>
        <w:spacing w:line="560" w:lineRule="exact"/>
        <w:ind w:firstLine="480" w:firstLineChars="200"/>
        <w:rPr>
          <w:rFonts w:hint="eastAsia" w:ascii="楷体" w:hAnsi="楷体" w:eastAsia="楷体" w:cs="楷体"/>
          <w:b/>
          <w:bCs/>
          <w:color w:val="auto"/>
          <w:sz w:val="24"/>
        </w:rPr>
      </w:pPr>
      <w:r>
        <w:rPr>
          <w:rFonts w:hint="eastAsia" w:ascii="楷体" w:hAnsi="楷体" w:eastAsia="楷体" w:cs="楷体"/>
          <w:sz w:val="24"/>
          <w:highlight w:val="none"/>
        </w:rPr>
        <w:t>在孵企业年平均应税销售额</w:t>
      </w:r>
      <w:r>
        <w:rPr>
          <w:rFonts w:hint="eastAsia" w:ascii="楷体" w:hAnsi="楷体" w:eastAsia="楷体" w:cs="楷体"/>
          <w:b w:val="0"/>
          <w:bCs w:val="0"/>
          <w:sz w:val="24"/>
          <w:highlight w:val="none"/>
          <w:lang w:val="en-US" w:eastAsia="zh-CN"/>
        </w:rPr>
        <w:t>（按实际运</w:t>
      </w:r>
      <w:r>
        <w:rPr>
          <w:rFonts w:hint="eastAsia" w:ascii="楷体" w:hAnsi="楷体" w:eastAsia="楷体" w:cs="楷体"/>
          <w:b w:val="0"/>
          <w:bCs w:val="0"/>
          <w:color w:val="auto"/>
          <w:sz w:val="24"/>
          <w:highlight w:val="none"/>
          <w:lang w:val="en-US" w:eastAsia="zh-CN"/>
        </w:rPr>
        <w:t>营面积计算，面积基数不少10000㎡）</w:t>
      </w:r>
      <w:r>
        <w:rPr>
          <w:rFonts w:hint="eastAsia" w:ascii="楷体" w:hAnsi="楷体" w:eastAsia="楷体" w:cs="楷体"/>
          <w:color w:val="auto"/>
          <w:sz w:val="24"/>
        </w:rPr>
        <w:t>：在孵企业年应税销售总额/在孵企业所使用面积。</w:t>
      </w:r>
    </w:p>
    <w:p w14:paraId="62008D32">
      <w:pPr>
        <w:numPr>
          <w:ilvl w:val="0"/>
          <w:numId w:val="2"/>
        </w:numPr>
        <w:spacing w:line="560" w:lineRule="exact"/>
        <w:ind w:firstLine="480" w:firstLineChars="200"/>
        <w:rPr>
          <w:rFonts w:ascii="楷体" w:hAnsi="楷体" w:eastAsia="楷体" w:cs="楷体"/>
          <w:sz w:val="24"/>
        </w:rPr>
      </w:pPr>
      <w:r>
        <w:rPr>
          <w:rFonts w:hint="eastAsia" w:ascii="楷体" w:hAnsi="楷体" w:eastAsia="楷体" w:cs="楷体"/>
          <w:color w:val="auto"/>
          <w:sz w:val="24"/>
        </w:rPr>
        <w:t>开展双创活动：需提供活动通知、签到簿、现场照片等</w:t>
      </w:r>
      <w:r>
        <w:rPr>
          <w:rFonts w:hint="eastAsia" w:ascii="楷体" w:hAnsi="楷体" w:eastAsia="楷体" w:cs="楷体"/>
          <w:sz w:val="24"/>
        </w:rPr>
        <w:t>佐证材料（线上活动以平台活动系统统计截图等为准）。</w:t>
      </w:r>
    </w:p>
    <w:p w14:paraId="032C83D6">
      <w:pPr>
        <w:numPr>
          <w:ilvl w:val="0"/>
          <w:numId w:val="2"/>
        </w:numPr>
        <w:spacing w:line="560" w:lineRule="exact"/>
        <w:ind w:firstLine="480" w:firstLineChars="200"/>
        <w:rPr>
          <w:rFonts w:ascii="楷体" w:hAnsi="楷体" w:eastAsia="楷体" w:cs="楷体"/>
          <w:sz w:val="24"/>
        </w:rPr>
      </w:pPr>
      <w:r>
        <w:rPr>
          <w:rFonts w:hint="eastAsia" w:ascii="楷体" w:hAnsi="楷体" w:eastAsia="楷体" w:cs="楷体"/>
          <w:sz w:val="24"/>
        </w:rPr>
        <w:t>在孵企业新申请各类知识产权：需提供知识产权申请受理通知书或授权证书等相关佐证材料。</w:t>
      </w:r>
    </w:p>
    <w:p w14:paraId="6491E935">
      <w:pPr>
        <w:numPr>
          <w:ilvl w:val="0"/>
          <w:numId w:val="0"/>
        </w:numPr>
        <w:spacing w:line="560" w:lineRule="exact"/>
        <w:ind w:firstLine="480" w:firstLineChars="200"/>
        <w:rPr>
          <w:rFonts w:hint="eastAsia" w:ascii="楷体" w:hAnsi="楷体" w:eastAsia="楷体" w:cs="楷体"/>
          <w:color w:val="auto"/>
          <w:sz w:val="24"/>
          <w:lang w:eastAsia="zh-CN"/>
        </w:rPr>
      </w:pPr>
      <w:r>
        <w:rPr>
          <w:rFonts w:hint="eastAsia" w:ascii="楷体" w:hAnsi="楷体" w:eastAsia="楷体" w:cs="楷体"/>
          <w:sz w:val="24"/>
          <w:lang w:val="en-US" w:eastAsia="zh-CN"/>
        </w:rPr>
        <w:t>5、</w:t>
      </w:r>
      <w:r>
        <w:rPr>
          <w:rFonts w:hint="eastAsia" w:ascii="楷体" w:hAnsi="楷体" w:eastAsia="楷体" w:cs="楷体"/>
          <w:sz w:val="24"/>
        </w:rPr>
        <w:t>“四上”企业：包括规模以上工业企业、资质等级建筑业企业、限额以上批零住餐企业、国家重点服务业企业。</w:t>
      </w:r>
      <w:r>
        <w:rPr>
          <w:rFonts w:hint="eastAsia" w:ascii="楷体" w:hAnsi="楷体" w:eastAsia="楷体" w:cs="楷体"/>
          <w:color w:val="auto"/>
          <w:sz w:val="24"/>
          <w:lang w:eastAsia="zh-CN"/>
        </w:rPr>
        <w:t>“</w:t>
      </w:r>
      <w:r>
        <w:rPr>
          <w:rFonts w:hint="eastAsia" w:ascii="楷体" w:hAnsi="楷体" w:eastAsia="楷体" w:cs="楷体"/>
          <w:color w:val="auto"/>
          <w:sz w:val="24"/>
        </w:rPr>
        <w:t>四上</w:t>
      </w:r>
      <w:r>
        <w:rPr>
          <w:rFonts w:hint="eastAsia" w:ascii="楷体" w:hAnsi="楷体" w:eastAsia="楷体" w:cs="楷体"/>
          <w:color w:val="auto"/>
          <w:sz w:val="24"/>
          <w:lang w:eastAsia="zh-CN"/>
        </w:rPr>
        <w:t>”</w:t>
      </w:r>
      <w:r>
        <w:rPr>
          <w:rFonts w:hint="eastAsia" w:ascii="楷体" w:hAnsi="楷体" w:eastAsia="楷体" w:cs="楷体"/>
          <w:color w:val="auto"/>
          <w:sz w:val="24"/>
        </w:rPr>
        <w:t>企业入库，</w:t>
      </w:r>
      <w:r>
        <w:rPr>
          <w:rFonts w:hint="eastAsia" w:ascii="楷体" w:hAnsi="楷体" w:eastAsia="楷体" w:cs="楷体"/>
          <w:color w:val="auto"/>
          <w:sz w:val="24"/>
          <w:lang w:val="en-US" w:eastAsia="zh-CN"/>
        </w:rPr>
        <w:t>应</w:t>
      </w:r>
      <w:r>
        <w:rPr>
          <w:rFonts w:hint="eastAsia" w:ascii="楷体" w:hAnsi="楷体" w:eastAsia="楷体" w:cs="楷体"/>
          <w:color w:val="auto"/>
          <w:sz w:val="24"/>
        </w:rPr>
        <w:t>提供企业应税销售达标证明，向</w:t>
      </w:r>
      <w:r>
        <w:rPr>
          <w:rFonts w:hint="eastAsia" w:ascii="楷体" w:hAnsi="楷体" w:eastAsia="楷体" w:cs="楷体"/>
          <w:color w:val="auto"/>
          <w:sz w:val="24"/>
          <w:lang w:val="en-US" w:eastAsia="zh-CN"/>
        </w:rPr>
        <w:t>镇江高新区科技发展局</w:t>
      </w:r>
      <w:r>
        <w:rPr>
          <w:rFonts w:hint="eastAsia" w:ascii="楷体" w:hAnsi="楷体" w:eastAsia="楷体" w:cs="楷体"/>
          <w:color w:val="auto"/>
          <w:sz w:val="24"/>
        </w:rPr>
        <w:t>提报入库申请，得到</w:t>
      </w:r>
      <w:r>
        <w:rPr>
          <w:rFonts w:hint="eastAsia" w:ascii="楷体" w:hAnsi="楷体" w:eastAsia="楷体" w:cs="楷体"/>
          <w:color w:val="auto"/>
          <w:sz w:val="24"/>
          <w:lang w:val="en-US" w:eastAsia="zh-CN"/>
        </w:rPr>
        <w:t>镇江高新区科技发展局认可</w:t>
      </w:r>
      <w:r>
        <w:rPr>
          <w:rFonts w:hint="eastAsia" w:ascii="楷体" w:hAnsi="楷体" w:eastAsia="楷体" w:cs="楷体"/>
          <w:color w:val="auto"/>
          <w:sz w:val="24"/>
          <w:lang w:eastAsia="zh-CN"/>
        </w:rPr>
        <w:t>。</w:t>
      </w:r>
    </w:p>
    <w:p w14:paraId="6B1EA508">
      <w:pPr>
        <w:spacing w:line="560" w:lineRule="exact"/>
        <w:ind w:firstLine="482" w:firstLineChars="200"/>
        <w:rPr>
          <w:rFonts w:hint="eastAsia" w:ascii="楷体" w:hAnsi="楷体" w:eastAsia="楷体" w:cs="楷体"/>
          <w:b/>
          <w:bCs/>
          <w:sz w:val="24"/>
        </w:rPr>
      </w:pPr>
      <w:r>
        <w:rPr>
          <w:rFonts w:hint="eastAsia" w:ascii="楷体" w:hAnsi="楷体" w:eastAsia="楷体" w:cs="楷体"/>
          <w:b/>
          <w:bCs/>
          <w:sz w:val="24"/>
        </w:rPr>
        <w:t>考评指标解释</w:t>
      </w:r>
      <w:r>
        <w:rPr>
          <w:rFonts w:hint="eastAsia" w:ascii="楷体" w:hAnsi="楷体" w:eastAsia="楷体" w:cs="楷体"/>
          <w:b/>
          <w:bCs/>
          <w:sz w:val="24"/>
          <w:lang w:eastAsia="zh-CN"/>
        </w:rPr>
        <w:t>（</w:t>
      </w:r>
      <w:r>
        <w:rPr>
          <w:rFonts w:hint="eastAsia" w:ascii="楷体" w:hAnsi="楷体" w:eastAsia="楷体" w:cs="楷体"/>
          <w:b/>
          <w:bCs/>
          <w:sz w:val="24"/>
          <w:lang w:val="en-US" w:eastAsia="zh-CN"/>
        </w:rPr>
        <w:t>表2、表3</w:t>
      </w:r>
      <w:r>
        <w:rPr>
          <w:rFonts w:hint="eastAsia" w:ascii="楷体" w:hAnsi="楷体" w:eastAsia="楷体" w:cs="楷体"/>
          <w:b/>
          <w:bCs/>
          <w:sz w:val="24"/>
          <w:lang w:eastAsia="zh-CN"/>
        </w:rPr>
        <w:t>）</w:t>
      </w:r>
      <w:r>
        <w:rPr>
          <w:rFonts w:hint="eastAsia" w:ascii="楷体" w:hAnsi="楷体" w:eastAsia="楷体" w:cs="楷体"/>
          <w:b/>
          <w:bCs/>
          <w:sz w:val="24"/>
        </w:rPr>
        <w:t>：</w:t>
      </w:r>
    </w:p>
    <w:p w14:paraId="361058E9">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lang w:val="en-US" w:eastAsia="zh-CN"/>
        </w:rPr>
        <w:t>科技型企业</w:t>
      </w:r>
      <w:r>
        <w:rPr>
          <w:rFonts w:hint="eastAsia" w:ascii="楷体" w:hAnsi="楷体" w:eastAsia="楷体" w:cs="楷体"/>
          <w:sz w:val="24"/>
        </w:rPr>
        <w:t>招引：当年注册落地高新区，注册资本不低于50万元，主要产品（服务）属于《国家重点支持的高新技术领域》规定的范围，企业获得或正在申请知识产权，年度高品（服务）收入占总收入比例不低于60%，研发费用占同期管理费用的比例不低于20%，科技人员占职工总数比不低于10%。</w:t>
      </w:r>
    </w:p>
    <w:p w14:paraId="4596DD74">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rPr>
        <w:t>科技型中小企业：经江苏省科技管理部门赋予科技型中小企业入库登记编号的企业。</w:t>
      </w:r>
    </w:p>
    <w:p w14:paraId="094BFE45">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rPr>
        <w:t>国家高新技术企业：经江苏省高新技术企业认定机构认定报备的高新技术企业；或在高新技术企业资格有效期内完成了跨认定机构管理区域整体迁移，高新技术企业资格和证书继续有效的企业。</w:t>
      </w:r>
    </w:p>
    <w:p w14:paraId="20790411">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rPr>
        <w:t>区级人才计划项目：包括</w:t>
      </w:r>
      <w:r>
        <w:rPr>
          <w:rFonts w:hint="eastAsia" w:ascii="楷体" w:hAnsi="楷体" w:eastAsia="楷体" w:cs="楷体"/>
          <w:sz w:val="24"/>
          <w:lang w:val="en-US" w:eastAsia="zh-CN"/>
        </w:rPr>
        <w:t>镇江高新区</w:t>
      </w:r>
      <w:r>
        <w:rPr>
          <w:rFonts w:hint="eastAsia" w:ascii="楷体" w:hAnsi="楷体" w:eastAsia="楷体" w:cs="楷体"/>
          <w:sz w:val="24"/>
        </w:rPr>
        <w:t>“团山英才”计划</w:t>
      </w:r>
      <w:r>
        <w:rPr>
          <w:rFonts w:hint="eastAsia" w:ascii="楷体" w:hAnsi="楷体" w:eastAsia="楷体" w:cs="楷体"/>
          <w:sz w:val="24"/>
          <w:lang w:val="en-US" w:eastAsia="zh-CN"/>
        </w:rPr>
        <w:t>立项</w:t>
      </w:r>
      <w:r>
        <w:rPr>
          <w:rFonts w:hint="eastAsia" w:ascii="楷体" w:hAnsi="楷体" w:eastAsia="楷体" w:cs="楷体"/>
          <w:sz w:val="24"/>
        </w:rPr>
        <w:t>项目及“镇江高新区杯”创新创业大赛</w:t>
      </w:r>
      <w:r>
        <w:rPr>
          <w:rFonts w:hint="eastAsia" w:ascii="楷体" w:hAnsi="楷体" w:eastAsia="楷体" w:cs="楷体"/>
          <w:sz w:val="24"/>
          <w:lang w:val="en-US" w:eastAsia="zh-CN"/>
        </w:rPr>
        <w:t>获奖项目</w:t>
      </w:r>
      <w:r>
        <w:rPr>
          <w:rFonts w:hint="eastAsia" w:ascii="楷体" w:hAnsi="楷体" w:eastAsia="楷体" w:cs="楷体"/>
          <w:sz w:val="24"/>
        </w:rPr>
        <w:t>。</w:t>
      </w:r>
    </w:p>
    <w:p w14:paraId="3B80ED92">
      <w:pPr>
        <w:numPr>
          <w:ilvl w:val="0"/>
          <w:numId w:val="3"/>
        </w:numPr>
        <w:spacing w:line="560" w:lineRule="exact"/>
        <w:ind w:firstLine="420"/>
        <w:rPr>
          <w:rFonts w:ascii="楷体" w:hAnsi="楷体" w:eastAsia="楷体" w:cs="楷体"/>
          <w:sz w:val="24"/>
        </w:rPr>
      </w:pPr>
      <w:r>
        <w:rPr>
          <w:rFonts w:hint="eastAsia" w:ascii="楷体" w:hAnsi="楷体" w:eastAsia="楷体" w:cs="楷体"/>
          <w:sz w:val="24"/>
        </w:rPr>
        <w:t>市级人才计划项目：</w:t>
      </w:r>
      <w:r>
        <w:rPr>
          <w:rFonts w:hint="eastAsia" w:ascii="楷体" w:hAnsi="楷体" w:eastAsia="楷体" w:cs="楷体"/>
          <w:sz w:val="24"/>
          <w:lang w:val="en-US" w:eastAsia="zh-CN"/>
        </w:rPr>
        <w:t>镇江市</w:t>
      </w:r>
      <w:r>
        <w:rPr>
          <w:rFonts w:hint="eastAsia" w:ascii="楷体" w:hAnsi="楷体" w:eastAsia="楷体" w:cs="楷体"/>
          <w:sz w:val="24"/>
        </w:rPr>
        <w:t>“金山英才”计划</w:t>
      </w:r>
      <w:r>
        <w:rPr>
          <w:rFonts w:hint="eastAsia" w:ascii="楷体" w:hAnsi="楷体" w:eastAsia="楷体" w:cs="楷体"/>
          <w:sz w:val="24"/>
          <w:lang w:val="en-US" w:eastAsia="zh-CN"/>
        </w:rPr>
        <w:t>立项</w:t>
      </w:r>
      <w:r>
        <w:rPr>
          <w:rFonts w:hint="eastAsia" w:ascii="楷体" w:hAnsi="楷体" w:eastAsia="楷体" w:cs="楷体"/>
          <w:sz w:val="24"/>
        </w:rPr>
        <w:t>项目等。</w:t>
      </w:r>
    </w:p>
    <w:p w14:paraId="326ED8FA">
      <w:pPr>
        <w:numPr>
          <w:ilvl w:val="0"/>
          <w:numId w:val="3"/>
        </w:numPr>
        <w:spacing w:line="560" w:lineRule="exact"/>
        <w:ind w:firstLine="420"/>
        <w:rPr>
          <w:rFonts w:ascii="楷体" w:hAnsi="楷体" w:eastAsia="楷体" w:cs="楷体"/>
          <w:sz w:val="24"/>
        </w:rPr>
      </w:pPr>
      <w:r>
        <w:rPr>
          <w:rFonts w:hint="eastAsia" w:ascii="楷体" w:hAnsi="楷体" w:eastAsia="楷体" w:cs="楷体"/>
          <w:sz w:val="24"/>
        </w:rPr>
        <w:t>省级人才计划项目：江苏省“双创计划”</w:t>
      </w:r>
      <w:r>
        <w:rPr>
          <w:rFonts w:hint="eastAsia" w:ascii="楷体" w:hAnsi="楷体" w:eastAsia="楷体" w:cs="楷体"/>
          <w:sz w:val="24"/>
          <w:lang w:val="en-US" w:eastAsia="zh-CN"/>
        </w:rPr>
        <w:t>立项项目</w:t>
      </w:r>
      <w:r>
        <w:rPr>
          <w:rFonts w:hint="eastAsia" w:ascii="楷体" w:hAnsi="楷体" w:eastAsia="楷体" w:cs="楷体"/>
          <w:sz w:val="24"/>
        </w:rPr>
        <w:t>等。</w:t>
      </w:r>
    </w:p>
    <w:p w14:paraId="36C94512">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rPr>
        <w:t>技术合同登记：考核期年度内，</w:t>
      </w:r>
      <w:r>
        <w:rPr>
          <w:rFonts w:hint="eastAsia" w:ascii="楷体" w:hAnsi="楷体" w:eastAsia="楷体" w:cs="楷体"/>
          <w:sz w:val="24"/>
          <w:lang w:val="en-US" w:eastAsia="zh-CN"/>
        </w:rPr>
        <w:t>孵化载体在孵及招引落地并经</w:t>
      </w:r>
      <w:r>
        <w:rPr>
          <w:rFonts w:hint="eastAsia" w:ascii="楷体" w:hAnsi="楷体" w:eastAsia="楷体" w:cs="楷体"/>
          <w:sz w:val="24"/>
        </w:rPr>
        <w:t>上级部门登记认定的技术合同中所约定的合同金额。</w:t>
      </w:r>
    </w:p>
    <w:p w14:paraId="2238CACB">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rPr>
        <w:t>国内外资本市场挂牌、上市企业：指国内外各级资本市场板块和省股交中心“专精特新”专板挂牌企业。</w:t>
      </w:r>
    </w:p>
    <w:p w14:paraId="23C70CB4">
      <w:pPr>
        <w:numPr>
          <w:ilvl w:val="0"/>
          <w:numId w:val="3"/>
        </w:numPr>
        <w:spacing w:line="560" w:lineRule="exact"/>
        <w:ind w:firstLine="480" w:firstLineChars="200"/>
        <w:rPr>
          <w:rFonts w:ascii="楷体" w:hAnsi="楷体" w:eastAsia="楷体"/>
          <w:sz w:val="24"/>
        </w:rPr>
      </w:pPr>
      <w:r>
        <w:rPr>
          <w:rFonts w:hint="eastAsia" w:ascii="楷体" w:hAnsi="楷体" w:eastAsia="楷体" w:cs="楷体"/>
          <w:sz w:val="24"/>
        </w:rPr>
        <w:t>省级（含）以上载体相关荣誉资质：</w:t>
      </w:r>
      <w:r>
        <w:rPr>
          <w:rFonts w:hint="eastAsia" w:ascii="楷体" w:hAnsi="楷体" w:eastAsia="楷体" w:cs="楷体"/>
          <w:sz w:val="24"/>
          <w:lang w:val="en-US" w:eastAsia="zh-CN"/>
        </w:rPr>
        <w:t>包括工信、科技、人社、市场监管、协会等条口组织开展的载体相关荣誉资质申报并成功获批，如</w:t>
      </w:r>
      <w:r>
        <w:rPr>
          <w:rFonts w:hint="eastAsia" w:ascii="楷体" w:hAnsi="楷体" w:eastAsia="楷体" w:cs="楷体"/>
          <w:sz w:val="24"/>
        </w:rPr>
        <w:t>小型微型企业创新创业示范基地（工信）、中小企业公共服务示范平台（工信）、海外人才离岸创新创业基地（科协）、专利导航服务基地（知识产权局）、江苏省创业示范基地（人社）、江苏省留创园（人社）等。</w:t>
      </w:r>
    </w:p>
    <w:p w14:paraId="517D40DA">
      <w:pPr>
        <w:keepNext w:val="0"/>
        <w:keepLines w:val="0"/>
        <w:pageBreakBefore w:val="0"/>
        <w:widowControl w:val="0"/>
        <w:tabs>
          <w:tab w:val="left" w:pos="72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color w:val="auto"/>
          <w:sz w:val="44"/>
          <w:szCs w:val="44"/>
          <w:highlight w:val="none"/>
          <w:lang w:val="en-US" w:eastAsia="zh-CN"/>
        </w:rPr>
        <w:sectPr>
          <w:footerReference r:id="rId4" w:type="default"/>
          <w:pgSz w:w="11905" w:h="16838"/>
          <w:pgMar w:top="1440" w:right="1803" w:bottom="1440" w:left="1803" w:header="850" w:footer="992" w:gutter="0"/>
          <w:pgNumType w:fmt="decimal"/>
          <w:cols w:space="0" w:num="1"/>
          <w:rtlGutter w:val="0"/>
          <w:docGrid w:type="lines" w:linePitch="319" w:charSpace="0"/>
        </w:sectPr>
      </w:pPr>
    </w:p>
    <w:p w14:paraId="0CE504C8">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3、项目付款条件</w:t>
      </w:r>
    </w:p>
    <w:p w14:paraId="04DB9B25">
      <w:pPr>
        <w:adjustRightInd w:val="0"/>
        <w:snapToGrid w:val="0"/>
        <w:spacing w:line="560" w:lineRule="exact"/>
        <w:ind w:firstLine="480" w:firstLineChars="200"/>
        <w:rPr>
          <w:rFonts w:ascii="楷体" w:hAnsi="楷体" w:eastAsia="楷体" w:cs="楷体"/>
          <w:sz w:val="24"/>
        </w:rPr>
      </w:pPr>
      <w:r>
        <w:rPr>
          <w:rFonts w:hint="eastAsia" w:ascii="楷体" w:hAnsi="楷体" w:eastAsia="楷体" w:cs="楷体"/>
          <w:sz w:val="24"/>
          <w:lang w:val="en-US" w:eastAsia="zh-CN"/>
        </w:rPr>
        <w:t>采购人应</w:t>
      </w:r>
      <w:r>
        <w:rPr>
          <w:rFonts w:hint="eastAsia" w:ascii="楷体" w:hAnsi="楷体" w:eastAsia="楷体" w:cs="楷体"/>
          <w:sz w:val="24"/>
        </w:rPr>
        <w:t>向</w:t>
      </w:r>
      <w:r>
        <w:rPr>
          <w:rFonts w:hint="eastAsia" w:ascii="楷体" w:hAnsi="楷体" w:eastAsia="楷体" w:cs="楷体"/>
          <w:sz w:val="24"/>
          <w:lang w:val="en-US" w:eastAsia="zh-CN"/>
        </w:rPr>
        <w:t>运营商</w:t>
      </w:r>
      <w:r>
        <w:rPr>
          <w:rFonts w:hint="eastAsia" w:ascii="楷体" w:hAnsi="楷体" w:eastAsia="楷体" w:cs="楷体"/>
          <w:sz w:val="24"/>
        </w:rPr>
        <w:t>支付服务费，</w:t>
      </w:r>
      <w:r>
        <w:rPr>
          <w:rFonts w:hint="eastAsia" w:ascii="楷体" w:hAnsi="楷体" w:eastAsia="楷体" w:cs="楷体"/>
          <w:sz w:val="24"/>
          <w:lang w:val="en-US" w:eastAsia="zh-CN"/>
        </w:rPr>
        <w:t>主要涉及基本运营费、绩效奖励费、其他费用，</w:t>
      </w:r>
      <w:r>
        <w:rPr>
          <w:rFonts w:hint="eastAsia" w:ascii="楷体" w:hAnsi="楷体" w:eastAsia="楷体" w:cs="楷体"/>
          <w:sz w:val="24"/>
          <w:szCs w:val="40"/>
          <w:lang w:val="en-US" w:eastAsia="zh-CN"/>
        </w:rPr>
        <w:t>相应资金</w:t>
      </w:r>
      <w:r>
        <w:rPr>
          <w:rFonts w:hint="eastAsia" w:ascii="楷体" w:hAnsi="楷体" w:eastAsia="楷体" w:cs="楷体"/>
          <w:sz w:val="24"/>
          <w:szCs w:val="40"/>
        </w:rPr>
        <w:t>的拨付不受</w:t>
      </w:r>
      <w:r>
        <w:rPr>
          <w:rFonts w:hint="eastAsia" w:ascii="楷体" w:hAnsi="楷体" w:eastAsia="楷体" w:cs="楷体"/>
          <w:sz w:val="24"/>
          <w:szCs w:val="40"/>
          <w:lang w:val="en-US" w:eastAsia="zh-CN"/>
        </w:rPr>
        <w:t>本协议</w:t>
      </w:r>
      <w:r>
        <w:rPr>
          <w:rFonts w:hint="eastAsia" w:ascii="楷体" w:hAnsi="楷体" w:eastAsia="楷体" w:cs="楷体"/>
          <w:sz w:val="24"/>
          <w:szCs w:val="40"/>
        </w:rPr>
        <w:t>委托期的限制。</w:t>
      </w:r>
      <w:r>
        <w:rPr>
          <w:rFonts w:hint="eastAsia" w:ascii="楷体" w:hAnsi="楷体" w:eastAsia="楷体" w:cs="楷体"/>
          <w:sz w:val="24"/>
        </w:rPr>
        <w:t>具体</w:t>
      </w:r>
      <w:r>
        <w:rPr>
          <w:rFonts w:hint="eastAsia" w:ascii="楷体" w:hAnsi="楷体" w:eastAsia="楷体" w:cs="楷体"/>
          <w:sz w:val="24"/>
          <w:lang w:val="en-US" w:eastAsia="zh-CN"/>
        </w:rPr>
        <w:t>费用标准、支付方式、支付条件如下：</w:t>
      </w:r>
    </w:p>
    <w:p w14:paraId="734CE625">
      <w:pPr>
        <w:ind w:firstLine="480" w:firstLineChars="200"/>
        <w:rPr>
          <w:rFonts w:hint="eastAsia" w:ascii="楷体" w:hAnsi="楷体" w:eastAsia="楷体" w:cs="楷体"/>
          <w:color w:val="000000"/>
          <w:sz w:val="28"/>
          <w:szCs w:val="28"/>
          <w:lang w:val="en-US" w:eastAsia="zh-CN"/>
        </w:rPr>
      </w:pPr>
      <w:r>
        <w:rPr>
          <w:rFonts w:hint="eastAsia" w:ascii="楷体" w:hAnsi="楷体" w:eastAsia="楷体" w:cs="楷体"/>
          <w:b w:val="0"/>
          <w:bCs/>
          <w:sz w:val="24"/>
          <w:szCs w:val="24"/>
          <w:highlight w:val="none"/>
        </w:rPr>
        <w:t>（1）</w:t>
      </w:r>
      <w:r>
        <w:rPr>
          <w:rFonts w:hint="eastAsia" w:ascii="楷体" w:hAnsi="楷体" w:eastAsia="楷体" w:cs="楷体"/>
          <w:b w:val="0"/>
          <w:bCs/>
          <w:sz w:val="24"/>
          <w:szCs w:val="24"/>
          <w:highlight w:val="none"/>
          <w:lang w:val="en-US" w:eastAsia="zh-CN"/>
        </w:rPr>
        <w:t>基本运营费：每年度总额</w:t>
      </w:r>
      <w:r>
        <w:rPr>
          <w:rFonts w:hint="eastAsia" w:ascii="楷体" w:hAnsi="楷体" w:eastAsia="楷体" w:cs="楷体"/>
          <w:b w:val="0"/>
          <w:bCs/>
          <w:sz w:val="24"/>
          <w:szCs w:val="24"/>
          <w:highlight w:val="none"/>
          <w:u w:val="single"/>
          <w:lang w:val="en-US" w:eastAsia="zh-CN"/>
        </w:rPr>
        <w:t xml:space="preserve">         </w:t>
      </w:r>
      <w:r>
        <w:rPr>
          <w:rFonts w:hint="eastAsia" w:ascii="楷体" w:hAnsi="楷体" w:eastAsia="楷体" w:cs="楷体"/>
          <w:b w:val="0"/>
          <w:bCs/>
          <w:sz w:val="24"/>
          <w:szCs w:val="24"/>
          <w:highlight w:val="none"/>
          <w:lang w:val="en-US" w:eastAsia="zh-CN"/>
        </w:rPr>
        <w:t>万元</w:t>
      </w:r>
    </w:p>
    <w:p w14:paraId="7B3E9943">
      <w:pPr>
        <w:adjustRightInd w:val="0"/>
        <w:snapToGrid w:val="0"/>
        <w:spacing w:line="560" w:lineRule="exact"/>
        <w:ind w:firstLine="480" w:firstLineChars="200"/>
        <w:rPr>
          <w:rFonts w:hint="eastAsia" w:ascii="楷体" w:hAnsi="楷体" w:eastAsia="楷体" w:cs="楷体"/>
          <w:b w:val="0"/>
          <w:bCs/>
          <w:sz w:val="24"/>
          <w:highlight w:val="none"/>
          <w:lang w:val="en-US" w:eastAsia="zh-CN"/>
        </w:rPr>
      </w:pPr>
      <w:r>
        <w:rPr>
          <w:rFonts w:hint="eastAsia" w:ascii="楷体" w:hAnsi="楷体" w:eastAsia="楷体" w:cs="楷体"/>
          <w:b w:val="0"/>
          <w:bCs/>
          <w:sz w:val="24"/>
          <w:highlight w:val="none"/>
        </w:rPr>
        <w:t>每个考核年度</w:t>
      </w:r>
      <w:r>
        <w:rPr>
          <w:rFonts w:hint="eastAsia" w:ascii="楷体" w:hAnsi="楷体" w:eastAsia="楷体" w:cs="楷体"/>
          <w:b w:val="0"/>
          <w:bCs/>
          <w:sz w:val="24"/>
          <w:highlight w:val="none"/>
          <w:lang w:val="en-US" w:eastAsia="zh-CN"/>
        </w:rPr>
        <w:t>开始</w:t>
      </w:r>
      <w:r>
        <w:rPr>
          <w:rFonts w:hint="eastAsia" w:ascii="楷体" w:hAnsi="楷体" w:eastAsia="楷体" w:cs="楷体"/>
          <w:b w:val="0"/>
          <w:bCs/>
          <w:color w:val="auto"/>
          <w:sz w:val="24"/>
          <w:highlight w:val="none"/>
          <w:lang w:val="en-US" w:eastAsia="zh-CN"/>
        </w:rPr>
        <w:t>收到运营商发票之日起</w:t>
      </w:r>
      <w:r>
        <w:rPr>
          <w:rFonts w:hint="eastAsia" w:ascii="楷体" w:hAnsi="楷体" w:eastAsia="楷体" w:cs="楷体"/>
          <w:color w:val="auto"/>
          <w:sz w:val="24"/>
          <w:szCs w:val="24"/>
          <w:highlight w:val="none"/>
          <w:lang w:val="en-US" w:eastAsia="zh-CN"/>
        </w:rPr>
        <w:t>10个工作日</w:t>
      </w:r>
      <w:r>
        <w:rPr>
          <w:rFonts w:hint="eastAsia" w:ascii="楷体" w:hAnsi="楷体" w:eastAsia="楷体" w:cs="楷体"/>
          <w:b w:val="0"/>
          <w:bCs/>
          <w:color w:val="auto"/>
          <w:sz w:val="24"/>
          <w:highlight w:val="none"/>
          <w:lang w:val="en-US" w:eastAsia="zh-CN"/>
        </w:rPr>
        <w:t>内</w:t>
      </w:r>
      <w:r>
        <w:rPr>
          <w:rFonts w:hint="eastAsia" w:ascii="楷体" w:hAnsi="楷体" w:eastAsia="楷体" w:cs="楷体"/>
          <w:b w:val="0"/>
          <w:bCs/>
          <w:color w:val="auto"/>
          <w:sz w:val="24"/>
          <w:highlight w:val="none"/>
        </w:rPr>
        <w:t>，</w:t>
      </w:r>
      <w:r>
        <w:rPr>
          <w:rFonts w:hint="eastAsia" w:ascii="楷体" w:hAnsi="楷体" w:eastAsia="楷体" w:cs="楷体"/>
          <w:b w:val="0"/>
          <w:bCs/>
          <w:color w:val="auto"/>
          <w:sz w:val="24"/>
          <w:highlight w:val="none"/>
          <w:lang w:val="en-US" w:eastAsia="zh-CN"/>
        </w:rPr>
        <w:t>采购人</w:t>
      </w:r>
      <w:r>
        <w:rPr>
          <w:rFonts w:hint="eastAsia" w:ascii="楷体" w:hAnsi="楷体" w:eastAsia="楷体" w:cs="楷体"/>
          <w:b w:val="0"/>
          <w:bCs/>
          <w:color w:val="auto"/>
          <w:sz w:val="24"/>
          <w:highlight w:val="none"/>
        </w:rPr>
        <w:t>支付当年</w:t>
      </w:r>
      <w:r>
        <w:rPr>
          <w:rFonts w:hint="eastAsia" w:ascii="楷体" w:hAnsi="楷体" w:eastAsia="楷体" w:cs="楷体"/>
          <w:b w:val="0"/>
          <w:bCs/>
          <w:color w:val="auto"/>
          <w:sz w:val="24"/>
          <w:highlight w:val="none"/>
          <w:lang w:val="en-US" w:eastAsia="zh-CN"/>
        </w:rPr>
        <w:t>基本</w:t>
      </w:r>
      <w:r>
        <w:rPr>
          <w:rFonts w:hint="eastAsia" w:ascii="楷体" w:hAnsi="楷体" w:eastAsia="楷体" w:cs="楷体"/>
          <w:b w:val="0"/>
          <w:bCs/>
          <w:color w:val="auto"/>
          <w:sz w:val="24"/>
          <w:highlight w:val="none"/>
        </w:rPr>
        <w:t>运营费的</w:t>
      </w:r>
      <w:r>
        <w:rPr>
          <w:rFonts w:hint="eastAsia" w:ascii="楷体" w:hAnsi="楷体" w:eastAsia="楷体" w:cs="楷体"/>
          <w:b w:val="0"/>
          <w:bCs/>
          <w:color w:val="auto"/>
          <w:sz w:val="24"/>
          <w:highlight w:val="none"/>
          <w:lang w:val="en-US" w:eastAsia="zh-CN"/>
        </w:rPr>
        <w:t>50</w:t>
      </w:r>
      <w:r>
        <w:rPr>
          <w:rFonts w:hint="eastAsia" w:ascii="楷体" w:hAnsi="楷体" w:eastAsia="楷体" w:cs="楷体"/>
          <w:b w:val="0"/>
          <w:bCs/>
          <w:color w:val="auto"/>
          <w:sz w:val="24"/>
          <w:highlight w:val="none"/>
        </w:rPr>
        <w:t>%；每个考核年度</w:t>
      </w:r>
      <w:r>
        <w:rPr>
          <w:rFonts w:hint="eastAsia" w:ascii="楷体" w:hAnsi="楷体" w:eastAsia="楷体" w:cs="楷体"/>
          <w:b w:val="0"/>
          <w:bCs/>
          <w:color w:val="auto"/>
          <w:sz w:val="24"/>
          <w:highlight w:val="none"/>
          <w:lang w:val="en-US" w:eastAsia="zh-CN"/>
        </w:rPr>
        <w:t>结束后次月</w:t>
      </w:r>
      <w:r>
        <w:rPr>
          <w:rFonts w:hint="eastAsia" w:ascii="楷体" w:hAnsi="楷体" w:eastAsia="楷体" w:cs="楷体"/>
          <w:b w:val="0"/>
          <w:bCs/>
          <w:color w:val="auto"/>
          <w:sz w:val="24"/>
          <w:highlight w:val="none"/>
        </w:rPr>
        <w:t>进行上年度考核，</w:t>
      </w:r>
      <w:r>
        <w:rPr>
          <w:rFonts w:hint="eastAsia" w:ascii="楷体" w:hAnsi="楷体" w:eastAsia="楷体" w:cs="楷体"/>
          <w:b w:val="0"/>
          <w:bCs/>
          <w:color w:val="auto"/>
          <w:sz w:val="24"/>
          <w:highlight w:val="none"/>
          <w:lang w:val="en-US" w:eastAsia="zh-CN"/>
        </w:rPr>
        <w:t>采购人</w:t>
      </w:r>
      <w:r>
        <w:rPr>
          <w:rFonts w:hint="eastAsia" w:ascii="楷体" w:hAnsi="楷体" w:eastAsia="楷体" w:cs="楷体"/>
          <w:b w:val="0"/>
          <w:bCs/>
          <w:sz w:val="24"/>
          <w:highlight w:val="none"/>
        </w:rPr>
        <w:t>委托第三方机构审核</w:t>
      </w:r>
      <w:r>
        <w:rPr>
          <w:rFonts w:hint="eastAsia" w:ascii="楷体" w:hAnsi="楷体" w:eastAsia="楷体" w:cs="楷体"/>
          <w:b w:val="0"/>
          <w:bCs/>
          <w:sz w:val="24"/>
          <w:highlight w:val="none"/>
          <w:lang w:val="en-US" w:eastAsia="zh-CN"/>
        </w:rPr>
        <w:t>运营商</w:t>
      </w:r>
      <w:r>
        <w:rPr>
          <w:rFonts w:hint="eastAsia" w:ascii="楷体" w:hAnsi="楷体" w:eastAsia="楷体" w:cs="楷体"/>
          <w:b w:val="0"/>
          <w:bCs/>
          <w:sz w:val="24"/>
          <w:highlight w:val="none"/>
        </w:rPr>
        <w:t>上年度完成的考核任务</w:t>
      </w:r>
      <w:r>
        <w:rPr>
          <w:rFonts w:hint="eastAsia" w:ascii="楷体" w:hAnsi="楷体" w:eastAsia="楷体" w:cs="楷体"/>
          <w:b w:val="0"/>
          <w:bCs/>
          <w:sz w:val="24"/>
          <w:highlight w:val="none"/>
          <w:lang w:eastAsia="zh-CN"/>
        </w:rPr>
        <w:t>，</w:t>
      </w:r>
      <w:r>
        <w:rPr>
          <w:rFonts w:hint="eastAsia" w:ascii="楷体" w:hAnsi="楷体" w:eastAsia="楷体" w:cs="楷体"/>
          <w:b w:val="0"/>
          <w:bCs/>
          <w:sz w:val="24"/>
          <w:highlight w:val="none"/>
          <w:lang w:val="en-US" w:eastAsia="zh-CN"/>
        </w:rPr>
        <w:t>根据考核结果在</w:t>
      </w:r>
      <w:r>
        <w:rPr>
          <w:rFonts w:hint="eastAsia" w:ascii="楷体" w:hAnsi="楷体" w:eastAsia="楷体" w:cs="楷体"/>
          <w:b w:val="0"/>
          <w:bCs/>
          <w:sz w:val="24"/>
          <w:highlight w:val="none"/>
        </w:rPr>
        <w:t>审核结束后2个月内</w:t>
      </w:r>
      <w:r>
        <w:rPr>
          <w:rFonts w:hint="eastAsia" w:ascii="楷体" w:hAnsi="楷体" w:eastAsia="楷体" w:cs="楷体"/>
          <w:b w:val="0"/>
          <w:bCs/>
          <w:sz w:val="24"/>
          <w:highlight w:val="none"/>
          <w:lang w:val="en-US" w:eastAsia="zh-CN"/>
        </w:rPr>
        <w:t>按以下规定支付剩余30%的基本运营费。</w:t>
      </w:r>
    </w:p>
    <w:p w14:paraId="547F5F4C">
      <w:pPr>
        <w:adjustRightInd w:val="0"/>
        <w:snapToGrid w:val="0"/>
        <w:spacing w:line="560" w:lineRule="exact"/>
        <w:ind w:firstLine="480" w:firstLineChars="200"/>
        <w:rPr>
          <w:rFonts w:hint="eastAsia" w:ascii="楷体" w:hAnsi="楷体" w:eastAsia="楷体" w:cs="楷体"/>
          <w:bCs/>
          <w:sz w:val="24"/>
          <w:szCs w:val="40"/>
          <w:highlight w:val="none"/>
          <w:lang w:val="en-US" w:eastAsia="zh-CN"/>
        </w:rPr>
      </w:pPr>
      <w:r>
        <w:rPr>
          <w:rFonts w:hint="eastAsia" w:ascii="楷体" w:hAnsi="楷体" w:eastAsia="楷体" w:cs="楷体"/>
          <w:color w:val="000000"/>
          <w:sz w:val="24"/>
          <w:szCs w:val="24"/>
          <w:lang w:val="en-US" w:eastAsia="zh-CN"/>
        </w:rPr>
        <w:t>除部级（标准级）孵化器对应20</w:t>
      </w:r>
      <w:r>
        <w:rPr>
          <w:rFonts w:hint="eastAsia" w:ascii="楷体" w:hAnsi="楷体" w:eastAsia="楷体" w:cs="楷体"/>
          <w:sz w:val="24"/>
          <w:szCs w:val="24"/>
          <w:lang w:val="en-US" w:eastAsia="zh-CN"/>
        </w:rPr>
        <w:t>%的基本运营费外，年度剩余基本运营费相关基本运营指标</w:t>
      </w:r>
      <w:r>
        <w:rPr>
          <w:rFonts w:hint="eastAsia" w:ascii="楷体" w:hAnsi="楷体" w:eastAsia="楷体" w:cs="楷体"/>
          <w:bCs/>
          <w:sz w:val="24"/>
          <w:szCs w:val="40"/>
          <w:highlight w:val="none"/>
        </w:rPr>
        <w:t>考核得分</w:t>
      </w:r>
      <w:r>
        <w:rPr>
          <w:rFonts w:hint="eastAsia" w:ascii="楷体" w:hAnsi="楷体" w:eastAsia="楷体" w:cs="楷体"/>
          <w:bCs/>
          <w:sz w:val="24"/>
          <w:szCs w:val="40"/>
          <w:highlight w:val="none"/>
          <w:lang w:val="en-US" w:eastAsia="zh-CN"/>
        </w:rPr>
        <w:t>及支付条件如下：</w:t>
      </w:r>
    </w:p>
    <w:p w14:paraId="70FEE063">
      <w:pPr>
        <w:adjustRightInd w:val="0"/>
        <w:snapToGrid w:val="0"/>
        <w:spacing w:line="560" w:lineRule="exact"/>
        <w:ind w:firstLine="480" w:firstLineChars="200"/>
        <w:rPr>
          <w:rFonts w:ascii="楷体" w:hAnsi="楷体" w:eastAsia="楷体" w:cs="楷体"/>
          <w:sz w:val="24"/>
          <w:szCs w:val="40"/>
          <w:highlight w:val="none"/>
        </w:rPr>
      </w:pPr>
      <w:r>
        <w:rPr>
          <w:rFonts w:hint="eastAsia" w:ascii="楷体" w:hAnsi="楷体" w:eastAsia="楷体" w:cs="楷体"/>
          <w:bCs/>
          <w:sz w:val="24"/>
          <w:szCs w:val="40"/>
          <w:highlight w:val="none"/>
          <w:lang w:val="en-US" w:eastAsia="zh-CN"/>
        </w:rPr>
        <w:t>7</w:t>
      </w:r>
      <w:r>
        <w:rPr>
          <w:rFonts w:hint="eastAsia" w:ascii="楷体" w:hAnsi="楷体" w:eastAsia="楷体" w:cs="楷体"/>
          <w:bCs/>
          <w:sz w:val="24"/>
          <w:szCs w:val="40"/>
          <w:highlight w:val="none"/>
        </w:rPr>
        <w:t>0分</w:t>
      </w:r>
      <w:r>
        <w:rPr>
          <w:rFonts w:hint="eastAsia" w:ascii="楷体" w:hAnsi="楷体" w:eastAsia="楷体" w:cs="楷体"/>
          <w:bCs/>
          <w:sz w:val="24"/>
          <w:szCs w:val="40"/>
          <w:highlight w:val="none"/>
          <w:lang w:val="en-US" w:eastAsia="zh-CN"/>
        </w:rPr>
        <w:t>及以上</w:t>
      </w:r>
      <w:r>
        <w:rPr>
          <w:rFonts w:hint="eastAsia" w:ascii="楷体" w:hAnsi="楷体" w:eastAsia="楷体" w:cs="楷体"/>
          <w:bCs/>
          <w:sz w:val="24"/>
          <w:szCs w:val="40"/>
          <w:highlight w:val="none"/>
        </w:rPr>
        <w:t>：</w:t>
      </w:r>
      <w:r>
        <w:rPr>
          <w:rFonts w:hint="eastAsia" w:ascii="楷体" w:hAnsi="楷体" w:eastAsia="楷体" w:cs="楷体"/>
          <w:bCs/>
          <w:sz w:val="24"/>
          <w:szCs w:val="40"/>
          <w:highlight w:val="none"/>
          <w:lang w:val="en-US" w:eastAsia="zh-CN"/>
        </w:rPr>
        <w:t>剩余基本运营费</w:t>
      </w:r>
      <w:r>
        <w:rPr>
          <w:rFonts w:hint="eastAsia" w:ascii="楷体" w:hAnsi="楷体" w:eastAsia="楷体" w:cs="楷体"/>
          <w:sz w:val="24"/>
          <w:szCs w:val="40"/>
          <w:highlight w:val="none"/>
        </w:rPr>
        <w:t>依据对应考核分数百分比支付；</w:t>
      </w:r>
    </w:p>
    <w:p w14:paraId="37A5E9D0">
      <w:pPr>
        <w:adjustRightInd w:val="0"/>
        <w:snapToGrid w:val="0"/>
        <w:spacing w:line="560" w:lineRule="exact"/>
        <w:ind w:firstLine="480" w:firstLineChars="200"/>
        <w:rPr>
          <w:rFonts w:hint="eastAsia" w:ascii="楷体" w:hAnsi="楷体" w:eastAsia="楷体" w:cs="楷体"/>
          <w:sz w:val="24"/>
          <w:szCs w:val="40"/>
          <w:highlight w:val="none"/>
          <w:lang w:eastAsia="zh-CN"/>
        </w:rPr>
      </w:pPr>
      <w:r>
        <w:rPr>
          <w:rFonts w:hint="eastAsia" w:ascii="楷体" w:hAnsi="楷体" w:eastAsia="楷体" w:cs="楷体"/>
          <w:bCs/>
          <w:sz w:val="24"/>
          <w:szCs w:val="40"/>
          <w:highlight w:val="none"/>
          <w:lang w:val="en-US" w:eastAsia="zh-CN"/>
        </w:rPr>
        <w:t>小于7</w:t>
      </w:r>
      <w:r>
        <w:rPr>
          <w:rFonts w:hint="eastAsia" w:ascii="楷体" w:hAnsi="楷体" w:eastAsia="楷体" w:cs="楷体"/>
          <w:bCs/>
          <w:sz w:val="24"/>
          <w:szCs w:val="40"/>
          <w:highlight w:val="none"/>
        </w:rPr>
        <w:t>0分：</w:t>
      </w:r>
      <w:r>
        <w:rPr>
          <w:rFonts w:hint="eastAsia" w:ascii="楷体" w:hAnsi="楷体" w:eastAsia="楷体" w:cs="楷体"/>
          <w:sz w:val="24"/>
          <w:szCs w:val="40"/>
          <w:highlight w:val="none"/>
        </w:rPr>
        <w:t>视为不合格，</w:t>
      </w:r>
      <w:r>
        <w:rPr>
          <w:rFonts w:hint="eastAsia" w:ascii="楷体" w:hAnsi="楷体" w:eastAsia="楷体" w:cs="楷体"/>
          <w:sz w:val="24"/>
          <w:szCs w:val="40"/>
          <w:highlight w:val="none"/>
          <w:lang w:val="en-US" w:eastAsia="zh-CN"/>
        </w:rPr>
        <w:t>采购人</w:t>
      </w:r>
      <w:r>
        <w:rPr>
          <w:rFonts w:hint="eastAsia" w:ascii="楷体" w:hAnsi="楷体" w:eastAsia="楷体" w:cs="楷体"/>
          <w:sz w:val="24"/>
          <w:szCs w:val="40"/>
          <w:highlight w:val="none"/>
        </w:rPr>
        <w:t>暂停拨付</w:t>
      </w:r>
      <w:r>
        <w:rPr>
          <w:rFonts w:hint="eastAsia" w:ascii="楷体" w:hAnsi="楷体" w:eastAsia="楷体" w:cs="楷体"/>
          <w:sz w:val="24"/>
          <w:szCs w:val="40"/>
          <w:highlight w:val="none"/>
          <w:lang w:val="en-US" w:eastAsia="zh-CN"/>
        </w:rPr>
        <w:t>剩余</w:t>
      </w:r>
      <w:r>
        <w:rPr>
          <w:rFonts w:hint="eastAsia" w:ascii="楷体" w:hAnsi="楷体" w:eastAsia="楷体" w:cs="楷体"/>
          <w:bCs/>
          <w:sz w:val="24"/>
          <w:szCs w:val="40"/>
          <w:highlight w:val="none"/>
          <w:lang w:val="en-US" w:eastAsia="zh-CN"/>
        </w:rPr>
        <w:t>基本运营费</w:t>
      </w:r>
      <w:r>
        <w:rPr>
          <w:rFonts w:hint="eastAsia" w:ascii="楷体" w:hAnsi="楷体" w:eastAsia="楷体" w:cs="楷体"/>
          <w:sz w:val="24"/>
          <w:szCs w:val="40"/>
          <w:highlight w:val="none"/>
        </w:rPr>
        <w:t>，并给予3个月整改期。</w:t>
      </w:r>
      <w:r>
        <w:rPr>
          <w:rFonts w:hint="eastAsia" w:ascii="楷体" w:hAnsi="楷体" w:eastAsia="楷体" w:cs="楷体"/>
          <w:sz w:val="24"/>
          <w:szCs w:val="40"/>
          <w:highlight w:val="none"/>
          <w:lang w:eastAsia="zh-CN"/>
        </w:rPr>
        <w:t>（</w:t>
      </w:r>
      <w:r>
        <w:rPr>
          <w:rFonts w:hint="eastAsia" w:ascii="楷体" w:hAnsi="楷体" w:eastAsia="楷体" w:cs="楷体"/>
          <w:sz w:val="24"/>
          <w:szCs w:val="40"/>
          <w:highlight w:val="none"/>
        </w:rPr>
        <w:t>整改期间完成的</w:t>
      </w:r>
      <w:r>
        <w:rPr>
          <w:rFonts w:hint="eastAsia" w:ascii="楷体" w:hAnsi="楷体" w:eastAsia="楷体" w:cs="楷体"/>
          <w:sz w:val="24"/>
          <w:szCs w:val="40"/>
          <w:highlight w:val="none"/>
          <w:lang w:val="en-US" w:eastAsia="zh-CN"/>
        </w:rPr>
        <w:t>基本运营</w:t>
      </w:r>
      <w:r>
        <w:rPr>
          <w:rFonts w:hint="eastAsia" w:ascii="楷体" w:hAnsi="楷体" w:eastAsia="楷体" w:cs="楷体"/>
          <w:sz w:val="24"/>
          <w:szCs w:val="40"/>
          <w:highlight w:val="none"/>
        </w:rPr>
        <w:t>指标计入上年度考核，不重复计入当年考核。整改期届满，考核得分≥</w:t>
      </w:r>
      <w:r>
        <w:rPr>
          <w:rFonts w:hint="eastAsia" w:ascii="楷体" w:hAnsi="楷体" w:eastAsia="楷体" w:cs="楷体"/>
          <w:sz w:val="24"/>
          <w:szCs w:val="40"/>
          <w:highlight w:val="none"/>
          <w:lang w:val="en-US" w:eastAsia="zh-CN"/>
        </w:rPr>
        <w:t>7</w:t>
      </w:r>
      <w:r>
        <w:rPr>
          <w:rFonts w:hint="eastAsia" w:ascii="楷体" w:hAnsi="楷体" w:eastAsia="楷体" w:cs="楷体"/>
          <w:sz w:val="24"/>
          <w:szCs w:val="40"/>
          <w:highlight w:val="none"/>
        </w:rPr>
        <w:t>0分的，</w:t>
      </w:r>
      <w:r>
        <w:rPr>
          <w:rFonts w:hint="eastAsia" w:ascii="楷体" w:hAnsi="楷体" w:eastAsia="楷体" w:cs="楷体"/>
          <w:bCs/>
          <w:sz w:val="24"/>
          <w:szCs w:val="40"/>
          <w:highlight w:val="none"/>
          <w:lang w:val="en-US" w:eastAsia="zh-CN"/>
        </w:rPr>
        <w:t>剩余基本运营费</w:t>
      </w:r>
      <w:r>
        <w:rPr>
          <w:rFonts w:hint="eastAsia" w:ascii="楷体" w:hAnsi="楷体" w:eastAsia="楷体" w:cs="楷体"/>
          <w:sz w:val="24"/>
          <w:szCs w:val="40"/>
          <w:highlight w:val="none"/>
        </w:rPr>
        <w:t>依据对应考核分数百分比补发；考核得分&lt;</w:t>
      </w:r>
      <w:r>
        <w:rPr>
          <w:rFonts w:hint="eastAsia" w:ascii="楷体" w:hAnsi="楷体" w:eastAsia="楷体" w:cs="楷体"/>
          <w:sz w:val="24"/>
          <w:szCs w:val="40"/>
          <w:highlight w:val="none"/>
          <w:lang w:val="en-US" w:eastAsia="zh-CN"/>
        </w:rPr>
        <w:t>7</w:t>
      </w:r>
      <w:r>
        <w:rPr>
          <w:rFonts w:hint="eastAsia" w:ascii="楷体" w:hAnsi="楷体" w:eastAsia="楷体" w:cs="楷体"/>
          <w:sz w:val="24"/>
          <w:szCs w:val="40"/>
          <w:highlight w:val="none"/>
        </w:rPr>
        <w:t>0分，</w:t>
      </w:r>
      <w:r>
        <w:rPr>
          <w:rFonts w:hint="eastAsia" w:ascii="楷体" w:hAnsi="楷体" w:eastAsia="楷体" w:cs="楷体"/>
          <w:sz w:val="24"/>
          <w:szCs w:val="40"/>
          <w:highlight w:val="none"/>
          <w:lang w:val="en-US" w:eastAsia="zh-CN"/>
        </w:rPr>
        <w:t>剩余</w:t>
      </w:r>
      <w:r>
        <w:rPr>
          <w:rFonts w:hint="eastAsia" w:ascii="楷体" w:hAnsi="楷体" w:eastAsia="楷体" w:cs="楷体"/>
          <w:bCs/>
          <w:sz w:val="24"/>
          <w:szCs w:val="40"/>
          <w:highlight w:val="none"/>
          <w:lang w:val="en-US" w:eastAsia="zh-CN"/>
        </w:rPr>
        <w:t>基本运营费</w:t>
      </w:r>
      <w:r>
        <w:rPr>
          <w:rFonts w:hint="eastAsia" w:ascii="楷体" w:hAnsi="楷体" w:eastAsia="楷体" w:cs="楷体"/>
          <w:sz w:val="24"/>
          <w:szCs w:val="40"/>
          <w:highlight w:val="none"/>
        </w:rPr>
        <w:t>不予拨付。</w:t>
      </w:r>
      <w:r>
        <w:rPr>
          <w:rFonts w:hint="eastAsia" w:ascii="楷体" w:hAnsi="楷体" w:eastAsia="楷体" w:cs="楷体"/>
          <w:sz w:val="24"/>
          <w:szCs w:val="40"/>
          <w:highlight w:val="none"/>
          <w:lang w:eastAsia="zh-CN"/>
        </w:rPr>
        <w:t>）</w:t>
      </w:r>
    </w:p>
    <w:p w14:paraId="4A3DAD8B">
      <w:pPr>
        <w:keepNext w:val="0"/>
        <w:keepLines w:val="0"/>
        <w:pageBreakBefore w:val="0"/>
        <w:widowControl w:val="0"/>
        <w:kinsoku/>
        <w:wordWrap/>
        <w:overflowPunct/>
        <w:topLinePunct w:val="0"/>
        <w:autoSpaceDE/>
        <w:autoSpaceDN/>
        <w:bidi w:val="0"/>
        <w:snapToGrid w:val="0"/>
        <w:spacing w:line="560" w:lineRule="exact"/>
        <w:ind w:firstLine="480" w:firstLineChars="200"/>
        <w:textAlignment w:val="auto"/>
        <w:rPr>
          <w:rFonts w:hint="eastAsia" w:ascii="楷体" w:hAnsi="楷体" w:eastAsia="楷体" w:cs="楷体"/>
          <w:color w:val="000000"/>
          <w:sz w:val="24"/>
          <w:szCs w:val="24"/>
          <w:lang w:val="en-US" w:eastAsia="zh-CN"/>
        </w:rPr>
      </w:pPr>
    </w:p>
    <w:p w14:paraId="59200752">
      <w:pPr>
        <w:keepNext w:val="0"/>
        <w:keepLines w:val="0"/>
        <w:pageBreakBefore w:val="0"/>
        <w:widowControl w:val="0"/>
        <w:kinsoku/>
        <w:wordWrap/>
        <w:overflowPunct/>
        <w:topLinePunct w:val="0"/>
        <w:autoSpaceDE/>
        <w:autoSpaceDN/>
        <w:bidi w:val="0"/>
        <w:snapToGrid w:val="0"/>
        <w:spacing w:line="560" w:lineRule="exact"/>
        <w:ind w:firstLine="480" w:firstLineChars="200"/>
        <w:textAlignment w:val="auto"/>
        <w:rPr>
          <w:rFonts w:hint="eastAsia" w:ascii="楷体" w:hAnsi="楷体" w:eastAsia="楷体" w:cs="楷体"/>
          <w:color w:val="auto"/>
          <w:sz w:val="24"/>
          <w:szCs w:val="24"/>
          <w:lang w:val="en-US" w:eastAsia="zh-CN"/>
        </w:rPr>
      </w:pPr>
      <w:r>
        <w:rPr>
          <w:rFonts w:hint="eastAsia" w:ascii="楷体" w:hAnsi="楷体" w:eastAsia="楷体" w:cs="楷体"/>
          <w:color w:val="000000"/>
          <w:sz w:val="24"/>
          <w:szCs w:val="24"/>
          <w:lang w:val="en-US" w:eastAsia="zh-CN"/>
        </w:rPr>
        <w:t>运营商应在本协议委托期内完成部级（标准级）孵化器申报工作并成功获</w:t>
      </w:r>
      <w:r>
        <w:rPr>
          <w:rFonts w:hint="eastAsia" w:ascii="楷体" w:hAnsi="楷体" w:eastAsia="楷体" w:cs="楷体"/>
          <w:color w:val="auto"/>
          <w:sz w:val="24"/>
          <w:szCs w:val="24"/>
          <w:lang w:val="en-US" w:eastAsia="zh-CN"/>
        </w:rPr>
        <w:t>批，该项内容每年度均对应20%的基本运营费。</w:t>
      </w:r>
    </w:p>
    <w:p w14:paraId="7267EAE1">
      <w:pPr>
        <w:adjustRightInd w:val="0"/>
        <w:snapToGrid w:val="0"/>
        <w:spacing w:line="560" w:lineRule="exact"/>
        <w:ind w:firstLine="480" w:firstLineChars="200"/>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若委托期第一年部级（标准级）孵化器未申报，则第一年度结束时，运营商应根据部级孵化器标准提供佐证材料，以证明完成本年度工作，采购人委托第三方机构审核运营商上年度完成的考核任务，在确认运营商已完成本年度工作之日起15个工作日内拨付委托期内第一年度20%的基本运营费；</w:t>
      </w:r>
    </w:p>
    <w:p w14:paraId="39202820">
      <w:pPr>
        <w:adjustRightInd w:val="0"/>
        <w:snapToGrid w:val="0"/>
        <w:spacing w:line="560" w:lineRule="exact"/>
        <w:ind w:firstLine="480" w:firstLineChars="200"/>
        <w:rPr>
          <w:rFonts w:hint="eastAsia" w:ascii="楷体" w:hAnsi="楷体" w:eastAsia="楷体" w:cs="楷体"/>
          <w:color w:val="0000FF"/>
          <w:sz w:val="24"/>
          <w:szCs w:val="24"/>
          <w:highlight w:val="none"/>
          <w:lang w:val="en-US" w:eastAsia="zh-CN"/>
        </w:rPr>
      </w:pPr>
      <w:r>
        <w:rPr>
          <w:rFonts w:hint="eastAsia" w:ascii="楷体" w:hAnsi="楷体" w:eastAsia="楷体" w:cs="楷体"/>
          <w:color w:val="auto"/>
          <w:sz w:val="24"/>
          <w:szCs w:val="24"/>
          <w:highlight w:val="none"/>
          <w:lang w:val="en-US" w:eastAsia="zh-CN"/>
        </w:rPr>
        <w:t>若委托期第二年部级（标准级）孵化器未申报，则第二年度结束时，运营商应根据部级孵化器标准提供佐证材料，以证明完成本年度工作，采购人委托第三方机构审核运营商上年度完成的考核任务，在确认运营商已完成本年度工作之日起15个工作日内拨付委托期内第二年度20%的基本运营费；</w:t>
      </w:r>
    </w:p>
    <w:p w14:paraId="480875BF">
      <w:pPr>
        <w:adjustRightInd w:val="0"/>
        <w:snapToGrid w:val="0"/>
        <w:spacing w:line="560" w:lineRule="exact"/>
        <w:ind w:firstLine="480" w:firstLineChars="200"/>
        <w:rPr>
          <w:rFonts w:hint="eastAsia" w:ascii="楷体" w:hAnsi="楷体" w:eastAsia="楷体" w:cs="楷体"/>
          <w:sz w:val="24"/>
          <w:szCs w:val="40"/>
          <w:highlight w:val="none"/>
          <w:lang w:eastAsia="zh-CN"/>
        </w:rPr>
      </w:pPr>
      <w:r>
        <w:rPr>
          <w:rFonts w:hint="eastAsia" w:ascii="楷体" w:hAnsi="楷体" w:eastAsia="楷体" w:cs="楷体"/>
          <w:color w:val="auto"/>
          <w:sz w:val="24"/>
          <w:szCs w:val="24"/>
          <w:lang w:val="en-US" w:eastAsia="zh-CN"/>
        </w:rPr>
        <w:t>若委托期第三年部级（标准级）孵化器成功获批，则</w:t>
      </w:r>
      <w:r>
        <w:rPr>
          <w:rFonts w:hint="eastAsia" w:ascii="楷体" w:hAnsi="楷体" w:eastAsia="楷体" w:cs="楷体"/>
          <w:color w:val="auto"/>
          <w:sz w:val="24"/>
          <w:szCs w:val="24"/>
          <w:highlight w:val="none"/>
          <w:lang w:val="en-US" w:eastAsia="zh-CN"/>
        </w:rPr>
        <w:t>采购人在收到正式的获批通知之日起15个工作日内拨付</w:t>
      </w:r>
      <w:r>
        <w:rPr>
          <w:rFonts w:hint="eastAsia" w:ascii="楷体" w:hAnsi="楷体" w:eastAsia="楷体" w:cs="楷体"/>
          <w:color w:val="auto"/>
          <w:sz w:val="24"/>
          <w:szCs w:val="24"/>
          <w:lang w:val="en-US" w:eastAsia="zh-CN"/>
        </w:rPr>
        <w:t>当年度20%的基本运营费，</w:t>
      </w:r>
      <w:r>
        <w:rPr>
          <w:rFonts w:hint="eastAsia" w:ascii="楷体" w:hAnsi="楷体" w:eastAsia="楷体" w:cs="楷体"/>
          <w:color w:val="auto"/>
          <w:sz w:val="24"/>
          <w:szCs w:val="24"/>
          <w:highlight w:val="none"/>
          <w:lang w:val="en-US" w:eastAsia="zh-CN"/>
        </w:rPr>
        <w:t>若委托期第三年部级（标准级）孵化器未成功获批，则采购人无需拨付委托期当年度20%的基本运营费</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highlight w:val="none"/>
          <w:lang w:val="en-US" w:eastAsia="zh-CN"/>
        </w:rPr>
        <w:t>且运营商须在采购人收到未获批正式通知或部级孵化器名单公布之日起15个工作日内，向采购人退还委托期内采购人已支付全部基本运营费的50%至采购人指定账户。</w:t>
      </w:r>
    </w:p>
    <w:p w14:paraId="30638C0F">
      <w:pPr>
        <w:numPr>
          <w:ilvl w:val="0"/>
          <w:numId w:val="4"/>
        </w:numPr>
        <w:adjustRightInd w:val="0"/>
        <w:snapToGrid w:val="0"/>
        <w:spacing w:line="560" w:lineRule="exact"/>
        <w:ind w:firstLine="480" w:firstLineChars="200"/>
        <w:rPr>
          <w:rFonts w:hint="eastAsia" w:ascii="楷体" w:hAnsi="楷体" w:eastAsia="楷体" w:cs="楷体"/>
          <w:b w:val="0"/>
          <w:bCs/>
          <w:sz w:val="24"/>
          <w:highlight w:val="none"/>
          <w:u w:val="single"/>
          <w:lang w:val="en-US" w:eastAsia="zh-CN"/>
        </w:rPr>
      </w:pPr>
      <w:r>
        <w:rPr>
          <w:rFonts w:hint="eastAsia" w:ascii="楷体" w:hAnsi="楷体" w:eastAsia="楷体" w:cs="楷体"/>
          <w:b w:val="0"/>
          <w:bCs/>
          <w:sz w:val="24"/>
          <w:highlight w:val="none"/>
          <w:lang w:val="en-US" w:eastAsia="zh-CN"/>
        </w:rPr>
        <w:t>绩效奖励费：每年度总额</w:t>
      </w:r>
      <w:r>
        <w:rPr>
          <w:rFonts w:hint="eastAsia" w:ascii="楷体" w:hAnsi="楷体" w:eastAsia="楷体" w:cs="楷体"/>
          <w:b w:val="0"/>
          <w:bCs/>
          <w:sz w:val="24"/>
          <w:highlight w:val="none"/>
          <w:u w:val="single"/>
          <w:lang w:val="en-US" w:eastAsia="zh-CN"/>
        </w:rPr>
        <w:t xml:space="preserve">         </w:t>
      </w:r>
      <w:r>
        <w:rPr>
          <w:rFonts w:hint="eastAsia" w:ascii="楷体" w:hAnsi="楷体" w:eastAsia="楷体" w:cs="楷体"/>
          <w:b w:val="0"/>
          <w:bCs/>
          <w:sz w:val="24"/>
          <w:highlight w:val="none"/>
          <w:lang w:val="en-US" w:eastAsia="zh-CN"/>
        </w:rPr>
        <w:t>万元</w:t>
      </w:r>
    </w:p>
    <w:p w14:paraId="50E3804A">
      <w:pPr>
        <w:adjustRightInd w:val="0"/>
        <w:snapToGrid w:val="0"/>
        <w:spacing w:line="560" w:lineRule="exact"/>
        <w:ind w:firstLine="480" w:firstLineChars="200"/>
        <w:rPr>
          <w:rFonts w:hint="eastAsia" w:ascii="楷体" w:hAnsi="楷体" w:eastAsia="楷体" w:cs="楷体"/>
          <w:b w:val="0"/>
          <w:bCs/>
          <w:color w:val="auto"/>
          <w:sz w:val="24"/>
          <w:highlight w:val="none"/>
          <w:lang w:val="en-US" w:eastAsia="zh-CN"/>
        </w:rPr>
      </w:pPr>
      <w:r>
        <w:rPr>
          <w:rFonts w:hint="eastAsia" w:ascii="楷体" w:hAnsi="楷体" w:eastAsia="楷体" w:cs="楷体"/>
          <w:b w:val="0"/>
          <w:bCs/>
          <w:sz w:val="24"/>
          <w:highlight w:val="none"/>
          <w:lang w:val="en-US" w:eastAsia="zh-CN"/>
        </w:rPr>
        <w:t>绩效奖励费应在</w:t>
      </w:r>
      <w:r>
        <w:rPr>
          <w:rFonts w:hint="eastAsia" w:ascii="楷体" w:hAnsi="楷体" w:eastAsia="楷体" w:cs="楷体"/>
          <w:b w:val="0"/>
          <w:bCs/>
          <w:sz w:val="24"/>
          <w:highlight w:val="none"/>
        </w:rPr>
        <w:t>每个考核年度</w:t>
      </w:r>
      <w:r>
        <w:rPr>
          <w:rFonts w:hint="eastAsia" w:ascii="楷体" w:hAnsi="楷体" w:eastAsia="楷体" w:cs="楷体"/>
          <w:b w:val="0"/>
          <w:bCs/>
          <w:sz w:val="24"/>
          <w:highlight w:val="none"/>
          <w:lang w:val="en-US" w:eastAsia="zh-CN"/>
        </w:rPr>
        <w:t>结束后次月</w:t>
      </w:r>
      <w:r>
        <w:rPr>
          <w:rFonts w:hint="eastAsia" w:ascii="楷体" w:hAnsi="楷体" w:eastAsia="楷体" w:cs="楷体"/>
          <w:b w:val="0"/>
          <w:bCs/>
          <w:sz w:val="24"/>
          <w:highlight w:val="none"/>
        </w:rPr>
        <w:t>进行上年度考核，</w:t>
      </w:r>
      <w:r>
        <w:rPr>
          <w:rFonts w:hint="eastAsia" w:ascii="楷体" w:hAnsi="楷体" w:eastAsia="楷体" w:cs="楷体"/>
          <w:b w:val="0"/>
          <w:bCs/>
          <w:sz w:val="24"/>
          <w:highlight w:val="none"/>
          <w:lang w:val="en-US" w:eastAsia="zh-CN"/>
        </w:rPr>
        <w:t>采购人</w:t>
      </w:r>
      <w:r>
        <w:rPr>
          <w:rFonts w:hint="eastAsia" w:ascii="楷体" w:hAnsi="楷体" w:eastAsia="楷体" w:cs="楷体"/>
          <w:b w:val="0"/>
          <w:bCs/>
          <w:sz w:val="24"/>
          <w:highlight w:val="none"/>
        </w:rPr>
        <w:t>委托第三方</w:t>
      </w:r>
      <w:r>
        <w:rPr>
          <w:rFonts w:hint="eastAsia" w:ascii="楷体" w:hAnsi="楷体" w:eastAsia="楷体" w:cs="楷体"/>
          <w:b w:val="0"/>
          <w:bCs/>
          <w:sz w:val="24"/>
          <w:highlight w:val="none"/>
          <w:lang w:val="en-US" w:eastAsia="zh-CN"/>
        </w:rPr>
        <w:t>审计</w:t>
      </w:r>
      <w:r>
        <w:rPr>
          <w:rFonts w:hint="eastAsia" w:ascii="楷体" w:hAnsi="楷体" w:eastAsia="楷体" w:cs="楷体"/>
          <w:b w:val="0"/>
          <w:bCs/>
          <w:sz w:val="24"/>
          <w:highlight w:val="none"/>
        </w:rPr>
        <w:t>机构审核</w:t>
      </w:r>
      <w:r>
        <w:rPr>
          <w:rFonts w:hint="eastAsia" w:ascii="楷体" w:hAnsi="楷体" w:eastAsia="楷体" w:cs="楷体"/>
          <w:b w:val="0"/>
          <w:bCs/>
          <w:sz w:val="24"/>
          <w:highlight w:val="none"/>
          <w:lang w:val="en-US" w:eastAsia="zh-CN"/>
        </w:rPr>
        <w:t>运营商</w:t>
      </w:r>
      <w:r>
        <w:rPr>
          <w:rFonts w:hint="eastAsia" w:ascii="楷体" w:hAnsi="楷体" w:eastAsia="楷体" w:cs="楷体"/>
          <w:b w:val="0"/>
          <w:bCs/>
          <w:sz w:val="24"/>
          <w:highlight w:val="none"/>
        </w:rPr>
        <w:t>上年度完成的</w:t>
      </w:r>
      <w:r>
        <w:rPr>
          <w:rFonts w:hint="eastAsia" w:ascii="楷体" w:hAnsi="楷体" w:eastAsia="楷体" w:cs="楷体"/>
          <w:b w:val="0"/>
          <w:bCs/>
          <w:sz w:val="24"/>
          <w:highlight w:val="none"/>
          <w:lang w:val="en-US" w:eastAsia="zh-CN"/>
        </w:rPr>
        <w:t>绩效指标情况</w:t>
      </w:r>
      <w:r>
        <w:rPr>
          <w:rFonts w:hint="eastAsia" w:ascii="楷体" w:hAnsi="楷体" w:eastAsia="楷体" w:cs="楷体"/>
          <w:b w:val="0"/>
          <w:bCs/>
          <w:sz w:val="24"/>
          <w:highlight w:val="none"/>
        </w:rPr>
        <w:t>，</w:t>
      </w:r>
      <w:r>
        <w:rPr>
          <w:rFonts w:hint="eastAsia" w:ascii="楷体" w:hAnsi="楷体" w:eastAsia="楷体" w:cs="楷体"/>
          <w:b w:val="0"/>
          <w:bCs/>
          <w:sz w:val="24"/>
          <w:highlight w:val="none"/>
          <w:lang w:val="en-US" w:eastAsia="zh-CN"/>
        </w:rPr>
        <w:t>根据考核结果在</w:t>
      </w:r>
      <w:r>
        <w:rPr>
          <w:rFonts w:hint="eastAsia" w:ascii="楷体" w:hAnsi="楷体" w:eastAsia="楷体" w:cs="楷体"/>
          <w:b w:val="0"/>
          <w:bCs/>
          <w:sz w:val="24"/>
          <w:highlight w:val="none"/>
        </w:rPr>
        <w:t>审核结束后</w:t>
      </w:r>
      <w:r>
        <w:rPr>
          <w:rFonts w:hint="eastAsia" w:ascii="楷体" w:hAnsi="楷体" w:eastAsia="楷体" w:cs="楷体"/>
          <w:b w:val="0"/>
          <w:bCs/>
          <w:sz w:val="24"/>
          <w:highlight w:val="none"/>
          <w:lang w:val="en-US" w:eastAsia="zh-CN"/>
        </w:rPr>
        <w:t>尽快完成财政资金批复流程并支付绩效奖励费</w:t>
      </w:r>
      <w:r>
        <w:rPr>
          <w:rFonts w:hint="eastAsia" w:ascii="楷体" w:hAnsi="楷体" w:eastAsia="楷体" w:cs="楷体"/>
          <w:b w:val="0"/>
          <w:bCs/>
          <w:color w:val="auto"/>
          <w:sz w:val="24"/>
          <w:highlight w:val="none"/>
          <w:lang w:val="en-US" w:eastAsia="zh-CN"/>
        </w:rPr>
        <w:t>或因不合格不予拨付绩效奖励费并要求运营商整改。</w:t>
      </w:r>
    </w:p>
    <w:p w14:paraId="22F7DC68">
      <w:pPr>
        <w:adjustRightInd w:val="0"/>
        <w:snapToGrid w:val="0"/>
        <w:spacing w:line="560" w:lineRule="exact"/>
        <w:ind w:firstLine="480" w:firstLineChars="200"/>
        <w:rPr>
          <w:rFonts w:hint="eastAsia" w:ascii="楷体" w:hAnsi="楷体" w:eastAsia="楷体" w:cs="楷体"/>
          <w:bCs/>
          <w:sz w:val="24"/>
          <w:szCs w:val="40"/>
          <w:lang w:val="en-US" w:eastAsia="zh-CN"/>
        </w:rPr>
      </w:pPr>
      <w:r>
        <w:rPr>
          <w:rFonts w:hint="eastAsia" w:ascii="楷体" w:hAnsi="楷体" w:eastAsia="楷体" w:cs="楷体"/>
          <w:bCs/>
          <w:sz w:val="24"/>
          <w:szCs w:val="40"/>
        </w:rPr>
        <w:t>年度</w:t>
      </w:r>
      <w:r>
        <w:rPr>
          <w:rFonts w:hint="eastAsia" w:ascii="楷体" w:hAnsi="楷体" w:eastAsia="楷体" w:cs="楷体"/>
          <w:bCs/>
          <w:sz w:val="24"/>
          <w:szCs w:val="40"/>
          <w:lang w:val="en-US" w:eastAsia="zh-CN"/>
        </w:rPr>
        <w:t>绩效</w:t>
      </w:r>
      <w:r>
        <w:rPr>
          <w:rFonts w:hint="eastAsia" w:ascii="楷体" w:hAnsi="楷体" w:eastAsia="楷体" w:cs="楷体"/>
          <w:bCs/>
          <w:sz w:val="24"/>
          <w:szCs w:val="40"/>
        </w:rPr>
        <w:t>考核得分</w:t>
      </w:r>
      <w:r>
        <w:rPr>
          <w:rFonts w:hint="eastAsia" w:ascii="楷体" w:hAnsi="楷体" w:eastAsia="楷体" w:cs="楷体"/>
          <w:bCs/>
          <w:sz w:val="24"/>
          <w:szCs w:val="40"/>
          <w:lang w:val="en-US" w:eastAsia="zh-CN"/>
        </w:rPr>
        <w:t>情况及支付条件如下：</w:t>
      </w:r>
    </w:p>
    <w:p w14:paraId="09D0C9D1">
      <w:pPr>
        <w:adjustRightInd w:val="0"/>
        <w:snapToGrid w:val="0"/>
        <w:spacing w:line="560" w:lineRule="exact"/>
        <w:ind w:firstLine="480" w:firstLineChars="200"/>
        <w:rPr>
          <w:rFonts w:ascii="楷体" w:hAnsi="楷体" w:eastAsia="楷体" w:cs="楷体"/>
          <w:sz w:val="24"/>
          <w:szCs w:val="40"/>
        </w:rPr>
      </w:pPr>
      <w:r>
        <w:rPr>
          <w:rFonts w:hint="eastAsia" w:ascii="楷体" w:hAnsi="楷体" w:eastAsia="楷体" w:cs="楷体"/>
          <w:bCs/>
          <w:sz w:val="24"/>
          <w:szCs w:val="40"/>
          <w:lang w:val="en-US" w:eastAsia="zh-CN"/>
        </w:rPr>
        <w:t>7</w:t>
      </w:r>
      <w:r>
        <w:rPr>
          <w:rFonts w:hint="eastAsia" w:ascii="楷体" w:hAnsi="楷体" w:eastAsia="楷体" w:cs="楷体"/>
          <w:bCs/>
          <w:sz w:val="24"/>
          <w:szCs w:val="40"/>
        </w:rPr>
        <w:t>0分</w:t>
      </w:r>
      <w:r>
        <w:rPr>
          <w:rFonts w:hint="eastAsia" w:ascii="楷体" w:hAnsi="楷体" w:eastAsia="楷体" w:cs="楷体"/>
          <w:bCs/>
          <w:sz w:val="24"/>
          <w:szCs w:val="40"/>
          <w:lang w:val="en-US" w:eastAsia="zh-CN"/>
        </w:rPr>
        <w:t>及以上</w:t>
      </w:r>
      <w:r>
        <w:rPr>
          <w:rFonts w:hint="eastAsia" w:ascii="楷体" w:hAnsi="楷体" w:eastAsia="楷体" w:cs="楷体"/>
          <w:bCs/>
          <w:sz w:val="24"/>
          <w:szCs w:val="40"/>
        </w:rPr>
        <w:t>：</w:t>
      </w:r>
      <w:r>
        <w:rPr>
          <w:rFonts w:hint="eastAsia" w:ascii="楷体" w:hAnsi="楷体" w:eastAsia="楷体" w:cs="楷体"/>
          <w:bCs/>
          <w:sz w:val="24"/>
          <w:szCs w:val="40"/>
          <w:lang w:val="en-US" w:eastAsia="zh-CN"/>
        </w:rPr>
        <w:t>绩效奖励费</w:t>
      </w:r>
      <w:r>
        <w:rPr>
          <w:rFonts w:hint="eastAsia" w:ascii="楷体" w:hAnsi="楷体" w:eastAsia="楷体" w:cs="楷体"/>
          <w:sz w:val="24"/>
          <w:szCs w:val="40"/>
        </w:rPr>
        <w:t>依据对应考核分数百分比支付；</w:t>
      </w:r>
    </w:p>
    <w:p w14:paraId="067C53BA">
      <w:pPr>
        <w:adjustRightInd w:val="0"/>
        <w:snapToGrid w:val="0"/>
        <w:spacing w:line="560" w:lineRule="exact"/>
        <w:ind w:firstLine="480" w:firstLineChars="200"/>
        <w:rPr>
          <w:rFonts w:hint="eastAsia" w:ascii="楷体" w:hAnsi="楷体" w:eastAsia="楷体" w:cs="楷体"/>
          <w:sz w:val="24"/>
          <w:szCs w:val="40"/>
          <w:lang w:eastAsia="zh-CN"/>
        </w:rPr>
      </w:pPr>
      <w:r>
        <w:rPr>
          <w:rFonts w:hint="eastAsia" w:ascii="楷体" w:hAnsi="楷体" w:eastAsia="楷体" w:cs="楷体"/>
          <w:bCs/>
          <w:sz w:val="24"/>
          <w:szCs w:val="40"/>
          <w:lang w:val="en-US" w:eastAsia="zh-CN"/>
        </w:rPr>
        <w:t>小于7</w:t>
      </w:r>
      <w:r>
        <w:rPr>
          <w:rFonts w:hint="eastAsia" w:ascii="楷体" w:hAnsi="楷体" w:eastAsia="楷体" w:cs="楷体"/>
          <w:bCs/>
          <w:sz w:val="24"/>
          <w:szCs w:val="40"/>
        </w:rPr>
        <w:t>0分：</w:t>
      </w:r>
      <w:r>
        <w:rPr>
          <w:rFonts w:hint="eastAsia" w:ascii="楷体" w:hAnsi="楷体" w:eastAsia="楷体" w:cs="楷体"/>
          <w:sz w:val="24"/>
          <w:szCs w:val="40"/>
        </w:rPr>
        <w:t>视为不合格，</w:t>
      </w:r>
      <w:r>
        <w:rPr>
          <w:rFonts w:hint="eastAsia" w:ascii="楷体" w:hAnsi="楷体" w:eastAsia="楷体" w:cs="楷体"/>
          <w:sz w:val="24"/>
          <w:szCs w:val="40"/>
          <w:lang w:val="en-US" w:eastAsia="zh-CN"/>
        </w:rPr>
        <w:t>采购人不予</w:t>
      </w:r>
      <w:r>
        <w:rPr>
          <w:rFonts w:hint="eastAsia" w:ascii="楷体" w:hAnsi="楷体" w:eastAsia="楷体" w:cs="楷体"/>
          <w:sz w:val="24"/>
          <w:szCs w:val="40"/>
        </w:rPr>
        <w:t>拨付</w:t>
      </w:r>
      <w:r>
        <w:rPr>
          <w:rFonts w:hint="eastAsia" w:ascii="楷体" w:hAnsi="楷体" w:eastAsia="楷体" w:cs="楷体"/>
          <w:sz w:val="24"/>
          <w:szCs w:val="40"/>
          <w:lang w:val="en-US" w:eastAsia="zh-CN"/>
        </w:rPr>
        <w:t>当年度</w:t>
      </w:r>
      <w:r>
        <w:rPr>
          <w:rFonts w:hint="eastAsia" w:ascii="楷体" w:hAnsi="楷体" w:eastAsia="楷体" w:cs="楷体"/>
          <w:bCs/>
          <w:sz w:val="24"/>
          <w:szCs w:val="40"/>
          <w:lang w:val="en-US" w:eastAsia="zh-CN"/>
        </w:rPr>
        <w:t>绩效奖励费</w:t>
      </w:r>
      <w:r>
        <w:rPr>
          <w:rFonts w:hint="eastAsia" w:ascii="楷体" w:hAnsi="楷体" w:eastAsia="楷体" w:cs="楷体"/>
          <w:sz w:val="24"/>
          <w:szCs w:val="40"/>
          <w:lang w:eastAsia="zh-CN"/>
        </w:rPr>
        <w:t>。</w:t>
      </w:r>
    </w:p>
    <w:p w14:paraId="2D21ECDE">
      <w:pPr>
        <w:adjustRightInd w:val="0"/>
        <w:snapToGrid w:val="0"/>
        <w:spacing w:line="560" w:lineRule="exact"/>
        <w:ind w:firstLine="480" w:firstLineChars="200"/>
        <w:rPr>
          <w:rFonts w:hint="default" w:ascii="楷体" w:hAnsi="楷体" w:eastAsia="楷体" w:cs="楷体"/>
          <w:sz w:val="24"/>
          <w:lang w:val="en-US" w:eastAsia="zh-CN"/>
        </w:rPr>
      </w:pPr>
      <w:r>
        <w:rPr>
          <w:rFonts w:hint="eastAsia" w:ascii="楷体" w:hAnsi="楷体" w:eastAsia="楷体" w:cs="楷体"/>
          <w:sz w:val="24"/>
        </w:rPr>
        <w:t>（3）其它费用</w:t>
      </w:r>
      <w:r>
        <w:rPr>
          <w:rFonts w:hint="eastAsia" w:ascii="楷体" w:hAnsi="楷体" w:eastAsia="楷体" w:cs="楷体"/>
          <w:sz w:val="24"/>
          <w:lang w:eastAsia="zh-CN"/>
        </w:rPr>
        <w:t>：</w:t>
      </w:r>
      <w:r>
        <w:rPr>
          <w:rFonts w:hint="eastAsia" w:ascii="楷体" w:hAnsi="楷体" w:eastAsia="楷体" w:cs="楷体"/>
          <w:sz w:val="24"/>
          <w:lang w:val="en-US" w:eastAsia="zh-CN"/>
        </w:rPr>
        <w:t>政府奖补资金获批奖励</w:t>
      </w:r>
    </w:p>
    <w:p w14:paraId="7CC0EAE2">
      <w:pPr>
        <w:adjustRightInd w:val="0"/>
        <w:snapToGrid w:val="0"/>
        <w:spacing w:line="560" w:lineRule="exact"/>
        <w:ind w:firstLine="480" w:firstLineChars="200"/>
        <w:rPr>
          <w:rFonts w:hint="eastAsia" w:ascii="楷体" w:hAnsi="楷体" w:eastAsia="楷体" w:cs="楷体"/>
          <w:sz w:val="24"/>
        </w:rPr>
      </w:pPr>
      <w:r>
        <w:rPr>
          <w:rFonts w:hint="eastAsia" w:ascii="楷体" w:hAnsi="楷体" w:eastAsia="楷体" w:cs="楷体"/>
          <w:sz w:val="24"/>
        </w:rPr>
        <w:t>在协议有效期内，</w:t>
      </w:r>
      <w:r>
        <w:rPr>
          <w:rFonts w:hint="eastAsia" w:ascii="楷体" w:hAnsi="楷体" w:eastAsia="楷体" w:cs="楷体"/>
          <w:sz w:val="24"/>
          <w:lang w:val="en-US" w:eastAsia="zh-CN"/>
        </w:rPr>
        <w:t>运营商</w:t>
      </w:r>
      <w:r>
        <w:rPr>
          <w:rFonts w:hint="eastAsia" w:ascii="楷体" w:hAnsi="楷体" w:eastAsia="楷体" w:cs="楷体"/>
          <w:sz w:val="24"/>
        </w:rPr>
        <w:t>作为</w:t>
      </w:r>
      <w:r>
        <w:rPr>
          <w:rFonts w:hint="eastAsia" w:ascii="楷体" w:hAnsi="楷体" w:eastAsia="楷体" w:cs="楷体"/>
          <w:sz w:val="24"/>
          <w:lang w:val="en-US" w:eastAsia="zh-CN"/>
        </w:rPr>
        <w:t>采购人</w:t>
      </w:r>
      <w:r>
        <w:rPr>
          <w:rFonts w:hint="eastAsia" w:ascii="楷体" w:hAnsi="楷体" w:eastAsia="楷体" w:cs="楷体"/>
          <w:sz w:val="24"/>
        </w:rPr>
        <w:t>载体的委托运营方，享有政策申报奖励等权益，以上权益范围涵盖各级政府部门正式发布的产业扶持、研发补贴、资质认定奖励等政策。</w:t>
      </w:r>
    </w:p>
    <w:p w14:paraId="2343C948">
      <w:pPr>
        <w:adjustRightInd w:val="0"/>
        <w:snapToGrid w:val="0"/>
        <w:spacing w:line="560" w:lineRule="exact"/>
        <w:ind w:firstLine="480" w:firstLineChars="200"/>
        <w:rPr>
          <w:rFonts w:ascii="楷体" w:hAnsi="楷体" w:eastAsia="楷体" w:cs="楷体"/>
          <w:sz w:val="24"/>
        </w:rPr>
      </w:pPr>
      <w:r>
        <w:rPr>
          <w:rFonts w:hint="eastAsia" w:ascii="楷体" w:hAnsi="楷体" w:eastAsia="楷体" w:cs="楷体"/>
          <w:sz w:val="24"/>
        </w:rPr>
        <w:t>政策申报奖励：对于</w:t>
      </w:r>
      <w:r>
        <w:rPr>
          <w:rFonts w:hint="eastAsia" w:ascii="楷体" w:hAnsi="楷体" w:eastAsia="楷体" w:cs="楷体"/>
          <w:sz w:val="24"/>
          <w:lang w:val="en-US" w:eastAsia="zh-CN"/>
        </w:rPr>
        <w:t>运营商</w:t>
      </w:r>
      <w:r>
        <w:rPr>
          <w:rFonts w:hint="eastAsia" w:ascii="楷体" w:hAnsi="楷体" w:eastAsia="楷体" w:cs="楷体"/>
          <w:sz w:val="24"/>
        </w:rPr>
        <w:t>以</w:t>
      </w:r>
      <w:r>
        <w:rPr>
          <w:rFonts w:hint="eastAsia" w:ascii="楷体" w:hAnsi="楷体" w:eastAsia="楷体" w:cs="楷体"/>
          <w:sz w:val="24"/>
          <w:lang w:val="en-US" w:eastAsia="zh-CN"/>
        </w:rPr>
        <w:t>采购人</w:t>
      </w:r>
      <w:r>
        <w:rPr>
          <w:rFonts w:hint="eastAsia" w:ascii="楷体" w:hAnsi="楷体" w:eastAsia="楷体" w:cs="楷体"/>
          <w:sz w:val="24"/>
        </w:rPr>
        <w:t>名义成功申报并实际获得的政府扶持资金(包括但不限于省、市、区、街道等各级政府部门发布的科技发展类、总部经济类等专项政策资金），</w:t>
      </w:r>
      <w:r>
        <w:rPr>
          <w:rFonts w:hint="eastAsia" w:ascii="楷体" w:hAnsi="楷体" w:eastAsia="楷体" w:cs="楷体"/>
          <w:sz w:val="24"/>
          <w:lang w:val="en-US" w:eastAsia="zh-CN"/>
        </w:rPr>
        <w:t>采购人</w:t>
      </w:r>
      <w:r>
        <w:rPr>
          <w:rFonts w:hint="eastAsia" w:ascii="楷体" w:hAnsi="楷体" w:eastAsia="楷体" w:cs="楷体"/>
          <w:sz w:val="24"/>
        </w:rPr>
        <w:t>以自有资金按实际到账资金总额的50%给予</w:t>
      </w:r>
      <w:r>
        <w:rPr>
          <w:rFonts w:hint="eastAsia" w:ascii="楷体" w:hAnsi="楷体" w:eastAsia="楷体" w:cs="楷体"/>
          <w:sz w:val="24"/>
          <w:lang w:val="en-US" w:eastAsia="zh-CN"/>
        </w:rPr>
        <w:t>运营商</w:t>
      </w:r>
      <w:r>
        <w:rPr>
          <w:rFonts w:hint="eastAsia" w:ascii="楷体" w:hAnsi="楷体" w:eastAsia="楷体" w:cs="楷体"/>
          <w:sz w:val="24"/>
        </w:rPr>
        <w:t>奖励。</w:t>
      </w:r>
    </w:p>
    <w:p w14:paraId="463A9ED2">
      <w:pPr>
        <w:adjustRightInd w:val="0"/>
        <w:snapToGrid w:val="0"/>
        <w:spacing w:line="560" w:lineRule="exact"/>
        <w:ind w:firstLine="480" w:firstLineChars="200"/>
        <w:rPr>
          <w:rFonts w:hint="eastAsia" w:ascii="楷体" w:hAnsi="楷体" w:eastAsia="楷体" w:cs="楷体"/>
          <w:sz w:val="24"/>
          <w:szCs w:val="40"/>
          <w:highlight w:val="yellow"/>
        </w:rPr>
      </w:pPr>
      <w:r>
        <w:rPr>
          <w:rFonts w:hint="eastAsia" w:ascii="楷体" w:hAnsi="楷体" w:eastAsia="楷体" w:cs="楷体"/>
          <w:sz w:val="24"/>
          <w:szCs w:val="40"/>
          <w:lang w:val="en-US" w:eastAsia="zh-CN"/>
        </w:rPr>
        <w:t>其他费用</w:t>
      </w:r>
      <w:r>
        <w:rPr>
          <w:rFonts w:hint="eastAsia" w:ascii="楷体" w:hAnsi="楷体" w:eastAsia="楷体" w:cs="楷体"/>
          <w:sz w:val="24"/>
          <w:szCs w:val="40"/>
        </w:rPr>
        <w:t>支付</w:t>
      </w:r>
      <w:r>
        <w:rPr>
          <w:rFonts w:hint="eastAsia" w:ascii="楷体" w:hAnsi="楷体" w:eastAsia="楷体" w:cs="楷体"/>
          <w:sz w:val="24"/>
          <w:szCs w:val="40"/>
          <w:lang w:val="en-US" w:eastAsia="zh-CN"/>
        </w:rPr>
        <w:t>条件</w:t>
      </w:r>
      <w:r>
        <w:rPr>
          <w:rFonts w:hint="eastAsia" w:ascii="楷体" w:hAnsi="楷体" w:eastAsia="楷体" w:cs="楷体"/>
          <w:sz w:val="24"/>
          <w:szCs w:val="40"/>
        </w:rPr>
        <w:t>：以财政拨付之日起，15个工作日内向</w:t>
      </w:r>
      <w:r>
        <w:rPr>
          <w:rFonts w:hint="eastAsia" w:ascii="楷体" w:hAnsi="楷体" w:eastAsia="楷体" w:cs="楷体"/>
          <w:sz w:val="24"/>
          <w:szCs w:val="40"/>
          <w:lang w:val="en-US" w:eastAsia="zh-CN"/>
        </w:rPr>
        <w:t>运营商</w:t>
      </w:r>
      <w:r>
        <w:rPr>
          <w:rFonts w:hint="eastAsia" w:ascii="楷体" w:hAnsi="楷体" w:eastAsia="楷体" w:cs="楷体"/>
          <w:sz w:val="24"/>
          <w:szCs w:val="40"/>
        </w:rPr>
        <w:t>支付。</w:t>
      </w:r>
    </w:p>
    <w:p w14:paraId="3C868AC1">
      <w:pPr>
        <w:numPr>
          <w:ilvl w:val="0"/>
          <w:numId w:val="5"/>
        </w:numPr>
        <w:spacing w:line="560" w:lineRule="exact"/>
        <w:ind w:firstLine="480" w:firstLineChars="200"/>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项目资金来源：财政资金</w:t>
      </w:r>
    </w:p>
    <w:p w14:paraId="0CAEA46E">
      <w:pPr>
        <w:numPr>
          <w:ilvl w:val="0"/>
          <w:numId w:val="0"/>
        </w:numPr>
        <w:spacing w:line="560" w:lineRule="exact"/>
        <w:ind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五、服务要求</w:t>
      </w:r>
    </w:p>
    <w:p w14:paraId="13C5AD52">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sz w:val="24"/>
          <w:szCs w:val="24"/>
          <w:highlight w:val="none"/>
          <w:lang w:val="en-US" w:eastAsia="zh-CN"/>
        </w:rPr>
        <w:t>1、</w:t>
      </w:r>
      <w:r>
        <w:rPr>
          <w:rFonts w:hint="eastAsia" w:ascii="楷体" w:hAnsi="楷体" w:eastAsia="楷体" w:cs="楷体"/>
          <w:color w:val="000000"/>
          <w:kern w:val="0"/>
          <w:sz w:val="24"/>
          <w:szCs w:val="24"/>
          <w:highlight w:val="none"/>
          <w:lang w:val="en-US" w:eastAsia="zh-CN" w:bidi="ar"/>
        </w:rPr>
        <w:t>国家级孵化器委托运营：运营管理镇江高新区国家级孵化器，按照国家火炬中心对国家级孵化器的具体要求，做实镇江高新区国家孵化器各项指标。包括但不限于孵化器日常运营维护，在孵企业动态库维护，职业化的服务队伍和专业孵化服务人员打造，在孵企业专利申请，以及参与指导园区科技孵化中心装修设计，制定入孵管理制度，并完成采购人的总体和阶段性目标，负责提供在孵企业年度财务报表和社保缴费清单等材料。</w:t>
      </w:r>
    </w:p>
    <w:p w14:paraId="0E985731">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default" w:ascii="楷体" w:hAnsi="楷体" w:eastAsia="楷体" w:cs="楷体"/>
          <w:sz w:val="24"/>
          <w:szCs w:val="24"/>
          <w:highlight w:val="none"/>
          <w:lang w:val="en-US"/>
        </w:rPr>
      </w:pPr>
      <w:r>
        <w:rPr>
          <w:rFonts w:hint="eastAsia" w:ascii="楷体" w:hAnsi="楷体" w:eastAsia="楷体" w:cs="楷体"/>
          <w:b/>
          <w:bCs/>
          <w:color w:val="000000"/>
          <w:kern w:val="0"/>
          <w:sz w:val="24"/>
          <w:szCs w:val="24"/>
          <w:highlight w:val="none"/>
          <w:lang w:val="en-US" w:eastAsia="zh-CN" w:bidi="ar"/>
        </w:rPr>
        <w:t>2</w:t>
      </w:r>
      <w:r>
        <w:rPr>
          <w:rFonts w:hint="eastAsia" w:ascii="楷体" w:hAnsi="楷体" w:eastAsia="楷体" w:cs="楷体"/>
          <w:color w:val="000000"/>
          <w:kern w:val="0"/>
          <w:sz w:val="24"/>
          <w:szCs w:val="24"/>
          <w:highlight w:val="none"/>
          <w:lang w:val="en-US" w:eastAsia="zh-CN" w:bidi="ar"/>
        </w:rPr>
        <w:t>、</w:t>
      </w:r>
      <w:r>
        <w:rPr>
          <w:rFonts w:hint="eastAsia" w:ascii="楷体" w:hAnsi="楷体" w:eastAsia="楷体" w:cs="楷体"/>
          <w:b/>
          <w:bCs/>
          <w:sz w:val="24"/>
          <w:szCs w:val="24"/>
          <w:highlight w:val="none"/>
          <w:lang w:val="en-US" w:eastAsia="zh-CN"/>
        </w:rPr>
        <w:t>提供高质量运营服务（确保采购人国家级科技企业孵化器不被降级或取消）（提供承诺函）</w:t>
      </w:r>
    </w:p>
    <w:p w14:paraId="3FFBD82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3、优质企业项目招引：在合作期内充分利用自身资源，精准对接潜在客商投资需求，对接匹配知名院校研究成果，委托定向开发，以科研成果推介、建设生产基地、开设研究院等形式寻找合作机会，推动高新区优质项目落地及高校院所科技成果产业化。 </w:t>
      </w:r>
    </w:p>
    <w:p w14:paraId="528B5DB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4、园区企业支持发展：在采购人的全力支持和配合下，通过常态化走访、活动等形式征集高新区企业技术人才等需求，以人才引进、产学研合作、技术共享、成果转化或其他方式帮助企业解决实际问题，按采购人需求每年在镇江高新区完成科技成果转化。</w:t>
      </w:r>
    </w:p>
    <w:p w14:paraId="794DFC67">
      <w:pPr>
        <w:keepNext w:val="0"/>
        <w:keepLines w:val="0"/>
        <w:widowControl/>
        <w:suppressLineNumbers w:val="0"/>
        <w:ind w:firstLine="480" w:firstLineChars="200"/>
        <w:jc w:val="left"/>
        <w:rPr>
          <w:rFonts w:hint="eastAsia" w:ascii="仿宋" w:hAnsi="仿宋" w:eastAsia="仿宋" w:cs="仿宋"/>
          <w:color w:val="000000"/>
          <w:kern w:val="0"/>
          <w:sz w:val="28"/>
          <w:szCs w:val="28"/>
          <w:highlight w:val="none"/>
          <w:lang w:val="en-US" w:eastAsia="zh-CN" w:bidi="ar"/>
        </w:rPr>
      </w:pPr>
      <w:r>
        <w:rPr>
          <w:rFonts w:hint="eastAsia" w:ascii="楷体" w:hAnsi="楷体" w:eastAsia="楷体" w:cs="楷体"/>
          <w:color w:val="000000"/>
          <w:kern w:val="0"/>
          <w:sz w:val="24"/>
          <w:szCs w:val="24"/>
          <w:highlight w:val="none"/>
          <w:lang w:val="en-US" w:eastAsia="zh-CN" w:bidi="ar"/>
        </w:rPr>
        <w:t>5、大赛活动及创业培训活动的组织：积极承接国家级、江苏省省级创业大赛。同时每年免费组织在孵企业创业培训活动</w:t>
      </w:r>
      <w:r>
        <w:rPr>
          <w:rFonts w:hint="eastAsia" w:ascii="仿宋" w:hAnsi="仿宋" w:eastAsia="仿宋" w:cs="仿宋"/>
          <w:color w:val="000000"/>
          <w:kern w:val="0"/>
          <w:sz w:val="28"/>
          <w:szCs w:val="28"/>
          <w:highlight w:val="none"/>
          <w:lang w:val="en-US" w:eastAsia="zh-CN" w:bidi="ar"/>
        </w:rPr>
        <w:t>。</w:t>
      </w:r>
    </w:p>
    <w:p w14:paraId="0D5D2B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6、经济活动建设：通过构建创新生态、推动产业协同、集聚高端人才、促进国际合作，为地区经济发展注入活力。同时，通过企业成长、就业增加、产业集群等途径，保障地区税收稳定增长，助力区域经济可持续发展。</w:t>
      </w:r>
    </w:p>
    <w:p w14:paraId="5CE8F467">
      <w:pPr>
        <w:numPr>
          <w:ilvl w:val="0"/>
          <w:numId w:val="0"/>
        </w:numPr>
        <w:spacing w:line="560" w:lineRule="exact"/>
        <w:ind w:left="479" w:leftChars="228" w:firstLine="0" w:firstLineChars="0"/>
        <w:rPr>
          <w:rFonts w:hint="eastAsia" w:ascii="楷体" w:hAnsi="楷体" w:eastAsia="楷体" w:cs="楷体"/>
          <w:sz w:val="24"/>
          <w:szCs w:val="24"/>
          <w:highlight w:val="none"/>
          <w:lang w:val="en-US" w:eastAsia="zh-CN"/>
        </w:rPr>
      </w:pPr>
    </w:p>
    <w:p w14:paraId="00A66B8F">
      <w:pPr>
        <w:numPr>
          <w:ilvl w:val="0"/>
          <w:numId w:val="0"/>
        </w:numPr>
        <w:spacing w:line="560" w:lineRule="exact"/>
        <w:ind w:left="479" w:leftChars="228" w:firstLine="0" w:firstLineChars="0"/>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六、</w:t>
      </w:r>
      <w:r>
        <w:rPr>
          <w:rFonts w:hint="eastAsia" w:ascii="楷体" w:hAnsi="楷体" w:eastAsia="楷体" w:cs="楷体"/>
          <w:sz w:val="24"/>
          <w:szCs w:val="24"/>
          <w:highlight w:val="none"/>
        </w:rPr>
        <w:t>服务期限</w:t>
      </w:r>
    </w:p>
    <w:p w14:paraId="3ED9A20D">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服务期</w:t>
      </w:r>
      <w:r>
        <w:rPr>
          <w:rFonts w:hint="eastAsia" w:ascii="楷体" w:hAnsi="楷体" w:eastAsia="楷体" w:cs="楷体"/>
          <w:sz w:val="24"/>
          <w:szCs w:val="24"/>
          <w:highlight w:val="none"/>
          <w:lang w:val="en-US" w:eastAsia="zh-CN"/>
        </w:rPr>
        <w:t>三</w:t>
      </w:r>
      <w:r>
        <w:rPr>
          <w:rFonts w:hint="eastAsia" w:ascii="楷体" w:hAnsi="楷体" w:eastAsia="楷体" w:cs="楷体"/>
          <w:sz w:val="24"/>
          <w:szCs w:val="24"/>
          <w:highlight w:val="none"/>
        </w:rPr>
        <w:t>年，服务期限开始时间以签定合同日期为准</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合同一年一签</w:t>
      </w:r>
      <w:r>
        <w:rPr>
          <w:rFonts w:hint="eastAsia" w:ascii="楷体" w:hAnsi="楷体" w:eastAsia="楷体" w:cs="楷体"/>
          <w:sz w:val="24"/>
          <w:szCs w:val="24"/>
          <w:highlight w:val="none"/>
        </w:rPr>
        <w:t>。</w:t>
      </w:r>
    </w:p>
    <w:p w14:paraId="56BC17D0">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highlight w:val="none"/>
        </w:rPr>
      </w:pPr>
      <w:r>
        <w:rPr>
          <w:rFonts w:hint="eastAsia" w:ascii="楷体" w:hAnsi="楷体" w:eastAsia="楷体" w:cs="楷体"/>
          <w:sz w:val="24"/>
          <w:szCs w:val="24"/>
          <w:highlight w:val="none"/>
          <w:lang w:val="en-US" w:eastAsia="zh-CN"/>
        </w:rPr>
        <w:t>七</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服务标准：</w:t>
      </w:r>
      <w:r>
        <w:rPr>
          <w:rFonts w:hint="default" w:ascii="楷体" w:hAnsi="楷体" w:eastAsia="楷体" w:cs="楷体"/>
          <w:sz w:val="24"/>
          <w:szCs w:val="24"/>
          <w:highlight w:val="none"/>
          <w:lang w:val="en-US" w:eastAsia="zh-CN"/>
        </w:rPr>
        <w:t>按照国家级科技孵化器运营标准。</w:t>
      </w:r>
    </w:p>
    <w:p w14:paraId="44CBA377">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八、</w:t>
      </w:r>
      <w:r>
        <w:rPr>
          <w:rFonts w:hint="eastAsia" w:ascii="楷体" w:hAnsi="楷体" w:eastAsia="楷体" w:cs="楷体"/>
          <w:sz w:val="24"/>
          <w:szCs w:val="24"/>
          <w:highlight w:val="none"/>
        </w:rPr>
        <w:t>其他要求</w:t>
      </w:r>
    </w:p>
    <w:p w14:paraId="2CFDEF1C">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项目履约能力要求：</w:t>
      </w:r>
    </w:p>
    <w:p w14:paraId="5148A267">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（1）成交供应商应具有较强的服务组织能力。</w:t>
      </w:r>
    </w:p>
    <w:p w14:paraId="17D64FF4">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（2）成交供应商应具有良好的综合实力，资源、专家丰富。</w:t>
      </w:r>
    </w:p>
    <w:p w14:paraId="6AA75154">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（3）成交供应商应具有符合本项目特点和性质相关的类似履约经验。</w:t>
      </w:r>
    </w:p>
    <w:p w14:paraId="7131A87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2、负责做好管辖区域内场地安全管理，督促入孵企业遵守大楼物业管理规 </w:t>
      </w:r>
    </w:p>
    <w:p w14:paraId="2A5C75A3">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定，保证所有入孵企业经营行为合法合规。 </w:t>
      </w:r>
    </w:p>
    <w:p w14:paraId="0238088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3、在孵化器运营期间保证孵化器场地年均空置率达到采购人需求标准，入 </w:t>
      </w:r>
    </w:p>
    <w:p w14:paraId="06098A98">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孵企业工位实际上座率不低于 70%。 </w:t>
      </w:r>
    </w:p>
    <w:p w14:paraId="3617B72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4、每季度初向采购人提交书面运营报告，汇报上季度运营报告及下一季度 </w:t>
      </w:r>
    </w:p>
    <w:p w14:paraId="76BED249">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运营计划。在半年度、年度运营考核时，须向采购人提交考核报告并配合其他 </w:t>
      </w:r>
    </w:p>
    <w:p w14:paraId="2623D27F">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考核所要求工作 </w:t>
      </w:r>
    </w:p>
    <w:p w14:paraId="1F7DC80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pPr>
      <w:r>
        <w:rPr>
          <w:rFonts w:hint="eastAsia" w:ascii="楷体" w:hAnsi="楷体" w:eastAsia="楷体" w:cs="楷体"/>
          <w:b w:val="0"/>
          <w:sz w:val="24"/>
          <w:szCs w:val="24"/>
          <w:highlight w:val="none"/>
          <w:lang w:val="en-US" w:eastAsia="zh-CN" w:bidi="ar-SA"/>
        </w:rPr>
        <w:t>5、成交供应商若从事违法活动，给采购人或园区入孵企业造成损害的，须承担相应经济赔偿及相关法律责任。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C432">
    <w:pPr>
      <w:pStyle w:val="2"/>
      <w:tabs>
        <w:tab w:val="center" w:pos="4153"/>
        <w:tab w:val="right" w:pos="8306"/>
        <w:tab w:val="clear" w:pos="7143"/>
        <w:tab w:val="clear" w:pos="14287"/>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B1EC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AB1EC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23D90">
    <w:pPr>
      <w:pStyle w:val="2"/>
      <w:tabs>
        <w:tab w:val="center" w:pos="4153"/>
        <w:tab w:val="right" w:pos="8306"/>
        <w:tab w:val="clear" w:pos="7143"/>
        <w:tab w:val="clear" w:pos="14287"/>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60D3E">
                          <w:pPr>
                            <w:pStyle w:val="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360D3E">
                    <w:pPr>
                      <w:pStyle w:val="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443A2"/>
    <w:multiLevelType w:val="singleLevel"/>
    <w:tmpl w:val="9B7443A2"/>
    <w:lvl w:ilvl="0" w:tentative="0">
      <w:start w:val="4"/>
      <w:numFmt w:val="chineseCounting"/>
      <w:suff w:val="nothing"/>
      <w:lvlText w:val="%1、"/>
      <w:lvlJc w:val="left"/>
      <w:rPr>
        <w:rFonts w:hint="eastAsia"/>
      </w:rPr>
    </w:lvl>
  </w:abstractNum>
  <w:abstractNum w:abstractNumId="1">
    <w:nsid w:val="217103EE"/>
    <w:multiLevelType w:val="singleLevel"/>
    <w:tmpl w:val="217103EE"/>
    <w:lvl w:ilvl="0" w:tentative="0">
      <w:start w:val="2"/>
      <w:numFmt w:val="decimal"/>
      <w:suff w:val="nothing"/>
      <w:lvlText w:val="（%1）"/>
      <w:lvlJc w:val="left"/>
    </w:lvl>
  </w:abstractNum>
  <w:abstractNum w:abstractNumId="2">
    <w:nsid w:val="2F44B44F"/>
    <w:multiLevelType w:val="singleLevel"/>
    <w:tmpl w:val="2F44B44F"/>
    <w:lvl w:ilvl="0" w:tentative="0">
      <w:start w:val="1"/>
      <w:numFmt w:val="decimal"/>
      <w:suff w:val="nothing"/>
      <w:lvlText w:val="%1、"/>
      <w:lvlJc w:val="left"/>
      <w:rPr>
        <w:rFonts w:hint="default"/>
        <w:sz w:val="21"/>
        <w:szCs w:val="21"/>
      </w:rPr>
    </w:lvl>
  </w:abstractNum>
  <w:abstractNum w:abstractNumId="3">
    <w:nsid w:val="4EE7C218"/>
    <w:multiLevelType w:val="singleLevel"/>
    <w:tmpl w:val="4EE7C218"/>
    <w:lvl w:ilvl="0" w:tentative="0">
      <w:start w:val="1"/>
      <w:numFmt w:val="decimal"/>
      <w:suff w:val="nothing"/>
      <w:lvlText w:val="%1、"/>
      <w:lvlJc w:val="left"/>
      <w:rPr>
        <w:rFonts w:hint="default"/>
        <w:b w:val="0"/>
        <w:bCs w:val="0"/>
        <w:sz w:val="21"/>
        <w:szCs w:val="21"/>
      </w:rPr>
    </w:lvl>
  </w:abstractNum>
  <w:abstractNum w:abstractNumId="4">
    <w:nsid w:val="569F40D7"/>
    <w:multiLevelType w:val="singleLevel"/>
    <w:tmpl w:val="569F40D7"/>
    <w:lvl w:ilvl="0" w:tentative="0">
      <w:start w:val="1"/>
      <w:numFmt w:val="decimal"/>
      <w:suff w:val="nothing"/>
      <w:lvlText w:val="%1、"/>
      <w:lvlJc w:val="left"/>
      <w:rPr>
        <w:rFonts w:hint="default"/>
        <w:b w:val="0"/>
        <w:bCs w:val="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40361"/>
    <w:rsid w:val="2C840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7143"/>
        <w:tab w:val="right" w:pos="14287"/>
      </w:tabs>
      <w:spacing w:after="0" w:line="240" w:lineRule="auto"/>
    </w:pPr>
  </w:style>
  <w:style w:type="paragraph" w:customStyle="1" w:styleId="5">
    <w:name w:val="01-标书-标题1"/>
    <w:next w:val="1"/>
    <w:qFormat/>
    <w:uiPriority w:val="0"/>
    <w:pPr>
      <w:tabs>
        <w:tab w:val="left" w:pos="425"/>
      </w:tabs>
      <w:spacing w:line="360" w:lineRule="auto"/>
      <w:ind w:left="425" w:hanging="425"/>
      <w:outlineLvl w:val="0"/>
    </w:pPr>
    <w:rPr>
      <w:rFonts w:hint="default" w:ascii="黑体" w:hAnsi="宋体" w:eastAsia="黑体" w:cs="Times New Roman"/>
      <w:sz w:val="44"/>
      <w:szCs w:val="32"/>
      <w:lang w:val="en-US" w:eastAsia="zh-CN" w:bidi="ar-SA"/>
    </w:rPr>
  </w:style>
  <w:style w:type="character" w:customStyle="1" w:styleId="6">
    <w:name w:val="font131"/>
    <w:basedOn w:val="4"/>
    <w:link w:val="1"/>
    <w:qFormat/>
    <w:uiPriority w:val="0"/>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2025-10-31T06:41:00Z</dcterms:created>
  <dc:creator>Administrator</dc:creator>
  <cp:lastModifiedBy>Administrator</cp:lastModifiedBy>
  <dcterms:modified xsi:type="dcterms:W3CDTF">2025-10-31T06:42:36Z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7A512F5B0E854C409E0F25C9B55DF79A_11</vt:lpwstr>
  </property>
  <property fmtid="{D5CDD505-2E9C-101B-9397-08002B2CF9AE}" pid="4" name="KSOTemplateDocerSaveRecord">
    <vt:lpwstr>eyJoZGlkIjoiM2Y2NDM4ZmVlMzk4MWFkMzY2Y2NmYzUyYTY5YjM1MTUiLCJ1c2VySWQiOiIxNjYxMjk5OTMzIn0=</vt:lpwstr>
  </property>
</Properties>
</file>