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overflowPunct/>
        <w:bidi w:val="0"/>
        <w:spacing w:line="360" w:lineRule="auto"/>
        <w:jc w:val="center"/>
        <w:textAlignment w:val="auto"/>
        <w:rPr>
          <w:rFonts w:hint="default" w:ascii="宋体" w:hAnsi="宋体" w:cs="宋体"/>
          <w:color w:val="auto"/>
          <w:sz w:val="30"/>
          <w:szCs w:val="30"/>
          <w:highlight w:val="none"/>
        </w:rPr>
      </w:pPr>
      <w:r>
        <w:rPr>
          <w:rFonts w:hint="default" w:ascii="宋体" w:hAnsi="宋体" w:cs="宋体"/>
          <w:color w:val="auto"/>
          <w:sz w:val="30"/>
          <w:szCs w:val="30"/>
          <w:highlight w:val="none"/>
        </w:rPr>
        <w:t xml:space="preserve"> </w:t>
      </w:r>
    </w:p>
    <w:p>
      <w:pPr>
        <w:pStyle w:val="8"/>
        <w:kinsoku/>
        <w:overflowPunct/>
        <w:bidi w:val="0"/>
        <w:spacing w:line="360" w:lineRule="auto"/>
        <w:textAlignment w:val="auto"/>
        <w:rPr>
          <w:rFonts w:ascii="宋体" w:hAnsi="宋体" w:cs="宋体"/>
          <w:color w:val="auto"/>
          <w:sz w:val="30"/>
          <w:szCs w:val="30"/>
          <w:highlight w:val="none"/>
        </w:rPr>
      </w:pPr>
    </w:p>
    <w:p>
      <w:pPr>
        <w:pStyle w:val="15"/>
        <w:kinsoku/>
        <w:overflowPunct/>
        <w:bidi w:val="0"/>
        <w:spacing w:line="360" w:lineRule="auto"/>
        <w:textAlignment w:val="auto"/>
        <w:rPr>
          <w:rFonts w:ascii="宋体" w:hAnsi="宋体" w:cs="宋体"/>
          <w:color w:val="auto"/>
          <w:sz w:val="30"/>
          <w:szCs w:val="30"/>
          <w:highlight w:val="none"/>
        </w:rPr>
      </w:pPr>
    </w:p>
    <w:p>
      <w:pPr>
        <w:pStyle w:val="15"/>
        <w:kinsoku/>
        <w:overflowPunct/>
        <w:bidi w:val="0"/>
        <w:spacing w:line="360" w:lineRule="auto"/>
        <w:textAlignment w:val="auto"/>
        <w:rPr>
          <w:rFonts w:ascii="宋体" w:hAnsi="宋体" w:cs="宋体"/>
          <w:color w:val="auto"/>
          <w:sz w:val="30"/>
          <w:szCs w:val="30"/>
          <w:highlight w:val="none"/>
        </w:rPr>
      </w:pPr>
    </w:p>
    <w:p>
      <w:pPr>
        <w:kinsoku/>
        <w:overflowPunct/>
        <w:bidi w:val="0"/>
        <w:spacing w:line="360" w:lineRule="auto"/>
        <w:jc w:val="center"/>
        <w:textAlignment w:val="auto"/>
        <w:rPr>
          <w:rFonts w:hint="eastAsia" w:ascii="宋体" w:hAnsi="宋体" w:cs="宋体"/>
          <w:color w:val="auto"/>
          <w:sz w:val="24"/>
          <w:szCs w:val="30"/>
          <w:highlight w:val="none"/>
        </w:rPr>
      </w:pPr>
    </w:p>
    <w:p>
      <w:pPr>
        <w:kinsoku/>
        <w:overflowPunct/>
        <w:bidi w:val="0"/>
        <w:spacing w:line="360" w:lineRule="auto"/>
        <w:jc w:val="center"/>
        <w:textAlignment w:val="auto"/>
        <w:rPr>
          <w:rFonts w:hint="eastAsia" w:ascii="Times New Roman" w:hAnsi="Times New Roman"/>
          <w:color w:val="auto"/>
          <w:szCs w:val="24"/>
          <w:highlight w:val="none"/>
        </w:rPr>
      </w:pPr>
      <w:r>
        <w:rPr>
          <w:rFonts w:hint="eastAsia" w:ascii="宋体" w:hAnsi="宋体" w:cs="宋体"/>
          <w:b/>
          <w:color w:val="auto"/>
          <w:sz w:val="84"/>
          <w:szCs w:val="84"/>
          <w:highlight w:val="none"/>
        </w:rPr>
        <w:t>招 标 文 件</w:t>
      </w:r>
    </w:p>
    <w:p>
      <w:pPr>
        <w:kinsoku/>
        <w:overflowPunct/>
        <w:bidi w:val="0"/>
        <w:spacing w:line="360" w:lineRule="auto"/>
        <w:jc w:val="center"/>
        <w:textAlignment w:val="auto"/>
        <w:rPr>
          <w:rFonts w:hint="eastAsia" w:ascii="宋体" w:hAnsi="宋体" w:cs="宋体"/>
          <w:b/>
          <w:color w:val="auto"/>
          <w:sz w:val="32"/>
          <w:szCs w:val="84"/>
          <w:highlight w:val="none"/>
        </w:rPr>
      </w:pPr>
    </w:p>
    <w:p>
      <w:pPr>
        <w:kinsoku/>
        <w:bidi w:val="0"/>
        <w:spacing w:line="360" w:lineRule="auto"/>
        <w:ind w:firstLine="683"/>
        <w:contextualSpacing/>
        <w:jc w:val="center"/>
        <w:rPr>
          <w:rFonts w:ascii="宋体" w:hAnsi="宋体" w:cs="宋体"/>
          <w:b/>
          <w:bCs/>
          <w:color w:val="auto"/>
          <w:spacing w:val="10"/>
          <w:kern w:val="10"/>
          <w:sz w:val="32"/>
          <w:szCs w:val="32"/>
          <w:highlight w:val="none"/>
        </w:rPr>
      </w:pPr>
      <w:r>
        <w:rPr>
          <w:rFonts w:hint="eastAsia" w:ascii="宋体" w:hAnsi="宋体" w:cs="宋体"/>
          <w:b/>
          <w:bCs/>
          <w:color w:val="auto"/>
          <w:spacing w:val="10"/>
          <w:kern w:val="10"/>
          <w:sz w:val="32"/>
          <w:szCs w:val="32"/>
          <w:highlight w:val="none"/>
        </w:rPr>
        <w:t>（全流程电子化不见面开标）</w:t>
      </w:r>
    </w:p>
    <w:p>
      <w:pPr>
        <w:pStyle w:val="8"/>
        <w:kinsoku/>
        <w:overflowPunct/>
        <w:bidi w:val="0"/>
        <w:spacing w:line="360" w:lineRule="auto"/>
        <w:textAlignment w:val="auto"/>
        <w:rPr>
          <w:rFonts w:hint="eastAsia" w:ascii="宋体" w:hAnsi="宋体" w:cs="宋体"/>
          <w:b/>
          <w:color w:val="auto"/>
          <w:sz w:val="32"/>
          <w:szCs w:val="84"/>
          <w:highlight w:val="none"/>
        </w:rPr>
      </w:pPr>
    </w:p>
    <w:p>
      <w:pPr>
        <w:pStyle w:val="15"/>
        <w:kinsoku/>
        <w:overflowPunct/>
        <w:bidi w:val="0"/>
        <w:spacing w:line="360" w:lineRule="auto"/>
        <w:textAlignment w:val="auto"/>
        <w:rPr>
          <w:rFonts w:hint="eastAsia"/>
          <w:color w:val="auto"/>
          <w:highlight w:val="none"/>
        </w:rPr>
      </w:pPr>
    </w:p>
    <w:p>
      <w:pPr>
        <w:kinsoku/>
        <w:overflowPunct/>
        <w:bidi w:val="0"/>
        <w:spacing w:line="360" w:lineRule="auto"/>
        <w:jc w:val="center"/>
        <w:textAlignment w:val="auto"/>
        <w:outlineLvl w:val="0"/>
        <w:rPr>
          <w:rFonts w:hint="eastAsia" w:ascii="宋体" w:hAnsi="宋体" w:cs="宋体"/>
          <w:color w:val="auto"/>
          <w:sz w:val="28"/>
          <w:szCs w:val="28"/>
          <w:highlight w:val="none"/>
        </w:rPr>
      </w:pPr>
    </w:p>
    <w:p>
      <w:pPr>
        <w:kinsoku/>
        <w:overflowPunct/>
        <w:bidi w:val="0"/>
        <w:spacing w:line="360" w:lineRule="auto"/>
        <w:jc w:val="both"/>
        <w:textAlignment w:val="auto"/>
        <w:outlineLvl w:val="0"/>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项目名称：</w:t>
      </w:r>
      <w:r>
        <w:rPr>
          <w:rFonts w:hint="eastAsia" w:ascii="宋体" w:hAnsi="宋体" w:cs="宋体"/>
          <w:b/>
          <w:bCs/>
          <w:color w:val="auto"/>
          <w:sz w:val="28"/>
          <w:szCs w:val="28"/>
          <w:highlight w:val="none"/>
          <w:lang w:eastAsia="zh-CN"/>
        </w:rPr>
        <w:t>水稻无人农场示范基地建设项目</w:t>
      </w:r>
    </w:p>
    <w:p>
      <w:pPr>
        <w:kinsoku/>
        <w:overflowPunct/>
        <w:bidi w:val="0"/>
        <w:spacing w:line="360" w:lineRule="auto"/>
        <w:jc w:val="both"/>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JSZC-321203-HQGC-G2024-0037</w:t>
      </w:r>
    </w:p>
    <w:p>
      <w:pPr>
        <w:kinsoku/>
        <w:overflowPunct/>
        <w:bidi w:val="0"/>
        <w:spacing w:line="360" w:lineRule="auto"/>
        <w:jc w:val="left"/>
        <w:textAlignment w:val="auto"/>
        <w:rPr>
          <w:rFonts w:hint="eastAsia" w:ascii="Times New Roman" w:hAnsi="Times New Roman" w:eastAsia="宋体"/>
          <w:b/>
          <w:bCs/>
          <w:color w:val="auto"/>
          <w:szCs w:val="24"/>
          <w:highlight w:val="none"/>
          <w:lang w:eastAsia="zh-CN"/>
        </w:rPr>
      </w:pPr>
      <w:r>
        <w:rPr>
          <w:rFonts w:hint="eastAsia" w:ascii="宋体" w:hAnsi="宋体" w:cs="宋体"/>
          <w:b/>
          <w:bCs/>
          <w:color w:val="auto"/>
          <w:sz w:val="28"/>
          <w:szCs w:val="28"/>
          <w:highlight w:val="none"/>
          <w:lang w:eastAsia="zh-CN"/>
        </w:rPr>
        <w:t>招标人</w:t>
      </w: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eastAsia="zh-CN"/>
        </w:rPr>
        <w:t>江苏省高港现代农业产业园区管理办公室</w:t>
      </w:r>
    </w:p>
    <w:p>
      <w:pPr>
        <w:kinsoku/>
        <w:overflowPunct/>
        <w:bidi w:val="0"/>
        <w:spacing w:line="360" w:lineRule="auto"/>
        <w:ind w:firstLine="480"/>
        <w:jc w:val="center"/>
        <w:textAlignment w:val="auto"/>
        <w:rPr>
          <w:rFonts w:hint="eastAsia" w:ascii="宋体" w:hAnsi="宋体" w:eastAsia="宋体" w:cs="宋体"/>
          <w:b w:val="0"/>
          <w:bCs w:val="0"/>
          <w:color w:val="auto"/>
          <w:sz w:val="28"/>
          <w:szCs w:val="28"/>
          <w:highlight w:val="none"/>
          <w:lang w:eastAsia="zh-CN"/>
        </w:rPr>
      </w:pPr>
    </w:p>
    <w:p>
      <w:pPr>
        <w:kinsoku/>
        <w:overflowPunct/>
        <w:bidi w:val="0"/>
        <w:spacing w:line="360" w:lineRule="auto"/>
        <w:ind w:firstLine="480"/>
        <w:jc w:val="center"/>
        <w:textAlignment w:val="auto"/>
        <w:rPr>
          <w:rFonts w:hint="eastAsia" w:ascii="宋体" w:hAnsi="宋体" w:eastAsia="宋体" w:cs="宋体"/>
          <w:b w:val="0"/>
          <w:bCs w:val="0"/>
          <w:color w:val="auto"/>
          <w:sz w:val="28"/>
          <w:szCs w:val="28"/>
          <w:highlight w:val="none"/>
          <w:lang w:eastAsia="zh-CN"/>
        </w:rPr>
      </w:pPr>
    </w:p>
    <w:p>
      <w:pPr>
        <w:kinsoku/>
        <w:overflowPunct/>
        <w:bidi w:val="0"/>
        <w:spacing w:line="360" w:lineRule="auto"/>
        <w:ind w:firstLine="480"/>
        <w:jc w:val="center"/>
        <w:textAlignment w:val="auto"/>
        <w:rPr>
          <w:rFonts w:hint="eastAsia" w:ascii="宋体" w:hAnsi="宋体" w:eastAsia="宋体" w:cs="宋体"/>
          <w:b w:val="0"/>
          <w:bCs w:val="0"/>
          <w:color w:val="auto"/>
          <w:sz w:val="28"/>
          <w:szCs w:val="28"/>
          <w:highlight w:val="none"/>
          <w:lang w:eastAsia="zh-CN"/>
        </w:rPr>
      </w:pPr>
    </w:p>
    <w:p>
      <w:pPr>
        <w:kinsoku/>
        <w:overflowPunct/>
        <w:bidi w:val="0"/>
        <w:spacing w:line="360" w:lineRule="auto"/>
        <w:jc w:val="center"/>
        <w:textAlignment w:val="auto"/>
        <w:rPr>
          <w:rFonts w:hint="eastAsia" w:ascii="Times New Roman" w:hAnsi="Times New Roman" w:eastAsia="宋体"/>
          <w:color w:val="auto"/>
          <w:szCs w:val="24"/>
          <w:highlight w:val="none"/>
          <w:lang w:eastAsia="zh-CN"/>
        </w:rPr>
      </w:pPr>
      <w:r>
        <w:rPr>
          <w:rFonts w:hint="eastAsia" w:ascii="宋体" w:hAnsi="宋体" w:cs="宋体"/>
          <w:b/>
          <w:bCs/>
          <w:color w:val="auto"/>
          <w:sz w:val="28"/>
          <w:szCs w:val="28"/>
          <w:highlight w:val="none"/>
        </w:rPr>
        <w:t>招标代理单位：</w:t>
      </w:r>
      <w:r>
        <w:rPr>
          <w:rFonts w:hint="eastAsia" w:ascii="宋体" w:hAnsi="宋体" w:cs="宋体"/>
          <w:b/>
          <w:bCs/>
          <w:color w:val="auto"/>
          <w:sz w:val="28"/>
          <w:szCs w:val="28"/>
          <w:highlight w:val="none"/>
          <w:lang w:eastAsia="zh-CN"/>
        </w:rPr>
        <w:t>江苏华强工程投资管理咨询有限公司</w:t>
      </w:r>
    </w:p>
    <w:p>
      <w:pPr>
        <w:kinsoku/>
        <w:overflowPunct/>
        <w:bidi w:val="0"/>
        <w:spacing w:line="360" w:lineRule="auto"/>
        <w:jc w:val="center"/>
        <w:textAlignment w:val="auto"/>
        <w:rPr>
          <w:rFonts w:ascii="宋体" w:hAnsi="宋体" w:cs="宋体"/>
          <w:color w:val="auto"/>
          <w:sz w:val="28"/>
          <w:szCs w:val="28"/>
          <w:highlight w:val="none"/>
        </w:rPr>
      </w:pPr>
    </w:p>
    <w:p>
      <w:pPr>
        <w:kinsoku/>
        <w:overflowPunct/>
        <w:bidi w:val="0"/>
        <w:spacing w:line="360" w:lineRule="auto"/>
        <w:jc w:val="center"/>
        <w:textAlignment w:val="auto"/>
        <w:rPr>
          <w:rFonts w:hint="eastAsia" w:ascii="Times New Roman" w:hAnsi="Times New Roman"/>
          <w:b/>
          <w:bCs/>
          <w:color w:val="auto"/>
          <w:szCs w:val="24"/>
          <w:highlight w:val="none"/>
        </w:rPr>
      </w:pPr>
      <w:r>
        <w:rPr>
          <w:rFonts w:hint="eastAsia" w:ascii="宋体" w:hAnsi="宋体" w:cs="宋体"/>
          <w:b/>
          <w:bCs/>
          <w:color w:val="auto"/>
          <w:sz w:val="28"/>
          <w:szCs w:val="28"/>
          <w:highlight w:val="none"/>
          <w:lang w:val="en-US" w:eastAsia="zh-CN"/>
        </w:rPr>
        <w:t>二〇二四年六月</w:t>
      </w:r>
    </w:p>
    <w:p>
      <w:pPr>
        <w:kinsoku/>
        <w:overflowPunct/>
        <w:bidi w:val="0"/>
        <w:spacing w:line="360" w:lineRule="auto"/>
        <w:jc w:val="center"/>
        <w:textAlignment w:val="auto"/>
        <w:rPr>
          <w:rFonts w:ascii="宋体" w:hAnsi="宋体"/>
          <w:color w:val="auto"/>
          <w:szCs w:val="24"/>
          <w:highlight w:val="none"/>
        </w:rPr>
      </w:pPr>
    </w:p>
    <w:p>
      <w:pPr>
        <w:kinsoku/>
        <w:overflowPunct/>
        <w:bidi w:val="0"/>
        <w:spacing w:line="360" w:lineRule="auto"/>
        <w:jc w:val="center"/>
        <w:textAlignment w:val="auto"/>
        <w:rPr>
          <w:rFonts w:hint="eastAsia" w:ascii="宋体" w:hAnsi="宋体"/>
          <w:color w:val="auto"/>
          <w:szCs w:val="24"/>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insoku/>
        <w:overflowPunct/>
        <w:bidi w:val="0"/>
        <w:spacing w:line="360" w:lineRule="auto"/>
        <w:jc w:val="center"/>
        <w:textAlignment w:val="auto"/>
        <w:rPr>
          <w:rFonts w:hint="eastAsia" w:ascii="宋体" w:hAnsi="宋体"/>
          <w:color w:val="auto"/>
          <w:szCs w:val="24"/>
          <w:highlight w:val="none"/>
        </w:rPr>
      </w:pPr>
    </w:p>
    <w:p>
      <w:pPr>
        <w:kinsoku/>
        <w:overflowPunct/>
        <w:bidi w:val="0"/>
        <w:spacing w:line="360" w:lineRule="auto"/>
        <w:jc w:val="center"/>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目   录</w:t>
      </w:r>
    </w:p>
    <w:p>
      <w:pPr>
        <w:widowControl/>
        <w:tabs>
          <w:tab w:val="right" w:leader="dot" w:pos="8312"/>
        </w:tabs>
        <w:kinsoku/>
        <w:overflowPunct/>
        <w:bidi w:val="0"/>
        <w:spacing w:line="360" w:lineRule="auto"/>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TOC \o "1-1" \h \u </w:instrText>
      </w:r>
      <w:r>
        <w:rPr>
          <w:rFonts w:ascii="宋体" w:hAnsi="宋体" w:cs="宋体"/>
          <w:color w:val="auto"/>
          <w:kern w:val="0"/>
          <w:sz w:val="24"/>
          <w:szCs w:val="24"/>
          <w:highlight w:val="none"/>
        </w:rPr>
        <w:fldChar w:fldCharType="separate"/>
      </w:r>
    </w:p>
    <w:p>
      <w:pPr>
        <w:widowControl/>
        <w:tabs>
          <w:tab w:val="right" w:leader="dot" w:pos="8312"/>
        </w:tabs>
        <w:kinsoku/>
        <w:overflowPunct/>
        <w:bidi w:val="0"/>
        <w:spacing w:line="360" w:lineRule="auto"/>
        <w:jc w:val="left"/>
        <w:textAlignment w:val="auto"/>
        <w:rPr>
          <w:rFonts w:hint="eastAsia" w:ascii="宋体" w:hAnsi="宋体" w:cs="宋体"/>
          <w:color w:val="auto"/>
          <w:kern w:val="0"/>
          <w:sz w:val="24"/>
          <w:szCs w:val="24"/>
          <w:highlight w:val="none"/>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"_Toc12047"</w:instrText>
      </w:r>
      <w:r>
        <w:rPr>
          <w:rFonts w:ascii="宋体" w:hAnsi="宋体" w:cs="宋体"/>
          <w:color w:val="auto"/>
          <w:kern w:val="0"/>
          <w:sz w:val="24"/>
          <w:szCs w:val="24"/>
          <w:highlight w:val="none"/>
        </w:rPr>
        <w:fldChar w:fldCharType="separate"/>
      </w:r>
      <w:r>
        <w:rPr>
          <w:rFonts w:hint="eastAsia" w:ascii="宋体" w:hAnsi="宋体" w:cs="宋体"/>
          <w:bCs/>
          <w:color w:val="auto"/>
          <w:kern w:val="0"/>
          <w:sz w:val="24"/>
          <w:szCs w:val="24"/>
          <w:highlight w:val="none"/>
        </w:rPr>
        <w:t xml:space="preserve">第一章  </w:t>
      </w:r>
      <w:r>
        <w:rPr>
          <w:rFonts w:hint="eastAsia" w:ascii="宋体" w:hAnsi="宋体" w:cs="宋体"/>
          <w:color w:val="auto"/>
          <w:kern w:val="0"/>
          <w:sz w:val="24"/>
          <w:szCs w:val="24"/>
          <w:highlight w:val="none"/>
        </w:rPr>
        <w:t>招标公告</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PAGEREF _Toc12047 \h </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3</w:t>
      </w:r>
      <w:r>
        <w:rPr>
          <w:rFonts w:hint="eastAsia" w:ascii="宋体" w:hAnsi="宋体" w:cs="宋体"/>
          <w:color w:val="auto"/>
          <w:kern w:val="0"/>
          <w:sz w:val="24"/>
          <w:szCs w:val="24"/>
          <w:highlight w:val="none"/>
        </w:rPr>
        <w:fldChar w:fldCharType="end"/>
      </w:r>
      <w:r>
        <w:rPr>
          <w:rFonts w:ascii="宋体" w:hAnsi="宋体" w:cs="宋体"/>
          <w:color w:val="auto"/>
          <w:kern w:val="0"/>
          <w:sz w:val="24"/>
          <w:szCs w:val="24"/>
          <w:highlight w:val="none"/>
        </w:rPr>
        <w:fldChar w:fldCharType="end"/>
      </w:r>
    </w:p>
    <w:p>
      <w:pPr>
        <w:widowControl/>
        <w:tabs>
          <w:tab w:val="right" w:leader="dot" w:pos="8312"/>
        </w:tabs>
        <w:kinsoku/>
        <w:overflowPunct/>
        <w:bidi w:val="0"/>
        <w:spacing w:line="360" w:lineRule="auto"/>
        <w:jc w:val="left"/>
        <w:textAlignment w:val="auto"/>
        <w:rPr>
          <w:rFonts w:hint="eastAsia" w:ascii="宋体" w:hAnsi="宋体" w:cs="宋体"/>
          <w:color w:val="auto"/>
          <w:kern w:val="0"/>
          <w:sz w:val="24"/>
          <w:szCs w:val="24"/>
          <w:highlight w:val="none"/>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"_Toc21299"</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第二章  投标人须知</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PAGEREF _Toc21299 \h </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6</w:t>
      </w:r>
      <w:r>
        <w:rPr>
          <w:rFonts w:hint="eastAsia" w:ascii="宋体" w:hAnsi="宋体" w:cs="宋体"/>
          <w:color w:val="auto"/>
          <w:kern w:val="0"/>
          <w:sz w:val="24"/>
          <w:szCs w:val="24"/>
          <w:highlight w:val="none"/>
        </w:rPr>
        <w:fldChar w:fldCharType="end"/>
      </w:r>
      <w:r>
        <w:rPr>
          <w:rFonts w:ascii="宋体" w:hAnsi="宋体" w:cs="宋体"/>
          <w:color w:val="auto"/>
          <w:kern w:val="0"/>
          <w:sz w:val="24"/>
          <w:szCs w:val="24"/>
          <w:highlight w:val="none"/>
        </w:rPr>
        <w:fldChar w:fldCharType="end"/>
      </w:r>
    </w:p>
    <w:p>
      <w:pPr>
        <w:widowControl/>
        <w:tabs>
          <w:tab w:val="right" w:leader="dot" w:pos="8312"/>
        </w:tabs>
        <w:kinsoku/>
        <w:overflowPunct/>
        <w:bidi w:val="0"/>
        <w:spacing w:line="360" w:lineRule="auto"/>
        <w:jc w:val="left"/>
        <w:textAlignment w:val="auto"/>
        <w:rPr>
          <w:rFonts w:hint="eastAsia" w:ascii="宋体" w:hAnsi="宋体" w:cs="宋体"/>
          <w:color w:val="auto"/>
          <w:kern w:val="0"/>
          <w:sz w:val="24"/>
          <w:szCs w:val="24"/>
          <w:highlight w:val="none"/>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"_Toc31075"</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第三章  政府采购合同（参考）</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PAGEREF _Toc31075 \h </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fldChar w:fldCharType="end"/>
      </w:r>
      <w:r>
        <w:rPr>
          <w:rFonts w:ascii="宋体" w:hAnsi="宋体" w:cs="宋体"/>
          <w:color w:val="auto"/>
          <w:kern w:val="0"/>
          <w:sz w:val="24"/>
          <w:szCs w:val="24"/>
          <w:highlight w:val="none"/>
        </w:rPr>
        <w:fldChar w:fldCharType="end"/>
      </w:r>
    </w:p>
    <w:p>
      <w:pPr>
        <w:widowControl/>
        <w:tabs>
          <w:tab w:val="right" w:leader="dot" w:pos="8312"/>
        </w:tabs>
        <w:kinsoku/>
        <w:overflowPunct/>
        <w:bidi w:val="0"/>
        <w:spacing w:line="360" w:lineRule="auto"/>
        <w:jc w:val="left"/>
        <w:textAlignment w:val="auto"/>
        <w:rPr>
          <w:rFonts w:hint="eastAsia" w:ascii="宋体" w:hAnsi="宋体" w:cs="宋体"/>
          <w:color w:val="auto"/>
          <w:kern w:val="0"/>
          <w:sz w:val="24"/>
          <w:szCs w:val="24"/>
          <w:highlight w:val="none"/>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"_Toc1588"</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第四章  项目内容及基本要求</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PAGEREF _Toc1588 \h </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fldChar w:fldCharType="end"/>
      </w:r>
      <w:r>
        <w:rPr>
          <w:rFonts w:ascii="宋体" w:hAnsi="宋体" w:cs="宋体"/>
          <w:color w:val="auto"/>
          <w:kern w:val="0"/>
          <w:sz w:val="24"/>
          <w:szCs w:val="24"/>
          <w:highlight w:val="none"/>
        </w:rPr>
        <w:fldChar w:fldCharType="end"/>
      </w:r>
    </w:p>
    <w:p>
      <w:pPr>
        <w:widowControl/>
        <w:tabs>
          <w:tab w:val="right" w:leader="dot" w:pos="8312"/>
        </w:tabs>
        <w:kinsoku/>
        <w:overflowPunct/>
        <w:bidi w:val="0"/>
        <w:spacing w:line="360" w:lineRule="auto"/>
        <w:jc w:val="left"/>
        <w:textAlignment w:val="auto"/>
        <w:rPr>
          <w:rFonts w:hint="eastAsia" w:ascii="宋体" w:hAnsi="宋体" w:eastAsia="宋体" w:cs="宋体"/>
          <w:color w:val="auto"/>
          <w:kern w:val="0"/>
          <w:sz w:val="24"/>
          <w:szCs w:val="24"/>
          <w:highlight w:val="none"/>
          <w:lang w:val="en-US" w:eastAsia="zh-CN"/>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"_Toc15397"</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第五章  评审办法</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lang w:val="en-US" w:eastAsia="zh-CN"/>
        </w:rPr>
        <w:t>5</w:t>
      </w:r>
      <w:r>
        <w:rPr>
          <w:rFonts w:ascii="宋体" w:hAnsi="宋体" w:cs="宋体"/>
          <w:color w:val="auto"/>
          <w:kern w:val="0"/>
          <w:sz w:val="24"/>
          <w:szCs w:val="24"/>
          <w:highlight w:val="none"/>
        </w:rPr>
        <w:fldChar w:fldCharType="end"/>
      </w:r>
      <w:r>
        <w:rPr>
          <w:rFonts w:hint="eastAsia" w:ascii="宋体" w:hAnsi="宋体" w:cs="宋体"/>
          <w:color w:val="auto"/>
          <w:kern w:val="0"/>
          <w:sz w:val="24"/>
          <w:szCs w:val="24"/>
          <w:highlight w:val="none"/>
          <w:lang w:val="en-US" w:eastAsia="zh-CN"/>
        </w:rPr>
        <w:t>9</w:t>
      </w:r>
    </w:p>
    <w:p>
      <w:pPr>
        <w:widowControl/>
        <w:tabs>
          <w:tab w:val="right" w:leader="dot" w:pos="8312"/>
        </w:tabs>
        <w:kinsoku/>
        <w:overflowPunct/>
        <w:bidi w:val="0"/>
        <w:spacing w:line="360" w:lineRule="auto"/>
        <w:jc w:val="left"/>
        <w:textAlignment w:val="auto"/>
        <w:rPr>
          <w:rFonts w:hint="eastAsia" w:ascii="宋体" w:hAnsi="宋体" w:eastAsia="宋体" w:cs="宋体"/>
          <w:color w:val="auto"/>
          <w:kern w:val="0"/>
          <w:sz w:val="24"/>
          <w:szCs w:val="24"/>
          <w:highlight w:val="none"/>
          <w:lang w:val="en-US" w:eastAsia="zh-CN"/>
        </w:rPr>
      </w:pPr>
      <w:r>
        <w:rPr>
          <w:rFonts w:ascii="宋体" w:hAnsi="宋体" w:cs="宋体"/>
          <w:color w:val="auto"/>
          <w:kern w:val="0"/>
          <w:sz w:val="24"/>
          <w:szCs w:val="24"/>
          <w:highlight w:val="none"/>
        </w:rPr>
        <w:fldChar w:fldCharType="begin"/>
      </w:r>
      <w:r>
        <w:rPr>
          <w:rFonts w:ascii="宋体" w:hAnsi="宋体" w:cs="宋体"/>
          <w:color w:val="auto"/>
          <w:kern w:val="0"/>
          <w:sz w:val="24"/>
          <w:szCs w:val="24"/>
          <w:highlight w:val="none"/>
        </w:rPr>
        <w:instrText xml:space="preserve">HYPERLINK "2023年泰州市区储备、上市地块土壤污染状况调查项目招标文件11.16.doc" \l "_Toc15528"</w:instrText>
      </w:r>
      <w:r>
        <w:rPr>
          <w:rFonts w:ascii="宋体" w:hAnsi="宋体" w:cs="宋体"/>
          <w:color w:val="auto"/>
          <w:kern w:val="0"/>
          <w:sz w:val="24"/>
          <w:szCs w:val="24"/>
          <w:highlight w:val="none"/>
        </w:rPr>
        <w:fldChar w:fldCharType="separate"/>
      </w:r>
      <w:r>
        <w:rPr>
          <w:rFonts w:hint="eastAsia" w:ascii="宋体" w:hAnsi="宋体" w:cs="宋体"/>
          <w:color w:val="auto"/>
          <w:kern w:val="0"/>
          <w:sz w:val="24"/>
          <w:szCs w:val="24"/>
          <w:highlight w:val="none"/>
        </w:rPr>
        <w:t>第六章  投标文件格式</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lang w:val="en-US" w:eastAsia="zh-CN"/>
        </w:rPr>
        <w:t>6</w:t>
      </w:r>
      <w:r>
        <w:rPr>
          <w:rFonts w:ascii="宋体" w:hAnsi="宋体" w:cs="宋体"/>
          <w:color w:val="auto"/>
          <w:kern w:val="0"/>
          <w:sz w:val="24"/>
          <w:szCs w:val="24"/>
          <w:highlight w:val="none"/>
        </w:rPr>
        <w:fldChar w:fldCharType="end"/>
      </w:r>
      <w:r>
        <w:rPr>
          <w:rFonts w:hint="eastAsia" w:ascii="宋体" w:hAnsi="宋体" w:cs="宋体"/>
          <w:color w:val="auto"/>
          <w:kern w:val="0"/>
          <w:sz w:val="24"/>
          <w:szCs w:val="24"/>
          <w:highlight w:val="none"/>
          <w:lang w:val="en-US" w:eastAsia="zh-CN"/>
        </w:rPr>
        <w:t>7</w:t>
      </w:r>
      <w:bookmarkStart w:id="44" w:name="_GoBack"/>
      <w:bookmarkEnd w:id="44"/>
    </w:p>
    <w:p>
      <w:pPr>
        <w:kinsoku/>
        <w:overflowPunct/>
        <w:bidi w:val="0"/>
        <w:spacing w:line="360" w:lineRule="auto"/>
        <w:ind w:right="181"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end"/>
      </w: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kinsoku/>
        <w:overflowPunct/>
        <w:bidi w:val="0"/>
        <w:spacing w:line="360" w:lineRule="auto"/>
        <w:ind w:right="181" w:firstLine="480"/>
        <w:textAlignment w:val="auto"/>
        <w:rPr>
          <w:rFonts w:hint="eastAsia" w:ascii="宋体" w:hAnsi="宋体" w:cs="宋体"/>
          <w:color w:val="auto"/>
          <w:sz w:val="28"/>
          <w:szCs w:val="28"/>
          <w:highlight w:val="none"/>
        </w:rPr>
      </w:pPr>
    </w:p>
    <w:p>
      <w:pPr>
        <w:pStyle w:val="5"/>
        <w:kinsoku/>
        <w:overflowPunct/>
        <w:bidi w:val="0"/>
        <w:spacing w:line="360" w:lineRule="auto"/>
        <w:textAlignment w:val="auto"/>
        <w:rPr>
          <w:rFonts w:hint="eastAsia"/>
          <w:color w:val="auto"/>
          <w:highlight w:val="none"/>
        </w:rPr>
      </w:pPr>
    </w:p>
    <w:p>
      <w:pPr>
        <w:kinsoku/>
        <w:overflowPunct/>
        <w:bidi w:val="0"/>
        <w:spacing w:line="360" w:lineRule="auto"/>
        <w:ind w:right="181"/>
        <w:textAlignment w:val="auto"/>
        <w:rPr>
          <w:rFonts w:hint="eastAsia" w:ascii="宋体" w:hAnsi="宋体" w:cs="宋体"/>
          <w:color w:val="auto"/>
          <w:sz w:val="28"/>
          <w:szCs w:val="28"/>
          <w:highlight w:val="none"/>
        </w:rPr>
      </w:pPr>
    </w:p>
    <w:p>
      <w:pPr>
        <w:keepNext/>
        <w:keepLines/>
        <w:numPr>
          <w:ilvl w:val="0"/>
          <w:numId w:val="2"/>
        </w:numPr>
        <w:kinsoku/>
        <w:overflowPunct/>
        <w:bidi w:val="0"/>
        <w:spacing w:before="340" w:after="330" w:line="360" w:lineRule="auto"/>
        <w:jc w:val="center"/>
        <w:textAlignment w:val="auto"/>
        <w:outlineLvl w:val="0"/>
        <w:rPr>
          <w:rFonts w:hint="eastAsia" w:ascii="宋体" w:hAnsi="宋体" w:cs="宋体"/>
          <w:b/>
          <w:bCs/>
          <w:color w:val="auto"/>
          <w:kern w:val="44"/>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12047"/>
    </w:p>
    <w:p>
      <w:pPr>
        <w:keepNext/>
        <w:keepLines/>
        <w:numPr>
          <w:ilvl w:val="0"/>
          <w:numId w:val="2"/>
        </w:numPr>
        <w:kinsoku/>
        <w:overflowPunct/>
        <w:bidi w:val="0"/>
        <w:spacing w:before="340" w:after="330" w:line="360" w:lineRule="auto"/>
        <w:jc w:val="center"/>
        <w:textAlignment w:val="auto"/>
        <w:outlineLvl w:val="0"/>
        <w:rPr>
          <w:rFonts w:hint="eastAsia" w:ascii="宋体" w:hAnsi="宋体" w:cs="宋体"/>
          <w:b/>
          <w:bCs/>
          <w:color w:val="auto"/>
          <w:kern w:val="44"/>
          <w:sz w:val="21"/>
          <w:szCs w:val="21"/>
          <w:highlight w:val="none"/>
        </w:rPr>
      </w:pPr>
      <w:r>
        <w:rPr>
          <w:rFonts w:hint="eastAsia" w:ascii="Times New Roman" w:hAnsi="Times New Roman"/>
          <w:b/>
          <w:color w:val="auto"/>
          <w:kern w:val="44"/>
          <w:sz w:val="21"/>
          <w:szCs w:val="21"/>
          <w:highlight w:val="none"/>
        </w:rPr>
        <w:t>招标公告</w:t>
      </w:r>
      <w:bookmarkEnd w:id="0"/>
    </w:p>
    <w:p>
      <w:pPr>
        <w:pBdr>
          <w:top w:val="single" w:color="000000" w:sz="4" w:space="1"/>
          <w:left w:val="single" w:color="000000" w:sz="4" w:space="4"/>
          <w:bottom w:val="single" w:color="000000" w:sz="4" w:space="1"/>
          <w:right w:val="single" w:color="000000" w:sz="4" w:space="4"/>
        </w:pBdr>
        <w:kinsoku/>
        <w:overflowPunct/>
        <w:bidi w:val="0"/>
        <w:spacing w:line="360" w:lineRule="auto"/>
        <w:textAlignment w:val="auto"/>
        <w:rPr>
          <w:rFonts w:hint="eastAsia" w:ascii="宋体" w:hAnsi="宋体" w:eastAsia="宋体" w:cs="宋体"/>
          <w:color w:val="auto"/>
          <w:sz w:val="21"/>
          <w:szCs w:val="21"/>
          <w:highlight w:val="none"/>
        </w:rPr>
      </w:pPr>
      <w:bookmarkStart w:id="1" w:name="_Hlk117514583"/>
      <w:r>
        <w:rPr>
          <w:rFonts w:hint="eastAsia" w:ascii="宋体" w:hAnsi="宋体" w:eastAsia="宋体" w:cs="宋体"/>
          <w:color w:val="auto"/>
          <w:sz w:val="21"/>
          <w:szCs w:val="21"/>
          <w:highlight w:val="none"/>
        </w:rPr>
        <w:t>项目概况</w:t>
      </w:r>
    </w:p>
    <w:p>
      <w:pPr>
        <w:pBdr>
          <w:top w:val="single" w:color="000000" w:sz="4" w:space="1"/>
          <w:left w:val="single" w:color="000000" w:sz="4" w:space="4"/>
          <w:bottom w:val="single" w:color="000000" w:sz="4" w:space="1"/>
          <w:right w:val="single" w:color="000000" w:sz="4" w:space="4"/>
        </w:pBdr>
        <w:kinsoku/>
        <w:overflowPunct/>
        <w:bidi w:val="0"/>
        <w:spacing w:line="360" w:lineRule="auto"/>
        <w:ind w:firstLine="48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u w:val="single"/>
          <w:lang w:eastAsia="zh-CN"/>
        </w:rPr>
        <w:t>水稻无人农场示范基地建设项目</w:t>
      </w:r>
      <w:r>
        <w:rPr>
          <w:rFonts w:hint="eastAsia" w:ascii="宋体" w:hAnsi="宋体" w:eastAsia="宋体" w:cs="宋体"/>
          <w:color w:val="auto"/>
          <w:sz w:val="21"/>
          <w:szCs w:val="21"/>
          <w:highlight w:val="none"/>
        </w:rPr>
        <w:t>的潜</w:t>
      </w:r>
      <w:r>
        <w:rPr>
          <w:rFonts w:hint="eastAsia" w:ascii="宋体" w:hAnsi="宋体" w:eastAsia="宋体" w:cs="宋体"/>
          <w:color w:val="auto"/>
          <w:sz w:val="21"/>
          <w:szCs w:val="21"/>
          <w:highlight w:val="none"/>
          <w:lang w:val="en-US" w:eastAsia="zh-CN"/>
        </w:rPr>
        <w:t>在投标人应在</w:t>
      </w:r>
      <w:r>
        <w:rPr>
          <w:rFonts w:hint="eastAsia" w:ascii="宋体" w:hAnsi="宋体" w:cs="宋体"/>
          <w:color w:val="auto"/>
          <w:sz w:val="21"/>
          <w:szCs w:val="21"/>
          <w:highlight w:val="none"/>
          <w:u w:val="single"/>
        </w:rPr>
        <w:t>江苏政府采购“苏采云”系统</w:t>
      </w:r>
      <w:r>
        <w:rPr>
          <w:rFonts w:hint="eastAsia" w:ascii="宋体" w:hAnsi="宋体" w:cs="宋体"/>
          <w:color w:val="auto"/>
          <w:sz w:val="21"/>
          <w:szCs w:val="21"/>
          <w:highlight w:val="none"/>
        </w:rPr>
        <w:t>获取招标文件</w:t>
      </w:r>
      <w:r>
        <w:rPr>
          <w:rFonts w:hint="eastAsia" w:ascii="宋体" w:hAnsi="宋体" w:eastAsia="宋体" w:cs="宋体"/>
          <w:color w:val="auto"/>
          <w:sz w:val="21"/>
          <w:szCs w:val="21"/>
          <w:highlight w:val="none"/>
          <w:lang w:val="en-US" w:eastAsia="zh-CN"/>
        </w:rPr>
        <w:t>，并于 2024年</w:t>
      </w:r>
      <w:r>
        <w:rPr>
          <w:rFonts w:hint="eastAsia" w:ascii="宋体" w:hAnsi="宋体" w:cs="宋体"/>
          <w:color w:val="auto"/>
          <w:sz w:val="21"/>
          <w:szCs w:val="21"/>
          <w:highlight w:val="none"/>
          <w:lang w:val="en-US" w:eastAsia="zh-CN"/>
        </w:rPr>
        <w:t>7月8日</w:t>
      </w:r>
      <w:r>
        <w:rPr>
          <w:rFonts w:hint="eastAsia" w:ascii="宋体" w:hAnsi="宋体" w:eastAsia="宋体" w:cs="宋体"/>
          <w:color w:val="auto"/>
          <w:sz w:val="21"/>
          <w:szCs w:val="21"/>
          <w:highlight w:val="none"/>
          <w:lang w:val="en-US" w:eastAsia="zh-CN"/>
        </w:rPr>
        <w:t>09点00分（北京时间）前递交投标文件。</w:t>
      </w:r>
    </w:p>
    <w:p>
      <w:pPr>
        <w:kinsoku/>
        <w:overflowPunct/>
        <w:bidi w:val="0"/>
        <w:spacing w:line="360" w:lineRule="auto"/>
        <w:ind w:firstLine="482"/>
        <w:textAlignment w:val="auto"/>
        <w:rPr>
          <w:rFonts w:hint="eastAsia" w:ascii="宋体" w:hAnsi="宋体" w:eastAsia="宋体" w:cs="宋体"/>
          <w:color w:val="auto"/>
          <w:sz w:val="21"/>
          <w:szCs w:val="21"/>
          <w:highlight w:val="none"/>
        </w:rPr>
      </w:pPr>
      <w:bookmarkStart w:id="2" w:name="_Hlk24379207"/>
      <w:r>
        <w:rPr>
          <w:rFonts w:hint="eastAsia" w:ascii="宋体" w:hAnsi="宋体" w:eastAsia="宋体" w:cs="宋体"/>
          <w:b/>
          <w:bCs/>
          <w:color w:val="auto"/>
          <w:sz w:val="21"/>
          <w:szCs w:val="21"/>
          <w:highlight w:val="none"/>
        </w:rPr>
        <w:t>一、项目基本情况</w:t>
      </w:r>
    </w:p>
    <w:bookmarkEnd w:id="2"/>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eastAsia="zh-CN"/>
        </w:rPr>
        <w:t>JSZC-321203-HQGC-G2024-0037</w:t>
      </w:r>
      <w:r>
        <w:rPr>
          <w:rFonts w:hint="eastAsia" w:ascii="宋体" w:hAnsi="宋体" w:eastAsia="宋体" w:cs="宋体"/>
          <w:color w:val="auto"/>
          <w:sz w:val="21"/>
          <w:szCs w:val="21"/>
          <w:highlight w:val="none"/>
        </w:rPr>
        <w:t xml:space="preserve">         </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水稻无人农场示范基地建设项目</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采购方式：</w:t>
      </w:r>
      <w:r>
        <w:rPr>
          <w:rFonts w:hint="eastAsia" w:ascii="宋体" w:hAnsi="宋体" w:eastAsia="宋体" w:cs="宋体"/>
          <w:color w:val="auto"/>
          <w:sz w:val="21"/>
          <w:szCs w:val="21"/>
          <w:highlight w:val="none"/>
          <w:lang w:val="en-US" w:eastAsia="zh-CN"/>
        </w:rPr>
        <w:t>公开招标</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预算金额：人民币</w:t>
      </w:r>
      <w:r>
        <w:rPr>
          <w:rFonts w:hint="eastAsia" w:ascii="宋体" w:hAnsi="宋体" w:cs="宋体"/>
          <w:color w:val="auto"/>
          <w:sz w:val="21"/>
          <w:szCs w:val="21"/>
          <w:highlight w:val="none"/>
          <w:lang w:val="en-US" w:eastAsia="zh-CN"/>
        </w:rPr>
        <w:t>547.73万元</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最高限价：人民币</w:t>
      </w:r>
      <w:r>
        <w:rPr>
          <w:rFonts w:hint="eastAsia" w:ascii="宋体" w:hAnsi="宋体" w:cs="宋体"/>
          <w:color w:val="auto"/>
          <w:sz w:val="21"/>
          <w:szCs w:val="21"/>
          <w:highlight w:val="none"/>
          <w:lang w:val="en-US" w:eastAsia="zh-CN"/>
        </w:rPr>
        <w:t>547.73万元</w:t>
      </w:r>
      <w:r>
        <w:rPr>
          <w:rFonts w:hint="eastAsia" w:ascii="宋体" w:hAnsi="宋体" w:eastAsia="宋体" w:cs="宋体"/>
          <w:color w:val="auto"/>
          <w:sz w:val="21"/>
          <w:szCs w:val="21"/>
          <w:highlight w:val="none"/>
        </w:rPr>
        <w:t>（超过最高限价作废标处理）</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val="en-US" w:eastAsia="zh-CN"/>
        </w:rPr>
        <w:t>本项目拟对所涉地块基础设施进行无人化农场建设和提升、购置智能化作业所需农机及配套设备并进行无人化改造、购置安装精准种植所需配套设备、构建数字化生产管理平台等（具体</w:t>
      </w:r>
      <w:r>
        <w:rPr>
          <w:rFonts w:hint="eastAsia" w:ascii="宋体" w:hAnsi="宋体" w:eastAsia="宋体" w:cs="宋体"/>
          <w:color w:val="auto"/>
          <w:sz w:val="21"/>
          <w:szCs w:val="21"/>
          <w:highlight w:val="none"/>
        </w:rPr>
        <w:t>内容见</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文件第四章）。</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合同履行期限：</w:t>
      </w:r>
      <w:r>
        <w:rPr>
          <w:rFonts w:hint="eastAsia" w:ascii="宋体" w:hAnsi="宋体" w:cs="宋体"/>
          <w:color w:val="auto"/>
          <w:sz w:val="21"/>
          <w:szCs w:val="21"/>
          <w:highlight w:val="none"/>
          <w:lang w:eastAsia="zh-CN"/>
        </w:rPr>
        <w:t>合同签订后，60天内所有货物到达项目现场，30天内完成安装调试及验收。质保期限不少于3年（农机、农机具按照国家三包）。</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本项目不接受联合体，不允许挂靠、转包。</w:t>
      </w:r>
    </w:p>
    <w:p>
      <w:pPr>
        <w:kinsoku/>
        <w:overflowPunct/>
        <w:bidi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二、申请人的资格要求</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（一）满足《中华人民共和国政府采购法》第二十二条规定并提供以下证明材料：</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insoku/>
        <w:overflowPunct/>
        <w:bidi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pageBreakBefore w:val="0"/>
        <w:kinsoku/>
        <w:topLinePunct w:val="0"/>
        <w:bidi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落实政府采购政策需满足的资格要求：</w:t>
      </w:r>
      <w:r>
        <w:rPr>
          <w:rFonts w:hint="eastAsia" w:ascii="宋体" w:hAnsi="宋体" w:eastAsia="宋体" w:cs="宋体"/>
          <w:b/>
          <w:bCs/>
          <w:color w:val="auto"/>
          <w:sz w:val="21"/>
          <w:szCs w:val="21"/>
          <w:highlight w:val="none"/>
        </w:rPr>
        <w:t>本项目属于</w:t>
      </w:r>
      <w:r>
        <w:rPr>
          <w:rFonts w:hint="eastAsia" w:ascii="宋体" w:hAnsi="宋体" w:eastAsia="宋体" w:cs="宋体"/>
          <w:b/>
          <w:bCs/>
          <w:color w:val="auto"/>
          <w:sz w:val="21"/>
          <w:szCs w:val="21"/>
          <w:highlight w:val="none"/>
          <w:lang w:val="en-US" w:eastAsia="zh-CN"/>
        </w:rPr>
        <w:t>制造</w:t>
      </w:r>
      <w:r>
        <w:rPr>
          <w:rFonts w:hint="eastAsia" w:ascii="宋体" w:hAnsi="宋体" w:eastAsia="宋体" w:cs="宋体"/>
          <w:b/>
          <w:bCs/>
          <w:color w:val="auto"/>
          <w:sz w:val="21"/>
          <w:szCs w:val="21"/>
          <w:highlight w:val="none"/>
        </w:rPr>
        <w:t>业，</w:t>
      </w:r>
      <w:r>
        <w:rPr>
          <w:rFonts w:hint="eastAsia" w:ascii="宋体" w:hAnsi="宋体" w:eastAsia="宋体" w:cs="宋体"/>
          <w:b/>
          <w:bCs/>
          <w:color w:val="auto"/>
          <w:sz w:val="21"/>
          <w:szCs w:val="21"/>
          <w:highlight w:val="none"/>
          <w:lang w:val="en-US" w:eastAsia="zh-CN"/>
        </w:rPr>
        <w:t>不</w:t>
      </w:r>
      <w:r>
        <w:rPr>
          <w:rFonts w:hint="eastAsia" w:ascii="宋体" w:hAnsi="宋体" w:eastAsia="宋体" w:cs="宋体"/>
          <w:b/>
          <w:bCs/>
          <w:color w:val="auto"/>
          <w:sz w:val="21"/>
          <w:szCs w:val="21"/>
          <w:highlight w:val="none"/>
        </w:rPr>
        <w:t>专门面向中小微企业、监狱企业、残疾人福利性单位</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投标文件中提供</w:t>
      </w:r>
      <w:r>
        <w:rPr>
          <w:rFonts w:hint="eastAsia" w:ascii="宋体" w:hAnsi="宋体" w:eastAsia="宋体" w:cs="宋体"/>
          <w:b/>
          <w:bCs/>
          <w:color w:val="auto"/>
          <w:sz w:val="21"/>
          <w:szCs w:val="21"/>
          <w:highlight w:val="none"/>
        </w:rPr>
        <w:t>《中小企业声明函》</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根据《政府采购促进中小企业发展管理办法</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江苏省财政厅关于进一步加大政府采购支持中小企业力度的通知》等有关规定，对满足价格扣除条件且在响应文件中提交了《中小企业声明函》等证明文件的</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，对小型和微型企业产品的价格给予10%的扣除。</w:t>
      </w:r>
    </w:p>
    <w:p>
      <w:pPr>
        <w:numPr>
          <w:ilvl w:val="0"/>
          <w:numId w:val="0"/>
        </w:numPr>
        <w:tabs>
          <w:tab w:val="left" w:pos="0"/>
        </w:tabs>
        <w:kinsoku/>
        <w:overflowPunct/>
        <w:bidi w:val="0"/>
        <w:spacing w:line="360" w:lineRule="auto"/>
        <w:ind w:left="480" w:lef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本项目的特定资格要求：</w:t>
      </w:r>
      <w:r>
        <w:rPr>
          <w:rFonts w:hint="eastAsia" w:ascii="宋体" w:hAnsi="宋体" w:eastAsia="宋体" w:cs="宋体"/>
          <w:color w:val="auto"/>
          <w:sz w:val="21"/>
          <w:szCs w:val="21"/>
          <w:highlight w:val="none"/>
          <w:lang w:val="en-US" w:eastAsia="zh-CN"/>
        </w:rPr>
        <w:t>无。</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r>
        <w:rPr>
          <w:rFonts w:hint="eastAsia" w:ascii="宋体" w:hAnsi="宋体" w:cs="宋体"/>
          <w:color w:val="auto"/>
          <w:sz w:val="21"/>
          <w:szCs w:val="21"/>
          <w:highlight w:val="none"/>
        </w:rPr>
        <w:t>在“信用中国”网站（http：//www.creditchina.gov.cn/）中被列入严重失信主体名单的投标人，不得参加投标。</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注：1</w:t>
      </w:r>
      <w:r>
        <w:rPr>
          <w:rFonts w:hint="eastAsia" w:ascii="宋体" w:hAnsi="宋体" w:eastAsia="宋体" w:cs="宋体"/>
          <w:b/>
          <w:color w:val="auto"/>
          <w:sz w:val="21"/>
          <w:szCs w:val="21"/>
          <w:highlight w:val="none"/>
          <w:lang w:val="en-US" w:eastAsia="zh-CN"/>
        </w:rPr>
        <w:t>.</w:t>
      </w:r>
      <w:r>
        <w:rPr>
          <w:rFonts w:hint="eastAsia" w:ascii="宋体" w:hAnsi="宋体" w:eastAsia="宋体" w:cs="宋体"/>
          <w:b/>
          <w:color w:val="auto"/>
          <w:sz w:val="21"/>
          <w:szCs w:val="21"/>
          <w:highlight w:val="none"/>
        </w:rPr>
        <w:t>凡为本采购项目提供整体设计、规范编制或者项目管理、监理、检测等服务的</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，不得再参加本采购项目的其他采购活动；</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w:t>
      </w:r>
      <w:r>
        <w:rPr>
          <w:rFonts w:hint="eastAsia" w:ascii="宋体" w:hAnsi="宋体" w:eastAsia="宋体" w:cs="宋体"/>
          <w:b/>
          <w:color w:val="auto"/>
          <w:sz w:val="21"/>
          <w:szCs w:val="21"/>
          <w:highlight w:val="none"/>
        </w:rPr>
        <w:t>单位法定代表人/负责人为同一人或者存在直接控股、管理关系的不同</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，不得参加同一合同项下的政府采购活动。</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三、获取招标文件</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1.时间：2024年</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17</w:t>
      </w:r>
      <w:r>
        <w:rPr>
          <w:rFonts w:hint="eastAsia" w:ascii="宋体" w:hAnsi="宋体"/>
          <w:color w:val="auto"/>
          <w:sz w:val="21"/>
          <w:szCs w:val="21"/>
          <w:highlight w:val="none"/>
        </w:rPr>
        <w:t>日00:00:00至2024年</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21</w:t>
      </w:r>
      <w:r>
        <w:rPr>
          <w:rFonts w:hint="eastAsia" w:ascii="宋体" w:hAnsi="宋体"/>
          <w:color w:val="auto"/>
          <w:sz w:val="21"/>
          <w:szCs w:val="21"/>
          <w:highlight w:val="none"/>
        </w:rPr>
        <w:t>日</w:t>
      </w:r>
      <w:r>
        <w:rPr>
          <w:rFonts w:hint="eastAsia" w:ascii="宋体" w:hAnsi="宋体"/>
          <w:color w:val="auto"/>
          <w:sz w:val="21"/>
          <w:szCs w:val="21"/>
          <w:highlight w:val="none"/>
          <w:lang w:val="en-US" w:eastAsia="zh-CN"/>
        </w:rPr>
        <w:t>23</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59</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59</w:t>
      </w:r>
      <w:r>
        <w:rPr>
          <w:rFonts w:hint="eastAsia" w:ascii="宋体" w:hAnsi="宋体"/>
          <w:color w:val="auto"/>
          <w:sz w:val="21"/>
          <w:szCs w:val="21"/>
          <w:highlight w:val="none"/>
        </w:rPr>
        <w:t>截止（招标文件的获取期限自开始之日起不得少于5个工作日）</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2.地点：</w:t>
      </w:r>
      <w:r>
        <w:rPr>
          <w:rFonts w:hint="eastAsia" w:ascii="宋体" w:hAnsi="宋体"/>
          <w:color w:val="auto"/>
          <w:sz w:val="21"/>
          <w:szCs w:val="21"/>
          <w:highlight w:val="none"/>
          <w:lang w:val="en-US" w:eastAsia="zh-CN"/>
        </w:rPr>
        <w:t>供应商</w:t>
      </w:r>
      <w:r>
        <w:rPr>
          <w:rFonts w:hint="eastAsia" w:ascii="宋体" w:hAnsi="宋体"/>
          <w:color w:val="auto"/>
          <w:sz w:val="21"/>
          <w:szCs w:val="21"/>
          <w:highlight w:val="none"/>
        </w:rPr>
        <w:t>完成注册并办理CA证书后登录“江苏政府采购“苏采云”系统”，免费下载本项目招标文件。</w:t>
      </w:r>
    </w:p>
    <w:p>
      <w:pPr>
        <w:kinsoku/>
        <w:bidi w:val="0"/>
        <w:spacing w:line="360" w:lineRule="auto"/>
        <w:ind w:firstLine="315" w:firstLineChars="150"/>
        <w:contextualSpacing/>
        <w:rPr>
          <w:rFonts w:ascii="宋体" w:hAnsi="宋体"/>
          <w:color w:val="auto"/>
          <w:sz w:val="21"/>
          <w:szCs w:val="21"/>
          <w:highlight w:val="none"/>
          <w:lang w:val="zh-CN"/>
        </w:rPr>
      </w:pPr>
      <w:r>
        <w:rPr>
          <w:rFonts w:hint="eastAsia" w:ascii="宋体" w:hAnsi="宋体"/>
          <w:color w:val="auto"/>
          <w:sz w:val="21"/>
          <w:szCs w:val="21"/>
          <w:highlight w:val="none"/>
        </w:rPr>
        <w:t>3.本项目采用网上注册登记方式。</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4.潜在投标人访问电子招标投标交易平台的网络地址和方法：</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（1）登录http://jszfcg.jsczt.cn/点击“苏采云”进入系统。</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5.代理机构将数据电文形式的采购文件加载至电子招标投标交易平台，供潜在投标人下载或者查阅。</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6.如潜在投标人未按上述要求操作，将自行承担所产生的风险。</w:t>
      </w:r>
    </w:p>
    <w:p>
      <w:pPr>
        <w:kinsoku/>
        <w:overflowPunct/>
        <w:bidi w:val="0"/>
        <w:spacing w:line="360" w:lineRule="auto"/>
        <w:ind w:firstLine="211" w:firstLineChars="100"/>
        <w:textAlignment w:val="auto"/>
        <w:rPr>
          <w:rFonts w:hint="eastAsia" w:ascii="宋体" w:hAnsi="宋体" w:eastAsia="宋体" w:cs="宋体"/>
          <w:b/>
          <w:bCs w:val="0"/>
          <w:i/>
          <w:iCs/>
          <w:color w:val="auto"/>
          <w:sz w:val="21"/>
          <w:szCs w:val="21"/>
          <w:highlight w:val="none"/>
        </w:rPr>
      </w:pPr>
      <w:r>
        <w:rPr>
          <w:rFonts w:hint="eastAsia" w:ascii="宋体" w:hAnsi="宋体" w:eastAsia="宋体" w:cs="宋体"/>
          <w:b/>
          <w:bCs w:val="0"/>
          <w:i/>
          <w:iCs/>
          <w:color w:val="auto"/>
          <w:sz w:val="21"/>
          <w:szCs w:val="21"/>
          <w:highlight w:val="none"/>
          <w:lang w:val="en-US" w:eastAsia="zh-CN"/>
        </w:rPr>
        <w:t>7.</w:t>
      </w:r>
      <w:r>
        <w:rPr>
          <w:rFonts w:hint="eastAsia" w:ascii="宋体" w:hAnsi="宋体" w:eastAsia="宋体" w:cs="宋体"/>
          <w:b/>
          <w:bCs w:val="0"/>
          <w:i/>
          <w:iCs/>
          <w:color w:val="auto"/>
          <w:sz w:val="21"/>
          <w:szCs w:val="21"/>
          <w:highlight w:val="none"/>
        </w:rPr>
        <w:t>有关本次招标的事项若存在变动或修改，敬请及时关注“江苏省政府采购网”发布的信息更正公告。</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pPr>
        <w:kinsoku/>
        <w:bidi w:val="0"/>
        <w:spacing w:line="360" w:lineRule="auto"/>
        <w:ind w:firstLine="315" w:firstLineChars="150"/>
        <w:contextualSpacing/>
        <w:rPr>
          <w:rFonts w:ascii="宋体" w:hAnsi="宋体"/>
          <w:color w:val="auto"/>
          <w:sz w:val="21"/>
          <w:szCs w:val="21"/>
          <w:highlight w:val="none"/>
        </w:rPr>
      </w:pPr>
      <w:r>
        <w:rPr>
          <w:rFonts w:hint="eastAsia" w:ascii="宋体" w:hAnsi="宋体"/>
          <w:color w:val="auto"/>
          <w:sz w:val="21"/>
          <w:szCs w:val="21"/>
          <w:highlight w:val="none"/>
        </w:rPr>
        <w:t>投标文件递交时间：2024</w:t>
      </w:r>
      <w:r>
        <w:rPr>
          <w:rFonts w:hint="eastAsia" w:ascii="宋体" w:hAnsi="宋体"/>
          <w:color w:val="auto"/>
          <w:sz w:val="21"/>
          <w:szCs w:val="21"/>
          <w:highlight w:val="none"/>
          <w:lang w:val="en-US" w:eastAsia="zh-CN"/>
        </w:rPr>
        <w:t>年7月8日8</w:t>
      </w:r>
      <w:r>
        <w:rPr>
          <w:rFonts w:hint="eastAsia" w:ascii="宋体" w:hAnsi="宋体"/>
          <w:color w:val="auto"/>
          <w:sz w:val="21"/>
          <w:szCs w:val="21"/>
          <w:highlight w:val="none"/>
        </w:rPr>
        <w:t>点</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分-</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点</w:t>
      </w:r>
      <w:r>
        <w:rPr>
          <w:rFonts w:hint="eastAsia" w:ascii="宋体" w:hAnsi="宋体"/>
          <w:color w:val="auto"/>
          <w:sz w:val="21"/>
          <w:szCs w:val="21"/>
          <w:highlight w:val="none"/>
          <w:lang w:val="en-US" w:eastAsia="zh-CN"/>
        </w:rPr>
        <w:t>00</w:t>
      </w:r>
      <w:r>
        <w:rPr>
          <w:rFonts w:hint="eastAsia" w:ascii="宋体" w:hAnsi="宋体"/>
          <w:color w:val="auto"/>
          <w:sz w:val="21"/>
          <w:szCs w:val="21"/>
          <w:highlight w:val="none"/>
        </w:rPr>
        <w:t>分（北京时间）；</w:t>
      </w:r>
    </w:p>
    <w:p>
      <w:pPr>
        <w:kinsoku/>
        <w:bidi w:val="0"/>
        <w:spacing w:line="360" w:lineRule="auto"/>
        <w:ind w:firstLine="315" w:firstLineChars="150"/>
        <w:contextualSpacing/>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投标文件截止时间：2024年</w:t>
      </w:r>
      <w:r>
        <w:rPr>
          <w:rFonts w:hint="eastAsia" w:ascii="宋体" w:hAnsi="宋体" w:cs="Times New Roman"/>
          <w:color w:val="auto"/>
          <w:sz w:val="21"/>
          <w:szCs w:val="21"/>
          <w:highlight w:val="none"/>
          <w:lang w:val="en-US" w:eastAsia="zh-CN"/>
        </w:rPr>
        <w:t>7月8日9</w:t>
      </w:r>
      <w:r>
        <w:rPr>
          <w:rFonts w:hint="eastAsia" w:ascii="宋体" w:hAnsi="宋体" w:eastAsia="宋体" w:cs="Times New Roman"/>
          <w:color w:val="auto"/>
          <w:sz w:val="21"/>
          <w:szCs w:val="21"/>
          <w:highlight w:val="none"/>
        </w:rPr>
        <w:t>点</w:t>
      </w:r>
      <w:r>
        <w:rPr>
          <w:rFonts w:hint="eastAsia" w:ascii="宋体" w:hAnsi="宋体" w:cs="Times New Roman"/>
          <w:color w:val="auto"/>
          <w:sz w:val="21"/>
          <w:szCs w:val="21"/>
          <w:highlight w:val="none"/>
          <w:lang w:val="en-US" w:eastAsia="zh-CN"/>
        </w:rPr>
        <w:t>00</w:t>
      </w:r>
      <w:r>
        <w:rPr>
          <w:rFonts w:hint="eastAsia" w:ascii="宋体" w:hAnsi="宋体" w:eastAsia="宋体" w:cs="Times New Roman"/>
          <w:color w:val="auto"/>
          <w:sz w:val="21"/>
          <w:szCs w:val="21"/>
          <w:highlight w:val="none"/>
        </w:rPr>
        <w:t>分（北京时间）；</w:t>
      </w:r>
    </w:p>
    <w:p>
      <w:pPr>
        <w:kinsoku/>
        <w:bidi w:val="0"/>
        <w:spacing w:line="360" w:lineRule="auto"/>
        <w:ind w:firstLine="315" w:firstLineChars="150"/>
        <w:contextualSpacing/>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地点：江苏政府采购“苏采云”系统http://jszfcg.jsczt.cn/不见面开标大厅。</w:t>
      </w:r>
    </w:p>
    <w:p>
      <w:pPr>
        <w:kinsoku/>
        <w:bidi w:val="0"/>
        <w:spacing w:line="360" w:lineRule="auto"/>
        <w:ind w:firstLine="315" w:firstLineChars="150"/>
        <w:contextualSpacing/>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开标时间、地点同投标文件截止时间。</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五、公告期限</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自本公告发布之日起5个工作日。</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六、其他补充事宜</w:t>
      </w:r>
    </w:p>
    <w:p>
      <w:pPr>
        <w:keepNext w:val="0"/>
        <w:keepLines w:val="0"/>
        <w:pageBreakBefore w:val="0"/>
        <w:tabs>
          <w:tab w:val="left" w:pos="0"/>
        </w:tabs>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1.发布招标公告的媒介：“江苏政府采购网  http://www.ccgp-jiangsu.gov.cn/”；</w:t>
      </w:r>
    </w:p>
    <w:p>
      <w:pPr>
        <w:keepNext w:val="0"/>
        <w:keepLines w:val="0"/>
        <w:pageBreakBefore w:val="0"/>
        <w:tabs>
          <w:tab w:val="left" w:pos="0"/>
        </w:tabs>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意事项：有关本项目的更正、补充等内容将通过上述网站公布，请投标人关注。投标人有义务在采购活动期间浏览上述网页，招标人（或招标代理机构）在上述网站公布的与本次项目有关的信息视为已送达各投标人。</w:t>
      </w:r>
    </w:p>
    <w:p>
      <w:pPr>
        <w:keepNext w:val="0"/>
        <w:keepLines w:val="0"/>
        <w:pageBreakBefore w:val="0"/>
        <w:tabs>
          <w:tab w:val="left" w:pos="0"/>
        </w:tabs>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2.如在制作电子投标文件中有任何疑问，请拨打电子化政府采购技术支持电话：0523-86897512。</w:t>
      </w:r>
    </w:p>
    <w:p>
      <w:pPr>
        <w:keepNext w:val="0"/>
        <w:keepLines w:val="0"/>
        <w:pageBreakBefore w:val="0"/>
        <w:tabs>
          <w:tab w:val="left" w:pos="0"/>
        </w:tabs>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p>
    <w:bookmarkEnd w:id="1"/>
    <w:p>
      <w:pPr>
        <w:kinsoku/>
        <w:overflowPunct/>
        <w:bidi w:val="0"/>
        <w:spacing w:line="360" w:lineRule="auto"/>
        <w:ind w:firstLine="482"/>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1.采购单位：</w:t>
      </w:r>
      <w:r>
        <w:rPr>
          <w:rFonts w:hint="eastAsia" w:ascii="宋体" w:hAnsi="宋体" w:eastAsia="宋体" w:cs="宋体"/>
          <w:bCs/>
          <w:color w:val="auto"/>
          <w:sz w:val="21"/>
          <w:szCs w:val="21"/>
          <w:highlight w:val="none"/>
          <w:lang w:eastAsia="zh-CN"/>
        </w:rPr>
        <w:t>江苏省高港现代农业产业园区管理办公室</w:t>
      </w:r>
    </w:p>
    <w:p>
      <w:pPr>
        <w:kinsoku/>
        <w:overflowPunct/>
        <w:bidi w:val="0"/>
        <w:spacing w:line="360" w:lineRule="auto"/>
        <w:ind w:firstLine="482"/>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地址：泰州市胡庄镇赵市村</w:t>
      </w:r>
    </w:p>
    <w:p>
      <w:pPr>
        <w:pStyle w:val="7"/>
        <w:kinsoku/>
        <w:bidi w:val="0"/>
        <w:spacing w:line="360" w:lineRule="auto"/>
        <w:ind w:firstLine="420" w:firstLineChars="200"/>
        <w:rPr>
          <w:rFonts w:hint="eastAsia" w:eastAsia="宋体"/>
          <w:sz w:val="21"/>
          <w:szCs w:val="21"/>
          <w:highlight w:val="none"/>
          <w:lang w:eastAsia="zh-CN"/>
        </w:rPr>
      </w:pPr>
      <w:r>
        <w:rPr>
          <w:rFonts w:hint="eastAsia" w:ascii="宋体" w:hAnsi="宋体" w:eastAsia="宋体" w:cs="宋体"/>
          <w:bCs/>
          <w:color w:val="auto"/>
          <w:sz w:val="21"/>
          <w:szCs w:val="21"/>
          <w:highlight w:val="none"/>
        </w:rPr>
        <w:t>联系人：</w:t>
      </w:r>
      <w:r>
        <w:rPr>
          <w:rFonts w:hint="eastAsia" w:ascii="宋体" w:hAnsi="宋体" w:cs="宋体"/>
          <w:bCs/>
          <w:color w:val="auto"/>
          <w:sz w:val="21"/>
          <w:szCs w:val="21"/>
          <w:highlight w:val="none"/>
          <w:lang w:val="en-US" w:eastAsia="zh-CN"/>
        </w:rPr>
        <w:t>洪先生</w:t>
      </w:r>
      <w:r>
        <w:rPr>
          <w:rFonts w:hint="eastAsia" w:ascii="宋体" w:hAnsi="宋体" w:eastAsia="宋体" w:cs="宋体"/>
          <w:bCs/>
          <w:color w:val="auto"/>
          <w:sz w:val="21"/>
          <w:szCs w:val="21"/>
          <w:highlight w:val="none"/>
        </w:rPr>
        <w:t>，    联系电话：0523-</w:t>
      </w:r>
      <w:r>
        <w:rPr>
          <w:rFonts w:hint="default" w:ascii="宋体" w:hAnsi="宋体" w:eastAsia="宋体" w:cs="宋体"/>
          <w:bCs/>
          <w:color w:val="auto"/>
          <w:sz w:val="21"/>
          <w:szCs w:val="21"/>
          <w:highlight w:val="none"/>
        </w:rPr>
        <w:t>80750201</w:t>
      </w:r>
    </w:p>
    <w:p>
      <w:pPr>
        <w:kinsoku/>
        <w:overflowPunct/>
        <w:bidi w:val="0"/>
        <w:spacing w:line="360" w:lineRule="auto"/>
        <w:ind w:firstLine="48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2.代理机构：江苏华强工程投资管理咨询有限公司</w:t>
      </w:r>
    </w:p>
    <w:p>
      <w:pPr>
        <w:kinsoku/>
        <w:overflowPunct/>
        <w:bidi w:val="0"/>
        <w:spacing w:line="360" w:lineRule="auto"/>
        <w:ind w:firstLine="48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人：杨女士，  联系电话：0523-86331260</w:t>
      </w:r>
    </w:p>
    <w:p>
      <w:pPr>
        <w:kinsoku/>
        <w:overflowPunct/>
        <w:bidi w:val="0"/>
        <w:spacing w:line="360" w:lineRule="auto"/>
        <w:ind w:firstLine="48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办公地址：泰州市海陵南路179号华诚大厦B座9楼西侧   邮政编码：225300</w:t>
      </w:r>
    </w:p>
    <w:p>
      <w:pPr>
        <w:kinsoku/>
        <w:overflowPunct/>
        <w:bidi w:val="0"/>
        <w:spacing w:line="360" w:lineRule="auto"/>
        <w:ind w:firstLine="482"/>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3.项目联系人</w:t>
      </w:r>
    </w:p>
    <w:p>
      <w:pPr>
        <w:kinsoku/>
        <w:overflowPunct/>
        <w:bidi w:val="0"/>
        <w:spacing w:line="360" w:lineRule="auto"/>
        <w:ind w:firstLine="48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人：杨女士，  联系电话：0523-86331260</w:t>
      </w:r>
    </w:p>
    <w:p>
      <w:pPr>
        <w:pStyle w:val="10"/>
        <w:widowControl w:val="0"/>
        <w:numPr>
          <w:ilvl w:val="0"/>
          <w:numId w:val="0"/>
        </w:numPr>
        <w:kinsoku/>
        <w:overflowPunct/>
        <w:autoSpaceDE w:val="0"/>
        <w:autoSpaceDN w:val="0"/>
        <w:bidi w:val="0"/>
        <w:adjustRightInd w:val="0"/>
        <w:spacing w:line="360" w:lineRule="auto"/>
        <w:ind w:right="6" w:rightChars="0"/>
        <w:jc w:val="both"/>
        <w:textAlignment w:val="auto"/>
        <w:rPr>
          <w:rFonts w:hint="default" w:ascii="宋体" w:hAnsi="宋体" w:eastAsia="宋体" w:cs="宋体"/>
          <w:bCs/>
          <w:color w:val="auto"/>
          <w:sz w:val="24"/>
          <w:szCs w:val="24"/>
          <w:highlight w:val="none"/>
          <w:lang w:val="en-US" w:eastAsia="zh-CN"/>
        </w:rPr>
        <w:sectPr>
          <w:pgSz w:w="11907" w:h="16840"/>
          <w:pgMar w:top="1247" w:right="1080" w:bottom="1247" w:left="1080" w:header="851" w:footer="851" w:gutter="0"/>
          <w:pgBorders>
            <w:top w:val="none" w:sz="0" w:space="0"/>
            <w:left w:val="none" w:sz="0" w:space="0"/>
            <w:bottom w:val="none" w:sz="0" w:space="0"/>
            <w:right w:val="none" w:sz="0" w:space="0"/>
          </w:pgBorders>
          <w:pgNumType w:fmt="decimal"/>
          <w:cols w:space="720" w:num="1"/>
          <w:docGrid w:linePitch="312" w:charSpace="0"/>
        </w:sectPr>
      </w:pPr>
    </w:p>
    <w:p>
      <w:pPr>
        <w:keepNext/>
        <w:keepLines/>
        <w:pageBreakBefore w:val="0"/>
        <w:kinsoku/>
        <w:wordWrap/>
        <w:overflowPunct/>
        <w:topLinePunct w:val="0"/>
        <w:autoSpaceDE/>
        <w:autoSpaceDN/>
        <w:bidi w:val="0"/>
        <w:adjustRightInd/>
        <w:snapToGrid/>
        <w:spacing w:beforeAutospacing="0" w:afterAutospacing="0" w:line="360" w:lineRule="auto"/>
        <w:jc w:val="center"/>
        <w:textAlignment w:val="auto"/>
        <w:outlineLvl w:val="0"/>
        <w:rPr>
          <w:rFonts w:hint="eastAsia" w:ascii="Times New Roman" w:hAnsi="Times New Roman"/>
          <w:b/>
          <w:color w:val="auto"/>
          <w:kern w:val="44"/>
          <w:sz w:val="21"/>
          <w:szCs w:val="21"/>
          <w:highlight w:val="none"/>
        </w:rPr>
      </w:pPr>
      <w:bookmarkStart w:id="3" w:name="_Toc21299"/>
      <w:r>
        <w:rPr>
          <w:rFonts w:hint="eastAsia" w:ascii="Times New Roman" w:hAnsi="Times New Roman"/>
          <w:b/>
          <w:color w:val="auto"/>
          <w:kern w:val="44"/>
          <w:sz w:val="21"/>
          <w:szCs w:val="21"/>
          <w:highlight w:val="none"/>
        </w:rPr>
        <w:t>第二章</w:t>
      </w: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投标人须知</w:t>
      </w:r>
      <w:bookmarkEnd w:id="3"/>
    </w:p>
    <w:p>
      <w:pPr>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cs="宋体"/>
          <w:color w:val="auto"/>
          <w:kern w:val="0"/>
          <w:sz w:val="21"/>
          <w:szCs w:val="21"/>
          <w:highlight w:val="none"/>
        </w:rPr>
      </w:pPr>
      <w:bookmarkStart w:id="4" w:name="_Hlk117514635"/>
      <w:r>
        <w:rPr>
          <w:rFonts w:hint="eastAsia" w:ascii="宋体" w:hAnsi="宋体" w:cs="宋体"/>
          <w:color w:val="auto"/>
          <w:kern w:val="0"/>
          <w:sz w:val="21"/>
          <w:szCs w:val="21"/>
          <w:highlight w:val="none"/>
        </w:rPr>
        <w:t>投标须知前附表</w:t>
      </w:r>
    </w:p>
    <w:tbl>
      <w:tblPr>
        <w:tblStyle w:val="19"/>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top w:w="0" w:type="dxa"/>
          <w:left w:w="108" w:type="dxa"/>
          <w:bottom w:w="0" w:type="dxa"/>
          <w:right w:w="108" w:type="dxa"/>
        </w:tblCellMar>
      </w:tblPr>
      <w:tblGrid>
        <w:gridCol w:w="718"/>
        <w:gridCol w:w="8169"/>
      </w:tblGrid>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718" w:type="dxa"/>
            <w:noWrap w:val="0"/>
            <w:vAlign w:val="center"/>
          </w:tcPr>
          <w:p>
            <w:pPr>
              <w:kinsoku/>
              <w:autoSpaceDE w:val="0"/>
              <w:autoSpaceDN w:val="0"/>
              <w:bidi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8169" w:type="dxa"/>
            <w:noWrap w:val="0"/>
            <w:vAlign w:val="center"/>
          </w:tcPr>
          <w:p>
            <w:pPr>
              <w:kinsoku/>
              <w:autoSpaceDE w:val="0"/>
              <w:autoSpaceDN w:val="0"/>
              <w:bidi w:val="0"/>
              <w:spacing w:line="360" w:lineRule="auto"/>
              <w:ind w:firstLine="48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                        容</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793"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169" w:type="dxa"/>
            <w:noWrap w:val="0"/>
            <w:vAlign w:val="center"/>
          </w:tcPr>
          <w:p>
            <w:pPr>
              <w:kinsoku/>
              <w:bidi w:val="0"/>
              <w:spacing w:line="360" w:lineRule="auto"/>
              <w:rPr>
                <w:rFonts w:hint="eastAsia" w:ascii="宋体" w:hAnsi="宋体" w:eastAsia="宋体" w:cs="宋体"/>
                <w:b/>
                <w:color w:val="auto"/>
                <w:kern w:val="0"/>
                <w:sz w:val="21"/>
                <w:szCs w:val="21"/>
                <w:highlight w:val="none"/>
              </w:rPr>
            </w:pPr>
            <w:r>
              <w:rPr>
                <w:rFonts w:hint="eastAsia" w:ascii="宋体" w:hAnsi="宋体" w:eastAsia="宋体" w:cs="宋体"/>
                <w:b/>
                <w:bCs/>
                <w:color w:val="auto"/>
                <w:kern w:val="0"/>
                <w:sz w:val="21"/>
                <w:szCs w:val="21"/>
                <w:highlight w:val="none"/>
              </w:rPr>
              <w:t>项目名称</w:t>
            </w:r>
            <w:r>
              <w:rPr>
                <w:rFonts w:hint="eastAsia" w:ascii="宋体" w:hAnsi="宋体" w:eastAsia="宋体" w:cs="宋体"/>
                <w:color w:val="auto"/>
                <w:kern w:val="0"/>
                <w:sz w:val="21"/>
                <w:szCs w:val="21"/>
                <w:highlight w:val="none"/>
              </w:rPr>
              <w:t>：</w:t>
            </w:r>
            <w:r>
              <w:rPr>
                <w:rFonts w:hint="eastAsia" w:ascii="宋体" w:hAnsi="宋体" w:cs="宋体"/>
                <w:color w:val="auto"/>
                <w:sz w:val="21"/>
                <w:szCs w:val="21"/>
                <w:highlight w:val="none"/>
                <w:lang w:eastAsia="zh-CN"/>
              </w:rPr>
              <w:t>水稻无人农场示范基地建设项目</w:t>
            </w:r>
          </w:p>
          <w:p>
            <w:pPr>
              <w:kinsoku/>
              <w:autoSpaceDE w:val="0"/>
              <w:autoSpaceDN w:val="0"/>
              <w:bidi w:val="0"/>
              <w:spacing w:line="360" w:lineRule="auto"/>
              <w:rPr>
                <w:rFonts w:hint="eastAsia" w:ascii="宋体" w:hAnsi="宋体" w:eastAsia="宋体" w:cs="宋体"/>
                <w:b/>
                <w:color w:val="auto"/>
                <w:spacing w:val="15"/>
                <w:kern w:val="0"/>
                <w:sz w:val="21"/>
                <w:szCs w:val="21"/>
                <w:highlight w:val="none"/>
                <w:lang w:eastAsia="zh-CN"/>
              </w:rPr>
            </w:pPr>
            <w:r>
              <w:rPr>
                <w:rFonts w:hint="eastAsia" w:ascii="宋体" w:hAnsi="宋体" w:eastAsia="宋体" w:cs="宋体"/>
                <w:b/>
                <w:bCs/>
                <w:color w:val="auto"/>
                <w:kern w:val="0"/>
                <w:sz w:val="21"/>
                <w:szCs w:val="21"/>
                <w:highlight w:val="none"/>
              </w:rPr>
              <w:t>采购编号</w:t>
            </w:r>
            <w:r>
              <w:rPr>
                <w:rFonts w:hint="eastAsia" w:ascii="宋体" w:hAnsi="宋体" w:eastAsia="宋体" w:cs="宋体"/>
                <w:color w:val="auto"/>
                <w:kern w:val="0"/>
                <w:sz w:val="21"/>
                <w:szCs w:val="21"/>
                <w:highlight w:val="none"/>
              </w:rPr>
              <w:t>：</w:t>
            </w:r>
            <w:r>
              <w:rPr>
                <w:rFonts w:hint="eastAsia" w:ascii="宋体" w:hAnsi="宋体" w:cs="宋体"/>
                <w:color w:val="auto"/>
                <w:sz w:val="21"/>
                <w:szCs w:val="21"/>
                <w:highlight w:val="none"/>
                <w:lang w:eastAsia="zh-CN"/>
              </w:rPr>
              <w:t>JSZC-321203-HQGC-G2024-0037</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819"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169" w:type="dxa"/>
            <w:noWrap w:val="0"/>
            <w:vAlign w:val="center"/>
          </w:tcPr>
          <w:p>
            <w:pPr>
              <w:kinsoku/>
              <w:bidi w:val="0"/>
              <w:spacing w:line="360" w:lineRule="auto"/>
              <w:contextualSpacing/>
              <w:rPr>
                <w:rFonts w:hint="eastAsia" w:ascii="宋体" w:hAnsi="宋体" w:cs="宋体"/>
                <w:color w:val="auto"/>
                <w:sz w:val="21"/>
                <w:szCs w:val="21"/>
                <w:highlight w:val="none"/>
              </w:rPr>
            </w:pPr>
            <w:r>
              <w:rPr>
                <w:rFonts w:hint="eastAsia" w:ascii="宋体" w:hAnsi="宋体" w:cs="宋体"/>
                <w:b/>
                <w:bCs/>
                <w:color w:val="auto"/>
                <w:sz w:val="21"/>
                <w:szCs w:val="21"/>
                <w:highlight w:val="none"/>
              </w:rPr>
              <w:t>采购代理单位：</w:t>
            </w:r>
            <w:r>
              <w:rPr>
                <w:rFonts w:hint="eastAsia" w:ascii="宋体" w:hAnsi="宋体" w:cs="宋体"/>
                <w:color w:val="auto"/>
                <w:sz w:val="21"/>
                <w:szCs w:val="21"/>
                <w:highlight w:val="none"/>
              </w:rPr>
              <w:t>江苏华强工程投资管理咨询有限公司</w:t>
            </w:r>
          </w:p>
          <w:p>
            <w:pPr>
              <w:kinsoku/>
              <w:bidi w:val="0"/>
              <w:spacing w:line="360" w:lineRule="auto"/>
              <w:contextualSpacing/>
              <w:rPr>
                <w:rFonts w:hint="eastAsia" w:ascii="宋体" w:hAnsi="宋体" w:cs="宋体"/>
                <w:color w:val="auto"/>
                <w:sz w:val="21"/>
                <w:szCs w:val="21"/>
                <w:highlight w:val="none"/>
              </w:rPr>
            </w:pPr>
            <w:r>
              <w:rPr>
                <w:rFonts w:hint="eastAsia" w:ascii="宋体" w:hAnsi="宋体" w:cs="宋体"/>
                <w:b/>
                <w:bCs/>
                <w:color w:val="auto"/>
                <w:sz w:val="21"/>
                <w:szCs w:val="21"/>
                <w:highlight w:val="none"/>
              </w:rPr>
              <w:t>采购代理单位地址：</w:t>
            </w:r>
            <w:r>
              <w:rPr>
                <w:rFonts w:hint="eastAsia" w:ascii="宋体" w:hAnsi="宋体" w:cs="宋体"/>
                <w:color w:val="auto"/>
                <w:sz w:val="21"/>
                <w:szCs w:val="21"/>
                <w:highlight w:val="none"/>
              </w:rPr>
              <w:t>泰州市海陵南路179号华诚大厦B座9楼</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p>
          <w:p>
            <w:pPr>
              <w:pStyle w:val="10"/>
              <w:tabs>
                <w:tab w:val="left" w:pos="9420"/>
              </w:tabs>
              <w:kinsoku/>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pPr>
              <w:pStyle w:val="10"/>
              <w:tabs>
                <w:tab w:val="left" w:pos="9420"/>
              </w:tabs>
              <w:kinsoku/>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呻</w:t>
            </w:r>
          </w:p>
        </w:tc>
        <w:tc>
          <w:tcPr>
            <w:tcW w:w="8169" w:type="dxa"/>
            <w:noWrap w:val="0"/>
            <w:vAlign w:val="center"/>
          </w:tcPr>
          <w:p>
            <w:pPr>
              <w:kinsoku/>
              <w:bidi w:val="0"/>
              <w:spacing w:line="360" w:lineRule="auto"/>
              <w:contextualSpacing/>
              <w:rPr>
                <w:rFonts w:hint="eastAsia" w:ascii="宋体" w:hAnsi="宋体" w:cs="宋体"/>
                <w:color w:val="auto"/>
                <w:sz w:val="21"/>
                <w:szCs w:val="21"/>
                <w:highlight w:val="none"/>
              </w:rPr>
            </w:pPr>
            <w:r>
              <w:rPr>
                <w:rFonts w:hint="eastAsia" w:ascii="宋体" w:hAnsi="宋体" w:cs="宋体"/>
                <w:b/>
                <w:bCs/>
                <w:color w:val="auto"/>
                <w:sz w:val="21"/>
                <w:szCs w:val="21"/>
                <w:highlight w:val="none"/>
              </w:rPr>
              <w:t>招标文件发放：</w:t>
            </w:r>
            <w:r>
              <w:rPr>
                <w:rFonts w:hint="eastAsia" w:ascii="宋体" w:hAnsi="宋体" w:cs="宋体"/>
                <w:color w:val="auto"/>
                <w:sz w:val="21"/>
                <w:szCs w:val="21"/>
                <w:highlight w:val="none"/>
              </w:rPr>
              <w:t>供应商完成注册并办理CA证书后登录“江苏政府采购“苏采云”系统”，免费下载本项目招标文件。</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678"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169" w:type="dxa"/>
            <w:noWrap w:val="0"/>
            <w:vAlign w:val="center"/>
          </w:tcPr>
          <w:p>
            <w:pPr>
              <w:kinsoku/>
              <w:autoSpaceDE w:val="0"/>
              <w:autoSpaceDN w:val="0"/>
              <w:bidi w:val="0"/>
              <w:spacing w:line="360" w:lineRule="auto"/>
              <w:rPr>
                <w:rFonts w:hint="eastAsia" w:ascii="宋体" w:hAnsi="宋体" w:eastAsia="宋体" w:cs="宋体"/>
                <w:bCs/>
                <w:color w:val="auto"/>
                <w:kern w:val="0"/>
                <w:sz w:val="21"/>
                <w:szCs w:val="21"/>
                <w:highlight w:val="none"/>
              </w:rPr>
            </w:pPr>
            <w:r>
              <w:rPr>
                <w:rFonts w:hint="eastAsia" w:ascii="宋体" w:hAnsi="宋体" w:eastAsia="宋体" w:cs="宋体"/>
                <w:b/>
                <w:bCs/>
                <w:color w:val="auto"/>
                <w:kern w:val="0"/>
                <w:sz w:val="21"/>
                <w:szCs w:val="21"/>
                <w:highlight w:val="none"/>
              </w:rPr>
              <w:t>本项目采购预算：</w:t>
            </w:r>
            <w:r>
              <w:rPr>
                <w:rFonts w:hint="eastAsia" w:ascii="宋体" w:hAnsi="宋体" w:cs="宋体"/>
                <w:bCs/>
                <w:color w:val="auto"/>
                <w:kern w:val="0"/>
                <w:sz w:val="21"/>
                <w:szCs w:val="21"/>
                <w:highlight w:val="none"/>
                <w:lang w:val="en-US" w:eastAsia="zh-CN"/>
              </w:rPr>
              <w:t>547.73万元</w:t>
            </w:r>
            <w:r>
              <w:rPr>
                <w:rFonts w:hint="eastAsia" w:ascii="宋体" w:hAnsi="宋体" w:eastAsia="宋体" w:cs="宋体"/>
                <w:bCs/>
                <w:color w:val="auto"/>
                <w:kern w:val="0"/>
                <w:sz w:val="21"/>
                <w:szCs w:val="21"/>
                <w:highlight w:val="none"/>
              </w:rPr>
              <w:t>人民币</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最高限价</w:t>
            </w:r>
            <w:r>
              <w:rPr>
                <w:rFonts w:hint="eastAsia" w:ascii="宋体" w:hAnsi="宋体" w:eastAsia="宋体" w:cs="宋体"/>
                <w:b/>
                <w:bCs/>
                <w:color w:val="auto"/>
                <w:kern w:val="0"/>
                <w:sz w:val="21"/>
                <w:szCs w:val="21"/>
                <w:highlight w:val="none"/>
                <w:lang w:eastAsia="zh-CN"/>
              </w:rPr>
              <w:t>：</w:t>
            </w:r>
            <w:r>
              <w:rPr>
                <w:rFonts w:hint="eastAsia" w:ascii="宋体" w:hAnsi="宋体" w:cs="宋体"/>
                <w:bCs/>
                <w:color w:val="auto"/>
                <w:kern w:val="0"/>
                <w:sz w:val="21"/>
                <w:szCs w:val="21"/>
                <w:highlight w:val="none"/>
                <w:lang w:val="en-US" w:eastAsia="zh-CN"/>
              </w:rPr>
              <w:t>547.73万元</w:t>
            </w:r>
            <w:r>
              <w:rPr>
                <w:rFonts w:hint="eastAsia" w:ascii="宋体" w:hAnsi="宋体" w:eastAsia="宋体" w:cs="宋体"/>
                <w:bCs/>
                <w:color w:val="auto"/>
                <w:kern w:val="0"/>
                <w:sz w:val="21"/>
                <w:szCs w:val="21"/>
                <w:highlight w:val="none"/>
              </w:rPr>
              <w:t>人民币</w:t>
            </w:r>
            <w:r>
              <w:rPr>
                <w:rFonts w:hint="eastAsia" w:ascii="宋体" w:hAnsi="宋体" w:eastAsia="宋体" w:cs="宋体"/>
                <w:color w:val="auto"/>
                <w:sz w:val="21"/>
                <w:szCs w:val="21"/>
                <w:highlight w:val="none"/>
              </w:rPr>
              <w:t>。</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7841"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8169" w:type="dxa"/>
            <w:noWrap w:val="0"/>
            <w:vAlign w:val="center"/>
          </w:tcPr>
          <w:p>
            <w:pPr>
              <w:kinsoku/>
              <w:bidi w:val="0"/>
              <w:spacing w:line="360" w:lineRule="auto"/>
              <w:contextualSpacing/>
              <w:rPr>
                <w:rFonts w:ascii="宋体" w:hAnsi="宋体"/>
                <w:bCs/>
                <w:color w:val="auto"/>
                <w:sz w:val="21"/>
                <w:szCs w:val="21"/>
                <w:highlight w:val="none"/>
              </w:rPr>
            </w:pPr>
            <w:r>
              <w:rPr>
                <w:rFonts w:hint="eastAsia" w:ascii="宋体" w:hAnsi="宋体"/>
                <w:bCs/>
                <w:color w:val="auto"/>
                <w:sz w:val="21"/>
                <w:szCs w:val="21"/>
                <w:highlight w:val="none"/>
              </w:rPr>
              <w:t>投标文件的制作要求：</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本项目通过“苏采云”系统进行电子采购，即供应商投标文件从政府采购客户端工具制作并通过“苏采云”系统提交。</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供应商应当通过“苏采云”系统提交数据电文形式的投标文件（即电子投标）。未进行线上投标文件提交并解密(因“苏采云”系统导致解密失败的除外)的供应商，响应无效。</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使用需要第三方认证的电子签名、数据电文，通过互联网方式提交投标文件。即：使用“电子签名认证证书（CA数字证书）”登录“苏采云”系统（网址：</w:t>
            </w:r>
            <w:r>
              <w:rPr>
                <w:color w:val="auto"/>
                <w:sz w:val="21"/>
                <w:szCs w:val="21"/>
                <w:highlight w:val="none"/>
              </w:rPr>
              <w:fldChar w:fldCharType="begin"/>
            </w:r>
            <w:r>
              <w:rPr>
                <w:color w:val="auto"/>
                <w:sz w:val="21"/>
                <w:szCs w:val="21"/>
                <w:highlight w:val="none"/>
              </w:rPr>
              <w:instrText xml:space="preserve"> HYPERLINK "http://jszfcg.jsczt.cn/" </w:instrText>
            </w:r>
            <w:r>
              <w:rPr>
                <w:color w:val="auto"/>
                <w:sz w:val="21"/>
                <w:szCs w:val="21"/>
                <w:highlight w:val="none"/>
              </w:rPr>
              <w:fldChar w:fldCharType="separate"/>
            </w:r>
            <w:r>
              <w:rPr>
                <w:rFonts w:ascii="宋体" w:hAnsi="宋体" w:cs="宋体"/>
                <w:color w:val="auto"/>
                <w:sz w:val="21"/>
                <w:szCs w:val="21"/>
                <w:highlight w:val="none"/>
              </w:rPr>
              <w:t>http://jszfcg.jsczt.cn/</w:t>
            </w:r>
            <w:r>
              <w:rPr>
                <w:rFonts w:ascii="宋体" w:hAnsi="宋体" w:cs="宋体"/>
                <w:color w:val="auto"/>
                <w:sz w:val="21"/>
                <w:szCs w:val="21"/>
                <w:highlight w:val="none"/>
              </w:rPr>
              <w:fldChar w:fldCharType="end"/>
            </w:r>
            <w:r>
              <w:rPr>
                <w:rFonts w:ascii="宋体" w:hAnsi="宋体" w:cs="宋体"/>
                <w:color w:val="auto"/>
                <w:sz w:val="21"/>
                <w:szCs w:val="21"/>
                <w:highlight w:val="none"/>
              </w:rPr>
              <w:t>），按照要求通过互联网方式提交投标文件。</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“苏采云”系统使用要求：</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使用谷歌浏览器参与不见面开标及相关环节。</w:t>
            </w:r>
          </w:p>
          <w:p>
            <w:pPr>
              <w:kinsoku/>
              <w:bidi w:val="0"/>
              <w:spacing w:line="360" w:lineRule="auto"/>
              <w:contextualSpacing/>
              <w:rPr>
                <w:rFonts w:ascii="宋体" w:hAnsi="宋体" w:cs="宋体"/>
                <w:color w:val="auto"/>
                <w:sz w:val="21"/>
                <w:szCs w:val="21"/>
                <w:highlight w:val="none"/>
              </w:rPr>
            </w:pPr>
            <w:r>
              <w:rPr>
                <w:rFonts w:ascii="宋体" w:hAnsi="宋体" w:cs="宋体"/>
                <w:color w:val="auto"/>
                <w:sz w:val="21"/>
                <w:szCs w:val="21"/>
                <w:highlight w:val="none"/>
              </w:rPr>
              <w:t>电脑需提前准备好麦克风、音响，摄像头，提前检查保证能够正常使用。</w:t>
            </w:r>
          </w:p>
          <w:p>
            <w:pPr>
              <w:widowControl/>
              <w:kinsoku/>
              <w:bidi w:val="0"/>
              <w:snapToGrid w:val="0"/>
              <w:spacing w:before="19" w:line="360" w:lineRule="auto"/>
              <w:rPr>
                <w:rFonts w:hint="eastAsia" w:ascii="宋体" w:hAnsi="宋体" w:eastAsia="宋体" w:cs="宋体"/>
                <w:b/>
                <w:bCs/>
                <w:color w:val="auto"/>
                <w:kern w:val="0"/>
                <w:sz w:val="21"/>
                <w:szCs w:val="21"/>
                <w:highlight w:val="none"/>
              </w:rPr>
            </w:pPr>
            <w:r>
              <w:rPr>
                <w:rFonts w:ascii="宋体" w:hAnsi="宋体" w:cs="宋体"/>
                <w:color w:val="auto"/>
                <w:sz w:val="21"/>
                <w:szCs w:val="21"/>
                <w:highlight w:val="none"/>
              </w:rPr>
              <w:t>操作系统至少win7以上，建议使用win10操作系统。</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76"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169" w:type="dxa"/>
            <w:noWrap w:val="0"/>
            <w:vAlign w:val="center"/>
          </w:tcPr>
          <w:p>
            <w:pPr>
              <w:kinsoku/>
              <w:bidi w:val="0"/>
              <w:spacing w:line="360" w:lineRule="auto"/>
              <w:contextualSpacing/>
              <w:rPr>
                <w:rFonts w:ascii="宋体" w:hAnsi="宋体"/>
                <w:color w:val="auto"/>
                <w:sz w:val="21"/>
                <w:szCs w:val="21"/>
                <w:highlight w:val="none"/>
              </w:rPr>
            </w:pPr>
            <w:r>
              <w:rPr>
                <w:rFonts w:hint="eastAsia" w:ascii="宋体" w:hAnsi="宋体"/>
                <w:color w:val="auto"/>
                <w:sz w:val="21"/>
                <w:szCs w:val="21"/>
                <w:highlight w:val="none"/>
              </w:rPr>
              <w:t>投标文件递交时间：</w:t>
            </w:r>
            <w:r>
              <w:rPr>
                <w:rFonts w:hint="eastAsia" w:ascii="宋体" w:hAnsi="宋体"/>
                <w:color w:val="auto"/>
                <w:sz w:val="21"/>
                <w:szCs w:val="21"/>
                <w:highlight w:val="none"/>
                <w:lang w:val="en-US" w:eastAsia="zh-CN"/>
              </w:rPr>
              <w:t>详见招标公告</w:t>
            </w:r>
            <w:r>
              <w:rPr>
                <w:rFonts w:hint="eastAsia" w:ascii="宋体" w:hAnsi="宋体"/>
                <w:color w:val="auto"/>
                <w:sz w:val="21"/>
                <w:szCs w:val="21"/>
                <w:highlight w:val="none"/>
              </w:rPr>
              <w:t>；</w:t>
            </w:r>
          </w:p>
          <w:p>
            <w:pPr>
              <w:kinsoku/>
              <w:bidi w:val="0"/>
              <w:spacing w:line="360" w:lineRule="auto"/>
              <w:contextualSpacing/>
              <w:rPr>
                <w:rFonts w:ascii="宋体" w:hAnsi="宋体"/>
                <w:color w:val="auto"/>
                <w:sz w:val="21"/>
                <w:szCs w:val="21"/>
                <w:highlight w:val="none"/>
              </w:rPr>
            </w:pPr>
            <w:r>
              <w:rPr>
                <w:rFonts w:hint="eastAsia" w:ascii="宋体" w:hAnsi="宋体"/>
                <w:color w:val="auto"/>
                <w:sz w:val="21"/>
                <w:szCs w:val="21"/>
                <w:highlight w:val="none"/>
              </w:rPr>
              <w:t>投标文件截止时间：</w:t>
            </w:r>
            <w:r>
              <w:rPr>
                <w:rFonts w:hint="eastAsia" w:ascii="宋体" w:hAnsi="宋体"/>
                <w:color w:val="auto"/>
                <w:sz w:val="21"/>
                <w:szCs w:val="21"/>
                <w:highlight w:val="none"/>
                <w:lang w:val="en-US" w:eastAsia="zh-CN"/>
              </w:rPr>
              <w:t>详见招标公告</w:t>
            </w:r>
            <w:r>
              <w:rPr>
                <w:rFonts w:hint="eastAsia" w:ascii="宋体" w:hAnsi="宋体"/>
                <w:color w:val="auto"/>
                <w:sz w:val="21"/>
                <w:szCs w:val="21"/>
                <w:highlight w:val="none"/>
              </w:rPr>
              <w:t>；</w:t>
            </w:r>
          </w:p>
          <w:p>
            <w:pPr>
              <w:kinsoku/>
              <w:autoSpaceDE w:val="0"/>
              <w:autoSpaceDN w:val="0"/>
              <w:bidi w:val="0"/>
              <w:spacing w:line="360" w:lineRule="auto"/>
              <w:rPr>
                <w:rFonts w:hint="eastAsia" w:ascii="宋体" w:hAnsi="宋体" w:eastAsia="宋体" w:cs="宋体"/>
                <w:b/>
                <w:bCs/>
                <w:color w:val="auto"/>
                <w:kern w:val="0"/>
                <w:sz w:val="21"/>
                <w:szCs w:val="21"/>
                <w:highlight w:val="none"/>
                <w:lang w:eastAsia="zh-CN"/>
              </w:rPr>
            </w:pPr>
            <w:r>
              <w:rPr>
                <w:rFonts w:hint="eastAsia" w:ascii="宋体" w:hAnsi="宋体" w:cs="宋体"/>
                <w:color w:val="auto"/>
                <w:spacing w:val="15"/>
                <w:kern w:val="0"/>
                <w:sz w:val="21"/>
                <w:szCs w:val="21"/>
                <w:highlight w:val="none"/>
              </w:rPr>
              <w:t>投标文件递交地点：“苏采云”</w:t>
            </w:r>
            <w:r>
              <w:rPr>
                <w:rFonts w:hint="eastAsia" w:ascii="宋体" w:hAnsi="宋体"/>
                <w:bCs/>
                <w:color w:val="auto"/>
                <w:sz w:val="21"/>
                <w:szCs w:val="21"/>
                <w:highlight w:val="none"/>
              </w:rPr>
              <w:t>（http://jszfcg.jsczt.cn/）</w:t>
            </w:r>
            <w:r>
              <w:rPr>
                <w:rFonts w:hint="eastAsia" w:ascii="宋体" w:hAnsi="宋体" w:cs="宋体"/>
                <w:color w:val="auto"/>
                <w:spacing w:val="15"/>
                <w:kern w:val="0"/>
                <w:sz w:val="21"/>
                <w:szCs w:val="21"/>
                <w:highlight w:val="none"/>
              </w:rPr>
              <w:t>不见面开标大厅</w:t>
            </w:r>
            <w:r>
              <w:rPr>
                <w:rFonts w:hint="eastAsia" w:ascii="宋体" w:hAnsi="宋体" w:cs="宋体"/>
                <w:color w:val="auto"/>
                <w:spacing w:val="15"/>
                <w:kern w:val="0"/>
                <w:sz w:val="21"/>
                <w:szCs w:val="21"/>
                <w:highlight w:val="none"/>
                <w:lang w:eastAsia="zh-CN"/>
              </w:rPr>
              <w:t>。</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718" w:type="dxa"/>
            <w:noWrap w:val="0"/>
            <w:vAlign w:val="center"/>
          </w:tcPr>
          <w:p>
            <w:pPr>
              <w:kinsoku/>
              <w:autoSpaceDE w:val="0"/>
              <w:autoSpaceDN w:val="0"/>
              <w:bidi w:val="0"/>
              <w:spacing w:line="360"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8169" w:type="dxa"/>
            <w:noWrap w:val="0"/>
            <w:vAlign w:val="top"/>
          </w:tcPr>
          <w:p>
            <w:pPr>
              <w:kinsoku/>
              <w:autoSpaceDE w:val="0"/>
              <w:autoSpaceDN w:val="0"/>
              <w:bidi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投标有效期</w:t>
            </w:r>
            <w:r>
              <w:rPr>
                <w:rFonts w:hint="eastAsia" w:ascii="宋体" w:hAnsi="宋体" w:eastAsia="宋体" w:cs="宋体"/>
                <w:color w:val="auto"/>
                <w:kern w:val="0"/>
                <w:sz w:val="21"/>
                <w:szCs w:val="21"/>
                <w:highlight w:val="none"/>
              </w:rPr>
              <w:t>：开标之日后90日历天。</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8169" w:type="dxa"/>
            <w:noWrap w:val="0"/>
            <w:vAlign w:val="top"/>
          </w:tcPr>
          <w:p>
            <w:pPr>
              <w:kinsoku/>
              <w:bidi w:val="0"/>
              <w:spacing w:line="360" w:lineRule="auto"/>
              <w:contextualSpacing/>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开标时间：</w:t>
            </w:r>
            <w:r>
              <w:rPr>
                <w:rFonts w:hint="eastAsia" w:ascii="宋体" w:hAnsi="宋体"/>
                <w:color w:val="auto"/>
                <w:sz w:val="21"/>
                <w:szCs w:val="21"/>
                <w:highlight w:val="none"/>
                <w:lang w:val="en-US" w:eastAsia="zh-CN"/>
              </w:rPr>
              <w:t>详见招标公告</w:t>
            </w:r>
          </w:p>
          <w:p>
            <w:pPr>
              <w:kinsoku/>
              <w:bidi w:val="0"/>
              <w:spacing w:line="36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rPr>
              <w:t>开标地址：</w:t>
            </w:r>
            <w:r>
              <w:rPr>
                <w:rFonts w:hint="eastAsia" w:ascii="宋体" w:hAnsi="宋体" w:cs="宋体"/>
                <w:color w:val="auto"/>
                <w:spacing w:val="15"/>
                <w:kern w:val="0"/>
                <w:sz w:val="21"/>
                <w:szCs w:val="21"/>
                <w:highlight w:val="none"/>
              </w:rPr>
              <w:t>“苏采云”</w:t>
            </w:r>
            <w:r>
              <w:rPr>
                <w:rFonts w:hint="eastAsia" w:ascii="宋体" w:hAnsi="宋体"/>
                <w:bCs/>
                <w:color w:val="auto"/>
                <w:sz w:val="21"/>
                <w:szCs w:val="21"/>
                <w:highlight w:val="none"/>
              </w:rPr>
              <w:t>（http://jszfcg.jsczt.cn/）</w:t>
            </w:r>
            <w:r>
              <w:rPr>
                <w:rFonts w:hint="eastAsia" w:ascii="宋体" w:hAnsi="宋体" w:cs="宋体"/>
                <w:color w:val="auto"/>
                <w:spacing w:val="15"/>
                <w:kern w:val="0"/>
                <w:sz w:val="21"/>
                <w:szCs w:val="21"/>
                <w:highlight w:val="none"/>
              </w:rPr>
              <w:t>不见面开标大厅</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8169" w:type="dxa"/>
            <w:noWrap w:val="0"/>
            <w:vAlign w:val="top"/>
          </w:tcPr>
          <w:p>
            <w:pPr>
              <w:kinsoku/>
              <w:autoSpaceDE w:val="0"/>
              <w:autoSpaceDN w:val="0"/>
              <w:bidi w:val="0"/>
              <w:spacing w:line="360" w:lineRule="auto"/>
              <w:rPr>
                <w:rFonts w:hint="eastAsia" w:ascii="宋体" w:hAnsi="宋体"/>
                <w:color w:val="auto"/>
                <w:sz w:val="21"/>
                <w:szCs w:val="21"/>
                <w:highlight w:val="none"/>
              </w:rPr>
            </w:pPr>
            <w:r>
              <w:rPr>
                <w:rFonts w:hint="eastAsia" w:ascii="宋体" w:hAnsi="宋体" w:eastAsia="宋体" w:cs="宋体"/>
                <w:b/>
                <w:bCs/>
                <w:color w:val="auto"/>
                <w:kern w:val="0"/>
                <w:sz w:val="21"/>
                <w:szCs w:val="21"/>
                <w:highlight w:val="none"/>
                <w:lang w:val="en-US" w:eastAsia="zh-CN"/>
              </w:rPr>
              <w:t>投标保证金：无。</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718" w:type="dxa"/>
            <w:noWrap w:val="0"/>
            <w:vAlign w:val="center"/>
          </w:tcPr>
          <w:p>
            <w:pPr>
              <w:kinsoku/>
              <w:autoSpaceDE w:val="0"/>
              <w:autoSpaceDN w:val="0"/>
              <w:bidi w:val="0"/>
              <w:spacing w:line="360" w:lineRule="auto"/>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10</w:t>
            </w:r>
          </w:p>
        </w:tc>
        <w:tc>
          <w:tcPr>
            <w:tcW w:w="8169" w:type="dxa"/>
            <w:noWrap w:val="0"/>
            <w:vAlign w:val="top"/>
          </w:tcPr>
          <w:p>
            <w:pPr>
              <w:kinsoku/>
              <w:autoSpaceDE w:val="0"/>
              <w:autoSpaceDN w:val="0"/>
              <w:bidi w:val="0"/>
              <w:spacing w:line="360" w:lineRule="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履约保证金：</w:t>
            </w:r>
          </w:p>
          <w:p>
            <w:pPr>
              <w:kinsoku/>
              <w:autoSpaceDE w:val="0"/>
              <w:autoSpaceDN w:val="0"/>
              <w:bidi w:val="0"/>
              <w:spacing w:line="360" w:lineRule="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履约保证金金额：</w:t>
            </w:r>
            <w:r>
              <w:rPr>
                <w:rFonts w:hint="eastAsia" w:ascii="宋体" w:hAnsi="宋体" w:eastAsia="宋体" w:cs="宋体"/>
                <w:color w:val="auto"/>
                <w:sz w:val="21"/>
                <w:szCs w:val="21"/>
                <w:highlight w:val="none"/>
              </w:rPr>
              <w:t>中标总金额的</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w:t>
            </w:r>
          </w:p>
          <w:p>
            <w:pPr>
              <w:kinsoku/>
              <w:bidi w:val="0"/>
              <w:spacing w:line="360" w:lineRule="auto"/>
              <w:contextualSpacing/>
              <w:rPr>
                <w:rFonts w:ascii="宋体" w:hAnsi="宋体"/>
                <w:bCs/>
                <w:color w:val="auto"/>
                <w:sz w:val="21"/>
                <w:szCs w:val="21"/>
                <w:highlight w:val="none"/>
              </w:rPr>
            </w:pPr>
            <w:r>
              <w:rPr>
                <w:rFonts w:hint="eastAsia" w:ascii="宋体" w:hAnsi="宋体" w:eastAsia="宋体" w:cs="宋体"/>
                <w:b/>
                <w:bCs/>
                <w:color w:val="auto"/>
                <w:kern w:val="0"/>
                <w:sz w:val="21"/>
                <w:szCs w:val="21"/>
                <w:highlight w:val="none"/>
              </w:rPr>
              <w:t>递交时间：</w:t>
            </w:r>
            <w:r>
              <w:rPr>
                <w:rFonts w:hint="eastAsia" w:ascii="宋体" w:hAnsi="宋体"/>
                <w:bCs/>
                <w:color w:val="auto"/>
                <w:sz w:val="21"/>
                <w:szCs w:val="21"/>
                <w:highlight w:val="none"/>
              </w:rPr>
              <w:t>收到中标通知书后，并在签订合同前提交；</w:t>
            </w:r>
          </w:p>
          <w:p>
            <w:pPr>
              <w:kinsoku/>
              <w:autoSpaceDE w:val="0"/>
              <w:autoSpaceDN w:val="0"/>
              <w:bidi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递交方式：</w:t>
            </w:r>
            <w:r>
              <w:rPr>
                <w:rFonts w:hint="eastAsia" w:ascii="宋体" w:hAnsi="宋体"/>
                <w:bCs/>
                <w:color w:val="auto"/>
                <w:sz w:val="21"/>
                <w:szCs w:val="21"/>
                <w:highlight w:val="none"/>
              </w:rPr>
              <w:t>以支票、汇票、本票或者金融机构、担保机构出具的保函</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保证保险、电子履约保函（保险注册页面  https://jsdzbh.com/register）</w:t>
            </w:r>
            <w:r>
              <w:rPr>
                <w:rFonts w:hint="eastAsia" w:ascii="宋体" w:hAnsi="宋体"/>
                <w:bCs/>
                <w:color w:val="auto"/>
                <w:sz w:val="21"/>
                <w:szCs w:val="21"/>
                <w:highlight w:val="none"/>
              </w:rPr>
              <w:t>等非现金形式提交；</w:t>
            </w:r>
          </w:p>
          <w:p>
            <w:pPr>
              <w:kinsoku/>
              <w:bidi w:val="0"/>
              <w:spacing w:line="360" w:lineRule="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退还时间：</w:t>
            </w:r>
            <w:r>
              <w:rPr>
                <w:rFonts w:hint="eastAsia" w:ascii="宋体" w:hAnsi="宋体" w:eastAsia="宋体" w:cs="宋体"/>
                <w:color w:val="auto"/>
                <w:kern w:val="0"/>
                <w:sz w:val="21"/>
                <w:szCs w:val="21"/>
                <w:highlight w:val="none"/>
                <w:lang w:val="zh-CN"/>
              </w:rPr>
              <w:t>自提交之日起至项目验收合格止，</w:t>
            </w:r>
            <w:r>
              <w:rPr>
                <w:rFonts w:hint="eastAsia" w:ascii="宋体" w:hAnsi="宋体" w:eastAsia="宋体" w:cs="宋体"/>
                <w:color w:val="auto"/>
                <w:sz w:val="21"/>
                <w:szCs w:val="21"/>
                <w:highlight w:val="none"/>
              </w:rPr>
              <w:t>无息退还</w:t>
            </w:r>
            <w:r>
              <w:rPr>
                <w:rFonts w:hint="eastAsia" w:ascii="宋体" w:hAnsi="宋体" w:eastAsia="宋体" w:cs="宋体"/>
                <w:color w:val="auto"/>
                <w:sz w:val="21"/>
                <w:szCs w:val="21"/>
                <w:highlight w:val="none"/>
                <w:lang w:eastAsia="zh-CN"/>
              </w:rPr>
              <w:t>。</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718" w:type="dxa"/>
            <w:noWrap w:val="0"/>
            <w:vAlign w:val="center"/>
          </w:tcPr>
          <w:p>
            <w:pPr>
              <w:kinsoku/>
              <w:autoSpaceDE w:val="0"/>
              <w:autoSpaceDN w:val="0"/>
              <w:bidi w:val="0"/>
              <w:spacing w:line="360" w:lineRule="auto"/>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11</w:t>
            </w:r>
          </w:p>
        </w:tc>
        <w:tc>
          <w:tcPr>
            <w:tcW w:w="8169" w:type="dxa"/>
            <w:noWrap w:val="0"/>
            <w:vAlign w:val="top"/>
          </w:tcPr>
          <w:p>
            <w:pPr>
              <w:kinsoku/>
              <w:autoSpaceDE w:val="0"/>
              <w:autoSpaceDN w:val="0"/>
              <w:bidi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签订合同地点</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招标人</w:t>
            </w:r>
            <w:r>
              <w:rPr>
                <w:rFonts w:hint="eastAsia" w:ascii="宋体" w:hAnsi="宋体" w:eastAsia="宋体" w:cs="宋体"/>
                <w:color w:val="auto"/>
                <w:kern w:val="0"/>
                <w:sz w:val="21"/>
                <w:szCs w:val="21"/>
                <w:highlight w:val="none"/>
              </w:rPr>
              <w:t>指定地点</w:t>
            </w:r>
          </w:p>
          <w:p>
            <w:pPr>
              <w:kinsoku/>
              <w:autoSpaceDE w:val="0"/>
              <w:autoSpaceDN w:val="0"/>
              <w:bidi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合同签订主体：</w:t>
            </w:r>
            <w:r>
              <w:rPr>
                <w:rFonts w:hint="eastAsia" w:ascii="宋体" w:hAnsi="宋体" w:eastAsia="宋体" w:cs="宋体"/>
                <w:color w:val="auto"/>
                <w:kern w:val="0"/>
                <w:sz w:val="21"/>
                <w:szCs w:val="21"/>
                <w:highlight w:val="none"/>
              </w:rPr>
              <w:t>江苏江福农业发展有限公司</w:t>
            </w:r>
          </w:p>
          <w:p>
            <w:pPr>
              <w:kinsoku/>
              <w:autoSpaceDE w:val="0"/>
              <w:autoSpaceDN w:val="0"/>
              <w:bidi w:val="0"/>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监督主体：</w:t>
            </w:r>
            <w:r>
              <w:rPr>
                <w:rFonts w:hint="eastAsia" w:ascii="宋体" w:hAnsi="宋体" w:eastAsia="宋体" w:cs="宋体"/>
                <w:color w:val="auto"/>
                <w:kern w:val="0"/>
                <w:sz w:val="21"/>
                <w:szCs w:val="21"/>
                <w:highlight w:val="none"/>
                <w:lang w:val="en-US" w:eastAsia="zh-CN"/>
              </w:rPr>
              <w:t>江苏省高港现代农业产业园区管理办公室</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459" w:hRule="atLeast"/>
          <w:jc w:val="center"/>
        </w:trPr>
        <w:tc>
          <w:tcPr>
            <w:tcW w:w="718" w:type="dxa"/>
            <w:noWrap w:val="0"/>
            <w:vAlign w:val="center"/>
          </w:tcPr>
          <w:p>
            <w:pPr>
              <w:kinsoku/>
              <w:autoSpaceDE w:val="0"/>
              <w:autoSpaceDN w:val="0"/>
              <w:bidi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val="en-US" w:eastAsia="zh-CN"/>
              </w:rPr>
              <w:t>2</w:t>
            </w:r>
          </w:p>
        </w:tc>
        <w:tc>
          <w:tcPr>
            <w:tcW w:w="8169" w:type="dxa"/>
            <w:noWrap w:val="0"/>
            <w:vAlign w:val="center"/>
          </w:tcPr>
          <w:p>
            <w:pPr>
              <w:kinsoku/>
              <w:bidi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项目</w:t>
            </w:r>
            <w:r>
              <w:rPr>
                <w:rFonts w:hint="eastAsia" w:ascii="宋体" w:hAnsi="宋体" w:eastAsia="宋体" w:cs="宋体"/>
                <w:b/>
                <w:bCs/>
                <w:color w:val="auto"/>
                <w:kern w:val="0"/>
                <w:sz w:val="21"/>
                <w:szCs w:val="21"/>
                <w:highlight w:val="none"/>
              </w:rPr>
              <w:t>交付地点</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招标人</w:t>
            </w:r>
            <w:r>
              <w:rPr>
                <w:rFonts w:hint="eastAsia" w:ascii="宋体" w:hAnsi="宋体" w:eastAsia="宋体" w:cs="宋体"/>
                <w:color w:val="auto"/>
                <w:kern w:val="0"/>
                <w:sz w:val="21"/>
                <w:szCs w:val="21"/>
                <w:highlight w:val="none"/>
              </w:rPr>
              <w:t>指定地点。</w:t>
            </w:r>
          </w:p>
          <w:p>
            <w:pPr>
              <w:kinsoku/>
              <w:overflowPunct/>
              <w:bidi w:val="0"/>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项目交付</w:t>
            </w:r>
            <w:r>
              <w:rPr>
                <w:rFonts w:hint="eastAsia" w:ascii="宋体" w:hAnsi="宋体" w:eastAsia="宋体" w:cs="宋体"/>
                <w:b/>
                <w:bCs/>
                <w:color w:val="auto"/>
                <w:kern w:val="0"/>
                <w:sz w:val="21"/>
                <w:szCs w:val="21"/>
                <w:highlight w:val="none"/>
              </w:rPr>
              <w:t>期限</w:t>
            </w:r>
            <w:r>
              <w:rPr>
                <w:rFonts w:hint="eastAsia" w:ascii="宋体" w:hAnsi="宋体" w:eastAsia="宋体" w:cs="宋体"/>
                <w:b/>
                <w:color w:val="auto"/>
                <w:kern w:val="0"/>
                <w:sz w:val="21"/>
                <w:szCs w:val="21"/>
                <w:highlight w:val="none"/>
              </w:rPr>
              <w:t>：</w:t>
            </w:r>
            <w:r>
              <w:rPr>
                <w:rFonts w:hint="eastAsia" w:ascii="宋体" w:hAnsi="宋体" w:eastAsia="宋体" w:cs="宋体"/>
                <w:color w:val="auto"/>
                <w:sz w:val="21"/>
                <w:szCs w:val="21"/>
                <w:highlight w:val="none"/>
                <w:lang w:eastAsia="zh-CN"/>
              </w:rPr>
              <w:t>合同签订后，60天内所有货物到达项目现场，30天内完成安装调试及验收。质保期限不少于3年（农机、农机具按照国家三包）。</w:t>
            </w:r>
          </w:p>
          <w:p>
            <w:pPr>
              <w:kinsoku/>
              <w:bidi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kern w:val="0"/>
                <w:sz w:val="21"/>
                <w:szCs w:val="21"/>
                <w:highlight w:val="none"/>
                <w:lang w:val="en-US" w:eastAsia="zh-CN"/>
              </w:rPr>
              <w:t>项目</w:t>
            </w:r>
            <w:r>
              <w:rPr>
                <w:rFonts w:hint="eastAsia" w:ascii="宋体" w:hAnsi="宋体" w:eastAsia="宋体" w:cs="宋体"/>
                <w:b/>
                <w:color w:val="auto"/>
                <w:kern w:val="0"/>
                <w:sz w:val="21"/>
                <w:szCs w:val="21"/>
                <w:highlight w:val="none"/>
              </w:rPr>
              <w:t>交付方式：</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和中标人约定，按照合同约定执行。</w:t>
            </w:r>
          </w:p>
          <w:p>
            <w:pPr>
              <w:kinsoku/>
              <w:bidi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kern w:val="0"/>
                <w:sz w:val="21"/>
                <w:szCs w:val="21"/>
                <w:highlight w:val="none"/>
                <w:lang w:val="en-US" w:eastAsia="zh-CN"/>
              </w:rPr>
              <w:t>合同形式：</w:t>
            </w:r>
            <w:r>
              <w:rPr>
                <w:rFonts w:hint="eastAsia" w:ascii="宋体" w:hAnsi="宋体" w:eastAsia="宋体" w:cs="宋体"/>
                <w:color w:val="auto"/>
                <w:sz w:val="21"/>
                <w:szCs w:val="21"/>
                <w:highlight w:val="none"/>
              </w:rPr>
              <w:t>综合单价</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1086" w:hRule="atLeast"/>
          <w:jc w:val="center"/>
        </w:trPr>
        <w:tc>
          <w:tcPr>
            <w:tcW w:w="718" w:type="dxa"/>
            <w:noWrap w:val="0"/>
            <w:vAlign w:val="center"/>
          </w:tcPr>
          <w:p>
            <w:pPr>
              <w:kinsoku/>
              <w:autoSpaceDE w:val="0"/>
              <w:autoSpaceDN w:val="0"/>
              <w:bidi w:val="0"/>
              <w:spacing w:line="360"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3</w:t>
            </w:r>
          </w:p>
        </w:tc>
        <w:tc>
          <w:tcPr>
            <w:tcW w:w="8169" w:type="dxa"/>
            <w:noWrap w:val="0"/>
            <w:vAlign w:val="center"/>
          </w:tcPr>
          <w:p>
            <w:pPr>
              <w:pStyle w:val="7"/>
              <w:kinsoku/>
              <w:bidi w:val="0"/>
              <w:spacing w:line="360" w:lineRule="auto"/>
              <w:rPr>
                <w:rFonts w:hint="default"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付款方式：</w:t>
            </w:r>
            <w:r>
              <w:rPr>
                <w:rFonts w:hint="eastAsia" w:ascii="宋体" w:hAnsi="宋体" w:cs="Times New Roman"/>
                <w:color w:val="auto"/>
                <w:kern w:val="2"/>
                <w:sz w:val="21"/>
                <w:szCs w:val="21"/>
                <w:highlight w:val="none"/>
                <w:lang w:val="en-US" w:eastAsia="zh-CN" w:bidi="ar-SA"/>
              </w:rPr>
              <w:t>合同签订，完成需求确认后甲方向乙方支付合同总金额的30%；项目通过审计验收后，甲方向乙方支付至审定总金额的97%；履约满后，付清尾款。</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cantSplit/>
          <w:trHeight w:val="657" w:hRule="atLeast"/>
          <w:jc w:val="center"/>
        </w:trPr>
        <w:tc>
          <w:tcPr>
            <w:tcW w:w="718" w:type="dxa"/>
            <w:noWrap w:val="0"/>
            <w:vAlign w:val="center"/>
          </w:tcPr>
          <w:p>
            <w:pPr>
              <w:kinsoku/>
              <w:autoSpaceDE w:val="0"/>
              <w:autoSpaceDN w:val="0"/>
              <w:bidi w:val="0"/>
              <w:spacing w:line="360" w:lineRule="auto"/>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14</w:t>
            </w:r>
          </w:p>
        </w:tc>
        <w:tc>
          <w:tcPr>
            <w:tcW w:w="8169" w:type="dxa"/>
            <w:noWrap w:val="0"/>
            <w:vAlign w:val="center"/>
          </w:tcPr>
          <w:p>
            <w:pPr>
              <w:widowControl/>
              <w:kinsoku/>
              <w:bidi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pacing w:val="15"/>
                <w:kern w:val="0"/>
                <w:sz w:val="21"/>
                <w:szCs w:val="21"/>
                <w:highlight w:val="none"/>
              </w:rPr>
              <w:t>招标代理服务费</w:t>
            </w:r>
            <w:r>
              <w:rPr>
                <w:rFonts w:hint="eastAsia" w:ascii="宋体" w:hAnsi="宋体" w:eastAsia="宋体" w:cs="宋体"/>
                <w:b/>
                <w:bCs/>
                <w:color w:val="auto"/>
                <w:spacing w:val="15"/>
                <w:kern w:val="0"/>
                <w:sz w:val="21"/>
                <w:szCs w:val="21"/>
                <w:highlight w:val="none"/>
                <w:lang w:val="en-US" w:eastAsia="zh-CN"/>
              </w:rPr>
              <w:t>按</w:t>
            </w:r>
            <w:r>
              <w:rPr>
                <w:rFonts w:hint="eastAsia" w:ascii="宋体" w:hAnsi="宋体" w:eastAsia="宋体" w:cs="宋体"/>
                <w:b/>
                <w:bCs/>
                <w:color w:val="auto"/>
                <w:spacing w:val="15"/>
                <w:kern w:val="0"/>
                <w:sz w:val="21"/>
                <w:szCs w:val="21"/>
                <w:highlight w:val="none"/>
              </w:rPr>
              <w:t>《江苏省招标代理服务收费的指导意见》（苏招协﹝2022﹞002）规定标准计取，上述费用中标单位须在领取中标通知书前以电汇等付款方式一次性缴清。</w:t>
            </w:r>
            <w:r>
              <w:rPr>
                <w:rFonts w:hint="eastAsia" w:ascii="宋体" w:hAnsi="宋体" w:eastAsia="宋体" w:cs="宋体"/>
                <w:b/>
                <w:bCs/>
                <w:color w:val="auto"/>
                <w:kern w:val="0"/>
                <w:sz w:val="21"/>
                <w:szCs w:val="21"/>
                <w:highlight w:val="none"/>
              </w:rPr>
              <w:t>请投标单位在报价时考虑。</w:t>
            </w:r>
          </w:p>
        </w:tc>
      </w:tr>
    </w:tbl>
    <w:p>
      <w:pPr>
        <w:pageBreakBefore/>
        <w:kinsoku/>
        <w:overflowPunct/>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   总则</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一、招标项目</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eastAsia="zh-CN"/>
        </w:rPr>
        <w:t>水稻无人农场示范基地建设项目</w:t>
      </w:r>
      <w:r>
        <w:rPr>
          <w:rFonts w:hint="eastAsia" w:ascii="宋体" w:hAnsi="宋体" w:eastAsia="宋体" w:cs="宋体"/>
          <w:bCs/>
          <w:color w:val="auto"/>
          <w:sz w:val="21"/>
          <w:szCs w:val="21"/>
          <w:highlight w:val="none"/>
          <w:lang w:eastAsia="zh-CN"/>
        </w:rPr>
        <w:t>。</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二、投标费用</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投标人应自行承担其编制投标文件以及递交投标文件参加招投标过程所产生之一切费用。无论招投标结果如何，招标人及其代理机构对上述费用不负任何责任。</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三、招标文件</w:t>
      </w:r>
    </w:p>
    <w:p>
      <w:pPr>
        <w:pStyle w:val="4"/>
        <w:kinsoku/>
        <w:bidi w:val="0"/>
        <w:spacing w:before="0" w:after="0" w:line="360" w:lineRule="auto"/>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招标文件的澄清</w:t>
      </w:r>
    </w:p>
    <w:p>
      <w:pPr>
        <w:kinsoku/>
        <w:bidi w:val="0"/>
        <w:spacing w:line="360" w:lineRule="auto"/>
        <w:ind w:firstLine="420" w:firstLineChars="200"/>
        <w:contextualSpacing/>
        <w:jc w:val="left"/>
        <w:rPr>
          <w:rFonts w:hint="eastAsia" w:ascii="宋体" w:hAnsi="宋体" w:eastAsia="宋体" w:cs="宋体"/>
          <w:color w:val="auto"/>
          <w:sz w:val="21"/>
          <w:szCs w:val="21"/>
          <w:highlight w:val="none"/>
        </w:rPr>
      </w:pPr>
      <w:bookmarkStart w:id="5" w:name="_Toc246996933"/>
      <w:bookmarkStart w:id="6" w:name="_Toc19263"/>
      <w:bookmarkStart w:id="7" w:name="_Toc246996190"/>
      <w:bookmarkStart w:id="8" w:name="_Toc366679677"/>
      <w:bookmarkStart w:id="9" w:name="_Toc397928564"/>
      <w:bookmarkStart w:id="10" w:name="_Toc387526194"/>
      <w:bookmarkStart w:id="11" w:name="_Toc247085704"/>
      <w:bookmarkStart w:id="12" w:name="_Toc387526298"/>
      <w:bookmarkStart w:id="13" w:name="_Toc179632563"/>
      <w:bookmarkStart w:id="14" w:name="_Toc387526390"/>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 投标人应仔细阅读和检查招标文件的全部内容。如发现缺页或附件不全，应及时向招标人提出，以便补齐。如有疑问，应在法定时间内以书面形式（包括信函、电报、传真等可以有形地表现所载内容的形式，下同），要求招标人对招标文件予以澄清，招标人应当在7个工作日内对</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依法提出的询问作出答复。</w:t>
      </w:r>
    </w:p>
    <w:p>
      <w:pPr>
        <w:kinsoku/>
        <w:bidi w:val="0"/>
        <w:spacing w:line="360" w:lineRule="auto"/>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p>
    <w:p>
      <w:pPr>
        <w:pStyle w:val="4"/>
        <w:kinsoku/>
        <w:bidi w:val="0"/>
        <w:spacing w:before="0" w:after="0" w:line="360" w:lineRule="auto"/>
        <w:ind w:firstLine="420" w:firstLineChars="200"/>
        <w:contextualSpacing/>
        <w:jc w:val="left"/>
        <w:rPr>
          <w:rFonts w:hint="eastAsia" w:ascii="宋体" w:hAnsi="宋体" w:eastAsia="宋体" w:cs="宋体"/>
          <w:color w:val="auto"/>
          <w:sz w:val="21"/>
          <w:szCs w:val="21"/>
          <w:highlight w:val="none"/>
        </w:rPr>
      </w:pPr>
      <w:bookmarkStart w:id="15" w:name="_Toc508216894"/>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招标文件的修改</w:t>
      </w:r>
      <w:bookmarkEnd w:id="5"/>
      <w:bookmarkEnd w:id="6"/>
      <w:bookmarkEnd w:id="7"/>
      <w:bookmarkEnd w:id="8"/>
      <w:bookmarkEnd w:id="9"/>
      <w:bookmarkEnd w:id="10"/>
      <w:bookmarkEnd w:id="11"/>
      <w:bookmarkEnd w:id="12"/>
      <w:bookmarkEnd w:id="13"/>
      <w:bookmarkEnd w:id="14"/>
      <w:bookmarkEnd w:id="15"/>
    </w:p>
    <w:p>
      <w:pPr>
        <w:kinsoku/>
        <w:bidi w:val="0"/>
        <w:spacing w:line="360" w:lineRule="auto"/>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截止时间15天前，招标人可以以“补充答疑”的形式江苏政府采购网http://www.ccgp-jiangsu.gov.cn/上修改招标文件。如果修改招标文件的时间距投标截止时间不足15天，且修改内容影响投标文件编制的，相应延长投标截止时间。</w:t>
      </w:r>
    </w:p>
    <w:p>
      <w:pPr>
        <w:kinsoku/>
        <w:bidi w:val="0"/>
        <w:spacing w:line="360" w:lineRule="auto"/>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投标人提出异议截止时间</w:t>
      </w:r>
    </w:p>
    <w:p>
      <w:pPr>
        <w:kinsoku/>
        <w:bidi w:val="0"/>
        <w:spacing w:line="360" w:lineRule="auto"/>
        <w:ind w:firstLine="420" w:firstLineChars="200"/>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潜在投标人对招标文件有异议的，可以在知道或者应知其权益受到损害之日起七个工作日内，以书面形式向招标人提出质疑。</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四、投标人的义务</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投标人应当认真阅读招标文件，完全明了招标项目之名称、用途、数量、质量要求和履约期限，完全明了投标人所应具备的资格条件。</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投标人应当按照招标文件的要求编制投标文件。投标文件应对招标文件提出的实质性要求和条件做出完全响应。</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投标人应在投标截止时间前按招标文件规定方式提交投标文件。</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投标人不得相互串通投标报价，不得排挤其他投标人的公平竞争，损害招标人或者其他投标人合法权益。投标人不得与招标人串通投标，损害国家利益，公众利益或者他人的合法权益。</w:t>
      </w:r>
    </w:p>
    <w:p>
      <w:pPr>
        <w:kinsoku/>
        <w:overflowPunct/>
        <w:bidi w:val="0"/>
        <w:spacing w:line="360" w:lineRule="auto"/>
        <w:jc w:val="center"/>
        <w:textAlignment w:val="auto"/>
        <w:rPr>
          <w:rFonts w:hint="eastAsia" w:ascii="宋体" w:hAnsi="宋体" w:eastAsia="宋体" w:cs="宋体"/>
          <w:b/>
          <w:color w:val="auto"/>
          <w:sz w:val="21"/>
          <w:szCs w:val="21"/>
          <w:highlight w:val="none"/>
        </w:rPr>
      </w:pPr>
    </w:p>
    <w:p>
      <w:pPr>
        <w:kinsoku/>
        <w:overflowPunct/>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   投标文件</w:t>
      </w:r>
    </w:p>
    <w:p>
      <w:pPr>
        <w:numPr>
          <w:ilvl w:val="0"/>
          <w:numId w:val="0"/>
        </w:numPr>
        <w:kinsoku/>
        <w:overflowPunct/>
        <w:bidi w:val="0"/>
        <w:spacing w:line="360" w:lineRule="auto"/>
        <w:ind w:firstLine="422" w:firstLineChars="200"/>
        <w:textAlignment w:val="auto"/>
        <w:rPr>
          <w:rFonts w:hint="eastAsia" w:ascii="宋体" w:hAnsi="宋体" w:eastAsia="宋体" w:cs="宋体"/>
          <w:b/>
          <w:color w:val="auto"/>
          <w:sz w:val="21"/>
          <w:szCs w:val="21"/>
          <w:highlight w:val="none"/>
        </w:rPr>
      </w:pPr>
      <w:bookmarkStart w:id="16" w:name="_Toc14577361"/>
      <w:bookmarkStart w:id="17" w:name="_Toc61149561"/>
      <w:bookmarkStart w:id="18" w:name="_Toc513029223"/>
      <w:r>
        <w:rPr>
          <w:rFonts w:hint="eastAsia" w:ascii="宋体" w:hAnsi="宋体" w:eastAsia="宋体" w:cs="宋体"/>
          <w:b/>
          <w:color w:val="auto"/>
          <w:sz w:val="21"/>
          <w:szCs w:val="21"/>
          <w:highlight w:val="none"/>
          <w:lang w:val="en-US" w:eastAsia="zh-CN"/>
        </w:rPr>
        <w:t>五、投标</w:t>
      </w:r>
      <w:r>
        <w:rPr>
          <w:rFonts w:hint="eastAsia" w:ascii="宋体" w:hAnsi="宋体" w:eastAsia="宋体" w:cs="宋体"/>
          <w:b/>
          <w:color w:val="auto"/>
          <w:sz w:val="21"/>
          <w:szCs w:val="21"/>
          <w:highlight w:val="none"/>
        </w:rPr>
        <w:t>文件份数和签署</w:t>
      </w:r>
      <w:bookmarkEnd w:id="16"/>
      <w:bookmarkEnd w:id="17"/>
      <w:bookmarkEnd w:id="18"/>
    </w:p>
    <w:p>
      <w:pPr>
        <w:kinsoku/>
        <w:bidi w:val="0"/>
        <w:spacing w:line="360" w:lineRule="auto"/>
        <w:ind w:firstLine="422" w:firstLineChars="200"/>
        <w:contextualSpacing/>
        <w:jc w:val="left"/>
        <w:rPr>
          <w:rFonts w:hint="eastAsia" w:ascii="宋体" w:hAnsi="宋体" w:eastAsia="宋体" w:cs="宋体"/>
          <w:b/>
          <w:color w:val="auto"/>
          <w:kern w:val="0"/>
          <w:sz w:val="21"/>
          <w:szCs w:val="21"/>
          <w:highlight w:val="none"/>
        </w:rPr>
      </w:pPr>
      <w:bookmarkStart w:id="19" w:name="_Hlt26954834"/>
      <w:bookmarkEnd w:id="19"/>
      <w:bookmarkStart w:id="20" w:name="_Toc462564073"/>
      <w:bookmarkStart w:id="21" w:name="_Toc61149554"/>
      <w:bookmarkStart w:id="22" w:name="_Toc513029214"/>
      <w:bookmarkStart w:id="23" w:name="_Toc14577352"/>
      <w:r>
        <w:rPr>
          <w:rFonts w:hint="eastAsia" w:ascii="宋体" w:hAnsi="宋体" w:eastAsia="宋体" w:cs="宋体"/>
          <w:b/>
          <w:color w:val="auto"/>
          <w:kern w:val="0"/>
          <w:sz w:val="21"/>
          <w:szCs w:val="21"/>
          <w:highlight w:val="none"/>
          <w:lang w:val="en-US" w:eastAsia="zh-CN"/>
        </w:rPr>
        <w:t>1.</w:t>
      </w:r>
      <w:r>
        <w:rPr>
          <w:rFonts w:hint="eastAsia" w:ascii="宋体" w:hAnsi="宋体" w:eastAsia="宋体" w:cs="宋体"/>
          <w:b/>
          <w:color w:val="auto"/>
          <w:kern w:val="0"/>
          <w:sz w:val="21"/>
          <w:szCs w:val="21"/>
          <w:highlight w:val="none"/>
        </w:rPr>
        <w:t xml:space="preserve"> 完整的</w:t>
      </w:r>
      <w:r>
        <w:rPr>
          <w:rFonts w:hint="eastAsia" w:ascii="宋体" w:hAnsi="宋体" w:eastAsia="宋体" w:cs="宋体"/>
          <w:b/>
          <w:color w:val="auto"/>
          <w:kern w:val="0"/>
          <w:sz w:val="21"/>
          <w:szCs w:val="21"/>
          <w:highlight w:val="none"/>
          <w:lang w:val="en-US" w:eastAsia="zh-CN"/>
        </w:rPr>
        <w:t>电子</w:t>
      </w:r>
      <w:r>
        <w:rPr>
          <w:rFonts w:hint="eastAsia" w:ascii="宋体" w:hAnsi="宋体" w:eastAsia="宋体" w:cs="宋体"/>
          <w:b/>
          <w:color w:val="auto"/>
          <w:kern w:val="0"/>
          <w:sz w:val="21"/>
          <w:szCs w:val="21"/>
          <w:highlight w:val="none"/>
        </w:rPr>
        <w:t>投标文件应包括商务部分、技术部分和资格证明文件。</w:t>
      </w:r>
    </w:p>
    <w:p>
      <w:pPr>
        <w:kinsoku/>
        <w:bidi w:val="0"/>
        <w:spacing w:line="360" w:lineRule="auto"/>
        <w:ind w:firstLine="422" w:firstLineChars="200"/>
        <w:contextualSpacing/>
        <w:jc w:val="left"/>
        <w:rPr>
          <w:rFonts w:hint="eastAsia" w:ascii="宋体" w:hAnsi="宋体" w:eastAsia="宋体" w:cs="宋体"/>
          <w:b/>
          <w:bCs/>
          <w:color w:val="E54C5E" w:themeColor="accent6"/>
          <w:sz w:val="21"/>
          <w:szCs w:val="21"/>
          <w:highlight w:val="none"/>
          <w14:textFill>
            <w14:solidFill>
              <w14:schemeClr w14:val="accent6"/>
            </w14:solidFill>
          </w14:textFill>
        </w:rPr>
      </w:pPr>
      <w:r>
        <w:rPr>
          <w:rFonts w:hint="eastAsia" w:ascii="宋体" w:hAnsi="宋体" w:eastAsia="宋体" w:cs="宋体"/>
          <w:b/>
          <w:color w:val="E54C5E" w:themeColor="accent6"/>
          <w:kern w:val="0"/>
          <w:sz w:val="21"/>
          <w:szCs w:val="21"/>
          <w:highlight w:val="none"/>
          <w:lang w:val="en-US" w:eastAsia="zh-CN"/>
          <w14:textFill>
            <w14:solidFill>
              <w14:schemeClr w14:val="accent6"/>
            </w14:solidFill>
          </w14:textFill>
        </w:rPr>
        <w:t>2</w:t>
      </w:r>
      <w:r>
        <w:rPr>
          <w:rFonts w:hint="eastAsia" w:ascii="宋体" w:hAnsi="宋体" w:cs="宋体"/>
          <w:b/>
          <w:color w:val="E54C5E" w:themeColor="accent6"/>
          <w:kern w:val="0"/>
          <w:sz w:val="21"/>
          <w:szCs w:val="21"/>
          <w:highlight w:val="none"/>
          <w:lang w:val="en-US" w:eastAsia="zh-CN"/>
          <w14:textFill>
            <w14:solidFill>
              <w14:schemeClr w14:val="accent6"/>
            </w14:solidFill>
          </w14:textFill>
        </w:rPr>
        <w:t>.</w:t>
      </w:r>
      <w:r>
        <w:rPr>
          <w:rFonts w:hint="eastAsia" w:ascii="宋体" w:hAnsi="宋体" w:eastAsia="宋体" w:cs="宋体"/>
          <w:b/>
          <w:color w:val="E54C5E" w:themeColor="accent6"/>
          <w:kern w:val="0"/>
          <w:sz w:val="21"/>
          <w:szCs w:val="21"/>
          <w:highlight w:val="none"/>
          <w14:textFill>
            <w14:solidFill>
              <w14:schemeClr w14:val="accent6"/>
            </w14:solidFill>
          </w14:textFill>
        </w:rPr>
        <w:t>中标单位在中标结</w:t>
      </w:r>
      <w:r>
        <w:rPr>
          <w:rFonts w:hint="eastAsia" w:ascii="宋体" w:hAnsi="宋体" w:eastAsia="宋体" w:cs="宋体"/>
          <w:b/>
          <w:bCs/>
          <w:color w:val="E54C5E" w:themeColor="accent6"/>
          <w:sz w:val="21"/>
          <w:szCs w:val="21"/>
          <w:highlight w:val="none"/>
          <w14:textFill>
            <w14:solidFill>
              <w14:schemeClr w14:val="accent6"/>
            </w14:solidFill>
          </w14:textFill>
        </w:rPr>
        <w:t>果公告后、领取中标通知书前必须提供与投标文件电子标书一致的纸质投标文件加盖投标人单位公章并装订成册（共五套：正本一套、副本四套）以供招标人、招标代理机构存档。纸质投标文件必须保证与评标时的电子标书完全一致。</w:t>
      </w:r>
    </w:p>
    <w:p>
      <w:pPr>
        <w:numPr>
          <w:ilvl w:val="0"/>
          <w:numId w:val="3"/>
        </w:numPr>
        <w:kinsoku/>
        <w:bidi w:val="0"/>
        <w:spacing w:line="360" w:lineRule="auto"/>
        <w:ind w:firstLine="420" w:firstLineChars="200"/>
        <w:contextualSpacing/>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投标人投标文件中提供的资格审查资料必须为</w:t>
      </w:r>
      <w:r>
        <w:rPr>
          <w:rFonts w:hint="eastAsia" w:ascii="宋体" w:hAnsi="宋体" w:cs="宋体"/>
          <w:b/>
          <w:color w:val="auto"/>
          <w:sz w:val="21"/>
          <w:szCs w:val="21"/>
          <w:highlight w:val="none"/>
        </w:rPr>
        <w:t>原件彩色扫描件</w:t>
      </w:r>
      <w:r>
        <w:rPr>
          <w:rFonts w:hint="eastAsia" w:ascii="宋体" w:hAnsi="宋体" w:cs="宋体"/>
          <w:color w:val="auto"/>
          <w:sz w:val="21"/>
          <w:szCs w:val="21"/>
          <w:highlight w:val="none"/>
        </w:rPr>
        <w:t>，关键信息齐全、清晰可辨(钢印除外)。</w:t>
      </w:r>
    </w:p>
    <w:p>
      <w:pPr>
        <w:kinsoku/>
        <w:overflowPunct/>
        <w:bidi w:val="0"/>
        <w:spacing w:line="360" w:lineRule="auto"/>
        <w:ind w:firstLine="48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编制要求</w:t>
      </w:r>
    </w:p>
    <w:p>
      <w:pPr>
        <w:kinsoku/>
        <w:bidi w:val="0"/>
        <w:spacing w:line="360" w:lineRule="auto"/>
        <w:ind w:firstLine="420" w:firstLineChars="200"/>
        <w:contextualSpacing/>
        <w:jc w:val="left"/>
        <w:rPr>
          <w:rFonts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rPr>
        <w:t>投标文件电子投标文件应当按照系统提供的格式编写，纸质投标文件应按第六章“投标文件格式”进行编写，如有必要可自行增加，作为投标文件的组成部分。</w:t>
      </w:r>
    </w:p>
    <w:p>
      <w:pPr>
        <w:kinsoku/>
        <w:bidi w:val="0"/>
        <w:spacing w:line="360" w:lineRule="auto"/>
        <w:ind w:firstLine="420" w:firstLineChars="200"/>
        <w:contextualSpacing/>
        <w:jc w:val="lef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 xml:space="preserve"> 投标文件应当对招标文件有关服务期、投标有效期、质量要求、技术标准和要求、招标范围等实质性内容作出响应。</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除技术性能另有规定外，投标文件所使用的度量衡单位，均须采用国家法定计量单位。</w:t>
      </w:r>
      <w:bookmarkEnd w:id="20"/>
      <w:bookmarkEnd w:id="21"/>
      <w:bookmarkEnd w:id="22"/>
      <w:bookmarkEnd w:id="23"/>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bCs/>
          <w:color w:val="auto"/>
          <w:sz w:val="21"/>
          <w:szCs w:val="21"/>
          <w:highlight w:val="none"/>
        </w:rPr>
        <w:t>七、投标文件的制作应当符合以下要求：</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投标人必须依照招标文件提供的表式制作投标文件，对表式投标人可以按同样格式进行扩展。</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全套投标文件应无修改和行间插字。如有修改，须在修改处加盖</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法定代表人或其委托代理人的印鉴。</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rPr>
        <w:t>投标报价清晰准确，不存在影响其他投标人评分的严重错误。</w:t>
      </w:r>
    </w:p>
    <w:p>
      <w:pPr>
        <w:kinsoku/>
        <w:overflowPunct/>
        <w:bidi w:val="0"/>
        <w:spacing w:line="360" w:lineRule="auto"/>
        <w:ind w:firstLine="48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4.投标文件主要由以下部分构成：</w:t>
      </w:r>
      <w:r>
        <w:rPr>
          <w:rFonts w:hint="eastAsia" w:ascii="宋体" w:hAnsi="宋体" w:cs="宋体"/>
          <w:color w:val="auto"/>
          <w:sz w:val="21"/>
          <w:szCs w:val="21"/>
          <w:highlight w:val="none"/>
        </w:rPr>
        <w:t xml:space="preserve"> </w:t>
      </w:r>
    </w:p>
    <w:p>
      <w:pPr>
        <w:kinsoku/>
        <w:overflowPunct/>
        <w:bidi w:val="0"/>
        <w:spacing w:line="360" w:lineRule="auto"/>
        <w:ind w:firstLine="480"/>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4.1资格条件证明文件：</w:t>
      </w:r>
    </w:p>
    <w:p>
      <w:pPr>
        <w:kinsoku/>
        <w:overflowPunct/>
        <w:bidi w:val="0"/>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w:t>
      </w:r>
      <w:r>
        <w:rPr>
          <w:rFonts w:hint="eastAsia" w:ascii="宋体" w:hAnsi="宋体" w:cs="宋体"/>
          <w:bCs/>
          <w:color w:val="auto"/>
          <w:sz w:val="21"/>
          <w:szCs w:val="21"/>
          <w:highlight w:val="none"/>
        </w:rPr>
        <w:t>法人或者其他组织的营业执照等证明文件</w:t>
      </w:r>
      <w:r>
        <w:rPr>
          <w:rFonts w:hint="eastAsia" w:ascii="宋体" w:hAnsi="宋体" w:cs="宋体"/>
          <w:bCs/>
          <w:color w:val="auto"/>
          <w:sz w:val="21"/>
          <w:szCs w:val="21"/>
          <w:highlight w:val="none"/>
          <w:lang w:eastAsia="zh-CN"/>
        </w:rPr>
        <w:t>，自然人的身份证明</w:t>
      </w:r>
      <w:r>
        <w:rPr>
          <w:rFonts w:hint="eastAsia" w:ascii="宋体" w:hAnsi="宋体" w:cs="宋体"/>
          <w:color w:val="auto"/>
          <w:sz w:val="21"/>
          <w:szCs w:val="21"/>
          <w:highlight w:val="none"/>
        </w:rPr>
        <w:t>（复印件加盖投标人公章）</w:t>
      </w:r>
      <w:r>
        <w:rPr>
          <w:rFonts w:hint="eastAsia" w:ascii="宋体" w:hAnsi="宋体" w:cs="宋体"/>
          <w:color w:val="auto"/>
          <w:sz w:val="21"/>
          <w:szCs w:val="21"/>
          <w:highlight w:val="none"/>
          <w:lang w:eastAsia="zh-CN"/>
        </w:rPr>
        <w:t>；</w:t>
      </w:r>
    </w:p>
    <w:p>
      <w:pPr>
        <w:kinsoku/>
        <w:overflowPunct/>
        <w:bidi w:val="0"/>
        <w:spacing w:line="360" w:lineRule="auto"/>
        <w:ind w:firstLine="480"/>
        <w:textAlignment w:val="auto"/>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或2023年度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的财务状况报告（提供审计报告或财务报表，成立不满一年不需提供）</w:t>
      </w:r>
      <w:r>
        <w:rPr>
          <w:rFonts w:hint="eastAsia" w:ascii="宋体" w:hAnsi="宋体" w:eastAsia="宋体" w:cs="宋体"/>
          <w:color w:val="auto"/>
          <w:sz w:val="21"/>
          <w:szCs w:val="21"/>
          <w:highlight w:val="none"/>
          <w:lang w:eastAsia="zh-CN"/>
        </w:rPr>
        <w:t>；</w:t>
      </w:r>
    </w:p>
    <w:p>
      <w:pPr>
        <w:kinsoku/>
        <w:overflowPunct/>
        <w:bidi w:val="0"/>
        <w:spacing w:line="360" w:lineRule="auto"/>
        <w:ind w:firstLine="480"/>
        <w:textAlignment w:val="auto"/>
        <w:rPr>
          <w:rFonts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）★投标人近三个月中任意一个月份(不含投标当月)的依法缴纳税收的相关材料（提供相关主管部门证明或银行代扣证明）复印件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投标人近三个月中任意一个月份(不含投标当月)的依法缴纳社会保障资金的相关材料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提供相关主管部门证明或银行代扣证明）复印件； </w:t>
      </w:r>
    </w:p>
    <w:p>
      <w:pPr>
        <w:kinsoku/>
        <w:overflowPunct/>
        <w:bidi w:val="0"/>
        <w:spacing w:line="360" w:lineRule="auto"/>
        <w:ind w:firstLine="480"/>
        <w:textAlignment w:val="auto"/>
        <w:rPr>
          <w:rFonts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）★投标人具备履行合同所必需的设备和专业技术能力的证明材料</w:t>
      </w:r>
      <w:r>
        <w:rPr>
          <w:rFonts w:hint="eastAsia" w:ascii="宋体" w:hAnsi="宋体" w:eastAsia="宋体" w:cs="宋体"/>
          <w:b/>
          <w:bCs/>
          <w:color w:val="auto"/>
          <w:sz w:val="21"/>
          <w:szCs w:val="21"/>
          <w:highlight w:val="none"/>
        </w:rPr>
        <w:t xml:space="preserve">； </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）★投标人参加政府采购活动前3年内在经营活动中没有重大违法记录的书面声明</w:t>
      </w:r>
      <w:r>
        <w:rPr>
          <w:rFonts w:hint="eastAsia" w:ascii="宋体" w:hAnsi="宋体" w:cs="宋体"/>
          <w:b/>
          <w:bCs/>
          <w:color w:val="auto"/>
          <w:sz w:val="21"/>
          <w:szCs w:val="21"/>
          <w:highlight w:val="none"/>
        </w:rPr>
        <w:t xml:space="preserve">； </w:t>
      </w:r>
    </w:p>
    <w:p>
      <w:pPr>
        <w:kinsoku/>
        <w:overflowPunct/>
        <w:bidi w:val="0"/>
        <w:spacing w:line="360" w:lineRule="auto"/>
        <w:ind w:firstLine="480"/>
        <w:textAlignment w:val="auto"/>
        <w:rPr>
          <w:rFonts w:hint="default"/>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）未被“信用中国”网站（www.creditchina.gov.cn）列入失信被执行人、重大税收违法案件当事人名单、政府采购严重失信行为记录名单。（</w:t>
      </w:r>
      <w:r>
        <w:rPr>
          <w:rFonts w:hint="eastAsia" w:ascii="宋体" w:hAnsi="宋体" w:eastAsia="宋体" w:cs="宋体"/>
          <w:color w:val="auto"/>
          <w:sz w:val="21"/>
          <w:szCs w:val="21"/>
          <w:highlight w:val="none"/>
          <w:lang w:val="en-US" w:eastAsia="zh-CN"/>
        </w:rPr>
        <w:t>提供信用中国查询报告</w:t>
      </w:r>
      <w:r>
        <w:rPr>
          <w:rFonts w:hint="eastAsia" w:ascii="宋体" w:hAnsi="宋体" w:eastAsia="宋体" w:cs="宋体"/>
          <w:color w:val="auto"/>
          <w:sz w:val="21"/>
          <w:szCs w:val="21"/>
          <w:highlight w:val="none"/>
          <w:lang w:eastAsia="zh-CN"/>
        </w:rPr>
        <w:t>）</w:t>
      </w:r>
    </w:p>
    <w:p>
      <w:pPr>
        <w:kinsoku/>
        <w:overflowPunct/>
        <w:bidi w:val="0"/>
        <w:spacing w:line="360" w:lineRule="auto"/>
        <w:ind w:firstLine="480"/>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4.2</w:t>
      </w:r>
      <w:r>
        <w:rPr>
          <w:rFonts w:hint="eastAsia" w:ascii="宋体" w:hAnsi="宋体" w:cs="宋体"/>
          <w:b/>
          <w:bCs/>
          <w:color w:val="auto"/>
          <w:sz w:val="21"/>
          <w:szCs w:val="21"/>
          <w:highlight w:val="none"/>
        </w:rPr>
        <w:t>报价符合性审查：</w:t>
      </w:r>
    </w:p>
    <w:p>
      <w:pPr>
        <w:numPr>
          <w:ilvl w:val="0"/>
          <w:numId w:val="4"/>
        </w:numPr>
        <w:kinsoku/>
        <w:overflowPunct/>
        <w:bidi w:val="0"/>
        <w:spacing w:line="360" w:lineRule="auto"/>
        <w:ind w:firstLine="48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★投标函</w:t>
      </w:r>
      <w:r>
        <w:rPr>
          <w:rFonts w:hint="eastAsia" w:ascii="宋体" w:hAnsi="宋体" w:cs="宋体"/>
          <w:color w:val="auto"/>
          <w:sz w:val="21"/>
          <w:szCs w:val="21"/>
          <w:highlight w:val="none"/>
          <w:lang w:eastAsia="zh-CN"/>
        </w:rPr>
        <w:t>；</w:t>
      </w:r>
    </w:p>
    <w:p>
      <w:pPr>
        <w:numPr>
          <w:ilvl w:val="0"/>
          <w:numId w:val="4"/>
        </w:numPr>
        <w:kinsoku/>
        <w:overflowPunct/>
        <w:bidi w:val="0"/>
        <w:spacing w:line="360" w:lineRule="auto"/>
        <w:ind w:firstLine="48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color w:val="auto"/>
          <w:sz w:val="21"/>
          <w:szCs w:val="21"/>
          <w:highlight w:val="none"/>
        </w:rPr>
        <w:t>开标一览表</w:t>
      </w:r>
      <w:r>
        <w:rPr>
          <w:rFonts w:hint="eastAsia" w:ascii="宋体" w:hAnsi="宋体" w:cs="宋体"/>
          <w:b/>
          <w:color w:val="auto"/>
          <w:sz w:val="21"/>
          <w:szCs w:val="21"/>
          <w:highlight w:val="none"/>
          <w:lang w:eastAsia="zh-CN"/>
        </w:rPr>
        <w:t>。</w:t>
      </w:r>
    </w:p>
    <w:p>
      <w:pPr>
        <w:kinsoku/>
        <w:overflowPunct/>
        <w:bidi w:val="0"/>
        <w:spacing w:line="360" w:lineRule="auto"/>
        <w:ind w:firstLine="48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4.3</w:t>
      </w:r>
      <w:r>
        <w:rPr>
          <w:rFonts w:hint="eastAsia" w:ascii="宋体" w:hAnsi="宋体" w:eastAsia="宋体" w:cs="宋体"/>
          <w:b/>
          <w:bCs/>
          <w:color w:val="auto"/>
          <w:sz w:val="21"/>
          <w:szCs w:val="21"/>
          <w:highlight w:val="none"/>
        </w:rPr>
        <w:t>商务部分符合性审查：</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）★投标人法定代表人授权委托书（格式见附件，法定代表人亲自参加投标的除外</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如为联合体投标，牵头单位提供</w:t>
      </w:r>
      <w:r>
        <w:rPr>
          <w:rFonts w:hint="eastAsia" w:ascii="宋体" w:hAnsi="宋体" w:cs="宋体"/>
          <w:color w:val="auto"/>
          <w:sz w:val="21"/>
          <w:szCs w:val="21"/>
          <w:highlight w:val="none"/>
        </w:rPr>
        <w:t>）</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）★投标人法定代表人身份证复印件</w:t>
      </w:r>
    </w:p>
    <w:p>
      <w:pPr>
        <w:kinsoku/>
        <w:overflowPunct/>
        <w:bidi w:val="0"/>
        <w:spacing w:line="360" w:lineRule="auto"/>
        <w:ind w:firstLine="48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）★投标人法定代表人授权代表身份证复印件（法定代表人亲自参加投标的除外）</w:t>
      </w:r>
    </w:p>
    <w:p>
      <w:pPr>
        <w:kinsoku/>
        <w:overflowPunct/>
        <w:bidi w:val="0"/>
        <w:spacing w:line="360" w:lineRule="auto"/>
        <w:ind w:firstLine="480"/>
        <w:textAlignment w:val="auto"/>
        <w:rPr>
          <w:rFonts w:hint="eastAsia" w:ascii="宋体" w:hAnsi="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（4）★商务条款响应及偏离表</w:t>
      </w:r>
    </w:p>
    <w:p>
      <w:pPr>
        <w:kinsoku/>
        <w:overflowPunct/>
        <w:bidi w:val="0"/>
        <w:spacing w:line="360" w:lineRule="auto"/>
        <w:ind w:firstLine="48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评分标准客观分评分须按评分点内容逐项提供证明材料清单</w:t>
      </w:r>
    </w:p>
    <w:p>
      <w:pPr>
        <w:kinsoku/>
        <w:overflowPunct/>
        <w:bidi w:val="0"/>
        <w:spacing w:line="360" w:lineRule="auto"/>
        <w:ind w:firstLine="480"/>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4.4</w:t>
      </w:r>
      <w:r>
        <w:rPr>
          <w:rFonts w:hint="eastAsia" w:ascii="宋体" w:hAnsi="宋体" w:cs="宋体"/>
          <w:b/>
          <w:bCs/>
          <w:color w:val="auto"/>
          <w:sz w:val="21"/>
          <w:szCs w:val="21"/>
          <w:highlight w:val="none"/>
        </w:rPr>
        <w:t>技术部分符合性审查：</w:t>
      </w:r>
    </w:p>
    <w:p>
      <w:pPr>
        <w:numPr>
          <w:ilvl w:val="0"/>
          <w:numId w:val="5"/>
        </w:numPr>
        <w:kinsoku/>
        <w:overflowPunct/>
        <w:bidi w:val="0"/>
        <w:spacing w:line="360" w:lineRule="auto"/>
        <w:ind w:firstLine="48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color w:val="auto"/>
          <w:sz w:val="21"/>
          <w:szCs w:val="21"/>
          <w:highlight w:val="none"/>
        </w:rPr>
        <w:t>★采购需求响应及偏离表</w:t>
      </w:r>
      <w:r>
        <w:rPr>
          <w:rFonts w:hint="eastAsia" w:ascii="宋体" w:hAnsi="宋体" w:cs="宋体"/>
          <w:color w:val="auto"/>
          <w:sz w:val="21"/>
          <w:szCs w:val="21"/>
          <w:highlight w:val="none"/>
          <w:lang w:eastAsia="zh-CN"/>
        </w:rPr>
        <w:t>；</w:t>
      </w:r>
    </w:p>
    <w:p>
      <w:pPr>
        <w:numPr>
          <w:ilvl w:val="0"/>
          <w:numId w:val="0"/>
        </w:numPr>
        <w:kinsoku/>
        <w:overflowPunct/>
        <w:bidi w:val="0"/>
        <w:spacing w:line="360" w:lineRule="auto"/>
        <w:ind w:firstLine="422" w:firstLineChars="200"/>
        <w:textAlignment w:val="auto"/>
        <w:rPr>
          <w:rFonts w:hint="eastAsia"/>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（2）综合</w:t>
      </w:r>
      <w:r>
        <w:rPr>
          <w:rFonts w:hint="eastAsia" w:ascii="宋体" w:hAnsi="宋体" w:eastAsia="宋体" w:cs="宋体"/>
          <w:b/>
          <w:bCs/>
          <w:color w:val="auto"/>
          <w:kern w:val="2"/>
          <w:sz w:val="21"/>
          <w:szCs w:val="21"/>
          <w:highlight w:val="none"/>
          <w:lang w:val="en-US" w:eastAsia="zh-CN" w:bidi="ar-SA"/>
        </w:rPr>
        <w:t>评审评分项：</w:t>
      </w:r>
    </w:p>
    <w:p>
      <w:pPr>
        <w:numPr>
          <w:ilvl w:val="0"/>
          <w:numId w:val="0"/>
        </w:numPr>
        <w:kinsoku/>
        <w:overflowPunct/>
        <w:bidi w:val="0"/>
        <w:spacing w:line="360" w:lineRule="auto"/>
        <w:ind w:firstLine="420" w:firstLineChars="200"/>
        <w:textAlignment w:val="auto"/>
        <w:rPr>
          <w:rFonts w:hint="eastAsia"/>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根据评分细则需要提交的材料</w:t>
      </w:r>
      <w:r>
        <w:rPr>
          <w:rFonts w:hint="eastAsia" w:ascii="宋体" w:hAnsi="宋体" w:eastAsia="宋体" w:cs="宋体"/>
          <w:b/>
          <w:bCs/>
          <w:color w:val="auto"/>
          <w:kern w:val="2"/>
          <w:sz w:val="21"/>
          <w:szCs w:val="21"/>
          <w:highlight w:val="none"/>
          <w:lang w:val="en-US" w:eastAsia="zh-CN" w:bidi="ar-SA"/>
        </w:rPr>
        <w:t>（评分标准客观分评分须按评分点内容逐项提供证明材料清单，清单后附明细证明材料，未提供清单商务部分符合性审查不通过，作废标处理）</w:t>
      </w:r>
    </w:p>
    <w:p>
      <w:pPr>
        <w:pStyle w:val="3"/>
        <w:numPr>
          <w:ilvl w:val="0"/>
          <w:numId w:val="0"/>
        </w:numPr>
        <w:kinsoku/>
        <w:overflowPunct/>
        <w:bidi w:val="0"/>
        <w:spacing w:line="360" w:lineRule="auto"/>
        <w:ind w:leftChars="-1" w:right="210" w:rightChars="0" w:firstLine="422" w:firstLineChars="200"/>
        <w:textAlignment w:val="auto"/>
        <w:rPr>
          <w:rFonts w:hint="eastAsia" w:ascii="宋体" w:hAnsi="宋体" w:cs="宋体"/>
          <w:color w:val="auto"/>
          <w:sz w:val="21"/>
          <w:szCs w:val="21"/>
          <w:highlight w:val="none"/>
        </w:rPr>
      </w:pPr>
      <w:r>
        <w:rPr>
          <w:rFonts w:hint="eastAsia" w:ascii="宋体" w:hAnsi="宋体" w:eastAsia="宋体" w:cs="宋体"/>
          <w:b/>
          <w:bCs/>
          <w:color w:val="auto"/>
          <w:kern w:val="2"/>
          <w:sz w:val="21"/>
          <w:szCs w:val="21"/>
          <w:highlight w:val="none"/>
          <w:lang w:val="en-US" w:eastAsia="zh-CN" w:bidi="ar-SA"/>
        </w:rPr>
        <w:t>（3）中小微企业声明函</w:t>
      </w:r>
    </w:p>
    <w:p>
      <w:pPr>
        <w:pStyle w:val="6"/>
        <w:kinsoku/>
        <w:overflowPunct/>
        <w:bidi w:val="0"/>
        <w:spacing w:line="360" w:lineRule="auto"/>
        <w:ind w:firstLine="480"/>
        <w:textAlignment w:val="auto"/>
        <w:rPr>
          <w:rFonts w:hint="eastAsia" w:ascii="宋体" w:hAnsi="宋体" w:eastAsia="宋体" w:cs="宋体"/>
          <w:b/>
          <w:bCs/>
          <w:color w:val="auto"/>
          <w:sz w:val="21"/>
          <w:szCs w:val="21"/>
          <w:highlight w:val="none"/>
          <w:lang w:eastAsia="zh-CN"/>
        </w:rPr>
      </w:pPr>
      <w:r>
        <w:rPr>
          <w:rFonts w:hint="eastAsia" w:ascii="宋体" w:hAnsi="宋体" w:cs="宋体"/>
          <w:color w:val="auto"/>
          <w:sz w:val="21"/>
          <w:szCs w:val="21"/>
          <w:highlight w:val="none"/>
        </w:rPr>
        <w:t>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p>
    <w:p>
      <w:pPr>
        <w:kinsoku/>
        <w:overflowPunct/>
        <w:bidi w:val="0"/>
        <w:spacing w:line="360" w:lineRule="auto"/>
        <w:ind w:firstLine="482"/>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上述</w:t>
      </w:r>
      <w:r>
        <w:rPr>
          <w:rFonts w:hint="eastAsia" w:ascii="宋体" w:hAnsi="宋体" w:cs="宋体"/>
          <w:b/>
          <w:bCs/>
          <w:color w:val="auto"/>
          <w:sz w:val="21"/>
          <w:szCs w:val="21"/>
          <w:highlight w:val="none"/>
        </w:rPr>
        <w:t>加★项目若有缺失或无效，将导致该投标文件作无效投标文件评定，且不允许在投标截止时间后补正。资格证明文件（复印件须加盖投标人公章，否则视同未提供。本采购文件所表述（指定）的公章是指刻有投标人法定名称的印章，不包括合同、财务、税务、发票等形式的业务专用章）</w:t>
      </w:r>
      <w:r>
        <w:rPr>
          <w:rFonts w:hint="eastAsia" w:ascii="宋体" w:hAnsi="宋体" w:cs="宋体"/>
          <w:b/>
          <w:bCs/>
          <w:color w:val="auto"/>
          <w:sz w:val="21"/>
          <w:szCs w:val="21"/>
          <w:highlight w:val="none"/>
          <w:lang w:eastAsia="zh-CN"/>
        </w:rPr>
        <w:t>。</w:t>
      </w:r>
    </w:p>
    <w:p>
      <w:pPr>
        <w:kinsoku/>
        <w:overflowPunct/>
        <w:bidi w:val="0"/>
        <w:spacing w:line="360" w:lineRule="auto"/>
        <w:jc w:val="center"/>
        <w:textAlignment w:val="auto"/>
        <w:rPr>
          <w:rFonts w:ascii="宋体" w:hAnsi="宋体" w:cs="宋体"/>
          <w:b/>
          <w:color w:val="auto"/>
          <w:sz w:val="21"/>
          <w:szCs w:val="21"/>
          <w:highlight w:val="none"/>
        </w:rPr>
      </w:pPr>
    </w:p>
    <w:p>
      <w:pPr>
        <w:kinsoku/>
        <w:overflowPunct/>
        <w:bidi w:val="0"/>
        <w:spacing w:line="360" w:lineRule="auto"/>
        <w:jc w:val="center"/>
        <w:textAlignment w:val="auto"/>
        <w:rPr>
          <w:rFonts w:hint="eastAsia" w:ascii="Times New Roman" w:hAnsi="Times New Roman"/>
          <w:color w:val="auto"/>
          <w:sz w:val="21"/>
          <w:szCs w:val="21"/>
          <w:highlight w:val="none"/>
        </w:rPr>
      </w:pPr>
      <w:r>
        <w:rPr>
          <w:rFonts w:hint="eastAsia" w:ascii="宋体" w:hAnsi="宋体" w:cs="宋体"/>
          <w:b/>
          <w:color w:val="auto"/>
          <w:sz w:val="21"/>
          <w:szCs w:val="21"/>
          <w:highlight w:val="none"/>
        </w:rPr>
        <w:t>三  投标文件递交</w:t>
      </w:r>
    </w:p>
    <w:p>
      <w:pPr>
        <w:kinsoku/>
        <w:overflowPunct/>
        <w:bidi w:val="0"/>
        <w:spacing w:line="360" w:lineRule="auto"/>
        <w:ind w:firstLine="397"/>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lang w:val="en-US" w:eastAsia="zh-CN"/>
        </w:rPr>
        <w:t>八</w:t>
      </w:r>
      <w:r>
        <w:rPr>
          <w:rFonts w:hint="eastAsia" w:ascii="宋体" w:hAnsi="宋体" w:cs="宋体"/>
          <w:b/>
          <w:color w:val="auto"/>
          <w:sz w:val="21"/>
          <w:szCs w:val="21"/>
          <w:highlight w:val="none"/>
        </w:rPr>
        <w:t>、投标文件递交</w:t>
      </w:r>
    </w:p>
    <w:p>
      <w:pPr>
        <w:kinsoku/>
        <w:overflowPunct/>
        <w:bidi w:val="0"/>
        <w:spacing w:line="360" w:lineRule="auto"/>
        <w:ind w:firstLine="397"/>
        <w:textAlignment w:val="auto"/>
        <w:rPr>
          <w:rFonts w:ascii="宋体" w:hAnsi="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投标文件的递交</w:t>
      </w:r>
    </w:p>
    <w:p>
      <w:pPr>
        <w:kinsoku/>
        <w:overflowPunct/>
        <w:bidi w:val="0"/>
        <w:spacing w:line="360" w:lineRule="auto"/>
        <w:ind w:firstLine="39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投标人应当按照规定，在投标截止时间前制作并</w:t>
      </w:r>
      <w:r>
        <w:rPr>
          <w:rFonts w:hint="eastAsia" w:ascii="宋体" w:hAnsi="宋体" w:eastAsia="宋体" w:cs="宋体"/>
          <w:color w:val="auto"/>
          <w:sz w:val="21"/>
          <w:szCs w:val="21"/>
          <w:highlight w:val="none"/>
          <w:lang w:val="en-US" w:eastAsia="zh-CN"/>
        </w:rPr>
        <w:t>递交电子</w:t>
      </w:r>
      <w:r>
        <w:rPr>
          <w:rFonts w:hint="eastAsia" w:ascii="宋体" w:hAnsi="宋体" w:eastAsia="宋体" w:cs="宋体"/>
          <w:color w:val="auto"/>
          <w:sz w:val="21"/>
          <w:szCs w:val="21"/>
          <w:highlight w:val="none"/>
        </w:rPr>
        <w:t>投标文件。</w:t>
      </w:r>
    </w:p>
    <w:p>
      <w:pPr>
        <w:kinsoku/>
        <w:overflowPunct/>
        <w:bidi w:val="0"/>
        <w:spacing w:line="360" w:lineRule="auto"/>
        <w:ind w:firstLine="39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投标截止日期</w:t>
      </w:r>
    </w:p>
    <w:p>
      <w:pPr>
        <w:kinsoku/>
        <w:overflowPunct/>
        <w:bidi w:val="0"/>
        <w:spacing w:line="360" w:lineRule="auto"/>
        <w:ind w:firstLine="397"/>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投标人</w:t>
      </w:r>
      <w:r>
        <w:rPr>
          <w:rFonts w:hint="eastAsia" w:ascii="宋体" w:hAnsi="宋体" w:eastAsia="宋体" w:cs="宋体"/>
          <w:b/>
          <w:bCs/>
          <w:color w:val="auto"/>
          <w:sz w:val="21"/>
          <w:szCs w:val="21"/>
          <w:highlight w:val="none"/>
          <w:lang w:val="en-US" w:eastAsia="zh-CN"/>
        </w:rPr>
        <w:t>递交电子</w:t>
      </w:r>
      <w:r>
        <w:rPr>
          <w:rFonts w:hint="eastAsia" w:ascii="宋体" w:hAnsi="宋体" w:eastAsia="宋体" w:cs="宋体"/>
          <w:b/>
          <w:bCs/>
          <w:color w:val="auto"/>
          <w:sz w:val="21"/>
          <w:szCs w:val="21"/>
          <w:highlight w:val="none"/>
        </w:rPr>
        <w:t>投标文件的时间不得迟于招标公告中规定的投标截止时间，代理机构拒绝接收在其规定的投标截止时间后</w:t>
      </w:r>
      <w:r>
        <w:rPr>
          <w:rFonts w:hint="eastAsia" w:ascii="宋体" w:hAnsi="宋体" w:eastAsia="宋体" w:cs="宋体"/>
          <w:b/>
          <w:bCs/>
          <w:color w:val="auto"/>
          <w:sz w:val="21"/>
          <w:szCs w:val="21"/>
          <w:highlight w:val="none"/>
          <w:lang w:val="en-US" w:eastAsia="zh-CN"/>
        </w:rPr>
        <w:t>递交</w:t>
      </w:r>
      <w:r>
        <w:rPr>
          <w:rFonts w:hint="eastAsia" w:ascii="宋体" w:hAnsi="宋体" w:eastAsia="宋体" w:cs="宋体"/>
          <w:b/>
          <w:bCs/>
          <w:color w:val="auto"/>
          <w:sz w:val="21"/>
          <w:szCs w:val="21"/>
          <w:highlight w:val="none"/>
        </w:rPr>
        <w:t>的任何投标文件。</w:t>
      </w:r>
    </w:p>
    <w:p>
      <w:pPr>
        <w:kinsoku/>
        <w:overflowPunct/>
        <w:bidi w:val="0"/>
        <w:spacing w:line="360" w:lineRule="auto"/>
        <w:ind w:firstLine="39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2.2代理机构可以按照规定，通过修改招标文件酌情延长投标截止日期，在此情况下，投标人的所有权利和义务以及投标人受制的截止日期均应以延长后新的截止日期为准。</w:t>
      </w:r>
    </w:p>
    <w:p>
      <w:pPr>
        <w:pStyle w:val="4"/>
        <w:kinsoku/>
        <w:bidi w:val="0"/>
        <w:spacing w:before="0" w:after="0" w:line="360" w:lineRule="auto"/>
        <w:ind w:firstLine="422" w:firstLineChars="200"/>
        <w:contextualSpacing/>
        <w:jc w:val="lef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九、备选投标方案</w:t>
      </w:r>
    </w:p>
    <w:p>
      <w:pPr>
        <w:kinsoku/>
        <w:bidi w:val="0"/>
        <w:spacing w:line="360" w:lineRule="auto"/>
        <w:ind w:firstLine="420" w:firstLineChars="200"/>
        <w:contextualSpacing/>
        <w:jc w:val="left"/>
        <w:rPr>
          <w:rFonts w:ascii="宋体" w:hAnsi="宋体" w:cs="宋体"/>
          <w:color w:val="auto"/>
          <w:sz w:val="21"/>
          <w:szCs w:val="21"/>
          <w:highlight w:val="none"/>
        </w:rPr>
      </w:pPr>
      <w:r>
        <w:rPr>
          <w:rFonts w:hint="eastAsia" w:ascii="宋体" w:hAnsi="宋体" w:cs="宋体"/>
          <w:color w:val="auto"/>
          <w:sz w:val="21"/>
          <w:szCs w:val="21"/>
          <w:highlight w:val="none"/>
        </w:rPr>
        <w:t>投标人不得提交备选投标方案。允许投标人提交备选投标方案的，只有中标候选人的投标人，其所提交的备选投标方案方可予以考虑。评标委员会认为中标候选人的备选投标方案优于其按照招标文件要求编制的投标方案的，招标人可以接受该备选投标方案。</w:t>
      </w:r>
    </w:p>
    <w:p>
      <w:pPr>
        <w:kinsoku/>
        <w:overflowPunct/>
        <w:bidi w:val="0"/>
        <w:spacing w:line="360" w:lineRule="auto"/>
        <w:ind w:firstLine="397"/>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十、</w:t>
      </w:r>
      <w:r>
        <w:rPr>
          <w:rFonts w:hint="eastAsia" w:ascii="宋体" w:hAnsi="宋体" w:eastAsia="宋体" w:cs="宋体"/>
          <w:b/>
          <w:color w:val="auto"/>
          <w:sz w:val="21"/>
          <w:szCs w:val="21"/>
          <w:highlight w:val="none"/>
        </w:rPr>
        <w:t>投标文件的修改和撤回</w:t>
      </w:r>
    </w:p>
    <w:p>
      <w:pPr>
        <w:kinsoku/>
        <w:overflowPunct/>
        <w:bidi w:val="0"/>
        <w:spacing w:line="360" w:lineRule="auto"/>
        <w:ind w:firstLine="39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投标文件的撤回</w:t>
      </w:r>
    </w:p>
    <w:p>
      <w:pPr>
        <w:kinsoku/>
        <w:bidi w:val="0"/>
        <w:spacing w:line="360" w:lineRule="auto"/>
        <w:ind w:firstLine="369"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投标人可在投标截止时间前，撤回其投标文件。</w:t>
      </w:r>
    </w:p>
    <w:p>
      <w:pPr>
        <w:kinsoku/>
        <w:bidi w:val="0"/>
        <w:spacing w:line="360" w:lineRule="auto"/>
        <w:ind w:firstLine="369"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投标文件的修改</w:t>
      </w:r>
    </w:p>
    <w:p>
      <w:pPr>
        <w:kinsoku/>
        <w:bidi w:val="0"/>
        <w:spacing w:line="360" w:lineRule="auto"/>
        <w:ind w:firstLine="369"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投标人可在投标截止时间前，对其投标文件进行修改。</w:t>
      </w:r>
    </w:p>
    <w:p>
      <w:pPr>
        <w:kinsoku/>
        <w:bidi w:val="0"/>
        <w:spacing w:line="360" w:lineRule="auto"/>
        <w:ind w:firstLine="369"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在投标截止时间之后，投标人不得对其投标文件作任何修改。</w:t>
      </w:r>
    </w:p>
    <w:p>
      <w:pPr>
        <w:pStyle w:val="10"/>
        <w:numPr>
          <w:ilvl w:val="0"/>
          <w:numId w:val="0"/>
        </w:numPr>
        <w:kinsoku/>
        <w:bidi w:val="0"/>
        <w:spacing w:line="360" w:lineRule="auto"/>
        <w:ind w:right="6" w:rightChars="0"/>
        <w:rPr>
          <w:rFonts w:hint="eastAsia"/>
          <w:color w:val="auto"/>
          <w:sz w:val="21"/>
          <w:szCs w:val="21"/>
          <w:highlight w:val="none"/>
        </w:rPr>
      </w:pPr>
    </w:p>
    <w:p>
      <w:pPr>
        <w:kinsoku/>
        <w:overflowPunct/>
        <w:bidi w:val="0"/>
        <w:spacing w:line="360" w:lineRule="auto"/>
        <w:jc w:val="center"/>
        <w:textAlignment w:val="auto"/>
        <w:rPr>
          <w:rFonts w:hint="eastAsia" w:ascii="宋体" w:hAnsi="宋体" w:cs="宋体"/>
          <w:b/>
          <w:color w:val="auto"/>
          <w:sz w:val="21"/>
          <w:szCs w:val="21"/>
          <w:highlight w:val="none"/>
        </w:rPr>
      </w:pPr>
    </w:p>
    <w:p>
      <w:pPr>
        <w:kinsoku/>
        <w:overflowPunct/>
        <w:bidi w:val="0"/>
        <w:spacing w:line="360" w:lineRule="auto"/>
        <w:jc w:val="center"/>
        <w:textAlignment w:val="auto"/>
        <w:rPr>
          <w:rFonts w:hint="eastAsia" w:ascii="Times New Roman" w:hAnsi="Times New Roman"/>
          <w:color w:val="auto"/>
          <w:sz w:val="21"/>
          <w:szCs w:val="21"/>
          <w:highlight w:val="none"/>
        </w:rPr>
      </w:pPr>
      <w:r>
        <w:rPr>
          <w:rFonts w:hint="eastAsia" w:ascii="宋体" w:hAnsi="宋体" w:cs="宋体"/>
          <w:b/>
          <w:color w:val="auto"/>
          <w:sz w:val="21"/>
          <w:szCs w:val="21"/>
          <w:highlight w:val="none"/>
        </w:rPr>
        <w:t>四  投标报价</w:t>
      </w:r>
    </w:p>
    <w:p>
      <w:pPr>
        <w:kinsoku/>
        <w:overflowPunct/>
        <w:bidi w:val="0"/>
        <w:spacing w:line="360" w:lineRule="auto"/>
        <w:ind w:firstLine="397"/>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十一、投标报价方式</w:t>
      </w:r>
    </w:p>
    <w:p>
      <w:pPr>
        <w:kinsoku/>
        <w:overflowPunct/>
        <w:bidi w:val="0"/>
        <w:spacing w:line="360" w:lineRule="auto"/>
        <w:ind w:firstLine="397"/>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投标人应按照招标文件中提供的格式完整、正确填写投标函、开标一览表。开标一览表中的报价应与投标函中报价完全一致，</w:t>
      </w:r>
      <w:r>
        <w:rPr>
          <w:rFonts w:hint="eastAsia" w:ascii="宋体" w:hAnsi="宋体" w:cs="宋体"/>
          <w:b/>
          <w:bCs/>
          <w:color w:val="auto"/>
          <w:sz w:val="21"/>
          <w:szCs w:val="21"/>
          <w:highlight w:val="none"/>
        </w:rPr>
        <w:t>否则评标时一律按开标一览表中内容为准</w:t>
      </w:r>
      <w:r>
        <w:rPr>
          <w:rFonts w:hint="eastAsia" w:ascii="宋体" w:hAnsi="宋体" w:cs="宋体"/>
          <w:color w:val="auto"/>
          <w:sz w:val="21"/>
          <w:szCs w:val="21"/>
          <w:highlight w:val="none"/>
        </w:rPr>
        <w:t>。</w:t>
      </w:r>
    </w:p>
    <w:p>
      <w:pPr>
        <w:kinsoku/>
        <w:overflowPunct/>
        <w:bidi w:val="0"/>
        <w:spacing w:line="360" w:lineRule="auto"/>
        <w:ind w:firstLine="397"/>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本项目报价为一次报价，投标人投标文件中的报价作为最终报价，最终报价作为评审价。</w:t>
      </w:r>
    </w:p>
    <w:p>
      <w:pPr>
        <w:kinsoku/>
        <w:overflowPunct/>
        <w:bidi w:val="0"/>
        <w:spacing w:line="360" w:lineRule="auto"/>
        <w:ind w:firstLine="480"/>
        <w:textAlignment w:val="auto"/>
        <w:rPr>
          <w:rFonts w:ascii="宋体" w:hAnsi="宋体" w:cs="Courier New"/>
          <w:color w:val="auto"/>
          <w:kern w:val="0"/>
          <w:sz w:val="21"/>
          <w:szCs w:val="21"/>
          <w:highlight w:val="none"/>
        </w:rPr>
      </w:pPr>
      <w:r>
        <w:rPr>
          <w:rFonts w:hint="eastAsia" w:ascii="宋体" w:hAnsi="宋体" w:cs="宋体"/>
          <w:color w:val="auto"/>
          <w:kern w:val="0"/>
          <w:sz w:val="21"/>
          <w:szCs w:val="21"/>
          <w:highlight w:val="none"/>
          <w:lang w:eastAsia="zh-CN"/>
        </w:rPr>
        <w:t>3.</w:t>
      </w:r>
      <w:r>
        <w:rPr>
          <w:rFonts w:hint="eastAsia" w:ascii="宋体" w:hAnsi="宋体" w:cs="宋体"/>
          <w:color w:val="auto"/>
          <w:kern w:val="0"/>
          <w:sz w:val="21"/>
          <w:szCs w:val="21"/>
          <w:highlight w:val="none"/>
        </w:rPr>
        <w:t>投标报价：是根据招标文件所确定的范围内的全部服务的价格体现，是为完成招标文件规定的工作所</w:t>
      </w:r>
      <w:r>
        <w:rPr>
          <w:rFonts w:hint="eastAsia" w:ascii="宋体" w:hAnsi="宋体" w:cs="宋体"/>
          <w:color w:val="auto"/>
          <w:kern w:val="0"/>
          <w:sz w:val="21"/>
          <w:szCs w:val="21"/>
          <w:highlight w:val="none"/>
          <w:lang w:eastAsia="zh-CN"/>
        </w:rPr>
        <w:t>涉及的</w:t>
      </w:r>
      <w:r>
        <w:rPr>
          <w:rFonts w:hint="eastAsia" w:ascii="宋体" w:hAnsi="宋体" w:cs="宋体"/>
          <w:color w:val="auto"/>
          <w:kern w:val="0"/>
          <w:sz w:val="21"/>
          <w:szCs w:val="21"/>
          <w:highlight w:val="none"/>
        </w:rPr>
        <w:t>一切费用。报价为综合报价，应包括完成本项目工作所需的各项费用，招标文件未列明，而投标人认为必需的费用也需列入报价。</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报价注意事项：</w:t>
      </w:r>
    </w:p>
    <w:p>
      <w:pPr>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（1）价格一律以人民币计算，以元为单位标准；</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（2）投标人报价时应充分考虑所有可能影响到报价的价格因素，一旦评标结束最终中标，总价将包定，不予调整。如发生漏、缺、少项，都将被认为是中标人的报价让利行为，损失自负。</w:t>
      </w:r>
    </w:p>
    <w:p>
      <w:pPr>
        <w:kinsoku/>
        <w:overflowPunct/>
        <w:bidi w:val="0"/>
        <w:spacing w:line="360" w:lineRule="auto"/>
        <w:jc w:val="center"/>
        <w:textAlignment w:val="auto"/>
        <w:rPr>
          <w:rFonts w:hint="eastAsia" w:ascii="Times New Roman" w:hAnsi="Times New Roman"/>
          <w:color w:val="auto"/>
          <w:sz w:val="21"/>
          <w:szCs w:val="21"/>
          <w:highlight w:val="none"/>
        </w:rPr>
      </w:pPr>
      <w:r>
        <w:rPr>
          <w:rFonts w:hint="eastAsia" w:ascii="宋体" w:hAnsi="宋体" w:cs="宋体"/>
          <w:b/>
          <w:color w:val="auto"/>
          <w:sz w:val="21"/>
          <w:szCs w:val="21"/>
          <w:highlight w:val="none"/>
        </w:rPr>
        <w:t>五  开标、评标、定标</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十二、评审、定标方法</w:t>
      </w:r>
    </w:p>
    <w:p>
      <w:pPr>
        <w:kinsoku/>
        <w:overflowPunct/>
        <w:bidi w:val="0"/>
        <w:spacing w:line="360" w:lineRule="auto"/>
        <w:ind w:firstLine="480"/>
        <w:textAlignment w:val="auto"/>
        <w:rPr>
          <w:rFonts w:hint="eastAsia" w:ascii="Times New Roman" w:hAnsi="Times New Roman" w:eastAsia="宋体"/>
          <w:color w:val="auto"/>
          <w:sz w:val="21"/>
          <w:szCs w:val="21"/>
          <w:highlight w:val="none"/>
          <w:lang w:eastAsia="zh-CN"/>
        </w:rPr>
      </w:pPr>
      <w:r>
        <w:rPr>
          <w:rFonts w:hint="eastAsia" w:ascii="宋体" w:hAnsi="宋体" w:cs="宋体"/>
          <w:color w:val="auto"/>
          <w:sz w:val="21"/>
          <w:szCs w:val="21"/>
          <w:highlight w:val="none"/>
        </w:rPr>
        <w:t>本项目采用综合评分法</w:t>
      </w:r>
      <w:r>
        <w:rPr>
          <w:rFonts w:hint="eastAsia" w:ascii="宋体" w:hAnsi="宋体" w:cs="宋体"/>
          <w:color w:val="auto"/>
          <w:sz w:val="21"/>
          <w:szCs w:val="21"/>
          <w:highlight w:val="none"/>
          <w:lang w:eastAsia="zh-CN"/>
        </w:rPr>
        <w:t>。</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十三、开标评标会</w:t>
      </w:r>
    </w:p>
    <w:p>
      <w:pPr>
        <w:numPr>
          <w:ilvl w:val="0"/>
          <w:numId w:val="0"/>
        </w:numPr>
        <w:kinsoku/>
        <w:overflowPunct/>
        <w:bidi w:val="0"/>
        <w:spacing w:line="360" w:lineRule="auto"/>
        <w:ind w:firstLine="422" w:firstLineChars="200"/>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1.</w:t>
      </w:r>
      <w:r>
        <w:rPr>
          <w:rFonts w:hint="eastAsia" w:ascii="宋体" w:hAnsi="宋体" w:cs="宋体"/>
          <w:b/>
          <w:color w:val="auto"/>
          <w:sz w:val="21"/>
          <w:szCs w:val="21"/>
          <w:highlight w:val="none"/>
          <w:lang w:eastAsia="zh-CN"/>
        </w:rPr>
        <w:t>招标人</w:t>
      </w:r>
      <w:r>
        <w:rPr>
          <w:rFonts w:hint="eastAsia" w:ascii="宋体" w:hAnsi="宋体" w:cs="宋体"/>
          <w:b/>
          <w:color w:val="auto"/>
          <w:sz w:val="21"/>
          <w:szCs w:val="21"/>
          <w:highlight w:val="none"/>
        </w:rPr>
        <w:t>或招标代理将在“</w:t>
      </w:r>
      <w:r>
        <w:rPr>
          <w:rFonts w:hint="eastAsia" w:ascii="宋体" w:hAnsi="宋体" w:cs="宋体"/>
          <w:b/>
          <w:color w:val="auto"/>
          <w:sz w:val="21"/>
          <w:szCs w:val="21"/>
          <w:highlight w:val="none"/>
          <w:lang w:eastAsia="zh-CN"/>
        </w:rPr>
        <w:t>投标人</w:t>
      </w:r>
      <w:r>
        <w:rPr>
          <w:rFonts w:hint="eastAsia" w:ascii="宋体" w:hAnsi="宋体" w:cs="宋体"/>
          <w:b/>
          <w:color w:val="auto"/>
          <w:sz w:val="21"/>
          <w:szCs w:val="21"/>
          <w:highlight w:val="none"/>
        </w:rPr>
        <w:t>须知前附表”中规定的时间和地点</w:t>
      </w:r>
      <w:r>
        <w:rPr>
          <w:rFonts w:hint="eastAsia" w:ascii="宋体" w:hAnsi="宋体" w:eastAsia="宋体" w:cs="宋体"/>
          <w:b/>
          <w:color w:val="auto"/>
          <w:sz w:val="21"/>
          <w:szCs w:val="21"/>
          <w:highlight w:val="none"/>
        </w:rPr>
        <w:t>组织公开开标。</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法定代表人或其授权代表必须携带本人身份证按时参加开标会，并签名报到以证明其出席开标会。投标人未参加开标的，视同认可开标结果。</w:t>
      </w:r>
    </w:p>
    <w:p>
      <w:pPr>
        <w:numPr>
          <w:ilvl w:val="0"/>
          <w:numId w:val="0"/>
        </w:numPr>
        <w:kinsoku/>
        <w:overflowPunct/>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按照第</w:t>
      </w:r>
      <w:r>
        <w:rPr>
          <w:rFonts w:hint="eastAsia" w:ascii="宋体" w:hAnsi="宋体" w:eastAsia="宋体" w:cs="宋体"/>
          <w:b/>
          <w:color w:val="auto"/>
          <w:sz w:val="21"/>
          <w:szCs w:val="21"/>
          <w:highlight w:val="none"/>
          <w:lang w:val="en-US" w:eastAsia="zh-CN"/>
        </w:rPr>
        <w:t>十</w:t>
      </w:r>
      <w:r>
        <w:rPr>
          <w:rFonts w:hint="eastAsia" w:ascii="宋体" w:hAnsi="宋体" w:eastAsia="宋体" w:cs="宋体"/>
          <w:b/>
          <w:color w:val="auto"/>
          <w:sz w:val="21"/>
          <w:szCs w:val="21"/>
          <w:highlight w:val="none"/>
        </w:rPr>
        <w:t>条规定，同意撤回的投标将不予开封。</w:t>
      </w:r>
    </w:p>
    <w:p>
      <w:pPr>
        <w:kinsoku/>
        <w:overflowPunct/>
        <w:bidi w:val="0"/>
        <w:spacing w:line="360" w:lineRule="auto"/>
        <w:ind w:firstLine="422" w:firstLineChars="200"/>
        <w:textAlignment w:val="auto"/>
        <w:rPr>
          <w:rFonts w:hint="eastAsia" w:ascii="Times New Roman" w:hAnsi="Times New Roman"/>
          <w:color w:val="auto"/>
          <w:sz w:val="21"/>
          <w:szCs w:val="21"/>
          <w:highlight w:val="none"/>
        </w:rPr>
      </w:pPr>
      <w:r>
        <w:rPr>
          <w:rFonts w:hint="eastAsia" w:ascii="宋体" w:hAnsi="宋体" w:cs="宋体"/>
          <w:b/>
          <w:color w:val="auto"/>
          <w:sz w:val="21"/>
          <w:szCs w:val="21"/>
          <w:highlight w:val="none"/>
          <w:lang w:val="en-US" w:eastAsia="zh-CN"/>
        </w:rPr>
        <w:t>3.</w:t>
      </w:r>
      <w:r>
        <w:rPr>
          <w:rFonts w:hint="eastAsia" w:ascii="宋体" w:hAnsi="宋体" w:cs="宋体"/>
          <w:b/>
          <w:color w:val="auto"/>
          <w:sz w:val="21"/>
          <w:szCs w:val="21"/>
          <w:highlight w:val="none"/>
        </w:rPr>
        <w:t>开标时，由</w:t>
      </w:r>
      <w:r>
        <w:rPr>
          <w:rFonts w:hint="eastAsia" w:ascii="宋体" w:hAnsi="宋体" w:cs="宋体"/>
          <w:b/>
          <w:color w:val="auto"/>
          <w:sz w:val="21"/>
          <w:szCs w:val="21"/>
          <w:highlight w:val="none"/>
          <w:lang w:eastAsia="zh-CN"/>
        </w:rPr>
        <w:t>投标人</w:t>
      </w:r>
      <w:r>
        <w:rPr>
          <w:rFonts w:hint="eastAsia" w:ascii="宋体" w:hAnsi="宋体" w:cs="宋体"/>
          <w:b/>
          <w:color w:val="auto"/>
          <w:sz w:val="21"/>
          <w:szCs w:val="21"/>
          <w:highlight w:val="none"/>
        </w:rPr>
        <w:t>或其推选的代表检查投标文件密封情况，确认无误后，进行</w:t>
      </w:r>
      <w:r>
        <w:rPr>
          <w:rFonts w:hint="eastAsia" w:ascii="宋体" w:hAnsi="宋体" w:eastAsia="宋体" w:cs="宋体"/>
          <w:b/>
          <w:color w:val="auto"/>
          <w:sz w:val="21"/>
          <w:szCs w:val="21"/>
          <w:highlight w:val="none"/>
        </w:rPr>
        <w:t>开标，宣读各投标人的《开标一览表》</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招标代理机构将对开标过程进行记录。</w:t>
      </w:r>
    </w:p>
    <w:p>
      <w:pPr>
        <w:keepNext/>
        <w:keepLines/>
        <w:kinsoku/>
        <w:autoSpaceDE w:val="0"/>
        <w:autoSpaceDN w:val="0"/>
        <w:bidi w:val="0"/>
        <w:adjustRightInd w:val="0"/>
        <w:spacing w:line="360" w:lineRule="auto"/>
        <w:ind w:firstLine="422" w:firstLineChars="200"/>
        <w:outlineLvl w:val="3"/>
        <w:rPr>
          <w:rFonts w:ascii="宋体" w:hAnsi="宋体" w:cs="Arial"/>
          <w:b/>
          <w:color w:val="auto"/>
          <w:kern w:val="0"/>
          <w:sz w:val="21"/>
          <w:szCs w:val="21"/>
          <w:highlight w:val="none"/>
        </w:rPr>
      </w:pPr>
      <w:r>
        <w:rPr>
          <w:rFonts w:hint="eastAsia" w:ascii="宋体" w:hAnsi="宋体" w:cs="宋体"/>
          <w:b/>
          <w:color w:val="auto"/>
          <w:sz w:val="21"/>
          <w:szCs w:val="21"/>
          <w:highlight w:val="none"/>
        </w:rPr>
        <w:t>十</w:t>
      </w: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、评标过程的保密</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开标后至招标人公布中标结果之前，有关投标文件的审查、澄清、评比和定标等信息对与本过程无关的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及其他人员保密。</w:t>
      </w:r>
    </w:p>
    <w:p>
      <w:pPr>
        <w:kinsoku/>
        <w:overflowPunct/>
        <w:bidi w:val="0"/>
        <w:spacing w:line="360" w:lineRule="auto"/>
        <w:ind w:firstLine="482"/>
        <w:textAlignment w:val="auto"/>
        <w:rPr>
          <w:rFonts w:ascii="宋体" w:hAnsi="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在评标过程中，如果</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试图在投标文件审查、澄清、比较及授予合同方面向招标人或评标委员会施加任何影响，都可能导致被取消评标资格。</w:t>
      </w:r>
    </w:p>
    <w:p>
      <w:pPr>
        <w:keepNext/>
        <w:keepLines/>
        <w:kinsoku/>
        <w:autoSpaceDE w:val="0"/>
        <w:autoSpaceDN w:val="0"/>
        <w:bidi w:val="0"/>
        <w:adjustRightInd w:val="0"/>
        <w:spacing w:line="360" w:lineRule="auto"/>
        <w:ind w:firstLine="422" w:firstLineChars="200"/>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十五、</w:t>
      </w:r>
      <w:r>
        <w:rPr>
          <w:rFonts w:hint="eastAsia" w:ascii="宋体" w:hAnsi="宋体" w:eastAsia="宋体" w:cs="宋体"/>
          <w:b/>
          <w:color w:val="auto"/>
          <w:sz w:val="21"/>
          <w:szCs w:val="21"/>
          <w:highlight w:val="none"/>
        </w:rPr>
        <w:t>对投标文件的审核</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将根据项目特点组建评标委员会，由五人组成，并独立开展评标工作。</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对投标文件进行审查、质疑、评估、比较。</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依据法律法规和招标文件的规定，对投标文件中的资格证明进行审查；通过“信用中国”网站（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"http://www.creditchina.gov.cn"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）查询投标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在投标截止时间之前，是否被列入失信执行人、重大税收违法案件当事人名单、政府采购严重违法失信行为记录名单，以确定投标</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是否具备投标资格。</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的权利或</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的义务的内容，而纠正这些偏离或保留将会对其他实质上响应要求的</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的竞争地位产生不公正的影响。评委决定投标文件的响应性，只根据投标文件本身的内容，而不寻求外部的证据。</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如果投标文件实质上没有响应招标文件的要求，</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将予以拒绝，</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不得通过修改或撤销不合要求的偏离或保留而使其投标成为实质上响应的投标。</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未按本文件实质性要求形成投标文件，投标文件内容不全或实质性条款字迹模糊难以辨认的，</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对其投标文件作无效投标文件处理。</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将对确定为实质上响应的投标进行进一步审核，看其是否有计算上或累加上的算术错误，修正错误的原则如下：</w:t>
      </w:r>
    </w:p>
    <w:p>
      <w:pPr>
        <w:kinsoku/>
        <w:overflowPunct/>
        <w:bidi w:val="0"/>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(1)如果用数字表示的金额和用文字表示的金额不一致时，应以文字表示的金额为准进行修正；</w:t>
      </w:r>
    </w:p>
    <w:p>
      <w:pPr>
        <w:kinsoku/>
        <w:overflowPunct/>
        <w:bidi w:val="0"/>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(2)当单价与数量的乘积之和与总价不一致时，以单价为准进行修正。只有在评标委员会认为单价有明显的小数点错误时，才能以标出的总价为准，并修改单价。</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将按上述修正错误的方法调整投标文件中的投标报价，调整后的价格应对</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具有约束力。如果</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不接受修正后的价格，则其投标将被拒绝。</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将允许修正投标文件中不构成重大偏离的、微小的、非正规的、不一致的或不规则的地方，但这些修改不能影响任何</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相应的名次排列。</w:t>
      </w:r>
    </w:p>
    <w:p>
      <w:pPr>
        <w:kinsoku/>
        <w:overflowPunct/>
        <w:bidi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审阅投标文件，有权决定</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是否具有投标资格。</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十六、</w:t>
      </w:r>
      <w:r>
        <w:rPr>
          <w:rFonts w:hint="eastAsia" w:ascii="宋体" w:hAnsi="宋体" w:cs="宋体"/>
          <w:b/>
          <w:bCs/>
          <w:color w:val="auto"/>
          <w:sz w:val="21"/>
          <w:szCs w:val="21"/>
          <w:highlight w:val="none"/>
        </w:rPr>
        <w:t>投标文件出现下列情况之一的，将作为无效投标文件处理，无效投标文件不予参加评标。</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投标函未加盖投标人公章；</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授权委托书无投标人公章、法定代表人的</w:t>
      </w:r>
      <w:r>
        <w:rPr>
          <w:rFonts w:hint="eastAsia" w:ascii="宋体" w:hAnsi="宋体" w:cs="宋体"/>
          <w:color w:val="auto"/>
          <w:sz w:val="21"/>
          <w:szCs w:val="21"/>
          <w:highlight w:val="none"/>
          <w:lang w:val="en-US" w:eastAsia="zh-CN"/>
        </w:rPr>
        <w:t>印章</w:t>
      </w:r>
      <w:r>
        <w:rPr>
          <w:rFonts w:hint="eastAsia" w:ascii="宋体" w:hAnsi="宋体" w:cs="宋体"/>
          <w:color w:val="auto"/>
          <w:sz w:val="21"/>
          <w:szCs w:val="21"/>
          <w:highlight w:val="none"/>
        </w:rPr>
        <w:t>（或签名）；</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cs="宋体"/>
          <w:color w:val="auto"/>
          <w:sz w:val="21"/>
          <w:szCs w:val="21"/>
          <w:highlight w:val="none"/>
        </w:rPr>
        <w:t>投标文件未按招标文件规定的格式、内容和要求编制，投标文件字迹潦草、模糊、难以辨认；</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5.</w:t>
      </w:r>
      <w:r>
        <w:rPr>
          <w:rFonts w:hint="eastAsia" w:ascii="宋体" w:hAnsi="宋体" w:cs="宋体"/>
          <w:color w:val="auto"/>
          <w:sz w:val="21"/>
          <w:szCs w:val="21"/>
          <w:highlight w:val="none"/>
        </w:rPr>
        <w:t>投标人在一份投标文件中，对同一招标项目报有两个或多个报价，且未书面确定以哪个报价为准；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6.</w:t>
      </w:r>
      <w:r>
        <w:rPr>
          <w:rFonts w:hint="eastAsia" w:ascii="宋体" w:hAnsi="宋体" w:cs="宋体"/>
          <w:color w:val="auto"/>
          <w:sz w:val="21"/>
          <w:szCs w:val="21"/>
          <w:highlight w:val="none"/>
        </w:rPr>
        <w:t>投标人在投标报价中存在严重错误，影响对其他投标人的评分；</w:t>
      </w:r>
    </w:p>
    <w:p>
      <w:pPr>
        <w:kinsoku/>
        <w:overflowPunct/>
        <w:bidi w:val="0"/>
        <w:spacing w:line="360" w:lineRule="auto"/>
        <w:ind w:firstLine="480"/>
        <w:textAlignment w:val="auto"/>
        <w:rPr>
          <w:rFonts w:hint="eastAsia" w:ascii="Times New Roman" w:hAnsi="Times New Roman" w:eastAsia="宋体"/>
          <w:color w:val="auto"/>
          <w:sz w:val="21"/>
          <w:szCs w:val="21"/>
          <w:highlight w:val="none"/>
          <w:lang w:eastAsia="zh-CN"/>
        </w:rPr>
      </w:pPr>
      <w:r>
        <w:rPr>
          <w:rFonts w:hint="eastAsia" w:ascii="宋体" w:hAnsi="宋体" w:cs="宋体"/>
          <w:color w:val="auto"/>
          <w:sz w:val="21"/>
          <w:szCs w:val="21"/>
          <w:highlight w:val="none"/>
          <w:lang w:eastAsia="zh-CN"/>
        </w:rPr>
        <w:t>7.</w:t>
      </w:r>
      <w:r>
        <w:rPr>
          <w:rFonts w:hint="eastAsia" w:ascii="宋体" w:hAnsi="宋体" w:cs="宋体"/>
          <w:color w:val="auto"/>
          <w:sz w:val="21"/>
          <w:szCs w:val="21"/>
          <w:highlight w:val="none"/>
        </w:rPr>
        <w:t>投标人资格不满足要求，或投标材料所述情况和所附相关资料不实的</w:t>
      </w:r>
      <w:r>
        <w:rPr>
          <w:rFonts w:hint="eastAsia" w:ascii="宋体" w:hAnsi="宋体" w:cs="宋体"/>
          <w:color w:val="auto"/>
          <w:sz w:val="21"/>
          <w:szCs w:val="21"/>
          <w:highlight w:val="none"/>
          <w:lang w:eastAsia="zh-CN"/>
        </w:rPr>
        <w:t>。</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十七、评标、定标</w:t>
      </w:r>
    </w:p>
    <w:p>
      <w:pPr>
        <w:kinsoku/>
        <w:overflowPunct/>
        <w:bidi w:val="0"/>
        <w:spacing w:line="360" w:lineRule="auto"/>
        <w:ind w:firstLine="480"/>
        <w:textAlignment w:val="auto"/>
        <w:rPr>
          <w:rFonts w:hint="default" w:ascii="Times New Roman" w:hAnsi="Times New Roman" w:eastAsia="宋体"/>
          <w:color w:val="auto"/>
          <w:sz w:val="21"/>
          <w:szCs w:val="21"/>
          <w:highlight w:val="none"/>
          <w:lang w:val="en-US" w:eastAsia="zh-CN"/>
        </w:rPr>
      </w:pPr>
      <w:r>
        <w:rPr>
          <w:rFonts w:hint="eastAsia" w:ascii="宋体" w:hAnsi="宋体" w:cs="宋体"/>
          <w:color w:val="auto"/>
          <w:sz w:val="21"/>
          <w:szCs w:val="21"/>
          <w:highlight w:val="none"/>
        </w:rPr>
        <w:t>评标由依法组建的评标委员会负责。定标时根据评标委员会的书面评标报告和推荐的中标候选人确定中标人</w:t>
      </w:r>
      <w:r>
        <w:rPr>
          <w:rFonts w:hint="eastAsia" w:ascii="宋体" w:hAnsi="宋体" w:cs="宋体"/>
          <w:color w:val="auto"/>
          <w:sz w:val="21"/>
          <w:szCs w:val="21"/>
          <w:highlight w:val="none"/>
          <w:lang w:val="en-US" w:eastAsia="zh-CN"/>
        </w:rPr>
        <w:t>。</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十八、投标文件的澄清</w:t>
      </w:r>
    </w:p>
    <w:p>
      <w:pPr>
        <w:kinsoku/>
        <w:overflowPunct/>
        <w:bidi w:val="0"/>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为有助于对投标文件的审查、评价和比较，</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或招标代理有权要求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对投标书中含义不明确的内容进行澄清。</w:t>
      </w:r>
    </w:p>
    <w:p>
      <w:pPr>
        <w:kinsoku/>
        <w:overflowPunct/>
        <w:bidi w:val="0"/>
        <w:spacing w:line="360" w:lineRule="auto"/>
        <w:ind w:firstLine="482"/>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有责任按照</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或招标代理通知的时间、地点，进行答疑和澄清，有关澄清的内容应以书面形式提交，但不得对投标内容进行实质性修改。</w:t>
      </w:r>
    </w:p>
    <w:p>
      <w:pPr>
        <w:kinsoku/>
        <w:overflowPunct/>
        <w:bidi w:val="0"/>
        <w:spacing w:line="360" w:lineRule="auto"/>
        <w:ind w:firstLine="482"/>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对投标文件中含义不明确、同类问题表述不一致或者有明显文字和计算错误的内容，</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有权要求投标人对其投标文件作出必要的澄清、说明或者纠正，但并非对每个投标人都作澄清要求。</w:t>
      </w:r>
      <w:r>
        <w:rPr>
          <w:rFonts w:hint="eastAsia" w:ascii="宋体" w:hAnsi="宋体" w:cs="宋体"/>
          <w:color w:val="auto"/>
          <w:sz w:val="21"/>
          <w:szCs w:val="21"/>
          <w:highlight w:val="none"/>
          <w:lang w:val="en-US" w:eastAsia="zh-CN"/>
        </w:rPr>
        <w:t>投标人应确保通讯畅通，</w:t>
      </w:r>
      <w:r>
        <w:rPr>
          <w:rFonts w:hint="eastAsia" w:ascii="宋体" w:hAnsi="宋体" w:cs="宋体"/>
          <w:color w:val="auto"/>
          <w:sz w:val="21"/>
          <w:szCs w:val="21"/>
          <w:highlight w:val="none"/>
        </w:rPr>
        <w:t>接到</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澄清要求的投标人应派人按</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规定的时间和格式做出澄清，由其授权的代表签字，澄清的内容作为投标文件的补充部分，但投标的价格和实质性的内容不得做任何更改。接到</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澄清要求的投标人如未按规定</w:t>
      </w:r>
      <w:r>
        <w:rPr>
          <w:rFonts w:hint="eastAsia" w:ascii="宋体" w:hAnsi="宋体" w:cs="宋体"/>
          <w:color w:val="auto"/>
          <w:sz w:val="21"/>
          <w:szCs w:val="21"/>
          <w:highlight w:val="none"/>
          <w:lang w:eastAsia="zh-CN"/>
        </w:rPr>
        <w:t>作出</w:t>
      </w:r>
      <w:r>
        <w:rPr>
          <w:rFonts w:hint="eastAsia" w:ascii="宋体" w:hAnsi="宋体" w:cs="宋体"/>
          <w:color w:val="auto"/>
          <w:sz w:val="21"/>
          <w:szCs w:val="21"/>
          <w:highlight w:val="none"/>
        </w:rPr>
        <w:t>澄清，其风险由投标人自行承担。</w:t>
      </w:r>
    </w:p>
    <w:p>
      <w:pPr>
        <w:kinsoku/>
        <w:overflowPunct/>
        <w:bidi w:val="0"/>
        <w:spacing w:line="360" w:lineRule="auto"/>
        <w:ind w:firstLine="482"/>
        <w:textAlignment w:val="auto"/>
        <w:rPr>
          <w:rFonts w:hint="eastAsia" w:ascii="Times New Roman" w:hAnsi="Times New Roman"/>
          <w:color w:val="auto"/>
          <w:sz w:val="21"/>
          <w:szCs w:val="21"/>
          <w:highlight w:val="none"/>
        </w:rPr>
      </w:pPr>
      <w:r>
        <w:rPr>
          <w:rFonts w:hint="eastAsia" w:ascii="宋体" w:hAnsi="宋体" w:cs="宋体"/>
          <w:b/>
          <w:color w:val="auto"/>
          <w:sz w:val="21"/>
          <w:szCs w:val="21"/>
          <w:highlight w:val="none"/>
        </w:rPr>
        <w:t>十九、评标中作为废标处理的情况：</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在评标过程中，</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若发现投标人以他人的名义投标、串通投标、以行贿手段谋取中标或者以其他弄虚作假方式投标的，该投标人的投标将作废标处理。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在评标过程中，</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若发现投标人的报价明显低于其他投标报价或者在设有标底时明显低于标底，使得其投标报价可能低于其成本的，将要求该投标人做出书面说明并提供相关证明材料。投标人不能合理说明或者不能提供相关证明材料的，由</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认定该投标人以低于成本报价竞标，其投标将作废标处理。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rPr>
        <w:t>投标人价格均超过了采购预算，采购单位无法承担和支付的，其投标将作废标处理。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cs="宋体"/>
          <w:color w:val="auto"/>
          <w:sz w:val="21"/>
          <w:szCs w:val="21"/>
          <w:highlight w:val="none"/>
        </w:rPr>
        <w:t>投标人资格条件不符合国家有关规定和招标文件要求的，或者拒不按照要求对投标文件进行澄清、说明或者补正的，</w:t>
      </w:r>
      <w:r>
        <w:rPr>
          <w:rFonts w:hint="eastAsia" w:ascii="宋体" w:hAnsi="宋体" w:cs="宋体"/>
          <w:color w:val="auto"/>
          <w:sz w:val="21"/>
          <w:szCs w:val="21"/>
          <w:highlight w:val="none"/>
          <w:lang w:eastAsia="zh-CN"/>
        </w:rPr>
        <w:t>评标委员会</w:t>
      </w:r>
      <w:r>
        <w:rPr>
          <w:rFonts w:hint="eastAsia" w:ascii="宋体" w:hAnsi="宋体" w:cs="宋体"/>
          <w:color w:val="auto"/>
          <w:sz w:val="21"/>
          <w:szCs w:val="21"/>
          <w:highlight w:val="none"/>
        </w:rPr>
        <w:t>可以否决其投标。</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二十、中标通知</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中标人确定后，招标人向中标人发出中标通知，同时将中标结果通知所有未中标的投标人，中标人接到中标通知后的三十日内与招标人签订采购合同。</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中标通知书对招标人和中标人具有法律约束力。</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代理机构不负责向任何</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说明中标或不中标的原因。</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二十一、授予合同，合同条款</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rPr>
        <w:t>中标人应按中标通知书指定的时间、地点派代表前来与招标人具体商谈签订合同。招标文件、中标人的投标文件及澄清文件等，均为签订合同的依据。</w:t>
      </w:r>
    </w:p>
    <w:p>
      <w:pPr>
        <w:kinsoku/>
        <w:overflowPunct/>
        <w:bidi w:val="0"/>
        <w:spacing w:line="360" w:lineRule="auto"/>
        <w:ind w:firstLine="482"/>
        <w:textAlignment w:val="auto"/>
        <w:rPr>
          <w:rFonts w:ascii="Times New Roman" w:hAnsi="Times New Roman"/>
          <w:color w:val="auto"/>
          <w:sz w:val="21"/>
          <w:szCs w:val="21"/>
          <w:highlight w:val="none"/>
        </w:rPr>
      </w:pPr>
      <w:r>
        <w:rPr>
          <w:rFonts w:hint="eastAsia" w:ascii="宋体" w:hAnsi="宋体" w:cs="宋体"/>
          <w:b/>
          <w:color w:val="auto"/>
          <w:sz w:val="21"/>
          <w:szCs w:val="21"/>
          <w:highlight w:val="none"/>
        </w:rPr>
        <w:t>二十二、质疑和投诉</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参加</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认为采购文件、采购过程、中标或者成交结果使自己的权益受到损害的，可以在知道或者应知其权益受到损害之日起七个工作日内，以书面形式向招标人提出质疑。非书面形式、七个工作日之外提交以及匿名的质疑将不予受理 。</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质疑必须以参加</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法定代表人或授权代表以投标文件中所确定的送达方式提交，未按上述要求提交的质疑函招标人有权不予受理。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rPr>
        <w:t>未参加投标的</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或在投标活动中本身权益未受到损害或从投标活动中收益的</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所提出的质疑也不予受理。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cs="宋体"/>
          <w:color w:val="auto"/>
          <w:sz w:val="21"/>
          <w:szCs w:val="21"/>
          <w:highlight w:val="none"/>
        </w:rPr>
        <w:t>招标人将在收到</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的书面质疑后七个工作日内作出答复，并以书面形式通知质疑</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和其他有关</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，但答复的内容不得涉及商业秘密。</w:t>
      </w:r>
    </w:p>
    <w:p>
      <w:pPr>
        <w:kinsoku/>
        <w:overflowPunct/>
        <w:bidi w:val="0"/>
        <w:spacing w:line="360" w:lineRule="auto"/>
        <w:ind w:firstLine="480"/>
        <w:textAlignment w:val="auto"/>
        <w:rPr>
          <w:rFonts w:ascii="Times New Roman" w:hAnsi="Times New Roman"/>
          <w:color w:val="auto"/>
          <w:sz w:val="21"/>
          <w:szCs w:val="21"/>
          <w:highlight w:val="none"/>
        </w:rPr>
      </w:pPr>
      <w:r>
        <w:rPr>
          <w:rFonts w:hint="eastAsia" w:ascii="宋体" w:hAnsi="宋体" w:cs="宋体"/>
          <w:color w:val="auto"/>
          <w:sz w:val="21"/>
          <w:szCs w:val="21"/>
          <w:highlight w:val="none"/>
          <w:lang w:eastAsia="zh-CN"/>
        </w:rPr>
        <w:t>5.</w:t>
      </w:r>
      <w:r>
        <w:rPr>
          <w:rFonts w:hint="eastAsia" w:ascii="宋体" w:hAnsi="宋体" w:cs="宋体"/>
          <w:color w:val="auto"/>
          <w:sz w:val="21"/>
          <w:szCs w:val="21"/>
          <w:highlight w:val="none"/>
        </w:rPr>
        <w:t>投标人提出书面质疑必须有理、有据，不得恶意质疑或提交虚假质疑。否则，一经查实，招标人有权依据政府采购的有关规定，报请政府采购监督管理部门对该投标人进行相应的行政处罚。</w:t>
      </w:r>
    </w:p>
    <w:bookmarkEnd w:id="4"/>
    <w:p>
      <w:pPr>
        <w:kinsoku/>
        <w:overflowPunct/>
        <w:bidi w:val="0"/>
        <w:spacing w:line="360" w:lineRule="auto"/>
        <w:ind w:firstLine="480"/>
        <w:jc w:val="both"/>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二十</w:t>
      </w:r>
      <w:r>
        <w:rPr>
          <w:rFonts w:hint="eastAsia" w:ascii="宋体" w:hAnsi="宋体" w:cs="宋体"/>
          <w:b/>
          <w:color w:val="auto"/>
          <w:sz w:val="21"/>
          <w:szCs w:val="21"/>
          <w:highlight w:val="none"/>
          <w:lang w:val="en-US" w:eastAsia="zh-CN"/>
        </w:rPr>
        <w:t>三</w:t>
      </w:r>
      <w:r>
        <w:rPr>
          <w:rFonts w:hint="eastAsia" w:ascii="宋体" w:hAnsi="宋体" w:cs="宋体"/>
          <w:b/>
          <w:color w:val="auto"/>
          <w:sz w:val="21"/>
          <w:szCs w:val="21"/>
          <w:highlight w:val="none"/>
        </w:rPr>
        <w:t>、</w:t>
      </w:r>
      <w:r>
        <w:rPr>
          <w:rFonts w:hint="eastAsia" w:ascii="宋体" w:hAnsi="宋体" w:cs="宋体"/>
          <w:b/>
          <w:color w:val="auto"/>
          <w:sz w:val="21"/>
          <w:szCs w:val="21"/>
          <w:highlight w:val="none"/>
          <w:lang w:val="en-US" w:eastAsia="zh-CN"/>
        </w:rPr>
        <w:t>特别提醒</w:t>
      </w:r>
    </w:p>
    <w:p>
      <w:pPr>
        <w:numPr>
          <w:ilvl w:val="0"/>
          <w:numId w:val="0"/>
        </w:numPr>
        <w:kinsoku/>
        <w:overflowPunct/>
        <w:bidi w:val="0"/>
        <w:spacing w:line="360" w:lineRule="auto"/>
        <w:ind w:firstLine="422" w:firstLineChars="200"/>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供应商对其投标所提供材料的真实性负责。供应商使用虚假材料投标，招标人、评委会应当拒绝或否决其投标。已被确定的中标人，但尚未签订政府采购合同的，中标结果无效。合同已签订但尚未履行的，招标人可以单方面撤销合同。合同撤销或中标结果无效的，由招标人从其他合格的供应商中选择排名紧跟其后的供应商为中标人，或者重新组织政府采购活动。政府采购合同已履行的，给招标人造成的损失的，由供应商承担赔偿责任。此外，行政监督部门对供应商弄虚作假行为，依法作出相应处理。</w:t>
      </w:r>
    </w:p>
    <w:p>
      <w:pPr>
        <w:keepNext/>
        <w:keepLines/>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24" w:name="_Toc31075"/>
    </w:p>
    <w:p>
      <w:pPr>
        <w:keepNext/>
        <w:keepLines/>
        <w:numPr>
          <w:ilvl w:val="0"/>
          <w:numId w:val="6"/>
        </w:numPr>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pPr>
      <w:r>
        <w:rPr>
          <w:rFonts w:ascii="Times New Roman" w:hAnsi="Times New Roman"/>
          <w:b/>
          <w:color w:val="auto"/>
          <w:kern w:val="44"/>
          <w:sz w:val="24"/>
          <w:szCs w:val="24"/>
          <w:highlight w:val="none"/>
        </w:rPr>
        <w:t xml:space="preserve"> </w:t>
      </w:r>
      <w:r>
        <w:rPr>
          <w:rFonts w:hint="eastAsia" w:ascii="Times New Roman" w:hAnsi="Times New Roman"/>
          <w:b/>
          <w:color w:val="auto"/>
          <w:kern w:val="44"/>
          <w:sz w:val="24"/>
          <w:szCs w:val="24"/>
          <w:highlight w:val="none"/>
        </w:rPr>
        <w:t>政府采购合同（参考）</w:t>
      </w:r>
      <w:bookmarkEnd w:id="24"/>
    </w:p>
    <w:p>
      <w:pPr>
        <w:pStyle w:val="14"/>
        <w:kinsoku/>
        <w:bidi w:val="0"/>
        <w:spacing w:before="0" w:after="0" w:line="360" w:lineRule="auto"/>
        <w:jc w:val="center"/>
        <w:rPr>
          <w:highlight w:val="none"/>
        </w:rPr>
      </w:pPr>
      <w:r>
        <w:rPr>
          <w:rFonts w:hint="eastAsia" w:ascii="宋体" w:hAnsi="宋体"/>
          <w:sz w:val="21"/>
          <w:szCs w:val="21"/>
          <w:highlight w:val="none"/>
        </w:rPr>
        <w:t>（参考文本）</w:t>
      </w:r>
    </w:p>
    <w:p>
      <w:pPr>
        <w:kinsoku/>
        <w:bidi w:val="0"/>
        <w:spacing w:line="360" w:lineRule="auto"/>
        <w:jc w:val="center"/>
        <w:rPr>
          <w:rFonts w:ascii="宋体" w:hAnsi="宋体"/>
          <w:b/>
          <w:bCs/>
          <w:szCs w:val="21"/>
          <w:highlight w:val="none"/>
        </w:rPr>
      </w:pPr>
      <w:r>
        <w:rPr>
          <w:rFonts w:ascii="宋体" w:hAnsi="宋体"/>
          <w:b/>
          <w:bCs/>
          <w:szCs w:val="21"/>
          <w:highlight w:val="none"/>
        </w:rPr>
        <w:t>合同条款表</w:t>
      </w:r>
    </w:p>
    <w:tbl>
      <w:tblPr>
        <w:tblStyle w:val="19"/>
        <w:tblpPr w:leftFromText="180" w:rightFromText="180" w:vertAnchor="text" w:horzAnchor="page" w:tblpX="1899" w:tblpY="39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序号</w:t>
            </w:r>
          </w:p>
        </w:tc>
        <w:tc>
          <w:tcPr>
            <w:tcW w:w="7421" w:type="dxa"/>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1</w:t>
            </w:r>
          </w:p>
        </w:tc>
        <w:tc>
          <w:tcPr>
            <w:tcW w:w="7421" w:type="dxa"/>
            <w:vAlign w:val="center"/>
          </w:tcPr>
          <w:p>
            <w:pPr>
              <w:kinsoku/>
              <w:bidi w:val="0"/>
              <w:spacing w:line="360" w:lineRule="auto"/>
              <w:ind w:right="-11"/>
              <w:rPr>
                <w:rFonts w:ascii="宋体" w:hAnsi="宋体" w:cs="宋体"/>
                <w:kern w:val="0"/>
                <w:szCs w:val="21"/>
                <w:highlight w:val="none"/>
              </w:rPr>
            </w:pPr>
            <w:r>
              <w:rPr>
                <w:rFonts w:hint="eastAsia" w:ascii="宋体" w:hAnsi="宋体" w:cs="宋体"/>
                <w:kern w:val="0"/>
                <w:szCs w:val="21"/>
                <w:highlight w:val="none"/>
              </w:rPr>
              <w:t>买方名称：</w:t>
            </w:r>
            <w:r>
              <w:rPr>
                <w:rFonts w:hint="eastAsia" w:ascii="宋体" w:hAnsi="宋体" w:eastAsia="宋体" w:cs="宋体"/>
                <w:color w:val="auto"/>
                <w:kern w:val="0"/>
                <w:sz w:val="21"/>
                <w:szCs w:val="21"/>
                <w:highlight w:val="none"/>
              </w:rPr>
              <w:t>江苏江福农业发展有限公司</w:t>
            </w:r>
            <w:r>
              <w:rPr>
                <w:rFonts w:hint="eastAsia" w:ascii="宋体" w:hAnsi="宋体" w:cs="宋体"/>
                <w:kern w:val="0"/>
                <w:szCs w:val="21"/>
                <w:highlight w:val="none"/>
              </w:rPr>
              <w:t>（签订合同前称</w:t>
            </w:r>
            <w:r>
              <w:rPr>
                <w:rFonts w:hint="eastAsia" w:ascii="宋体" w:hAnsi="宋体" w:cs="宋体"/>
                <w:kern w:val="0"/>
                <w:szCs w:val="21"/>
                <w:highlight w:val="none"/>
                <w:lang w:eastAsia="zh-CN"/>
              </w:rPr>
              <w:t>招标人</w:t>
            </w:r>
            <w:r>
              <w:rPr>
                <w:rFonts w:hint="eastAsia" w:ascii="宋体" w:hAnsi="宋体" w:cs="宋体"/>
                <w:kern w:val="0"/>
                <w:szCs w:val="21"/>
                <w:highlight w:val="none"/>
              </w:rPr>
              <w:t>）</w:t>
            </w:r>
          </w:p>
          <w:p>
            <w:pPr>
              <w:kinsoku/>
              <w:bidi w:val="0"/>
              <w:spacing w:line="360" w:lineRule="auto"/>
              <w:ind w:right="-11"/>
              <w:rPr>
                <w:rFonts w:ascii="宋体" w:hAnsi="宋体" w:cs="宋体"/>
                <w:kern w:val="0"/>
                <w:szCs w:val="21"/>
                <w:highlight w:val="none"/>
              </w:rPr>
            </w:pPr>
            <w:r>
              <w:rPr>
                <w:rFonts w:hint="eastAsia" w:ascii="宋体" w:hAnsi="宋体" w:cs="宋体"/>
                <w:kern w:val="0"/>
                <w:szCs w:val="21"/>
                <w:highlight w:val="none"/>
              </w:rPr>
              <w:t>卖方名称：与买方签订合同协议书的当事人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2</w:t>
            </w:r>
          </w:p>
        </w:tc>
        <w:tc>
          <w:tcPr>
            <w:tcW w:w="7421" w:type="dxa"/>
            <w:vAlign w:val="center"/>
          </w:tcPr>
          <w:p>
            <w:pPr>
              <w:kinsoku/>
              <w:bidi w:val="0"/>
              <w:spacing w:line="360" w:lineRule="auto"/>
              <w:ind w:right="-11"/>
              <w:rPr>
                <w:rFonts w:ascii="宋体" w:hAnsi="宋体" w:cs="宋体"/>
                <w:kern w:val="0"/>
                <w:szCs w:val="21"/>
                <w:highlight w:val="none"/>
              </w:rPr>
            </w:pPr>
            <w:r>
              <w:rPr>
                <w:rFonts w:hint="eastAsia" w:ascii="宋体" w:hAnsi="宋体" w:cs="宋体"/>
                <w:kern w:val="0"/>
                <w:szCs w:val="21"/>
                <w:highlight w:val="none"/>
              </w:rPr>
              <w:t>履约保证金金额：</w:t>
            </w:r>
            <w:r>
              <w:rPr>
                <w:rFonts w:hint="eastAsia" w:ascii="宋体" w:hAnsi="宋体"/>
                <w:szCs w:val="21"/>
                <w:highlight w:val="none"/>
              </w:rPr>
              <w:t>合同签订前汇入合同总价5%的履约保证金至</w:t>
            </w:r>
            <w:r>
              <w:rPr>
                <w:rFonts w:hint="eastAsia" w:ascii="宋体" w:hAnsi="宋体"/>
                <w:szCs w:val="21"/>
                <w:highlight w:val="none"/>
                <w:lang w:eastAsia="zh-CN"/>
              </w:rPr>
              <w:t>招标人</w:t>
            </w:r>
            <w:r>
              <w:rPr>
                <w:rFonts w:hint="eastAsia" w:ascii="宋体" w:hAnsi="宋体"/>
                <w:szCs w:val="21"/>
                <w:highlight w:val="none"/>
              </w:rPr>
              <w:t>指定账户</w:t>
            </w:r>
          </w:p>
          <w:p>
            <w:pPr>
              <w:kinsoku/>
              <w:bidi w:val="0"/>
              <w:spacing w:line="360" w:lineRule="auto"/>
              <w:ind w:right="-11"/>
              <w:rPr>
                <w:rFonts w:hint="eastAsia" w:ascii="宋体" w:hAnsi="宋体" w:cs="宋体"/>
                <w:kern w:val="0"/>
                <w:szCs w:val="21"/>
                <w:highlight w:val="none"/>
              </w:rPr>
            </w:pPr>
            <w:r>
              <w:rPr>
                <w:rFonts w:hint="eastAsia" w:ascii="宋体" w:hAnsi="宋体" w:cs="宋体"/>
                <w:kern w:val="0"/>
                <w:szCs w:val="21"/>
                <w:highlight w:val="none"/>
              </w:rPr>
              <w:t>币种：人民币</w:t>
            </w:r>
          </w:p>
          <w:p>
            <w:pPr>
              <w:kinsoku/>
              <w:bidi w:val="0"/>
              <w:spacing w:line="360" w:lineRule="auto"/>
              <w:ind w:right="-11"/>
              <w:rPr>
                <w:rFonts w:hint="eastAsia" w:ascii="宋体" w:hAnsi="宋体" w:cs="宋体"/>
                <w:kern w:val="0"/>
                <w:szCs w:val="21"/>
                <w:highlight w:val="none"/>
              </w:rPr>
            </w:pPr>
            <w:r>
              <w:rPr>
                <w:rFonts w:hint="eastAsia" w:ascii="宋体" w:hAnsi="宋体"/>
                <w:bCs/>
                <w:color w:val="auto"/>
                <w:sz w:val="21"/>
                <w:szCs w:val="21"/>
                <w:highlight w:val="none"/>
                <w:lang w:val="en-US" w:eastAsia="zh-CN"/>
              </w:rPr>
              <w:t>履约保证金形式：</w:t>
            </w:r>
            <w:r>
              <w:rPr>
                <w:rFonts w:hint="eastAsia" w:ascii="宋体" w:hAnsi="宋体"/>
                <w:bCs/>
                <w:color w:val="auto"/>
                <w:sz w:val="21"/>
                <w:szCs w:val="21"/>
                <w:highlight w:val="none"/>
              </w:rPr>
              <w:t>以</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u w:val="none"/>
                <w:lang w:val="en-US" w:eastAsia="zh-CN"/>
              </w:rPr>
              <w:t>（</w:t>
            </w:r>
            <w:r>
              <w:rPr>
                <w:rFonts w:hint="eastAsia" w:ascii="宋体" w:hAnsi="宋体"/>
                <w:bCs/>
                <w:color w:val="auto"/>
                <w:sz w:val="21"/>
                <w:szCs w:val="21"/>
                <w:highlight w:val="none"/>
                <w:u w:val="none"/>
              </w:rPr>
              <w:t>支票、汇票、本票或者金融机构、担保机构出具的保函</w:t>
            </w:r>
            <w:r>
              <w:rPr>
                <w:rFonts w:hint="eastAsia" w:ascii="宋体" w:hAnsi="宋体"/>
                <w:bCs/>
                <w:color w:val="auto"/>
                <w:sz w:val="21"/>
                <w:szCs w:val="21"/>
                <w:highlight w:val="none"/>
                <w:u w:val="none"/>
                <w:lang w:eastAsia="zh-CN"/>
              </w:rPr>
              <w:t>、</w:t>
            </w:r>
            <w:r>
              <w:rPr>
                <w:rFonts w:hint="eastAsia" w:ascii="宋体" w:hAnsi="宋体"/>
                <w:bCs/>
                <w:color w:val="auto"/>
                <w:sz w:val="21"/>
                <w:szCs w:val="21"/>
                <w:highlight w:val="none"/>
                <w:u w:val="none"/>
                <w:lang w:val="en-US" w:eastAsia="zh-CN"/>
              </w:rPr>
              <w:t>保证保险、电子履约保函</w:t>
            </w:r>
            <w:r>
              <w:rPr>
                <w:rFonts w:hint="eastAsia" w:ascii="宋体" w:hAnsi="宋体"/>
                <w:bCs/>
                <w:color w:val="auto"/>
                <w:sz w:val="21"/>
                <w:szCs w:val="21"/>
                <w:highlight w:val="none"/>
                <w:u w:val="none"/>
              </w:rPr>
              <w:t>等非现金</w:t>
            </w:r>
            <w:r>
              <w:rPr>
                <w:rFonts w:hint="eastAsia" w:ascii="宋体" w:hAnsi="宋体"/>
                <w:bCs/>
                <w:color w:val="auto"/>
                <w:sz w:val="21"/>
                <w:szCs w:val="21"/>
                <w:highlight w:val="none"/>
                <w:u w:val="none"/>
                <w:lang w:val="en-US" w:eastAsia="zh-CN"/>
              </w:rPr>
              <w:t>）</w:t>
            </w:r>
            <w:r>
              <w:rPr>
                <w:rFonts w:hint="eastAsia" w:ascii="宋体" w:hAnsi="宋体"/>
                <w:bCs/>
                <w:color w:val="auto"/>
                <w:sz w:val="21"/>
                <w:szCs w:val="21"/>
                <w:highlight w:val="none"/>
              </w:rPr>
              <w:t>形式提交；</w:t>
            </w:r>
          </w:p>
          <w:p>
            <w:pPr>
              <w:kinsoku/>
              <w:bidi w:val="0"/>
              <w:spacing w:line="360" w:lineRule="auto"/>
              <w:ind w:right="-11"/>
              <w:rPr>
                <w:rFonts w:ascii="宋体" w:hAnsi="宋体" w:cs="宋体"/>
                <w:kern w:val="0"/>
                <w:szCs w:val="21"/>
                <w:highlight w:val="none"/>
              </w:rPr>
            </w:pPr>
            <w:r>
              <w:rPr>
                <w:rFonts w:hint="eastAsia" w:ascii="宋体" w:hAnsi="宋体" w:cs="宋体"/>
                <w:kern w:val="0"/>
                <w:szCs w:val="21"/>
                <w:highlight w:val="none"/>
              </w:rPr>
              <w:t>履约保证金有效期：</w:t>
            </w:r>
            <w:r>
              <w:rPr>
                <w:rFonts w:hint="eastAsia" w:ascii="宋体" w:hAnsi="宋体" w:eastAsia="宋体" w:cs="宋体"/>
                <w:color w:val="auto"/>
                <w:kern w:val="0"/>
                <w:sz w:val="21"/>
                <w:szCs w:val="21"/>
                <w:highlight w:val="none"/>
                <w:lang w:val="zh-CN"/>
              </w:rPr>
              <w:t>自提交之日起至项目验收合格止，</w:t>
            </w:r>
            <w:r>
              <w:rPr>
                <w:rFonts w:hint="eastAsia" w:ascii="宋体" w:hAnsi="宋体" w:eastAsia="宋体" w:cs="宋体"/>
                <w:color w:val="auto"/>
                <w:sz w:val="21"/>
                <w:szCs w:val="21"/>
                <w:highlight w:val="none"/>
              </w:rPr>
              <w:t>无息退还</w:t>
            </w:r>
            <w:r>
              <w:rPr>
                <w:rFonts w:hint="eastAsia" w:ascii="宋体" w:hAnsi="宋体" w:eastAsia="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3</w:t>
            </w:r>
          </w:p>
        </w:tc>
        <w:tc>
          <w:tcPr>
            <w:tcW w:w="7421" w:type="dxa"/>
            <w:vAlign w:val="center"/>
          </w:tcPr>
          <w:p>
            <w:pPr>
              <w:kinsoku/>
              <w:overflowPunct/>
              <w:bidi w:val="0"/>
              <w:spacing w:line="360" w:lineRule="auto"/>
              <w:textAlignment w:val="auto"/>
              <w:rPr>
                <w:rFonts w:ascii="宋体" w:hAnsi="宋体" w:cs="宋体"/>
                <w:kern w:val="0"/>
                <w:szCs w:val="21"/>
                <w:highlight w:val="none"/>
              </w:rPr>
            </w:pPr>
            <w:r>
              <w:rPr>
                <w:rFonts w:hint="eastAsia" w:ascii="宋体" w:hAnsi="宋体" w:cs="宋体"/>
                <w:szCs w:val="21"/>
                <w:highlight w:val="none"/>
              </w:rPr>
              <w:t>合同履行期限</w:t>
            </w:r>
            <w:r>
              <w:rPr>
                <w:rFonts w:hint="eastAsia" w:ascii="宋体" w:hAnsi="宋体" w:cs="宋体"/>
                <w:kern w:val="0"/>
                <w:szCs w:val="21"/>
                <w:highlight w:val="none"/>
              </w:rPr>
              <w:t>：</w:t>
            </w:r>
            <w:r>
              <w:rPr>
                <w:rFonts w:hint="eastAsia" w:ascii="宋体" w:hAnsi="宋体" w:cs="宋体"/>
                <w:color w:val="auto"/>
                <w:sz w:val="21"/>
                <w:szCs w:val="21"/>
                <w:highlight w:val="none"/>
                <w:lang w:eastAsia="zh-CN"/>
              </w:rPr>
              <w:t>合同签订后，60天内所有货物到达项目现场，30天内完成安装调试及验收。质保期限不少于3年（农机、农机具按照国家三包）。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4</w:t>
            </w:r>
          </w:p>
        </w:tc>
        <w:tc>
          <w:tcPr>
            <w:tcW w:w="7421" w:type="dxa"/>
            <w:vAlign w:val="center"/>
          </w:tcPr>
          <w:p>
            <w:pPr>
              <w:kinsoku/>
              <w:bidi w:val="0"/>
              <w:spacing w:line="360" w:lineRule="auto"/>
              <w:ind w:right="-11"/>
              <w:rPr>
                <w:rFonts w:hint="eastAsia" w:ascii="宋体" w:hAnsi="宋体" w:eastAsia="宋体" w:cs="宋体"/>
                <w:kern w:val="0"/>
                <w:szCs w:val="21"/>
                <w:highlight w:val="none"/>
                <w:lang w:eastAsia="zh-CN"/>
              </w:rPr>
            </w:pPr>
            <w:r>
              <w:rPr>
                <w:rFonts w:hint="eastAsia" w:ascii="宋体" w:hAnsi="宋体" w:cs="宋体"/>
                <w:kern w:val="0"/>
                <w:szCs w:val="21"/>
                <w:highlight w:val="none"/>
              </w:rPr>
              <w:t>卖方应提供的服务：免费咨询、免费培训等卖方提供的所有服务已包括在投标报价中</w:t>
            </w:r>
            <w:r>
              <w:rPr>
                <w:rFonts w:hint="eastAsia" w:ascii="宋体" w:hAnsi="宋体" w:cs="宋体"/>
                <w:kern w:val="0"/>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0" w:type="auto"/>
            <w:vAlign w:val="center"/>
          </w:tcPr>
          <w:p>
            <w:pPr>
              <w:kinsoku/>
              <w:bidi w:val="0"/>
              <w:spacing w:line="360" w:lineRule="auto"/>
              <w:ind w:right="-11"/>
              <w:jc w:val="center"/>
              <w:rPr>
                <w:rFonts w:ascii="宋体" w:hAnsi="宋体" w:cs="宋体"/>
                <w:kern w:val="0"/>
                <w:szCs w:val="21"/>
                <w:highlight w:val="none"/>
              </w:rPr>
            </w:pPr>
            <w:r>
              <w:rPr>
                <w:rFonts w:hint="eastAsia" w:ascii="宋体" w:hAnsi="宋体" w:cs="宋体"/>
                <w:kern w:val="0"/>
                <w:szCs w:val="21"/>
                <w:highlight w:val="none"/>
              </w:rPr>
              <w:t>5</w:t>
            </w:r>
          </w:p>
        </w:tc>
        <w:tc>
          <w:tcPr>
            <w:tcW w:w="7421" w:type="dxa"/>
            <w:vAlign w:val="center"/>
          </w:tcPr>
          <w:p>
            <w:pPr>
              <w:kinsoku/>
              <w:bidi w:val="0"/>
              <w:spacing w:line="360" w:lineRule="auto"/>
              <w:ind w:right="-11"/>
              <w:rPr>
                <w:rFonts w:hint="eastAsia" w:ascii="宋体" w:hAnsi="宋体" w:eastAsia="宋体" w:cs="宋体"/>
                <w:kern w:val="0"/>
                <w:szCs w:val="21"/>
                <w:highlight w:val="none"/>
                <w:lang w:eastAsia="zh-CN"/>
              </w:rPr>
            </w:pPr>
            <w:r>
              <w:rPr>
                <w:rFonts w:hint="eastAsia" w:ascii="宋体" w:hAnsi="宋体" w:cs="宋体"/>
                <w:kern w:val="0"/>
                <w:szCs w:val="21"/>
                <w:highlight w:val="none"/>
              </w:rPr>
              <w:t>要求的备品备件有：</w:t>
            </w:r>
            <w:r>
              <w:rPr>
                <w:rFonts w:hint="eastAsia" w:ascii="宋体" w:hAnsi="宋体"/>
                <w:szCs w:val="21"/>
                <w:highlight w:val="none"/>
              </w:rPr>
              <w:t>所有产品安装所需人工、辅材等包含在产品报价中</w:t>
            </w:r>
            <w:r>
              <w:rPr>
                <w:rFonts w:hint="eastAsia" w:ascii="宋体" w:hAnsi="宋体"/>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0" w:type="auto"/>
            <w:vAlign w:val="center"/>
          </w:tcPr>
          <w:p>
            <w:pPr>
              <w:kinsoku/>
              <w:bidi w:val="0"/>
              <w:spacing w:line="360" w:lineRule="auto"/>
              <w:ind w:right="-11"/>
              <w:jc w:val="center"/>
              <w:rPr>
                <w:rFonts w:ascii="宋体" w:hAnsi="宋体" w:cs="宋体"/>
                <w:kern w:val="0"/>
                <w:szCs w:val="21"/>
                <w:highlight w:val="none"/>
              </w:rPr>
            </w:pPr>
            <w:bookmarkStart w:id="25" w:name="_Hlk513629757"/>
            <w:r>
              <w:rPr>
                <w:rFonts w:hint="eastAsia" w:ascii="宋体" w:hAnsi="宋体" w:cs="宋体"/>
                <w:kern w:val="0"/>
                <w:szCs w:val="21"/>
                <w:highlight w:val="none"/>
              </w:rPr>
              <w:t>6</w:t>
            </w:r>
          </w:p>
        </w:tc>
        <w:tc>
          <w:tcPr>
            <w:tcW w:w="7421" w:type="dxa"/>
            <w:vAlign w:val="center"/>
          </w:tcPr>
          <w:p>
            <w:pPr>
              <w:kinsoku/>
              <w:bidi w:val="0"/>
              <w:spacing w:line="360" w:lineRule="auto"/>
              <w:rPr>
                <w:rFonts w:ascii="宋体" w:hAnsi="宋体"/>
                <w:kern w:val="0"/>
                <w:szCs w:val="21"/>
                <w:highlight w:val="none"/>
              </w:rPr>
            </w:pPr>
            <w:r>
              <w:rPr>
                <w:rFonts w:hint="eastAsia" w:ascii="宋体" w:hAnsi="宋体"/>
                <w:szCs w:val="21"/>
                <w:highlight w:val="none"/>
              </w:rPr>
              <w:t>质</w:t>
            </w:r>
            <w:r>
              <w:rPr>
                <w:rFonts w:ascii="宋体" w:hAnsi="宋体"/>
                <w:szCs w:val="21"/>
                <w:highlight w:val="none"/>
              </w:rPr>
              <w:t>保期：</w:t>
            </w:r>
            <w:r>
              <w:rPr>
                <w:rFonts w:hint="eastAsia" w:ascii="宋体" w:hAnsi="宋体"/>
                <w:szCs w:val="21"/>
                <w:highlight w:val="none"/>
              </w:rPr>
              <w:t>详见技术要求</w:t>
            </w:r>
            <w:r>
              <w:rPr>
                <w:rFonts w:ascii="宋体" w:hAnsi="宋体"/>
                <w:szCs w:val="21"/>
                <w:highlight w:val="none"/>
              </w:rPr>
              <w:t>（自交货验收合格之日起计）。</w:t>
            </w:r>
          </w:p>
        </w:tc>
      </w:tr>
      <w:bookmarkEnd w:id="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0" w:type="auto"/>
            <w:vAlign w:val="center"/>
          </w:tcPr>
          <w:p>
            <w:pPr>
              <w:kinsoku/>
              <w:bidi w:val="0"/>
              <w:spacing w:line="360" w:lineRule="auto"/>
              <w:jc w:val="center"/>
              <w:rPr>
                <w:rFonts w:ascii="宋体" w:hAnsi="宋体"/>
                <w:szCs w:val="21"/>
                <w:highlight w:val="none"/>
              </w:rPr>
            </w:pPr>
            <w:r>
              <w:rPr>
                <w:rFonts w:hint="eastAsia" w:ascii="宋体" w:hAnsi="宋体"/>
                <w:szCs w:val="21"/>
                <w:highlight w:val="none"/>
              </w:rPr>
              <w:t>7</w:t>
            </w:r>
          </w:p>
        </w:tc>
        <w:tc>
          <w:tcPr>
            <w:tcW w:w="7421" w:type="dxa"/>
            <w:vAlign w:val="center"/>
          </w:tcPr>
          <w:p>
            <w:pPr>
              <w:kinsoku/>
              <w:autoSpaceDE w:val="0"/>
              <w:autoSpaceDN w:val="0"/>
              <w:bidi w:val="0"/>
              <w:spacing w:line="360" w:lineRule="auto"/>
              <w:rPr>
                <w:rFonts w:ascii="宋体" w:hAnsi="宋体" w:cs="宋体"/>
                <w:szCs w:val="21"/>
                <w:highlight w:val="none"/>
              </w:rPr>
            </w:pPr>
            <w:r>
              <w:rPr>
                <w:rFonts w:hint="eastAsia" w:ascii="宋体" w:hAnsi="宋体"/>
                <w:szCs w:val="21"/>
                <w:highlight w:val="none"/>
              </w:rPr>
              <w:t>付款方式：</w:t>
            </w:r>
            <w:r>
              <w:rPr>
                <w:rFonts w:hint="eastAsia" w:ascii="宋体" w:hAnsi="宋体" w:cs="Times New Roman"/>
                <w:color w:val="auto"/>
                <w:kern w:val="2"/>
                <w:sz w:val="21"/>
                <w:szCs w:val="21"/>
                <w:highlight w:val="none"/>
                <w:lang w:val="en-US" w:eastAsia="zh-CN" w:bidi="ar-SA"/>
              </w:rPr>
              <w:t>合同签订，完成需求确认后甲方向乙方支付合同总金额的30%；项目通过审计验收后，甲方向乙方支付至审定总金额的97%；履约满后，付清尾款。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vAlign w:val="center"/>
          </w:tcPr>
          <w:p>
            <w:pPr>
              <w:kinsoku/>
              <w:autoSpaceDE w:val="0"/>
              <w:autoSpaceDN w:val="0"/>
              <w:bidi w:val="0"/>
              <w:spacing w:line="360" w:lineRule="auto"/>
              <w:jc w:val="center"/>
              <w:rPr>
                <w:rFonts w:ascii="宋体" w:hAnsi="宋体" w:cs="宋体"/>
                <w:kern w:val="0"/>
                <w:szCs w:val="21"/>
                <w:highlight w:val="none"/>
              </w:rPr>
            </w:pPr>
            <w:r>
              <w:rPr>
                <w:rFonts w:hint="eastAsia" w:ascii="宋体" w:hAnsi="宋体" w:cs="宋体"/>
                <w:kern w:val="0"/>
                <w:szCs w:val="21"/>
                <w:highlight w:val="none"/>
              </w:rPr>
              <w:t>8</w:t>
            </w:r>
          </w:p>
        </w:tc>
        <w:tc>
          <w:tcPr>
            <w:tcW w:w="7421" w:type="dxa"/>
            <w:vAlign w:val="center"/>
          </w:tcPr>
          <w:p>
            <w:pPr>
              <w:kinsoku/>
              <w:autoSpaceDE w:val="0"/>
              <w:autoSpaceDN w:val="0"/>
              <w:bidi w:val="0"/>
              <w:spacing w:line="360" w:lineRule="auto"/>
              <w:rPr>
                <w:rFonts w:hint="eastAsia" w:ascii="宋体" w:hAnsi="宋体" w:eastAsia="宋体" w:cs="宋体"/>
                <w:kern w:val="0"/>
                <w:szCs w:val="21"/>
                <w:highlight w:val="none"/>
                <w:lang w:eastAsia="zh-CN"/>
              </w:rPr>
            </w:pPr>
            <w:r>
              <w:rPr>
                <w:rFonts w:hint="eastAsia" w:ascii="宋体" w:hAnsi="宋体" w:cs="宋体"/>
                <w:kern w:val="0"/>
                <w:szCs w:val="21"/>
                <w:highlight w:val="none"/>
              </w:rPr>
              <w:t>合同价和分项价格：固定不变</w:t>
            </w:r>
            <w:r>
              <w:rPr>
                <w:rFonts w:hint="eastAsia" w:ascii="宋体" w:hAnsi="宋体" w:cs="宋体"/>
                <w:kern w:val="0"/>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vAlign w:val="center"/>
          </w:tcPr>
          <w:p>
            <w:pPr>
              <w:kinsoku/>
              <w:autoSpaceDE w:val="0"/>
              <w:autoSpaceDN w:val="0"/>
              <w:bidi w:val="0"/>
              <w:spacing w:line="360" w:lineRule="auto"/>
              <w:jc w:val="center"/>
              <w:rPr>
                <w:rFonts w:ascii="宋体" w:hAnsi="宋体" w:cs="宋体"/>
                <w:kern w:val="0"/>
                <w:szCs w:val="21"/>
                <w:highlight w:val="none"/>
              </w:rPr>
            </w:pPr>
            <w:r>
              <w:rPr>
                <w:rFonts w:hint="eastAsia" w:ascii="宋体" w:hAnsi="宋体" w:cs="宋体"/>
                <w:kern w:val="0"/>
                <w:szCs w:val="21"/>
                <w:highlight w:val="none"/>
              </w:rPr>
              <w:t>9</w:t>
            </w:r>
          </w:p>
        </w:tc>
        <w:tc>
          <w:tcPr>
            <w:tcW w:w="7421" w:type="dxa"/>
            <w:vAlign w:val="center"/>
          </w:tcPr>
          <w:p>
            <w:pPr>
              <w:kinsoku/>
              <w:autoSpaceDE w:val="0"/>
              <w:autoSpaceDN w:val="0"/>
              <w:bidi w:val="0"/>
              <w:spacing w:line="360" w:lineRule="auto"/>
              <w:rPr>
                <w:rFonts w:ascii="宋体" w:hAnsi="宋体" w:cs="宋体"/>
                <w:kern w:val="0"/>
                <w:szCs w:val="21"/>
                <w:highlight w:val="none"/>
              </w:rPr>
            </w:pPr>
            <w:r>
              <w:rPr>
                <w:rFonts w:hint="eastAsia" w:ascii="宋体" w:hAnsi="宋体"/>
                <w:szCs w:val="21"/>
                <w:highlight w:val="none"/>
                <w:lang w:eastAsia="zh-CN"/>
              </w:rPr>
              <w:t>中标人</w:t>
            </w:r>
            <w:r>
              <w:rPr>
                <w:rFonts w:hint="eastAsia" w:ascii="宋体" w:hAnsi="宋体"/>
                <w:szCs w:val="21"/>
                <w:highlight w:val="none"/>
              </w:rPr>
              <w:t>不得私自将本项目转包给第三方，否则将作违约处理，</w:t>
            </w:r>
            <w:r>
              <w:rPr>
                <w:rFonts w:hint="eastAsia" w:ascii="宋体" w:hAnsi="宋体"/>
                <w:szCs w:val="21"/>
                <w:highlight w:val="none"/>
                <w:lang w:eastAsia="zh-CN"/>
              </w:rPr>
              <w:t>招标人</w:t>
            </w:r>
            <w:r>
              <w:rPr>
                <w:rFonts w:hint="eastAsia" w:ascii="宋体" w:hAnsi="宋体"/>
                <w:szCs w:val="21"/>
                <w:highlight w:val="none"/>
              </w:rPr>
              <w:t>有权撤销合同拒付货款，且</w:t>
            </w:r>
            <w:r>
              <w:rPr>
                <w:rFonts w:hint="eastAsia" w:ascii="宋体" w:hAnsi="宋体"/>
                <w:szCs w:val="21"/>
                <w:highlight w:val="none"/>
                <w:lang w:eastAsia="zh-CN"/>
              </w:rPr>
              <w:t>中标人</w:t>
            </w:r>
            <w:r>
              <w:rPr>
                <w:rFonts w:hint="eastAsia" w:ascii="宋体" w:hAnsi="宋体"/>
                <w:szCs w:val="21"/>
                <w:highlight w:val="none"/>
              </w:rPr>
              <w:t>还要承担给</w:t>
            </w:r>
            <w:r>
              <w:rPr>
                <w:rFonts w:hint="eastAsia" w:ascii="宋体" w:hAnsi="宋体"/>
                <w:szCs w:val="21"/>
                <w:highlight w:val="none"/>
                <w:lang w:eastAsia="zh-CN"/>
              </w:rPr>
              <w:t>招标人</w:t>
            </w:r>
            <w:r>
              <w:rPr>
                <w:rFonts w:hint="eastAsia" w:ascii="宋体" w:hAnsi="宋体"/>
                <w:szCs w:val="21"/>
                <w:highlight w:val="none"/>
              </w:rPr>
              <w:t>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vAlign w:val="center"/>
          </w:tcPr>
          <w:p>
            <w:pPr>
              <w:kinsoku/>
              <w:autoSpaceDE w:val="0"/>
              <w:autoSpaceDN w:val="0"/>
              <w:bidi w:val="0"/>
              <w:spacing w:line="360" w:lineRule="auto"/>
              <w:jc w:val="center"/>
              <w:rPr>
                <w:rFonts w:ascii="宋体" w:hAnsi="宋体" w:cs="宋体"/>
                <w:kern w:val="0"/>
                <w:szCs w:val="21"/>
                <w:highlight w:val="none"/>
              </w:rPr>
            </w:pPr>
            <w:r>
              <w:rPr>
                <w:rFonts w:hint="eastAsia" w:ascii="宋体" w:hAnsi="宋体" w:cs="宋体"/>
                <w:kern w:val="0"/>
                <w:szCs w:val="21"/>
                <w:highlight w:val="none"/>
              </w:rPr>
              <w:t>10</w:t>
            </w:r>
          </w:p>
        </w:tc>
        <w:tc>
          <w:tcPr>
            <w:tcW w:w="7421" w:type="dxa"/>
            <w:vAlign w:val="center"/>
          </w:tcPr>
          <w:p>
            <w:pPr>
              <w:kinsoku/>
              <w:autoSpaceDE w:val="0"/>
              <w:autoSpaceDN w:val="0"/>
              <w:bidi w:val="0"/>
              <w:spacing w:line="360" w:lineRule="auto"/>
              <w:rPr>
                <w:rFonts w:ascii="宋体" w:hAnsi="宋体" w:cs="宋体"/>
                <w:kern w:val="0"/>
                <w:szCs w:val="21"/>
                <w:highlight w:val="none"/>
              </w:rPr>
            </w:pPr>
            <w:r>
              <w:rPr>
                <w:rFonts w:hint="eastAsia" w:ascii="宋体" w:hAnsi="宋体" w:cs="宋体"/>
                <w:kern w:val="0"/>
                <w:szCs w:val="21"/>
                <w:highlight w:val="none"/>
              </w:rPr>
              <w:t>仲裁所在地：泰州</w:t>
            </w:r>
          </w:p>
        </w:tc>
      </w:tr>
    </w:tbl>
    <w:p>
      <w:pPr>
        <w:pStyle w:val="14"/>
        <w:kinsoku/>
        <w:bidi w:val="0"/>
        <w:spacing w:before="0" w:after="0" w:line="360" w:lineRule="auto"/>
        <w:jc w:val="center"/>
        <w:rPr>
          <w:rFonts w:ascii="宋体" w:hAnsi="宋体" w:cs="宋体"/>
          <w:b w:val="0"/>
          <w:bCs/>
          <w:caps w:val="0"/>
          <w:sz w:val="21"/>
          <w:szCs w:val="21"/>
          <w:highlight w:val="none"/>
        </w:rPr>
      </w:pPr>
    </w:p>
    <w:p>
      <w:pPr>
        <w:kinsoku/>
        <w:bidi w:val="0"/>
        <w:spacing w:line="360" w:lineRule="auto"/>
        <w:rPr>
          <w:highlight w:val="none"/>
        </w:rPr>
      </w:pPr>
    </w:p>
    <w:p>
      <w:pPr>
        <w:pStyle w:val="14"/>
        <w:kinsoku/>
        <w:bidi w:val="0"/>
        <w:spacing w:before="0" w:after="0" w:line="360" w:lineRule="auto"/>
        <w:jc w:val="center"/>
        <w:rPr>
          <w:rFonts w:cs="宋体" w:asciiTheme="minorEastAsia" w:hAnsiTheme="minorEastAsia" w:eastAsiaTheme="minorEastAsia"/>
          <w:sz w:val="21"/>
          <w:szCs w:val="21"/>
          <w:highlight w:val="none"/>
        </w:rPr>
      </w:pPr>
    </w:p>
    <w:p>
      <w:pPr>
        <w:pStyle w:val="14"/>
        <w:kinsoku/>
        <w:bidi w:val="0"/>
        <w:spacing w:before="0" w:after="0" w:line="360" w:lineRule="auto"/>
        <w:jc w:val="center"/>
        <w:rPr>
          <w:rFonts w:cs="宋体" w:asciiTheme="minorEastAsia" w:hAnsiTheme="minorEastAsia" w:eastAsiaTheme="minorEastAsia"/>
          <w:sz w:val="21"/>
          <w:szCs w:val="21"/>
          <w:highlight w:val="none"/>
        </w:rPr>
      </w:pPr>
    </w:p>
    <w:p>
      <w:pPr>
        <w:pStyle w:val="2"/>
        <w:kinsoku/>
        <w:bidi w:val="0"/>
        <w:spacing w:line="360" w:lineRule="auto"/>
        <w:ind w:left="420" w:leftChars="200"/>
        <w:jc w:val="center"/>
        <w:rPr>
          <w:rFonts w:hint="eastAsia" w:cs="Times New Roman" w:asciiTheme="minorEastAsia" w:hAnsiTheme="minorEastAsia" w:eastAsiaTheme="minorEastAsia"/>
          <w:b/>
          <w:kern w:val="2"/>
          <w:sz w:val="21"/>
          <w:szCs w:val="21"/>
          <w:highlight w:val="none"/>
          <w:lang w:val="en-US" w:eastAsia="zh-CN" w:bidi="ar-SA"/>
        </w:rPr>
      </w:pPr>
      <w:r>
        <w:rPr>
          <w:rFonts w:hint="eastAsia" w:cs="Times New Roman" w:asciiTheme="minorEastAsia" w:hAnsiTheme="minorEastAsia" w:eastAsiaTheme="minorEastAsia"/>
          <w:b/>
          <w:kern w:val="2"/>
          <w:sz w:val="21"/>
          <w:szCs w:val="21"/>
          <w:highlight w:val="none"/>
          <w:lang w:val="en-US" w:eastAsia="zh-CN" w:bidi="ar-SA"/>
        </w:rPr>
        <w:t>合同条款及格式</w:t>
      </w:r>
    </w:p>
    <w:p>
      <w:pPr>
        <w:kinsoku/>
        <w:bidi w:val="0"/>
        <w:spacing w:line="360" w:lineRule="auto"/>
        <w:ind w:firstLine="315" w:firstLineChars="150"/>
        <w:rPr>
          <w:rFonts w:asciiTheme="minorEastAsia" w:hAnsiTheme="minorEastAsia" w:eastAsiaTheme="minorEastAsia"/>
          <w:szCs w:val="21"/>
          <w:highlight w:val="none"/>
        </w:rPr>
      </w:pPr>
      <w:bookmarkStart w:id="26" w:name="hetongEnd"/>
      <w:bookmarkEnd w:id="26"/>
      <w:r>
        <w:rPr>
          <w:rFonts w:hint="eastAsia" w:asciiTheme="minorEastAsia" w:hAnsiTheme="minorEastAsia" w:eastAsiaTheme="minorEastAsia"/>
          <w:szCs w:val="21"/>
          <w:highlight w:val="none"/>
        </w:rPr>
        <w:t>项目编号：</w:t>
      </w:r>
    </w:p>
    <w:p>
      <w:pPr>
        <w:kinsoku/>
        <w:bidi w:val="0"/>
        <w:spacing w:line="360" w:lineRule="auto"/>
        <w:ind w:firstLine="315" w:firstLineChars="15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项目名称：</w:t>
      </w:r>
    </w:p>
    <w:p>
      <w:pPr>
        <w:kinsoku/>
        <w:autoSpaceDE w:val="0"/>
        <w:autoSpaceDN w:val="0"/>
        <w:bidi w:val="0"/>
        <w:adjustRightInd w:val="0"/>
        <w:spacing w:line="360" w:lineRule="auto"/>
        <w:ind w:firstLine="315" w:firstLineChars="150"/>
        <w:rPr>
          <w:rFonts w:cs="宋体" w:asciiTheme="minorEastAsia" w:hAnsiTheme="minorEastAsia"/>
          <w:szCs w:val="21"/>
          <w:highlight w:val="none"/>
          <w:lang w:val="zh-CN"/>
        </w:rPr>
      </w:pPr>
      <w:r>
        <w:rPr>
          <w:rFonts w:hint="eastAsia" w:cs="宋体" w:asciiTheme="minorEastAsia" w:hAnsiTheme="minorEastAsia"/>
          <w:szCs w:val="21"/>
          <w:highlight w:val="none"/>
          <w:lang w:val="zh-CN"/>
        </w:rPr>
        <w:t>甲方（实施主体）：</w:t>
      </w:r>
    </w:p>
    <w:p>
      <w:pPr>
        <w:tabs>
          <w:tab w:val="left" w:pos="1077"/>
        </w:tabs>
        <w:kinsoku/>
        <w:autoSpaceDE w:val="0"/>
        <w:autoSpaceDN w:val="0"/>
        <w:bidi w:val="0"/>
        <w:adjustRightInd w:val="0"/>
        <w:spacing w:line="360" w:lineRule="auto"/>
        <w:ind w:firstLine="315" w:firstLineChars="150"/>
        <w:rPr>
          <w:rFonts w:cs="宋体" w:asciiTheme="minorEastAsia" w:hAnsiTheme="minorEastAsia"/>
          <w:szCs w:val="21"/>
          <w:highlight w:val="none"/>
          <w:lang w:val="zh-CN"/>
        </w:rPr>
      </w:pPr>
      <w:r>
        <w:rPr>
          <w:rFonts w:hint="eastAsia" w:cs="宋体" w:asciiTheme="minorEastAsia" w:hAnsiTheme="minorEastAsia"/>
          <w:szCs w:val="21"/>
          <w:highlight w:val="none"/>
          <w:lang w:val="zh-CN"/>
        </w:rPr>
        <w:t>乙方：</w:t>
      </w:r>
      <w:r>
        <w:rPr>
          <w:rFonts w:cs="宋体" w:asciiTheme="minorEastAsia" w:hAnsiTheme="minorEastAsia"/>
          <w:szCs w:val="21"/>
          <w:highlight w:val="none"/>
          <w:lang w:val="zh-CN"/>
        </w:rPr>
        <w:tab/>
      </w:r>
    </w:p>
    <w:p>
      <w:pPr>
        <w:kinsoku/>
        <w:bidi w:val="0"/>
        <w:spacing w:line="360" w:lineRule="auto"/>
        <w:ind w:firstLine="420" w:firstLineChars="200"/>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丙方（监督主体）：</w:t>
      </w:r>
      <w:r>
        <w:rPr>
          <w:rFonts w:hint="eastAsia" w:asciiTheme="minorEastAsia" w:hAnsiTheme="minorEastAsia" w:eastAsiaTheme="minorEastAsia"/>
          <w:szCs w:val="21"/>
          <w:highlight w:val="none"/>
          <w:lang w:eastAsia="zh-CN"/>
        </w:rPr>
        <w:t>江苏省高港现代农业产业园区管理办公室</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根据《中华人民共和国政府采购法</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中华人民共和国民法典》等法律法规的规定，甲乙双方按照</w:t>
      </w:r>
      <w:r>
        <w:rPr>
          <w:rFonts w:hint="eastAsia" w:asciiTheme="minorEastAsia" w:hAnsiTheme="minorEastAsia" w:eastAsiaTheme="minorEastAsia"/>
          <w:szCs w:val="21"/>
          <w:highlight w:val="none"/>
          <w:u w:val="single"/>
          <w:lang w:val="en-US" w:eastAsia="zh-CN"/>
        </w:rPr>
        <w:t xml:space="preserve">                       </w:t>
      </w:r>
      <w:r>
        <w:rPr>
          <w:rFonts w:hint="eastAsia" w:asciiTheme="minorEastAsia" w:hAnsiTheme="minorEastAsia" w:eastAsiaTheme="minorEastAsia"/>
          <w:szCs w:val="21"/>
          <w:highlight w:val="none"/>
        </w:rPr>
        <w:t>项目的</w:t>
      </w:r>
      <w:r>
        <w:rPr>
          <w:rFonts w:hint="eastAsia" w:asciiTheme="minorEastAsia" w:hAnsiTheme="minorEastAsia" w:eastAsiaTheme="minorEastAsia"/>
          <w:szCs w:val="21"/>
          <w:highlight w:val="none"/>
          <w:lang w:val="en-US" w:eastAsia="zh-CN"/>
        </w:rPr>
        <w:t>招标</w:t>
      </w:r>
      <w:r>
        <w:rPr>
          <w:rFonts w:hint="eastAsia" w:asciiTheme="minorEastAsia" w:hAnsiTheme="minorEastAsia" w:eastAsiaTheme="minorEastAsia"/>
          <w:szCs w:val="21"/>
          <w:highlight w:val="none"/>
        </w:rPr>
        <w:t>结果，签署本合同。</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szCs w:val="21"/>
          <w:highlight w:val="none"/>
        </w:rPr>
      </w:pPr>
      <w:r>
        <w:rPr>
          <w:rFonts w:hint="eastAsia" w:asciiTheme="minorEastAsia" w:hAnsiTheme="minorEastAsia" w:eastAsiaTheme="minorEastAsia"/>
          <w:b/>
          <w:szCs w:val="21"/>
          <w:highlight w:val="none"/>
        </w:rPr>
        <w:t>第一条 合同标的</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乙方根据甲方需求提供下列货物：</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1"/>
        <w:gridCol w:w="1562"/>
        <w:gridCol w:w="1563"/>
        <w:gridCol w:w="1563"/>
        <w:gridCol w:w="977"/>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序号</w:t>
            </w:r>
          </w:p>
        </w:tc>
        <w:tc>
          <w:tcPr>
            <w:tcW w:w="1689"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名称</w:t>
            </w:r>
          </w:p>
        </w:tc>
        <w:tc>
          <w:tcPr>
            <w:tcW w:w="1690"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数量</w:t>
            </w:r>
          </w:p>
        </w:tc>
        <w:tc>
          <w:tcPr>
            <w:tcW w:w="1690"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单位</w:t>
            </w:r>
          </w:p>
        </w:tc>
        <w:tc>
          <w:tcPr>
            <w:tcW w:w="1039"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产品标识</w:t>
            </w:r>
          </w:p>
        </w:tc>
        <w:tc>
          <w:tcPr>
            <w:tcW w:w="1392" w:type="dxa"/>
            <w:vAlign w:val="center"/>
          </w:tcPr>
          <w:p>
            <w:pPr>
              <w:kinsoku/>
              <w:bidi w:val="0"/>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是否接受进口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pPr>
              <w:kinsoku/>
              <w:bidi w:val="0"/>
              <w:spacing w:line="360" w:lineRule="auto"/>
              <w:rPr>
                <w:rFonts w:asciiTheme="minorEastAsia" w:hAnsiTheme="minorEastAsia" w:eastAsiaTheme="minorEastAsia"/>
                <w:szCs w:val="21"/>
                <w:highlight w:val="none"/>
              </w:rPr>
            </w:pPr>
          </w:p>
        </w:tc>
        <w:tc>
          <w:tcPr>
            <w:tcW w:w="1689"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039" w:type="dxa"/>
          </w:tcPr>
          <w:p>
            <w:pPr>
              <w:kinsoku/>
              <w:bidi w:val="0"/>
              <w:spacing w:line="360" w:lineRule="auto"/>
              <w:rPr>
                <w:rFonts w:asciiTheme="minorEastAsia" w:hAnsiTheme="minorEastAsia" w:eastAsiaTheme="minorEastAsia"/>
                <w:szCs w:val="21"/>
                <w:highlight w:val="none"/>
              </w:rPr>
            </w:pPr>
          </w:p>
        </w:tc>
        <w:tc>
          <w:tcPr>
            <w:tcW w:w="1392" w:type="dxa"/>
          </w:tcPr>
          <w:p>
            <w:pPr>
              <w:kinsoku/>
              <w:bidi w:val="0"/>
              <w:spacing w:line="360" w:lineRule="auto"/>
              <w:rPr>
                <w:rFonts w:asciiTheme="minorEastAsia" w:hAnsiTheme="minorEastAsia" w:eastAsia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pPr>
              <w:kinsoku/>
              <w:bidi w:val="0"/>
              <w:spacing w:line="360" w:lineRule="auto"/>
              <w:rPr>
                <w:rFonts w:asciiTheme="minorEastAsia" w:hAnsiTheme="minorEastAsia" w:eastAsiaTheme="minorEastAsia"/>
                <w:szCs w:val="21"/>
                <w:highlight w:val="none"/>
              </w:rPr>
            </w:pPr>
          </w:p>
        </w:tc>
        <w:tc>
          <w:tcPr>
            <w:tcW w:w="1689"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039" w:type="dxa"/>
          </w:tcPr>
          <w:p>
            <w:pPr>
              <w:kinsoku/>
              <w:bidi w:val="0"/>
              <w:spacing w:line="360" w:lineRule="auto"/>
              <w:rPr>
                <w:rFonts w:asciiTheme="minorEastAsia" w:hAnsiTheme="minorEastAsia" w:eastAsiaTheme="minorEastAsia"/>
                <w:szCs w:val="21"/>
                <w:highlight w:val="none"/>
              </w:rPr>
            </w:pPr>
          </w:p>
        </w:tc>
        <w:tc>
          <w:tcPr>
            <w:tcW w:w="1392" w:type="dxa"/>
          </w:tcPr>
          <w:p>
            <w:pPr>
              <w:kinsoku/>
              <w:bidi w:val="0"/>
              <w:spacing w:line="360" w:lineRule="auto"/>
              <w:rPr>
                <w:rFonts w:asciiTheme="minorEastAsia" w:hAnsiTheme="minorEastAsia" w:eastAsia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pPr>
              <w:kinsoku/>
              <w:bidi w:val="0"/>
              <w:spacing w:line="360" w:lineRule="auto"/>
              <w:rPr>
                <w:rFonts w:asciiTheme="minorEastAsia" w:hAnsiTheme="minorEastAsia" w:eastAsiaTheme="minorEastAsia"/>
                <w:szCs w:val="21"/>
                <w:highlight w:val="none"/>
              </w:rPr>
            </w:pPr>
          </w:p>
        </w:tc>
        <w:tc>
          <w:tcPr>
            <w:tcW w:w="1689"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039" w:type="dxa"/>
          </w:tcPr>
          <w:p>
            <w:pPr>
              <w:kinsoku/>
              <w:bidi w:val="0"/>
              <w:spacing w:line="360" w:lineRule="auto"/>
              <w:rPr>
                <w:rFonts w:asciiTheme="minorEastAsia" w:hAnsiTheme="minorEastAsia" w:eastAsiaTheme="minorEastAsia"/>
                <w:szCs w:val="21"/>
                <w:highlight w:val="none"/>
              </w:rPr>
            </w:pPr>
          </w:p>
        </w:tc>
        <w:tc>
          <w:tcPr>
            <w:tcW w:w="1392" w:type="dxa"/>
          </w:tcPr>
          <w:p>
            <w:pPr>
              <w:kinsoku/>
              <w:bidi w:val="0"/>
              <w:spacing w:line="360" w:lineRule="auto"/>
              <w:rPr>
                <w:rFonts w:asciiTheme="minorEastAsia" w:hAnsiTheme="minorEastAsia" w:eastAsia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pPr>
              <w:kinsoku/>
              <w:bidi w:val="0"/>
              <w:spacing w:line="360" w:lineRule="auto"/>
              <w:rPr>
                <w:rFonts w:asciiTheme="minorEastAsia" w:hAnsiTheme="minorEastAsia" w:eastAsiaTheme="minorEastAsia"/>
                <w:szCs w:val="21"/>
                <w:highlight w:val="none"/>
              </w:rPr>
            </w:pPr>
          </w:p>
        </w:tc>
        <w:tc>
          <w:tcPr>
            <w:tcW w:w="1689"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690" w:type="dxa"/>
          </w:tcPr>
          <w:p>
            <w:pPr>
              <w:kinsoku/>
              <w:bidi w:val="0"/>
              <w:spacing w:line="360" w:lineRule="auto"/>
              <w:rPr>
                <w:rFonts w:asciiTheme="minorEastAsia" w:hAnsiTheme="minorEastAsia" w:eastAsiaTheme="minorEastAsia"/>
                <w:szCs w:val="21"/>
                <w:highlight w:val="none"/>
              </w:rPr>
            </w:pPr>
          </w:p>
        </w:tc>
        <w:tc>
          <w:tcPr>
            <w:tcW w:w="1039" w:type="dxa"/>
          </w:tcPr>
          <w:p>
            <w:pPr>
              <w:kinsoku/>
              <w:bidi w:val="0"/>
              <w:spacing w:line="360" w:lineRule="auto"/>
              <w:rPr>
                <w:rFonts w:asciiTheme="minorEastAsia" w:hAnsiTheme="minorEastAsia" w:eastAsiaTheme="minorEastAsia"/>
                <w:szCs w:val="21"/>
                <w:highlight w:val="none"/>
              </w:rPr>
            </w:pPr>
          </w:p>
        </w:tc>
        <w:tc>
          <w:tcPr>
            <w:tcW w:w="1392" w:type="dxa"/>
          </w:tcPr>
          <w:p>
            <w:pPr>
              <w:kinsoku/>
              <w:bidi w:val="0"/>
              <w:spacing w:line="360" w:lineRule="auto"/>
              <w:rPr>
                <w:rFonts w:asciiTheme="minorEastAsia" w:hAnsiTheme="minorEastAsia" w:eastAsiaTheme="minorEastAsia"/>
                <w:szCs w:val="21"/>
                <w:highlight w:val="none"/>
              </w:rPr>
            </w:pPr>
          </w:p>
        </w:tc>
      </w:tr>
    </w:tbl>
    <w:p>
      <w:pPr>
        <w:kinsoku/>
        <w:bidi w:val="0"/>
        <w:spacing w:line="360" w:lineRule="auto"/>
        <w:ind w:firstLine="422" w:firstLineChars="200"/>
        <w:jc w:val="center"/>
        <w:rPr>
          <w:rFonts w:asciiTheme="minorEastAsia" w:hAnsiTheme="minorEastAsia" w:eastAsiaTheme="minorEastAsia"/>
          <w:b/>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第二条 合同总价款</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本合同项下货物总价款为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（大写）人民币，分项价款在“投标报价表”中有明确规定。   </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本合同总价款是货物设计、制造、包装、仓储、运输装</w:t>
      </w:r>
      <w:r>
        <w:rPr>
          <w:rFonts w:hint="eastAsia" w:asciiTheme="minorEastAsia" w:hAnsiTheme="minorEastAsia" w:eastAsiaTheme="minorEastAsia"/>
          <w:szCs w:val="21"/>
          <w:highlight w:val="none"/>
          <w:lang w:eastAsia="zh-CN"/>
        </w:rPr>
        <w:t>卸</w:t>
      </w:r>
      <w:r>
        <w:rPr>
          <w:rFonts w:hint="eastAsia" w:asciiTheme="minorEastAsia" w:hAnsiTheme="minorEastAsia" w:eastAsiaTheme="minorEastAsia"/>
          <w:szCs w:val="21"/>
          <w:highlight w:val="none"/>
        </w:rPr>
        <w:t>、保险、安装、调试及其材料及验收合格之前保管及保修期内备品备件、专用工具、伴随服务、技术图纸资料、人员培训发生的所有含税费用，以及投标人认为需要的其他费用等。</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本合同总价款还包含乙方应当提供的伴随服务/售后服务费用。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本合同执行期间合同总价款不变。</w:t>
      </w:r>
    </w:p>
    <w:p>
      <w:pPr>
        <w:kinsoku/>
        <w:bidi w:val="0"/>
        <w:spacing w:line="360" w:lineRule="auto"/>
        <w:ind w:firstLine="422" w:firstLineChars="200"/>
        <w:rPr>
          <w:rFonts w:asciiTheme="minorEastAsia" w:hAnsiTheme="minorEastAsia" w:eastAsiaTheme="minorEastAsia"/>
          <w:b/>
          <w:szCs w:val="21"/>
          <w:highlight w:val="none"/>
        </w:rPr>
      </w:pPr>
    </w:p>
    <w:p>
      <w:pPr>
        <w:kinsoku/>
        <w:bidi w:val="0"/>
        <w:spacing w:line="360" w:lineRule="auto"/>
        <w:ind w:firstLine="422" w:firstLineChars="200"/>
        <w:jc w:val="center"/>
        <w:rPr>
          <w:rFonts w:asciiTheme="minorEastAsia" w:hAnsiTheme="minorEastAsia" w:eastAsiaTheme="minorEastAsia"/>
          <w:szCs w:val="21"/>
          <w:highlight w:val="none"/>
        </w:rPr>
      </w:pPr>
      <w:r>
        <w:rPr>
          <w:rFonts w:hint="eastAsia" w:asciiTheme="minorEastAsia" w:hAnsiTheme="minorEastAsia" w:eastAsiaTheme="minorEastAsia"/>
          <w:b/>
          <w:szCs w:val="21"/>
          <w:highlight w:val="none"/>
        </w:rPr>
        <w:t>第三条 组成本合同的有关文件</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下列关于泰州市政府采购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（项目编号）标的招投标文件或与本次采购活动方式相适应的文件及有关附件是本合同不可分割的组成部分，与本合同具有同等法律效力，这些文件包括但不限于：</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（1）乙方提供的响应文件和报价表；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（2）供货一览表；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（3）交货一览表；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（4）采购需求响应表；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（5）乙方承诺；</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（6）服务承诺；</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（7）成交通知书；</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（8）甲乙双方商定的其他文件等。</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第四条 权利保证</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乙方应保证甲方在使用该货物或其任何一部分时不受第三方提出侵犯其专利权、版权、商标权或其他权利的起诉。一旦出现侵权，乙方应承担全部责任。</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第五条 质量保证</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乙方所提供的货物的技术规格应与招标文件规定的技术规格及所附的“技术规格响应表”相一致；若技术性能无特殊说明，则按国家有关部门最新颁布的标准及规范为准。</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 质量保证期为自验收合格后</w:t>
      </w:r>
      <w:r>
        <w:rPr>
          <w:rFonts w:hint="eastAsia" w:asciiTheme="minorEastAsia" w:hAnsiTheme="minorEastAsia" w:eastAsiaTheme="minorEastAsia"/>
          <w:b/>
          <w:szCs w:val="21"/>
          <w:highlight w:val="none"/>
          <w:u w:val="single"/>
        </w:rPr>
        <w:t xml:space="preserve">     </w:t>
      </w:r>
      <w:r>
        <w:rPr>
          <w:rFonts w:hint="eastAsia" w:asciiTheme="minorEastAsia" w:hAnsiTheme="minorEastAsia" w:eastAsiaTheme="minorEastAsia"/>
          <w:b/>
          <w:szCs w:val="21"/>
          <w:highlight w:val="none"/>
          <w:u w:val="none"/>
        </w:rPr>
        <w:t>年</w:t>
      </w:r>
      <w:r>
        <w:rPr>
          <w:rFonts w:hint="eastAsia" w:asciiTheme="minorEastAsia" w:hAnsiTheme="minorEastAsia" w:eastAsiaTheme="minorEastAsia"/>
          <w:szCs w:val="21"/>
          <w:highlight w:val="none"/>
          <w:u w:val="none"/>
        </w:rPr>
        <w:t>。</w:t>
      </w:r>
    </w:p>
    <w:p>
      <w:pPr>
        <w:pStyle w:val="10"/>
        <w:kinsoku/>
        <w:bidi w:val="0"/>
        <w:spacing w:line="360" w:lineRule="auto"/>
        <w:rPr>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第六条 包装要求</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每一包装单元内应附详细的装箱单和质量合格凭证。</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第七条 交货和验收</w:t>
      </w:r>
    </w:p>
    <w:p>
      <w:pPr>
        <w:kinsoku/>
        <w:bidi w:val="0"/>
        <w:spacing w:line="360" w:lineRule="auto"/>
        <w:ind w:firstLine="420" w:firstLineChars="20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乙方应当在合同签订后</w:t>
      </w:r>
      <w:r>
        <w:rPr>
          <w:rFonts w:hint="eastAsia" w:asciiTheme="minorEastAsia" w:hAnsiTheme="minorEastAsia" w:eastAsiaTheme="minorEastAsia"/>
          <w:szCs w:val="21"/>
          <w:highlight w:val="none"/>
          <w:u w:val="single"/>
          <w:lang w:val="en-US" w:eastAsia="zh-CN"/>
        </w:rPr>
        <w:t xml:space="preserve">       </w:t>
      </w:r>
      <w:r>
        <w:rPr>
          <w:rFonts w:hint="eastAsia" w:asciiTheme="minorEastAsia" w:hAnsiTheme="minorEastAsia" w:eastAsiaTheme="minorEastAsia"/>
          <w:szCs w:val="21"/>
          <w:highlight w:val="none"/>
        </w:rPr>
        <w:t>天内将货物安装调试完毕交付甲方正常使用，地点由甲方指定。采购文件有约定的，从其约定。</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乙方交付的货物应当完全符合本合同或者招投标文件所规定的货物、数量和规格要求。乙方提供的货物不符合招投标文件和合同规定的，甲方有权拒收货物，由此引起的风险，由乙方承担。</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货物的到货验收包括：型号、规格、数量、外观质量</w:t>
      </w:r>
      <w:r>
        <w:rPr>
          <w:rFonts w:hint="eastAsia" w:asciiTheme="minorEastAsia" w:hAnsiTheme="minorEastAsia" w:eastAsiaTheme="minorEastAsia"/>
          <w:szCs w:val="21"/>
          <w:highlight w:val="none"/>
          <w:lang w:eastAsia="zh-CN"/>
        </w:rPr>
        <w:t>及</w:t>
      </w:r>
      <w:r>
        <w:rPr>
          <w:rFonts w:hint="eastAsia" w:asciiTheme="minorEastAsia" w:hAnsiTheme="minorEastAsia" w:eastAsiaTheme="minorEastAsia"/>
          <w:szCs w:val="21"/>
          <w:highlight w:val="none"/>
        </w:rPr>
        <w:t>货物包装是否完好。</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5.</w:t>
      </w:r>
      <w:r>
        <w:rPr>
          <w:rFonts w:hint="eastAsia" w:asciiTheme="minorEastAsia" w:hAnsiTheme="minorEastAsia" w:eastAsiaTheme="minorEastAsia"/>
          <w:szCs w:val="21"/>
          <w:highlight w:val="none"/>
        </w:rPr>
        <w:t>货物和系统调试验收的标准：按行业通行标准、厂方出厂标准和乙方投标文件的承诺。</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第八条 伴随服务／售后服务</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乙方应按照国家有关法律法规规章和“三包”规定以及合同所附的“服务承诺”提供服务。</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除前款规定外，乙方还应提供下列服务：</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（1）货物的现场安装、调试和/或启动监督；</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（2）就货物的安装、启动、运行及维护等对甲方人员进行免费培训。</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若招标文件中不包含有关伴随服务或售后服务的承诺，双方作如下约定：</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3.2 所购货物按乙方投标承诺提供免费维护和质量保证，保修费用计入总价。</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3.3 保修期内，乙方负责对其提供的货物整机进行维修和系统维护，不再收取任何费用，但不可抗力（如火灾、雷击等）造成的故障除外。</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3.4 货物故障报修的响应时间按乙方投标承诺执行。</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3.5 若货物故障在检修8工作小时后仍无法排除，乙方应在48小时内免费提供不低于故障货物规格型号档次的备用货物供甲方使用，直至故障货物修复。</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3.6 所有货物保修服务方式均为乙方上门保修，即由乙方派员到货物使用现场维修，由此产生的一切费用均由乙方承担。</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3.7 保修期后的货物维护由双方协商再定。</w:t>
      </w:r>
    </w:p>
    <w:p>
      <w:pPr>
        <w:pStyle w:val="10"/>
        <w:kinsoku/>
        <w:bidi w:val="0"/>
        <w:spacing w:line="360" w:lineRule="auto"/>
        <w:rPr>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第九条 履约保证金</w:t>
      </w:r>
    </w:p>
    <w:p>
      <w:pPr>
        <w:kinsoku/>
        <w:bidi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乙方在签订本合同前</w:t>
      </w:r>
      <w:r>
        <w:rPr>
          <w:rFonts w:hint="eastAsia" w:asciiTheme="minorEastAsia" w:hAnsiTheme="minorEastAsia" w:eastAsiaTheme="minorEastAsia"/>
          <w:szCs w:val="21"/>
          <w:highlight w:val="none"/>
          <w:lang w:val="en-US" w:eastAsia="zh-CN"/>
        </w:rPr>
        <w:t>按照</w:t>
      </w:r>
      <w:r>
        <w:rPr>
          <w:rFonts w:hint="eastAsia" w:asciiTheme="minorEastAsia" w:hAnsiTheme="minorEastAsia" w:eastAsiaTheme="minorEastAsia"/>
          <w:szCs w:val="21"/>
          <w:highlight w:val="none"/>
        </w:rPr>
        <w:t>事先经过招标人认可的履约保证金格式向招标人提交履约保证金；</w:t>
      </w:r>
      <w:r>
        <w:rPr>
          <w:rFonts w:hint="eastAsia" w:asciiTheme="minorEastAsia" w:hAnsiTheme="minorEastAsia" w:eastAsiaTheme="minorEastAsia"/>
          <w:b/>
          <w:szCs w:val="21"/>
          <w:highlight w:val="none"/>
        </w:rPr>
        <w:t>履约保证金金额为</w:t>
      </w:r>
      <w:r>
        <w:rPr>
          <w:rFonts w:hint="eastAsia" w:asciiTheme="minorEastAsia" w:hAnsiTheme="minorEastAsia" w:eastAsiaTheme="minorEastAsia"/>
          <w:b/>
          <w:szCs w:val="21"/>
          <w:highlight w:val="none"/>
          <w:u w:val="single"/>
          <w:lang w:val="en-US" w:eastAsia="zh-CN"/>
        </w:rPr>
        <w:t xml:space="preserve">     </w:t>
      </w:r>
      <w:r>
        <w:rPr>
          <w:rFonts w:hint="eastAsia" w:asciiTheme="minorEastAsia" w:hAnsiTheme="minorEastAsia" w:eastAsiaTheme="minorEastAsia"/>
          <w:b/>
          <w:szCs w:val="21"/>
          <w:highlight w:val="none"/>
          <w:u w:val="none"/>
          <w:lang w:val="en-US" w:eastAsia="zh-CN"/>
        </w:rPr>
        <w:t>元（小写：</w:t>
      </w:r>
      <w:r>
        <w:rPr>
          <w:rFonts w:hint="eastAsia" w:asciiTheme="minorEastAsia" w:hAnsiTheme="minorEastAsia" w:eastAsiaTheme="minorEastAsia"/>
          <w:b/>
          <w:szCs w:val="21"/>
          <w:highlight w:val="none"/>
          <w:u w:val="single"/>
          <w:lang w:val="en-US" w:eastAsia="zh-CN"/>
        </w:rPr>
        <w:t xml:space="preserve">         </w:t>
      </w:r>
      <w:r>
        <w:rPr>
          <w:rFonts w:hint="eastAsia" w:asciiTheme="minorEastAsia" w:hAnsiTheme="minorEastAsia" w:eastAsiaTheme="minorEastAsia"/>
          <w:b/>
          <w:szCs w:val="21"/>
          <w:highlight w:val="none"/>
          <w:u w:val="none"/>
          <w:lang w:val="en-US" w:eastAsia="zh-CN"/>
        </w:rPr>
        <w:t>）</w:t>
      </w:r>
      <w:r>
        <w:rPr>
          <w:rFonts w:hint="eastAsia" w:asciiTheme="minorEastAsia" w:hAnsiTheme="minorEastAsia" w:eastAsiaTheme="minorEastAsia"/>
          <w:b/>
          <w:szCs w:val="21"/>
          <w:highlight w:val="none"/>
        </w:rPr>
        <w:t>。</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履约保证金的有效期为该项目验收合格时止（无息退还）。</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如乙方未能履行合同规定的义务，甲方有权从履约保证金中取得补偿。</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履约保证金扣除甲方应得的补偿后的余额在有效期满后七工作日内无息退还给乙方。</w:t>
      </w:r>
    </w:p>
    <w:p>
      <w:pPr>
        <w:kinsoku/>
        <w:bidi w:val="0"/>
        <w:spacing w:line="360" w:lineRule="auto"/>
        <w:ind w:firstLine="422" w:firstLineChars="200"/>
        <w:rPr>
          <w:rFonts w:hint="eastAsia" w:asciiTheme="minorEastAsia" w:hAnsiTheme="minorEastAsia" w:eastAsiaTheme="minorEastAsia"/>
          <w:b/>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第十条 合同款支付</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本合同项下所有款项均以人民币支付。</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本合同项下的采购资金由甲方自行支付，乙方向甲方开具发票。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付款条件：</w:t>
      </w:r>
      <w:r>
        <w:rPr>
          <w:rFonts w:hint="eastAsia" w:ascii="宋体" w:hAnsi="宋体" w:cs="Times New Roman"/>
          <w:color w:val="auto"/>
          <w:kern w:val="2"/>
          <w:sz w:val="21"/>
          <w:szCs w:val="21"/>
          <w:highlight w:val="none"/>
          <w:lang w:val="en-US" w:eastAsia="zh-CN" w:bidi="ar-SA"/>
        </w:rPr>
        <w:t>合同签订，完成需求确认后甲方向乙方支付合同总金额的30%；项目通过审计验收后，甲方向乙方支付至审定总金额的97%；履约满后，付清尾款。</w:t>
      </w:r>
    </w:p>
    <w:p>
      <w:pPr>
        <w:kinsoku/>
        <w:bidi w:val="0"/>
        <w:spacing w:line="360" w:lineRule="auto"/>
        <w:ind w:firstLine="422" w:firstLineChars="200"/>
        <w:jc w:val="center"/>
        <w:rPr>
          <w:rFonts w:hint="eastAsia" w:asciiTheme="minorEastAsia" w:hAnsiTheme="minorEastAsia" w:eastAsiaTheme="minorEastAsia"/>
          <w:b/>
          <w:szCs w:val="21"/>
          <w:highlight w:val="none"/>
        </w:rPr>
      </w:pPr>
    </w:p>
    <w:p>
      <w:pPr>
        <w:kinsoku/>
        <w:bidi w:val="0"/>
        <w:spacing w:line="360" w:lineRule="auto"/>
        <w:ind w:firstLine="422" w:firstLineChars="200"/>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第十一条 违约责任</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甲方无正当理由拒收货物、拒付货物款的，由甲方向乙方偿付合同总价的5%违约金。</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甲方未按合同规定的期限向乙方支付货款的，每逾期1天甲方向乙方偿付欠款总额的5‰滞纳金，但累计滞纳金总额不超过欠款总额的5% 。</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如乙方不能交付货物、完成安装调试的，甲方有权扣留全部履约保证金；同时乙方应向甲方支付合同总价5%的违约金。</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乙方逾期交付的，每逾期1天，乙方向甲方偿付合同总额的5‰的滞纳金。如乙方逾期交付达10天，甲方有权解除合同，解除合同的通知自到达乙方时生效。</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5.</w:t>
      </w:r>
      <w:r>
        <w:rPr>
          <w:rFonts w:hint="eastAsia" w:asciiTheme="minorEastAsia" w:hAnsiTheme="minorEastAsia" w:eastAsiaTheme="minorEastAsia"/>
          <w:szCs w:val="21"/>
          <w:highlight w:val="none"/>
        </w:rPr>
        <w:t>乙方所交付的货物品种、型号、规格不符合合同规定的，甲方有权拒收。甲方拒收的，乙方应向甲方支付货款总额5%的违约金。甲方未拒收的，经监督部门发现后将向有关部门反映，并责成乙方按照采购结果提供货物和服务，同时视情给予不退还部分或全部履约保证金、暂停一至三年参加甲方组织的政府采购活动的处理。</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6.</w:t>
      </w:r>
      <w:r>
        <w:rPr>
          <w:rFonts w:hint="eastAsia" w:asciiTheme="minorEastAsia" w:hAnsiTheme="minorEastAsia" w:eastAsiaTheme="minorEastAsia"/>
          <w:szCs w:val="21"/>
          <w:highlight w:val="none"/>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7.</w:t>
      </w:r>
      <w:r>
        <w:rPr>
          <w:rFonts w:hint="eastAsia" w:asciiTheme="minorEastAsia" w:hAnsiTheme="minorEastAsia" w:eastAsiaTheme="minorEastAsia"/>
          <w:szCs w:val="21"/>
          <w:highlight w:val="none"/>
        </w:rPr>
        <w:t>乙方未按本合同第九条的规定向甲方交付履约保证金的，应按应交付履约保证金的100%向甲方支付违约金，该违约金的支付不影响乙方应承担的其他违约责任。</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8.</w:t>
      </w:r>
      <w:r>
        <w:rPr>
          <w:rFonts w:hint="eastAsia" w:asciiTheme="minorEastAsia" w:hAnsiTheme="minorEastAsia" w:eastAsiaTheme="minorEastAsia"/>
          <w:szCs w:val="21"/>
          <w:highlight w:val="none"/>
        </w:rPr>
        <w:t>乙方未按本合同的规定和“服务承诺”提供伴随服务/售后服务的，应按合同总价款的5 %向甲方承担违约责任。</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9.</w:t>
      </w:r>
      <w:r>
        <w:rPr>
          <w:rFonts w:hint="eastAsia" w:asciiTheme="minorEastAsia" w:hAnsiTheme="minorEastAsia" w:eastAsiaTheme="minorEastAsia"/>
          <w:szCs w:val="21"/>
          <w:highlight w:val="none"/>
        </w:rPr>
        <w:t>乙方在承担上述4-7款一项或多项违约责任后，仍应继续履行合同规定的义务（甲方解除合同的除外）。甲方未能及时追究乙方的任何一项违约责任并不表明甲方放弃追究乙方该项或其他违约责任。</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10.</w:t>
      </w:r>
      <w:r>
        <w:rPr>
          <w:rFonts w:hint="eastAsia" w:asciiTheme="minorEastAsia" w:hAnsiTheme="minorEastAsia" w:eastAsiaTheme="minorEastAsia"/>
          <w:szCs w:val="21"/>
          <w:highlight w:val="none"/>
        </w:rPr>
        <w:t>乙方投标属虚假承诺，或经权威部门监测提供的货物不能满足招标文件要求，或是由于乙方的过错造成合同无法继续履行的，乙方履约保证金不予退还外，还应向甲方支付不少于合同总价30%赔偿金。</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w:t>
      </w: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其他违约责任约定:</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第十二条 合同的变更和终止</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除《</w:t>
      </w:r>
      <w:r>
        <w:rPr>
          <w:rFonts w:hint="eastAsia" w:asciiTheme="minorEastAsia" w:hAnsiTheme="minorEastAsia" w:eastAsiaTheme="minorEastAsia"/>
          <w:szCs w:val="21"/>
          <w:highlight w:val="none"/>
          <w:lang w:val="en-US" w:eastAsia="zh-CN"/>
        </w:rPr>
        <w:t>中华人民共和国</w:t>
      </w:r>
      <w:r>
        <w:rPr>
          <w:rFonts w:hint="eastAsia" w:asciiTheme="minorEastAsia" w:hAnsiTheme="minorEastAsia" w:eastAsiaTheme="minorEastAsia"/>
          <w:szCs w:val="21"/>
          <w:highlight w:val="none"/>
        </w:rPr>
        <w:t>政府采购法》第50条第二款规定的情形外，本合同一经签订，甲乙双方不得擅自变更、中止或终止合同。</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除发生法律规定的不能预见、不能避免并不能克服的客观情况外，甲乙双方不得放弃或拒绝履行合同。乙方放弃或拒绝履行合同，保证金不予退还，在三年内不得参加甲方组织的政府采购活动。</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第十三条 合同的转让</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乙方不得擅自部分或全部转让其应履行的合同义务。</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第十四条 争议的解决</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因货物的质量问题发生争议的，应当邀请国家认可的质量检测机构对货物质量进行鉴定。货物符合标准的，鉴定费由甲方承担；货物不符合质量标准的，鉴定费由乙方承担。</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因履行本合同引起的或与本合同有关的争议，甲、乙双方应首先通过友好协商解决，如果协商不能解决争议，则采取以下第（1）种方式解决争议：</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（1）向甲方所在地有管辖权的人民法院提起诉讼；</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（2）向泰州仲裁委员会按其仲裁规则申请仲裁。</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如没有约定，默认采取第2种方式解决争议。</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在仲裁期间，本合同应继续履行。</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第十五条 诚实信用</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乙方应诚实信用，严格按照招标文件要求和投标承诺履行合同，不向甲方进行商业贿赂或者提供不正当利益。</w:t>
      </w:r>
    </w:p>
    <w:p>
      <w:pPr>
        <w:kinsoku/>
        <w:bidi w:val="0"/>
        <w:spacing w:line="360" w:lineRule="auto"/>
        <w:ind w:firstLine="420" w:firstLineChars="200"/>
        <w:rPr>
          <w:rFonts w:asciiTheme="minorEastAsia" w:hAnsiTheme="minorEastAsia" w:eastAsiaTheme="minorEastAsia"/>
          <w:szCs w:val="21"/>
          <w:highlight w:val="none"/>
        </w:rPr>
      </w:pPr>
    </w:p>
    <w:p>
      <w:pPr>
        <w:kinsoku/>
        <w:bidi w:val="0"/>
        <w:spacing w:line="360" w:lineRule="auto"/>
        <w:ind w:firstLine="422" w:firstLineChars="200"/>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第十六条 合同生效及其他</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本合同自签订之日起生效。</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本合同一式陆份，甲乙丙叁方各执贰份。</w:t>
      </w:r>
    </w:p>
    <w:p>
      <w:pPr>
        <w:kinsoku/>
        <w:bidi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本合同应按照中华人民共和国的现行法律进行解释。</w:t>
      </w:r>
    </w:p>
    <w:p>
      <w:pPr>
        <w:pStyle w:val="8"/>
        <w:kinsoku/>
        <w:bidi w:val="0"/>
        <w:spacing w:line="360" w:lineRule="auto"/>
        <w:rPr>
          <w:highlight w:val="none"/>
        </w:rPr>
      </w:pPr>
    </w:p>
    <w:p>
      <w:pPr>
        <w:pStyle w:val="8"/>
        <w:kinsoku/>
        <w:bidi w:val="0"/>
        <w:spacing w:line="360" w:lineRule="auto"/>
        <w:rPr>
          <w:highlight w:val="none"/>
        </w:rPr>
      </w:pP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甲方（实施主体）：                              乙方：</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地址：                                         地址：</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法定代表人：                                   法定代表人：</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委托代理人：                                   委托代理人：</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电话：                                         电话：</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开户银行：                                     开户银行：</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 xml:space="preserve">：                                         </w:t>
      </w: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税务登记证号：                                 税务登记证号：</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 xml:space="preserve">时间：年月日                               </w:t>
      </w: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时间：年月日</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丙方（监督主体）：</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地址：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法定代表人：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委托代理人：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电话：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开户银行：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 xml:space="preserve">：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税务登记证号：                                 </w:t>
      </w:r>
    </w:p>
    <w:p>
      <w:pPr>
        <w:kinsoku/>
        <w:bidi w:val="0"/>
        <w:spacing w:line="360" w:lineRule="auto"/>
        <w:ind w:firstLine="420" w:firstLineChars="20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 xml:space="preserve">时间：年月日                               </w:t>
      </w:r>
    </w:p>
    <w:p>
      <w:pPr>
        <w:tabs>
          <w:tab w:val="left" w:pos="2047"/>
        </w:tabs>
        <w:kinsoku/>
        <w:bidi w:val="0"/>
        <w:spacing w:line="360" w:lineRule="auto"/>
        <w:jc w:val="left"/>
        <w:rPr>
          <w:rFonts w:hint="eastAsia"/>
          <w:color w:val="auto"/>
          <w:highlight w:val="none"/>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27" w:name="_Toc1588"/>
    </w:p>
    <w:p>
      <w:pPr>
        <w:numPr>
          <w:ilvl w:val="0"/>
          <w:numId w:val="6"/>
        </w:numPr>
        <w:tabs>
          <w:tab w:val="left" w:pos="2047"/>
        </w:tabs>
        <w:kinsoku/>
        <w:bidi w:val="0"/>
        <w:spacing w:line="360" w:lineRule="auto"/>
        <w:ind w:left="0" w:leftChars="0" w:firstLine="0" w:firstLineChars="0"/>
        <w:jc w:val="center"/>
        <w:rPr>
          <w:rFonts w:hint="eastAsia" w:ascii="Times New Roman" w:hAnsi="Times New Roman"/>
          <w:b/>
          <w:color w:val="auto"/>
          <w:kern w:val="44"/>
          <w:sz w:val="21"/>
          <w:szCs w:val="21"/>
          <w:highlight w:val="none"/>
        </w:rPr>
      </w:pP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项目内容及基本要求</w:t>
      </w:r>
      <w:bookmarkEnd w:id="27"/>
    </w:p>
    <w:p>
      <w:pPr>
        <w:pStyle w:val="21"/>
        <w:numPr>
          <w:ilvl w:val="0"/>
          <w:numId w:val="7"/>
        </w:numPr>
        <w:kinsoku/>
        <w:autoSpaceDE w:val="0"/>
        <w:autoSpaceDN w:val="0"/>
        <w:bidi w:val="0"/>
        <w:spacing w:line="360" w:lineRule="auto"/>
        <w:ind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项目总体概况</w:t>
      </w:r>
    </w:p>
    <w:p>
      <w:pPr>
        <w:pStyle w:val="21"/>
        <w:numPr>
          <w:ilvl w:val="0"/>
          <w:numId w:val="0"/>
        </w:numPr>
        <w:kinsoku/>
        <w:autoSpaceDE w:val="0"/>
        <w:autoSpaceDN w:val="0"/>
        <w:bidi w:val="0"/>
        <w:spacing w:line="360" w:lineRule="auto"/>
        <w:ind w:firstLine="422" w:firstLineChars="200"/>
        <w:outlineLvl w:val="2"/>
        <w:rPr>
          <w:rFonts w:hint="eastAsia" w:ascii="宋体" w:hAnsi="宋体" w:eastAsia="宋体" w:cs="宋体"/>
          <w:bCs/>
          <w:color w:val="auto"/>
          <w:sz w:val="21"/>
          <w:szCs w:val="21"/>
          <w:highlight w:val="none"/>
          <w:u w:val="none"/>
        </w:rPr>
      </w:pP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rPr>
        <w:t>项目验收标准</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鉴于本项目属于设备货物采购安装类项目，为严格控制项目总价成本，高效推进项目实施，本项目应</w:t>
      </w:r>
      <w:r>
        <w:rPr>
          <w:rFonts w:hint="eastAsia" w:ascii="宋体" w:hAnsi="宋体" w:eastAsia="宋体" w:cs="宋体"/>
          <w:b/>
          <w:bCs/>
          <w:color w:val="auto"/>
          <w:sz w:val="21"/>
          <w:szCs w:val="21"/>
          <w:highlight w:val="none"/>
          <w:u w:val="none"/>
        </w:rPr>
        <w:t>按“交钥匙”工程的竣工交付标准。供货方必须按照国家及省市安全及其相关规范要求，编制所有设备货物的安装图纸、安装说明、使用说明、维修方案，以及这些货物设备的现场勘察、采购、安装、调试、检验、验收、使用培训、售后服务，确保所有生产设施及其设备的质量安全、配套完整、运行顺利，确保本项目所有设备能有序、高效、平稳地正常开展生产、加工、展示、观摩、学习等工作</w:t>
      </w:r>
      <w:r>
        <w:rPr>
          <w:rFonts w:hint="eastAsia" w:ascii="宋体" w:hAnsi="宋体" w:eastAsia="宋体" w:cs="宋体"/>
          <w:bCs/>
          <w:color w:val="auto"/>
          <w:sz w:val="21"/>
          <w:szCs w:val="21"/>
          <w:highlight w:val="none"/>
          <w:u w:val="none"/>
        </w:rPr>
        <w:t>。</w:t>
      </w:r>
    </w:p>
    <w:p>
      <w:pPr>
        <w:pStyle w:val="21"/>
        <w:numPr>
          <w:ilvl w:val="0"/>
          <w:numId w:val="0"/>
        </w:numPr>
        <w:kinsoku/>
        <w:autoSpaceDE w:val="0"/>
        <w:autoSpaceDN w:val="0"/>
        <w:bidi w:val="0"/>
        <w:spacing w:line="360" w:lineRule="auto"/>
        <w:ind w:leftChars="0" w:firstLine="422" w:firstLineChars="20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项目工期要求</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合同签订后，</w:t>
      </w:r>
      <w:r>
        <w:rPr>
          <w:rFonts w:hint="eastAsia" w:ascii="宋体" w:hAnsi="宋体" w:cs="宋体"/>
          <w:bCs/>
          <w:color w:val="auto"/>
          <w:sz w:val="21"/>
          <w:szCs w:val="21"/>
          <w:highlight w:val="none"/>
          <w:lang w:val="en-US" w:eastAsia="zh-CN"/>
        </w:rPr>
        <w:t>60天内所有货物</w:t>
      </w:r>
      <w:r>
        <w:rPr>
          <w:rFonts w:hint="eastAsia" w:ascii="宋体" w:hAnsi="宋体" w:eastAsia="宋体" w:cs="宋体"/>
          <w:bCs/>
          <w:color w:val="auto"/>
          <w:sz w:val="21"/>
          <w:szCs w:val="21"/>
          <w:highlight w:val="none"/>
        </w:rPr>
        <w:t>到达项目现场，</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天内完成安装调试验收。</w:t>
      </w:r>
    </w:p>
    <w:p>
      <w:pPr>
        <w:pStyle w:val="21"/>
        <w:numPr>
          <w:ilvl w:val="0"/>
          <w:numId w:val="7"/>
        </w:numPr>
        <w:kinsoku/>
        <w:autoSpaceDE w:val="0"/>
        <w:autoSpaceDN w:val="0"/>
        <w:bidi w:val="0"/>
        <w:spacing w:line="360" w:lineRule="auto"/>
        <w:ind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项目采购内容</w:t>
      </w:r>
    </w:p>
    <w:p>
      <w:pPr>
        <w:pStyle w:val="21"/>
        <w:numPr>
          <w:ilvl w:val="0"/>
          <w:numId w:val="0"/>
        </w:numPr>
        <w:kinsoku/>
        <w:autoSpaceDE w:val="0"/>
        <w:autoSpaceDN w:val="0"/>
        <w:bidi w:val="0"/>
        <w:spacing w:line="360" w:lineRule="auto"/>
        <w:ind w:leftChars="0" w:firstLine="420" w:firstLineChars="200"/>
        <w:outlineLvl w:val="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本项目拟对所涉地块基础设施进行无人化农场建设和提升、购置智能化作业所需农机及配套设备并进行无人化改造、购置安装精准种植所需配套设备、构建数字化生产管理平台等</w:t>
      </w:r>
      <w:r>
        <w:rPr>
          <w:rFonts w:hint="eastAsia" w:ascii="宋体" w:hAnsi="宋体" w:cs="宋体"/>
          <w:color w:val="auto"/>
          <w:sz w:val="21"/>
          <w:szCs w:val="21"/>
          <w:highlight w:val="none"/>
          <w:lang w:val="en-US" w:eastAsia="zh-CN"/>
        </w:rPr>
        <w:t>。</w:t>
      </w:r>
    </w:p>
    <w:p>
      <w:pPr>
        <w:pStyle w:val="21"/>
        <w:numPr>
          <w:ilvl w:val="0"/>
          <w:numId w:val="0"/>
        </w:numPr>
        <w:kinsoku/>
        <w:autoSpaceDE w:val="0"/>
        <w:autoSpaceDN w:val="0"/>
        <w:bidi w:val="0"/>
        <w:spacing w:line="360" w:lineRule="auto"/>
        <w:ind w:leftChars="0" w:firstLine="422" w:firstLineChars="200"/>
        <w:outlineLvl w:val="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（一）水稻无人农场示范基地基础设施土建</w:t>
      </w:r>
      <w:r>
        <w:rPr>
          <w:rFonts w:hint="eastAsia" w:ascii="宋体" w:hAnsi="宋体" w:cs="宋体"/>
          <w:b/>
          <w:bCs/>
          <w:color w:val="auto"/>
          <w:sz w:val="21"/>
          <w:szCs w:val="21"/>
          <w:highlight w:val="none"/>
          <w:lang w:val="en-US" w:eastAsia="zh-CN"/>
        </w:rPr>
        <w:t>，具体详见控制价清单。</w:t>
      </w:r>
    </w:p>
    <w:p>
      <w:pPr>
        <w:pStyle w:val="21"/>
        <w:numPr>
          <w:ilvl w:val="0"/>
          <w:numId w:val="0"/>
        </w:numPr>
        <w:kinsoku/>
        <w:autoSpaceDE w:val="0"/>
        <w:autoSpaceDN w:val="0"/>
        <w:bidi w:val="0"/>
        <w:spacing w:line="360" w:lineRule="auto"/>
        <w:ind w:leftChars="0" w:firstLine="422" w:firstLineChars="200"/>
        <w:outlineLvl w:val="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（二）采购清单</w:t>
      </w:r>
    </w:p>
    <w:tbl>
      <w:tblPr>
        <w:tblStyle w:val="1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933"/>
        <w:gridCol w:w="5972"/>
        <w:gridCol w:w="441"/>
        <w:gridCol w:w="4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项目建设内容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设备参数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基础设施提升</w:t>
            </w: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泵房数字化升级改造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构建205亩核心区智慧灌溉。建设基于灌溉水泵、渠道智能灌溉、进水阀门和排水阀门的智能化控制，结合农情监测系统和作物灌溉模型，开展精确大田智慧灌溉系统，实现大田智能灌溉，达到节约灌溉用水和科学、高效管理灌区的目的。</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水泵信息化改造：在现有泵房安装具有变频控制、故障诊断、能耗监测等功能的智能控制器，可根据实际灌溉需求调整工作状态，实现高效节能。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具备边缘计算功能的控制器内置PID算法，既可接收物云数据指令，可脱离云端自成系统独立运行，最大限度地减少了物联网系统因云端通信因素而造成控制中断风险和大大减少了物联网系统部署周期和连接成本。（注：▲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多重报警：数据异常、设备故障时，通过监控平台、手机等多种形式报警。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远程监控：</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在现有泵房安装不小于400万像素的高清红外球机，前端存储实现对泵房设备运行状态的实时监测与视频回放；</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传感器设备：</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在田间分别布设7套水位监测传感器，对田间土壤湿度、水位进行实时、长时间连续监测。支持根据田间水位自动开启/关闭电动闸门。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智能化灌溉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闸门</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1.闸门材质 :主体部分采用高强度铝合金硬质阳极氧化处理，传动部件采用304不锈钢材质;</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2.闸板大小不低于:500*500mm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3.闸板厚度不低于:8mm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4.驱动方式:螺杆式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5.止水:三元乙丙橡胶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6.密闭性:密封件每延米小于0.25L/分钟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7.闸门开度:绝对编码器（选配）</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8.启闭速度 :30-40cm/分钟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9.手动启闭 :支持手动启闭， </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10.手动启闭速度:（2.4-4.2）mm/转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11.驱动电机:DC12V直流马达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12.供电方式:太阳能供电，兼容市电</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13.太阳能板:单晶硅 A级</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14.电池:太阳能专用储能电池</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15.数据传输:GPRS, TD-SCDMA, WCDMA, CDMA2000,4GLTE</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16.图片采集:JPG</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17.通讯协议:RS232, RS485,Modbus,4~20mA模拟量,0~5V模拟量,TCP/IP,GPRS,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18.人机界面:3吋LCD显示屏（选配）</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19.控制方式:本地物理按键控制,蓝牙控制,远程控制.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20.控制模式:开度控制,流量控制,流速控制.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21.保护方式:过流保护,上下限位保护,顶端极限限位保护，急停保护.</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22.急停操作:支持</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23.设备定位:GNSS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24.校准方式:一键自动校准</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25.运行温度:-40℃~+85℃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26.运行时度:0-95% 不结露</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27.平均无故障工作时长:≥30000h</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kinsoku/>
              <w:bidi w:val="0"/>
              <w:spacing w:line="360" w:lineRule="auto"/>
              <w:jc w:val="left"/>
              <w:textAlignment w:val="center"/>
              <w:rPr>
                <w:rFonts w:hint="default" w:ascii="宋体" w:hAnsi="宋体" w:eastAsia="宋体" w:cs="宋体"/>
                <w:b/>
                <w:bCs/>
                <w:i w:val="0"/>
                <w:iCs w:val="0"/>
                <w:color w:val="000000"/>
                <w:sz w:val="21"/>
                <w:szCs w:val="21"/>
                <w:highlight w:val="none"/>
                <w:u w:val="none"/>
                <w:lang w:val="en-US"/>
              </w:rPr>
            </w:pPr>
            <w:r>
              <w:rPr>
                <w:rFonts w:hint="eastAsia" w:ascii="宋体" w:hAnsi="宋体" w:eastAsia="宋体" w:cs="宋体"/>
                <w:b/>
                <w:bCs/>
                <w:i w:val="0"/>
                <w:iCs w:val="0"/>
                <w:color w:val="000000"/>
                <w:kern w:val="0"/>
                <w:sz w:val="21"/>
                <w:szCs w:val="21"/>
                <w:highlight w:val="none"/>
                <w:u w:val="none"/>
                <w:lang w:val="en-US" w:eastAsia="zh-CN" w:bidi="ar"/>
              </w:rPr>
              <w:t>智能化作业</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pPr>
              <w:kinsoku/>
              <w:bidi w:val="0"/>
              <w:spacing w:line="360" w:lineRule="auto"/>
              <w:rPr>
                <w:rFonts w:hint="eastAsia" w:ascii="宋体" w:hAnsi="宋体" w:eastAsia="宋体" w:cs="宋体"/>
                <w:b/>
                <w:bCs/>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pPr>
              <w:kinsoku/>
              <w:bidi w:val="0"/>
              <w:spacing w:line="360" w:lineRule="auto"/>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拖拉机（180马力）及配套设备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1.拖拉机（180马力）</w:t>
            </w:r>
          </w:p>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采购数量：1台。</w:t>
            </w:r>
          </w:p>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设备参数：外形尺寸不低于：长5380×宽2880×高2980mm；轴距尺寸不低于：2850mm；缸数：6缸；每缸气门数：4个；排量：6.6L；进气系统/喷射系统：涡轮增压、中冷/高压共轨；风扇类型：可变转速；额定马力@2100r/min：180马力；最大马力@1950r/min：180马力；最大EPM马力：210马力；最大扭矩@不带EPM：750N·m；最大扭矩@带EPM：860N·m；最大油箱容量：305L；尿素箱容量：30L；传动系类型：区域动力换挡；传动系档位数：24×24前进×后退；最大行驶速度：40km/h；最大车速超经济发动机转速：1500r/min；三点悬挂类型：三类；最大提升力（球头处）：8100kg；液压系统型式及最大流量：闭心式负载传感系统，110L/min；液压输出阀数目：3组；后动力输出轴转速：540/1000r/min；花键数目6/21键；平均最小使用质量（不计配重，不计附件）：7500kg；标准配重（前/后）：720/500kg；轮胎型号：650单（前轮：540/65R30，后单轮：650/65R42）；480双（前轮：420/85 R28，后双轮：480/80 R42）。</w:t>
            </w:r>
          </w:p>
          <w:p>
            <w:pPr>
              <w:keepNext w:val="0"/>
              <w:keepLines w:val="0"/>
              <w:widowControl/>
              <w:suppressLineNumbers w:val="0"/>
              <w:kinsoku/>
              <w:bidi w:val="0"/>
              <w:spacing w:line="360" w:lineRule="auto"/>
              <w:jc w:val="both"/>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2.液压翻转犁（隆丰J-1LYFT-J440D）</w:t>
            </w:r>
          </w:p>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采购数量：1台。</w:t>
            </w:r>
          </w:p>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设备参数：工作状态外形尺寸不低于：长4300×宽2200×高1720mm；结构型式：半悬挂式；配套拖拉机标定功率：88.2~117.6kw；翻转机构型式：液压式、全翻转式；犁体类型；基本（通用）型；犁体数量：4×2个；犁体幅宽：400mm；犁铧类型：梯形、可换铧尖型；犁壁类型：栅条式；总工作幅度：1600mm；犁体纵向距离：930mm；犁轮类型：限深、运输一体轮；犁轮数量：1个；限深轮调节范围：0~145mm；油缸型号：φ70；油缸数量：1个。</w:t>
            </w:r>
          </w:p>
          <w:p>
            <w:pPr>
              <w:keepNext w:val="0"/>
              <w:keepLines w:val="0"/>
              <w:widowControl/>
              <w:suppressLineNumbers w:val="0"/>
              <w:kinsoku/>
              <w:bidi w:val="0"/>
              <w:spacing w:line="360" w:lineRule="auto"/>
              <w:jc w:val="both"/>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3.播种机（尤二2BFX-24）</w:t>
            </w:r>
          </w:p>
          <w:p>
            <w:pPr>
              <w:keepNext w:val="0"/>
              <w:keepLines w:val="0"/>
              <w:widowControl/>
              <w:suppressLineNumbers w:val="0"/>
              <w:kinsoku/>
              <w:bidi w:val="0"/>
              <w:spacing w:line="360" w:lineRule="auto"/>
              <w:jc w:val="both"/>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采购数量：1台。</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设备参数：360型，正反旋开沟施肥播种一体机，结构形式为机械悬挂式，配套动力范围160-180马力，工作幅宽360cm，行距15cm，工作行数24行，24个排种排肥开沟器，排量调节为调节手柄方式，播种传动为链传动，充气橡胶轮胎，镇压器形式为镇压辊，刀轴方式为双刀轴正反转，配套拖车1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拖拉机（140马力）及配套设备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1.拖拉机（140马力）</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采购数量：1台。</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设备参数：外形尺寸</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：长4750×宽2250×高2800mm；最小使用质量</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：4550kg；驱动型式：四驱；轴距</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：2500mm；轮距（前轮/后轮）：1290~2004/1340~2044mm；最小离地间隙</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480mm；配重（前/后）550/0kg；发动机型式：直列/四冲程/直喷，国四/高压共轨；吸气方式：涡轮增压，中冷；气缸数：4缸；排量：4.4L；标定功率：140马力；标定转速：2200r/min；空气滤清器型式：千式；燃油箱容积：190L；转向系型式：前轮液压转向；制动系型式：湿式盘式、液压操纵；传动系离合器型式：湿式、电控离合；变速箱型式：12+12；换挡方式：同步器换档；换向方式：动力换向；最大速度：40km/h；驾驶室：标准驾驶室；转向柱：固定式转向柱；悬挂装置类别：Ⅲ类；调节方式：位调节、力位综合调节、电子控制；提升力（610mm）：3000kg；液压输出装置：后置式、两组；液压流量：57L/min；动力输出轴控制：电液控制；动力输出轴型式：独立法兰式；动力输出轴花键数目：6/8/21键；动力输出轴转速：540/1000，540/750r/min。</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2.驱动耙</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采购数量：1台。</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设备参数：外形尺寸</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：长3060×宽1330×高1650mm；重量</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：1800kg；挂接方式：悬挂式；工作幅宽：3m；耕深：30~180mm；配套动力：102.9~132.3kw。</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3.打浆机</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采购数量：1台。</w:t>
            </w:r>
          </w:p>
          <w:p>
            <w:pPr>
              <w:keepNext w:val="0"/>
              <w:keepLines w:val="0"/>
              <w:widowControl/>
              <w:suppressLineNumbers w:val="0"/>
              <w:kinsoku/>
              <w:bidi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设备参数：750型，净耕幅7.5m，外径7.8m，作业深度8~12cm，配套动力140~180马力，配套动力输出转速540r，刀轴转速282r/min。</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乘坐式高速插秧机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5"/>
                <w:rFonts w:hint="eastAsia" w:ascii="宋体" w:hAnsi="宋体" w:eastAsia="宋体" w:cs="宋体"/>
                <w:sz w:val="21"/>
                <w:szCs w:val="21"/>
                <w:highlight w:val="none"/>
                <w:lang w:val="en-US" w:eastAsia="zh-CN" w:bidi="ar"/>
              </w:rPr>
            </w:pPr>
            <w:r>
              <w:rPr>
                <w:rStyle w:val="35"/>
                <w:rFonts w:hint="eastAsia" w:ascii="宋体" w:hAnsi="宋体" w:eastAsia="宋体" w:cs="宋体"/>
                <w:sz w:val="21"/>
                <w:szCs w:val="21"/>
                <w:highlight w:val="none"/>
                <w:lang w:val="en-US" w:eastAsia="zh-CN" w:bidi="ar"/>
              </w:rPr>
              <w:t>插秧机参数：</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整机外形尺寸</w:t>
            </w:r>
            <w:r>
              <w:rPr>
                <w:rStyle w:val="34"/>
                <w:rFonts w:hint="eastAsia" w:ascii="宋体" w:hAnsi="宋体" w:eastAsia="宋体" w:cs="宋体"/>
                <w:sz w:val="21"/>
                <w:szCs w:val="21"/>
                <w:highlight w:val="none"/>
                <w:lang w:val="en-US" w:eastAsia="zh-CN" w:bidi="ar"/>
              </w:rPr>
              <w:t>不低于</w:t>
            </w:r>
            <w:r>
              <w:rPr>
                <w:rStyle w:val="36"/>
                <w:rFonts w:hint="eastAsia" w:ascii="宋体" w:hAnsi="宋体" w:eastAsia="宋体" w:cs="宋体"/>
                <w:sz w:val="21"/>
                <w:szCs w:val="21"/>
                <w:highlight w:val="none"/>
                <w:lang w:val="en-US" w:eastAsia="zh-CN" w:bidi="ar"/>
              </w:rPr>
              <w:t>：长3410×宽2380×高2605mm；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运输状态外形尺寸</w:t>
            </w:r>
            <w:r>
              <w:rPr>
                <w:rStyle w:val="34"/>
                <w:rFonts w:hint="eastAsia" w:ascii="宋体" w:hAnsi="宋体" w:eastAsia="宋体" w:cs="宋体"/>
                <w:sz w:val="21"/>
                <w:szCs w:val="21"/>
                <w:highlight w:val="none"/>
                <w:lang w:val="en-US" w:eastAsia="zh-CN" w:bidi="ar"/>
              </w:rPr>
              <w:t>不低于</w:t>
            </w:r>
            <w:r>
              <w:rPr>
                <w:rStyle w:val="36"/>
                <w:rFonts w:hint="eastAsia" w:ascii="宋体" w:hAnsi="宋体" w:eastAsia="宋体" w:cs="宋体"/>
                <w:sz w:val="21"/>
                <w:szCs w:val="21"/>
                <w:highlight w:val="none"/>
                <w:lang w:val="en-US" w:eastAsia="zh-CN" w:bidi="ar"/>
              </w:rPr>
              <w:t>：长3410×宽2380×高2605mm；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工作状态外形尺寸</w:t>
            </w:r>
            <w:r>
              <w:rPr>
                <w:rStyle w:val="34"/>
                <w:rFonts w:hint="eastAsia" w:ascii="宋体" w:hAnsi="宋体" w:eastAsia="宋体" w:cs="宋体"/>
                <w:sz w:val="21"/>
                <w:szCs w:val="21"/>
                <w:highlight w:val="none"/>
                <w:lang w:val="en-US" w:eastAsia="zh-CN" w:bidi="ar"/>
              </w:rPr>
              <w:t>不低于</w:t>
            </w:r>
            <w:r>
              <w:rPr>
                <w:rStyle w:val="36"/>
                <w:rFonts w:hint="eastAsia" w:ascii="宋体" w:hAnsi="宋体" w:eastAsia="宋体" w:cs="宋体"/>
                <w:sz w:val="21"/>
                <w:szCs w:val="21"/>
                <w:highlight w:val="none"/>
                <w:lang w:val="en-US" w:eastAsia="zh-CN" w:bidi="ar"/>
              </w:rPr>
              <w:t>：长3340×宽2380×高2605mm；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结构质量</w:t>
            </w:r>
            <w:r>
              <w:rPr>
                <w:rStyle w:val="34"/>
                <w:rFonts w:hint="eastAsia" w:ascii="宋体" w:hAnsi="宋体" w:eastAsia="宋体" w:cs="宋体"/>
                <w:sz w:val="21"/>
                <w:szCs w:val="21"/>
                <w:highlight w:val="none"/>
                <w:lang w:val="en-US" w:eastAsia="zh-CN" w:bidi="ar"/>
              </w:rPr>
              <w:t>不低于</w:t>
            </w:r>
            <w:r>
              <w:rPr>
                <w:rStyle w:val="36"/>
                <w:rFonts w:hint="eastAsia" w:ascii="宋体" w:hAnsi="宋体" w:eastAsia="宋体" w:cs="宋体"/>
                <w:sz w:val="21"/>
                <w:szCs w:val="21"/>
                <w:highlight w:val="none"/>
                <w:lang w:val="en-US" w:eastAsia="zh-CN" w:bidi="ar"/>
              </w:rPr>
              <w:t>：905kg；</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发动机总排气量：1.123L；</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标定功率：17.8kw；</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燃油箱容量：34L；</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转向方式：整体液压转向；</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变速方式：液压式变速（HST）；</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主变速级数：前进后退无级变速；</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副变速级数：2档；</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防陷变速级数：2档；</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作业速度：0~1.7m/s；</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最小离地间隙</w:t>
            </w:r>
            <w:r>
              <w:rPr>
                <w:rStyle w:val="34"/>
                <w:rFonts w:hint="eastAsia" w:ascii="宋体" w:hAnsi="宋体" w:eastAsia="宋体" w:cs="宋体"/>
                <w:sz w:val="21"/>
                <w:szCs w:val="21"/>
                <w:highlight w:val="none"/>
                <w:lang w:val="en-US" w:eastAsia="zh-CN" w:bidi="ar"/>
              </w:rPr>
              <w:t>不低于</w:t>
            </w:r>
            <w:r>
              <w:rPr>
                <w:rStyle w:val="36"/>
                <w:rFonts w:hint="eastAsia" w:ascii="宋体" w:hAnsi="宋体" w:eastAsia="宋体" w:cs="宋体"/>
                <w:sz w:val="21"/>
                <w:szCs w:val="21"/>
                <w:highlight w:val="none"/>
                <w:lang w:val="en-US" w:eastAsia="zh-CN" w:bidi="ar"/>
              </w:rPr>
              <w:t>：500mm；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工作行数：8；</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行距：250mm；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穴距：100/120/140/160/180/210/240；</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1穴苗数调节量/横向移动次数：11.2/20，13.9/16，15.9/14，17.2/13；</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1穴苗数调节量/纵向取秧深度：8~18mm；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平衡机 构型式：机械式；</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秧苗苗高：80~250mm；</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叶龄：2~4.5叶；</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报警装置：充电/油压/后退时/水温/秧苗用尽；</w:t>
            </w:r>
          </w:p>
          <w:p>
            <w:pPr>
              <w:keepNext w:val="0"/>
              <w:keepLines w:val="0"/>
              <w:widowControl/>
              <w:suppressLineNumbers w:val="0"/>
              <w:kinsoku/>
              <w:bidi w:val="0"/>
              <w:spacing w:line="360" w:lineRule="auto"/>
              <w:jc w:val="left"/>
              <w:textAlignment w:val="center"/>
              <w:rPr>
                <w:rStyle w:val="36"/>
                <w:rFonts w:hint="eastAsia" w:ascii="宋体" w:hAnsi="宋体" w:eastAsia="宋体" w:cs="宋体"/>
                <w:sz w:val="21"/>
                <w:szCs w:val="21"/>
                <w:highlight w:val="none"/>
                <w:lang w:val="en-US" w:eastAsia="zh-CN" w:bidi="ar"/>
              </w:rPr>
            </w:pPr>
            <w:r>
              <w:rPr>
                <w:rStyle w:val="36"/>
                <w:rFonts w:hint="eastAsia" w:ascii="宋体" w:hAnsi="宋体" w:eastAsia="宋体" w:cs="宋体"/>
                <w:sz w:val="21"/>
                <w:szCs w:val="21"/>
                <w:highlight w:val="none"/>
                <w:lang w:val="en-US" w:eastAsia="zh-CN" w:bidi="ar"/>
              </w:rPr>
              <w:t>秧盘架：8个；</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6"/>
                <w:rFonts w:hint="eastAsia" w:ascii="宋体" w:hAnsi="宋体" w:eastAsia="宋体" w:cs="宋体"/>
                <w:sz w:val="21"/>
                <w:szCs w:val="21"/>
                <w:highlight w:val="none"/>
                <w:lang w:val="en-US" w:eastAsia="zh-CN" w:bidi="ar"/>
              </w:rPr>
              <w:t>作业小时生产率：0.2~0.46hm2/h。</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全喂入式联合收割机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收获机参数</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外形尺寸不低于：长5800×宽2635×高2920mm；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结构质量/使用质量不低于：4115/4385kg；</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标定功率不低于：87kw；</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履带接地压力/结构质量：21.2kpa；</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履带接地压力/使用质量：22.6kpa；</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最小离地间隙不低于：340mm；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割台工作幅宽不低于：2400mm；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喂入量不低于：6.5kg/s；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脱粒滚筒型式：钉齿轴流式；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脱粒滚筒尺寸（外径×长度）：φ620×2210mm；</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粮仓容量不低于：1500L。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植保无人机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植保无人机</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1.整机重量</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:46kg（不含电池） / : 62kg（含电池）;</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2.最大起飞重量: 最大喷洒起飞重量:112 kg（标配2喷头+ 50 L作业箱，海平面附近）;</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3.最大喷洒起飞重量</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:123.5kg（选配果树套件，加装2喷头，海平面附近）;</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4.最大播撒起飞重量</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:125 kg（海平面附近）;</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5.最大轴距</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 2270mm;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6.双重雾化喷洒系统  作业箱材质： 塑料（HDPE）； </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7.作业载荷</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 50 kg ；</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8.作业箱容积</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:50 L作业载荷 播撒；</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9.播撒系统 适用物料：0.5-10mm干燥固体颗粒 ； </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10.播撒作业箱容积</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 80 L；</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11.播撒作业箱内部最大载重</w:t>
            </w:r>
            <w:r>
              <w:rPr>
                <w:rStyle w:val="34"/>
                <w:rFonts w:hint="eastAsia" w:ascii="宋体" w:hAnsi="宋体" w:eastAsia="宋体" w:cs="宋体"/>
                <w:sz w:val="21"/>
                <w:szCs w:val="21"/>
                <w:highlight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:60 kg；</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12.有效播幅: 3-8 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13.每套配置1个施肥桶、1个药桶、3块电池、1个发电机</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14.作业数据能够实现平台对接。</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15.含RTK高精度定位模块及网络RTK服务两年、大疆智图农业版1年、保费1年，遥控器电池每套2块；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拖拉机无人化改造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拖拉机无人驾驶功能：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(1)采用电动方向盘控制方案，行走控制精度±2.5cm；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(2)实现拖拉机远程点火熄火、车辆前进、倒退、停车控制，支持作业速度预设，可根据实际情况预设车辆的作业速度及调头转弯速度；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(3)实现车辆PTO动力输出控制、三点悬挂控制车辆农具自动抬升、下降控制；</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(4)实现拖拉机作业过程中安全行驶，识障停车；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(5)地块地形识别，按规划路径自动作业，支持多种作业路线，且可实现作业包边；</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(6)支持云端一键控制车辆，支持云端一键下发智能路径，同时也支持控制APP主动请求作业任务；</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(7)同时支持无人、手动两种模式作业，无需遥控器；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(8)可扩展功能:通过5G/4G网络模块，回传实时作业画面。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插秧机无人化改造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插秧机无人驾驶功能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(1)采用电动方向盘控制方案，行走控制精度±2.5cm；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(2)实现插秧机远程点火熄火、车辆前进、倒退、停车控制，支持作业速度预设，可根据实际情况预设车辆的作业速度及调头转弯速度；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(3)实现插秧机插值部提升、下降控制；</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(4)实现作业过程中安全行驶，异常停车；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(5)地块地形识别，按规划路径自动作业，支持作业包边；</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(6)支持云端一键控制车辆，支持云端一键下发智能路径，同时也支持控制APP主动请求作业任务；</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(7)同时支持无人、手动两种模式作业，无需遥控器；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(8)可扩展功能:通过5G/4G网络模块，回传实时作业画面。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收获机无人化改造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收获机无人作业功能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(1)采用电磁阀控制方案，行走控制精度±2.5cm；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(2)实现收割机远程点火熄火、车辆前进、倒退、停车控制，支持作业速度预设，作业过程中安全行驶，识障停车；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(3)实现收割机割台定高控制、割台离合控制、脱谷离合控制等；</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(4)实现收割机按照指定卸粮点，根据粮仓情况自行一键卸粮；</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(5)支撑根据地块形状，自主规划路线，支持回型和双边两种路线，智能选择；</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(6)支持云端一键控制车辆，支持云端一键下发智能路径，同时也支持控制APP主动请求作业任务；</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(7)同时支持无人、手动两种模式作业，无需遥控器；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(8)具备无人农机电控方向盘和无人驾驶底盘控制；</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(9)▲具备无人农机信息化监控作业系统软著（提供软著证书电子档并加盖投标人公章）；</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(10)可扩展功能:通过5G/4G网络模块，回传实时作业画面。</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注：标▲项，投标人须对相应证明文件加盖公章。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农机装备作业监控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基于农田资源地图显示农机装备在地图上的分布状态，可根据不同的机型进行筛选查看，点击可查看该设备的基础信息，主要包括设备编号、设备型号、位置信息、最新数据时间等。除基本信息外，可以在该设备信息中查看车辆的实监控、作业历史数据、作业日历、作业轨迹及农机故障等。</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实时监控：系统可以通过全球定位系统（GPS）或其他监测技术，实时跟踪和监控农机装备的位置和状态。用户可以在地图界面上查看车辆的实时位置，并获取车辆的相关信息，如速度、行驶方向、作业状态等。这样可以实时掌握农机装备的运行情况，及时调度和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作业历史数据：系统会记录和存储农机装备的作业历史数据。这包括作业开始和结束的时间、作业面积、作业速度、耗油量等关键指标。用户可以查询和分析历史数据，了解农机的作业效率、耗能情况等，帮助他们评估农机的使用效果和进行决策优化。</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作业日历：系统提供作业日历功能，用户可以查看和规划农机装备的作业计划。他们可以在系统中指定每辆农机的作业时间和地点，更好地安排农机的使用和作业任务。作业日历还可以与其他模块集成，例如气象数据和种植计划等，帮助用户根据天气条件和种植需求优化作业计划。</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作业轨迹：当农机装备进行作业时，系统可以记录和展示其作业轨迹。用户可以在地图上查看农机的运动轨迹和覆盖的作业面积。这有助于评估和优化作业的覆盖范围、重叠情况，以提高作业效率和资源利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农机故障监测：系统可以监测和记录农机的故障情况。通过传感器和故障检测装置，系统可以自动识别并报告农机的故障，如机械故障、传动系统问题等。用户可以实时接收故障报警，及时采取维修措施，减少停机时间和生产损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三、</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精准种植</w:t>
            </w: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智能化多参数全天时农田监测站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1.作物生长监测模块</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（1）主机采集作物长势数据，包括：归一化植被指数NDVI、比值植被指数RVI、叶面积指数LAI、叶层氮含量LNC等作物生长指标；同时能够监测作物生育期；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（2）通讯：可以通过GPRS上传，所测量数据可通过一键发送或设置数据发送间隔，实时发送到至服务器上，网页和手机APP查看数据，无论在任何地方，只要能上网，均可查看并下载数据；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（3）采集频率：每小时发送一次数据；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（4）供电方式：设备兼容太阳能和市电供电两种；</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（5）位置信息：内置GPS模块，可将设备信息上传到本系统地图中；</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（6）平台为设备数据提供曲线与表格等报表形式，且数据可导出与导入；</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（7）光谱作物生长传感器视场角：27°；</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（8）光谱作物生长传感器余弦接收，透过率75%；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（9）测量范围：NDVI范围-1～+1，RVI范围0～+∞；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（10）光源：LED；</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（11）中心波长：730nm、810nm；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（12）传感器防水等级：IP65；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（13）坐标精度：3位小数，±0.05分（≤50M）；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（14）配置：电缆、支撑杆；</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（15）数据查看：APP或WEB端远程数据查看。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2.土壤墒情信息采集模块</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（1）全密封结构，防水IP68，pvc外壳，可长期放置田间、土地中进行不间断测量；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（2）不同深度土壤参数同时监测，监测深度最深达2米，深度可以定制；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（3）测量间距10cm，长度根据检测段位需求确定；</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（4）通讯方式灵活，可选GPRS无线通讯方式或RS485通讯方式。开放数据接口，便于根据需要获取数据；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（5）低功耗设计，两种外部供电方案：太阳能供电、AC220V供电及内置长效锂电池持续供电；</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（6）震动防盗：内置震动传感器，当设备发声震动、移除等外力操作时，设备立即自动向APP端推送报警信息；</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（7）后台可直接看到设备的GPS位置信息，设备网络状况等信息，并可将获取的信息直接发送到平台上；</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（8）运行环境：-20℃ ～ 85℃；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（9）数据采集间隔：5min ～ 12h；</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（12）数据采集设置：远程APP或网页设置；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（13）GPRS无线通讯：中国移动/中国联通/中国电信。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（14）传感器监测指标及要求：</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a）土壤温度：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①量程：-40~80℃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②分辨率：0.1℃</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③精度：±0.5℃（25℃）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b）土壤湿度：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①量程：0~100%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②分辨率：0.1%</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③精度：0-50%内±2%，@（棕壤，30%,25℃）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50-100%内±3%，@（棕壤，60%,25℃）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c）土壤PH值：</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①量程：3~9PH</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②分辨率：0.1</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d）土壤电导率：</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①量程：0-20000us/cm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②分辨率：1us/cm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③温度补偿范围：0~50℃（内置温度补偿传感器）</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④典型精度：0-10000us/cm范围内为±3%FS；10000-20000us/cm范围内为±5%FS;（棕壤，60%,25℃）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e）水层厚度：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①量程：0~1m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②精度：0.25%FS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③稳定性能：±0.05%FS/年</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④介质温度：-20℃~80℃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⑤膜片：不锈钢316L</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3.大田物联网气象数据采集模块</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（1）采集数据要求：可采集空气温度，空气相对湿度，光照强度（可转辐射），气压，风向，风速，降水量，PAR，二氧化碳浓度等；</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（2）防盗要求：设备发声震动、移除等外力操作时，可立即自动推送报警信息，可在PC云端地图中查看设备站点等数据，被盗可追踪；</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（3）故障报警要求：具有电池电量、太阳能电压、移位报警、震动报警等功能；</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（4）远程控制：可通过网页及APP控制采集间隔时间、传感器校准、报警手机卡及流量控制等；</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（5）数据查看：具有移动端手机APP（适用安卓或苹果系统）、云数据平台；手机上随时查看数据、曲线图和云平台上的其他设备的数据进行相互关联分析；历史数据不丢失；</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（6）传输方式：CDMA\GSM等方式；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远程控制：远程设置小气象站设备采集时间间隔，远程设置小气象站设备联网模式，远程设置小气象站设备的地理信息，实时查看小气象站设备的电量信息，实时查看太阳能板电压信息，对现场设备进行重启与恢复，保存传感器设备的故障信息，在线校准；</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（8）供电：市电或太阳能供电；其中太阳能供电，≥24AH，连续阴雨天能持续供电≥20日；</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（9）传感器监测指标及要求：</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a.风速：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①启动风速：≤0.2m/s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②分辨率：0.1m/s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③测量范围：0-60m/s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④动态响应时间：≤2s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b风向：</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①测量范围：8个指示方向</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②动态响应时间：≤0.5s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c）降雨量：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①承雨口径：φ200mm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②刃口锐角：40°~45°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③分辨率：0.2mm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④典型精度：≤±4%</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⑤雨强范围：0mm~4mm/min</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⑥工作环境：环境温度：0~55℃ 相对湿度：＜95%（40℃）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d）气压：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①精度：±0.15Kpa@25℃ 101Kpa</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②量程：0-120Kpa</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③长期稳定性：-0.1Kpa/y</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④响应时间：≤1s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e）温度：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①精度：±0.5℃（25℃）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②量程：-40℃~+120℃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③长期稳定性：≤0.1℃/y</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④响应时间：≤1s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f）湿度：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①精度：±3%RH(60%RH,25℃)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②量程：0%RH~99%RH</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③长期稳定性：≤1%/y</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④响应时间：≤1s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g）PAR：</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①精度：±5%（1000μmol/m2</w:t>
            </w:r>
            <w:r>
              <w:rPr>
                <w:rStyle w:val="37"/>
                <w:rFonts w:hint="eastAsia" w:ascii="宋体" w:hAnsi="宋体" w:eastAsia="宋体" w:cs="宋体"/>
                <w:sz w:val="21"/>
                <w:szCs w:val="21"/>
                <w:highlight w:val="none"/>
                <w:lang w:val="en-US" w:eastAsia="zh-CN" w:bidi="ar"/>
              </w:rPr>
              <w:t>•</w:t>
            </w:r>
            <w:r>
              <w:rPr>
                <w:rStyle w:val="34"/>
                <w:rFonts w:hint="eastAsia" w:ascii="宋体" w:hAnsi="宋体" w:eastAsia="宋体" w:cs="宋体"/>
                <w:sz w:val="21"/>
                <w:szCs w:val="21"/>
                <w:highlight w:val="none"/>
                <w:lang w:val="en-US" w:eastAsia="zh-CN" w:bidi="ar"/>
              </w:rPr>
              <w:t>s，@550nm,60%RH,25℃）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②量程：0~4000μmol/m2</w:t>
            </w:r>
            <w:r>
              <w:rPr>
                <w:rStyle w:val="37"/>
                <w:rFonts w:hint="eastAsia" w:ascii="宋体" w:hAnsi="宋体" w:eastAsia="宋体" w:cs="宋体"/>
                <w:sz w:val="21"/>
                <w:szCs w:val="21"/>
                <w:highlight w:val="none"/>
                <w:lang w:val="en-US" w:eastAsia="zh-CN" w:bidi="ar"/>
              </w:rPr>
              <w:t>•</w:t>
            </w:r>
            <w:r>
              <w:rPr>
                <w:rStyle w:val="34"/>
                <w:rFonts w:hint="eastAsia" w:ascii="宋体" w:hAnsi="宋体" w:eastAsia="宋体" w:cs="宋体"/>
                <w:sz w:val="21"/>
                <w:szCs w:val="21"/>
                <w:highlight w:val="none"/>
                <w:lang w:val="en-US" w:eastAsia="zh-CN" w:bidi="ar"/>
              </w:rPr>
              <w:t>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③分辨率：1μmol/m2</w:t>
            </w:r>
            <w:r>
              <w:rPr>
                <w:rStyle w:val="37"/>
                <w:rFonts w:hint="eastAsia" w:ascii="宋体" w:hAnsi="宋体" w:eastAsia="宋体" w:cs="宋体"/>
                <w:sz w:val="21"/>
                <w:szCs w:val="21"/>
                <w:highlight w:val="none"/>
                <w:lang w:val="en-US" w:eastAsia="zh-CN" w:bidi="ar"/>
              </w:rPr>
              <w:t>•</w:t>
            </w:r>
            <w:r>
              <w:rPr>
                <w:rStyle w:val="34"/>
                <w:rFonts w:hint="eastAsia" w:ascii="宋体" w:hAnsi="宋体" w:eastAsia="宋体" w:cs="宋体"/>
                <w:sz w:val="21"/>
                <w:szCs w:val="21"/>
                <w:highlight w:val="none"/>
                <w:lang w:val="en-US" w:eastAsia="zh-CN" w:bidi="ar"/>
              </w:rPr>
              <w:t>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④响应光谱：400nm~700nm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⑤反应时间：0.1s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h）光照强度：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①精度：±7%(25℃)</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②量程：0~20万Lux</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③长期稳定性：≤5%/y</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④响应时间：≤0.1s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i）CO2浓度：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①精度：±（50ppm+3%F</w:t>
            </w:r>
            <w:r>
              <w:rPr>
                <w:rStyle w:val="37"/>
                <w:rFonts w:hint="eastAsia" w:ascii="宋体" w:hAnsi="宋体" w:eastAsia="宋体" w:cs="宋体"/>
                <w:sz w:val="21"/>
                <w:szCs w:val="21"/>
                <w:highlight w:val="none"/>
                <w:lang w:val="en-US" w:eastAsia="zh-CN" w:bidi="ar"/>
              </w:rPr>
              <w:t>•</w:t>
            </w:r>
            <w:r>
              <w:rPr>
                <w:rStyle w:val="34"/>
                <w:rFonts w:hint="eastAsia" w:ascii="宋体" w:hAnsi="宋体" w:eastAsia="宋体" w:cs="宋体"/>
                <w:sz w:val="21"/>
                <w:szCs w:val="21"/>
                <w:highlight w:val="none"/>
                <w:lang w:val="en-US" w:eastAsia="zh-CN" w:bidi="ar"/>
              </w:rPr>
              <w:t>S）@（25℃、400~5000ppm）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②量程：0~5000ppm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③长期稳定性：≤30ppm/y</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④响应时间：＜10s(1m/s风速)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  ⑤预热时间：2min(可用)、10min（最大精度）；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4.大田作物长势影像数据采集模块</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（1）传感器类型：1/2.8＂progressive scan CMOS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（2）最低照度：彩色：0.005 Lux @（F1.6，AGC ON）；黑白：0.001 Lux @（F1.6，AGC ON）；0 Lux with IR</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（3）焦距：4.8 mm~110 mm，23倍光学变倍</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（4）光学变倍速度：大约3.3 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（5）视场角：57.6°~2.7°（广角~望远）</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（6）红外照射距离：100 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（7）可调节水平范围：360°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（8）垂直范围：-15°~90°（自动翻转）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（9）网络存储：NAS（NFS，SMB/CIFS）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（10）支持协议：IPv4/IPv6，HTTP，HTTPS，802.1x，Qos，FTP，SMTP，UPnP，SNMP，DNS，DDNS，NTP，RTSP，RTCP，RTP，TCP/IP，UDP，IGMP，ICMP，DHCP，PPPoE，Bonjour，WebSocket，WebSockets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（11）接口协议：软件集成的开放式API，ISAPI，海康SDK，第三方管理平台接入，GB/T28181协议，支持萤石接入，ISUP，开放型网络视频接口</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（12）网络接口：RJ45网口，自适应10 M/100 M网络数据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（13）SD卡扩展：支持MicroSD/MicroSDHC/MicroSDXC卡，最大支持256 GB</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（14）供电方式：DC：12 V</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（15）电源接口类型：两线式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（16）电流及功耗：最大功耗：18 W（其中除雾加热1.6 W，补光灯9 W）</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（17）工作温湿度：-30 ℃~65 ℃，湿度小于90%</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（18）材质：铝合金ADC12</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（19）尺寸：</w:t>
            </w:r>
            <w:r>
              <w:rPr>
                <w:rStyle w:val="38"/>
                <w:rFonts w:hint="eastAsia" w:ascii="宋体" w:hAnsi="宋体" w:eastAsia="宋体" w:cs="宋体"/>
                <w:sz w:val="21"/>
                <w:szCs w:val="21"/>
                <w:highlight w:val="none"/>
                <w:lang w:val="en-US" w:eastAsia="zh-CN" w:bidi="ar"/>
              </w:rPr>
              <w:t>Ø</w:t>
            </w:r>
            <w:r>
              <w:rPr>
                <w:rStyle w:val="34"/>
                <w:rFonts w:hint="eastAsia" w:ascii="宋体" w:hAnsi="宋体" w:eastAsia="宋体" w:cs="宋体"/>
                <w:sz w:val="21"/>
                <w:szCs w:val="21"/>
                <w:highlight w:val="none"/>
                <w:lang w:val="en-US" w:eastAsia="zh-CN" w:bidi="ar"/>
              </w:rPr>
              <w:t xml:space="preserve"> 164.5 × 290 mm</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（20）重量：2 kg  </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（21）防护：IP66；6000 V防雷、防浪涌、防突波， 符合GB/T17626.2/3/4/5/6四级标准；</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5.作物生长逆境监测模块</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实时监测病虫害强度、杂草密度与倒伏比例；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6.液晶屏展示系统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尺寸：7寸；分辨率：600*1024；控制接口：并行24位RGB888接口；颜色格式：RGB888；颜色深度：24位；工作温度：-20至70°C；驱动IC：N/A；</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7.软件平台</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（1）综合应用现代互联网技术、传感技术、通信技术，建设农田智慧管理平台，实现对农田智慧管理和智能作业的决策支持；</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（2）信息管理：对示范区域的作物-土壤-大气信息进行管理，采用田块化的管理方案实现对园区田块属性、田间气象土壤、历史生产过程的数据管理和可视化；</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（3）信息监测：通过在示范区域安装物联网数据前端监测设备，采集监测的数据，并以图表等形式实时展示；</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（4）处方决策：根据田间监测数据，通过系统分析，得出决策处方，指导农业生产。实时诊断作物植株氮素盈亏程度，应用氮营养指数法计算追氮量，根据有机肥利用率折算肥追肥量；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预警预报：通过在系统中设置各种传感器数据的阈值，超过设置的阈值，将触发“预警预报系统”，预警信息通过各种渠道发送给相关负责人或责任人，对预警情况进行及时处理。系统可查询历史预警过的信息；</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（6）信息发布：该平台管理员可以在系统界面和给不同角色发布和推送信息，信息内容包括文字和图片，并可以查询历史推送信息记录；</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（7）技术支持：为平台提供永久的技术支持服务；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（8）语音播报：支持语音视频播报，支持活体检测功能；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（9）驱鸟模块：支持超声波驱鸟。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土壤墒情监测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用FDR原理，根据监测仪发出的电磁波在不同介电系数物质中的频率变化测得各士层的湿度，利用高精度数字温度传感器，测量各士层温度。默认同时测量10cm、20cm、30cm、40cm土层的温度和湿度，适用于具有代表性士壤的长期不间新监测:可内置RTU及锂电池，可提供RS485输出，还可以通过GPRS无线网络传输数据至物联网数据平台，实时用电脑和手机查看数据；</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1.土壤水分(体积含水量)测量范围:干土~水分饱和土，实验室测量精度:±3%，野外测量精度:±5%，湿度分辨率:0.1%；</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2.温度测量范围:-40℃~80℃，测量精度±2℃，温度分辨率:0.1°C；</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3.供电方式:可选配适配器DC6V~24V宽电压供电或者内置锂电池供电，并可同时监测供电电压大小;</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4.通讯方式:RS485通讯，MODBUS通讯协议，(波特率9600可设，地址0-255可设)；</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5.LORA无线通讯/GPRS无线通讯:</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6.接线方式:RS485输出4线制，电源正、电源负、485+、485-；</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7.响应时间:通电后3s内进行响应;</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8.稳定时间:通电后约10s进入稳定过程;</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9.外形尺寸:Ф63mm，长度随传感器的数量而不同，标准长度约1000mm;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10.传感器测量原理:FDR频域反射法;</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11.功耗:静态时功耗小于10mA，采样时的功耗70 mA;</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12.工作环境:-40℃-80℃；0-100%RH;</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13.平均无故障时间:≥25000h;</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14.感应范围:99%是从管子外部10cm以内的范围读取；</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15.外壳防护等级:用环氧树脂做为密封材料，地面部分:IP67;地面以下:IP68;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农田场景感知系统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1、太阳能4G网络摄像机：</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产品外形球形</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有效像素200万</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最低照度彩色：0.005 Lux@(F1.6,AGC ON)</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黑白：0.001 Lux@(F1.6,AGC ON)，0 Lux with IR</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电子快门1/1秒至1/30000秒</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信噪比＞52dB</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其它参数数字变倍：16倍</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聚焦模式：自动/半自动/手动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光圈数：F1.6-F3.5</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光学变倍倍数：23倍</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变倍速度：3.3秒</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水平视角：64.5-3.2°</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焦距：4.8-115mm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近距摄：10-1500mm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压缩格式H.265/H.264/MJPEG</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视频帧率50Hz：25fps(1280×720)</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60Hz：30fps(1280×720)</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网络接口1个RJ45 10M/100M 自适应以太网口</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网络协议 TCP/IP,ICMP,HTTP,HTTPS,FTP,DHCP,IPv6,</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防护等级IP66</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电源电压DC 12V</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环境温度-30-65℃</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2、监控立杆：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1）6米监控立杆；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2）材质：镀锌钢管；</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3）管径：下管径≥220mm/上管径≥114mm；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4）壁厚：≥3.5mm；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3、流量卡：4G流量卡</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4、系统设备箱</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1）包含防雷保护系统，过压保护系统，断路保护系统，过流保护系统；</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2）箱体规格：500*700*200mm/1.2mm；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3）系统电压输出：220VAC-300VA；</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4）功能特性：冷扎板户外挂杆箱，箱体内置风扇，自带散热功能。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5、水泥预制</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M10水泥预制，（含水泥、砂石、地笼）基坑基础为800mm*340mm*340mm。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6、施工、调试、运输。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无人机速测系统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系统要求：</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可根据实际需求生成反映作物生长长势情况的影像图，包含植被覆盖度、生物量、叶绿素含量等农学参数指标图；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可根据不同时期无人机影像，预测预报作物产量。</w:t>
            </w:r>
          </w:p>
          <w:p>
            <w:pPr>
              <w:keepNext w:val="0"/>
              <w:keepLines w:val="0"/>
              <w:widowControl/>
              <w:suppressLineNumbers w:val="0"/>
              <w:kinsoku/>
              <w:bidi w:val="0"/>
              <w:spacing w:line="360" w:lineRule="auto"/>
              <w:jc w:val="left"/>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硬件要求：</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1.裸机重量（带桨叶和RTK模块）≥ 900 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2.最大起飞重量≥ 890 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3.轴距: 对角线≥380.1 毫米;</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4.最大上升速度≥ 6 米/秒（普通挡） /  8 米/秒（运动挡）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5.最大下降速度≥ 6 米/秒（普通挡） /   6 米/秒（运动挡）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6.最大水平飞行速度（海平面附近无风）≥ 15 米/秒（普通挡）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7.前飞≥21 米/秒，侧飞：20 米/秒，后飞：19 米/秒（运动挡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8.最大抗风速度: 12 米/秒;</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9.最大起飞海拔高度≥ 6000 米（空载飞行）;</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10.最长飞行时间（无风环境）≥ 43分钟;</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11.最长悬停时间（无风环境）≥ 37分钟; </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12.最大续航里程 ≥30 公里;</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13.最大可倾斜角度≥30°（普通挡） /  35°（运动挡）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14.最大旋转角速度≥200°/s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15.GNSS: GPS + Galileo + BeiDou + GLONASS（仅在 RTK 模块开启时支持 GLONASS）</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16.悬停精度（无风或微风环境）:垂直：±0.1 米（视觉定位正常工作时）；±0.5 米（GNSS 正常工作时）；±0.1 米（RTK 正常工作时）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17.水平：±0.3 米（视觉定位正常工作时）；±0.5 米（高精度定位系统正常工作时）；±0.1 米（RTK 正常工作时）;</w:t>
            </w:r>
          </w:p>
          <w:p>
            <w:pPr>
              <w:keepNext w:val="0"/>
              <w:keepLines w:val="0"/>
              <w:widowControl/>
              <w:suppressLineNumbers w:val="0"/>
              <w:kinsoku/>
              <w:bidi w:val="0"/>
              <w:spacing w:line="360" w:lineRule="auto"/>
              <w:jc w:val="left"/>
              <w:textAlignment w:val="center"/>
              <w:rPr>
                <w:rStyle w:val="33"/>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数据处理：</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1.在建设期内提供4次大田的无人机影像拼接处理服务，包括4个主要生育期的RGB影像；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2.将获取的RGB信息等通过作物模型算法解析出作物生长情况分布图，包括但不限于颜色指数（EXG、ExG-ExR等）、叶面积指数、叶层氮含量、叶层氮积累量、地上部生物量、亩穗数等农学及生理参数。</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系统要求：</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可根据实际需求生成反映作物生长长势情况的影像图，包含植被覆盖度、生物量、叶绿素含量等农学参数指标图；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可根据不同时期无人机影像，预测预报作物产量。</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1、需投标单位自行查勘建设区域，并提供土壤、无人机影像数据集图件。</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需根据土壤类型及肥力情况、作物历史产量、作物长势情况等进行作物生产过程中的管理分区，要求精确管理分区技术支持单位（机构）提供基地管理分区的图件，并提供技术支撑单位（机构）的售后服务承诺函。</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3、可生成并提供项目所在地的作物长势指标分布图图集，包含叶面积指数、植物氮含量、叶龄等农学参数指标图。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 xml:space="preserve">▲4、提供关于农情信息立体感知系统相关的软著证明。 </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5、对农田田块进行穗数识别、基本苗分析，提供软件截图及原理说明。</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注：以上▲需全部满足并提供相应证明材料并加盖投标人公章，否则不得分。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基于模型的数字化农作处方设计系统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系统包含web端及手机移动端，针对采集的数据进行管理，集成建立水肥农作处方数字化生成技术，实现农作处方的数字化生成和定量化决策。</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 数据源管理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管理数据来源及数据表，连接各类数据数据源信息，对数据源连接进行编辑和删除，根据数据类型，建立数据库表，对数据库表编辑和查看；</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 数据资源管理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包括数据目录及数据检索，根据数据资源的类型，生成数据目录，同时可根据关键词对数据进行检索查询；</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 数据汇聚</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通过建立数据抽取任务，对全域数据进行定向采集，可管理数据抽取任务，对抽取任务进行启停设置，监控数据抽取过程，并可查看数据抽取日志；</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 数据治理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根据数据类目，建立数据模型，并可对数据模型进行图表配置、编辑及查看；</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 生成处方图</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根据稻麦全生命周期生长信息，集合稻麦生长的实时田间数据信息，生成园区尺度上的稻麦生产肥水处方图。</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6.需生成适宜于当地的作物生长模型，包含:稻麦生长监测模型、稻麦生长诊断模型、稻麦氮素亏缺模型及生育期监测预测模型等，从而科学的指导农业生产，需提供原理说明。</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配置基础图层信息：可新增/编辑/删除如图层类型/图层效果/中心经纬度/标绘点绑定图层跳转事件。（▲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▲8.大屏软件：管理数据对接与共享,可对接不同的终端设备，可对设备采集回传的数据进行解码。（▲项需承诺成交后签订合同前，提供具有CMA、CNAS标识的第三检测机构出具的检测报告至招标人处核查备案。）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▲9.病虫害库：可生成并管理农作物生长模型，可生成并管理病虫害数据模型。（▲项需承诺成交后签订合同前，提供具有CMA、CNAS标识的第三检测机构出具的检测报告至招标人处核查备案。）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▲10.农产品库：可对农产品价格的波动进行监测、预警以及深入的数据分析。（▲项需承诺成交后签订合同前，提供具有CMA、CNAS标识的第三检测机构出具的检测报告至招标人处核查备案。）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智能虫情测报灯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1、符合GB/T 24689.1-2009《植物保护机械虫情测报灯》标准。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2、设备结构：触摸屏操作模块、由害虫诱捕装置、害虫灭杀装置、害虫散虫装置、害虫收集装置、高清摄像机与传送装置、自动清扫虫体装置、控制器、显示器、电源与防雷系统、网络传输模块组成。</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3、7寸彩色触摸屏，可实现现场控制及软件远程手动监测控制：诱虫灯开启、手动拍照、光控时控切换、拍照间隔时间、有线无线网络切换功能、流量限流等功能。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4、光控控制：晚上自动开灯，白天自动关灯，在夜间工作状态下，不受瞬间强光照射改变工作状态；</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5、雨控系统：雨控传感器应根据外界雨量变化自动控制测报灯工作。</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6、时段控制：根据标靶害虫生活习性规律设置工作时间段和工作时长。</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远程控制：可以远程控制接虫仓、诱虫灯开关、加热管开关、杀虫仓和烘干仓清空、震动电机开关、拍照开关、工作模式开关、重启和更改上传地址等功能。（▲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8、诱虫光源：20W专用诱虫光源（主波长365nm）；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9、灯体材料：整体结构采用GB32080-92不锈钢喷塑材质；</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10、远红外虫体处理仓温度控制：工作15分钟后温度≥90℃，远红外虫体处理致死率不小于98%，虫体完整率不小于95%；</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11、功耗：待机状态≤5W；整灯功率≤450W；供电方式：220V市电，灯管启动性能：5S内启动 ，绝缘电阻：≥2.5MQ，有漏电保护装置；撞击屏互成120度角，单屏尺寸：长595±2mm，宽213±2mm，厚≥5mm；</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图像采集功能：内置不低于3000W像素高清工业摄像头，可定时采集图片上传至云平台，远程拍照和手动拍照均可。（▲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自动识别功能：能够识别害虫种类≥136种，对一、二类农作物病虫害名录中趋光性害虫的单一种类识别计数准确率≥95%。（▲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▲14、计数功能：内置光栅计数装置，可以实时记录虫子数量。（▲项需承诺成交后签订合同前，提供具有CMA、CNAS标识的第三检测机构出具的检测报告至招标人处核查备案。）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标本存储：需要保留标本的保留在储存仓内，人工定期收集，对于不需要标本的虫子可直接排出机器外，避免人工去现场，只要定期去巡检即可；也可通过定位传感器实现每天自动切换接虫仓，避免不同日期采集的虫体堆叠，便于人工校对和分析，满足人工测报需求。</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数据管理和查看功能：可通过电脑端（PC)、手机端(APP)、小程序查看设备位置信息，监测设备工作状态，可对设备出现的故障进行分析和预警。（▲项需承诺成交后签订合同前，提供具有CMA、CNAS标识的第三检测机构出具的检测报告至招标人处核查备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17、每台设备具有二维码，通过扫码可连接到售后系统进行安装和报修，具有售后 APP 查询功能（提供软件平台功能截图佐证）。</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18、定位功能：内置GPS定位功能，可在地图上查看当前设备位置、编号和在状态信息。</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19、数据传输：多种联网方式4G\WIFI\有线可任意选择，可随时随地联网管理。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户外监测站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规划4米*4米户外监测站，以便对相关监测设备进行统一管理。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四、</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数字化生产管理平台</w:t>
            </w: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vAlign w:val="center"/>
          </w:tcPr>
          <w:p>
            <w:pPr>
              <w:kinsoku/>
              <w:bidi w:val="0"/>
              <w:spacing w:line="360" w:lineRule="auto"/>
              <w:jc w:val="cente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数据驾驶舱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“管理一张图”</w:t>
            </w:r>
            <w:r>
              <w:rPr>
                <w:rStyle w:val="34"/>
                <w:rFonts w:hint="eastAsia" w:ascii="宋体" w:hAnsi="宋体" w:eastAsia="宋体" w:cs="宋体"/>
                <w:sz w:val="21"/>
                <w:szCs w:val="21"/>
                <w:highlight w:val="none"/>
                <w:lang w:val="en-US" w:eastAsia="zh-CN" w:bidi="ar"/>
              </w:rPr>
              <w:t>，集成并可视化关键数据，形成涵盖园区介绍、农事管理、资源统计、设备监控预警的综合视图，实现园区全方位、精细化、实时管理。具体包括：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1.园区基地简介：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图文展示整体风貌（地理位置、面积、功能区、特色作物、基础设施），提供直观全面认知。</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2.农事作业记录：</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实时更新展示农事活动（如播种、施肥、收割），含时间、地点、类型、执行人、进度等，借助地图标注与时间线展现空间分布与时间序列，助于监控进度、优化调度。</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3.农机具资源统计：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集成农机种类、数量、位置、状态（闲置/作业/维修）、作业能力数据，通过地图标注与图表反映规模、分布、使用效率，指导农机调配与效能提升。</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4.农资资源统计：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整合农资库存、消耗、采购、分布信息，动态图表展示总量变化、使用趋势、库存分布，助力精准把控供需，确保物资供应稳定高效。</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5.设备统计：</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涵盖各类设备数量、类型、分布、状态、维护记录，地图标注与仪表盘实时监控设备运行，及时发现处理故障，保障设施稳定运行与农业生产顺利进行。</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6.设备异常预警：</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基于运行数据与阈值，自动识别设备故障、性能下降、临近维护等异常，以醒目图标、颜色标注或弹窗提示预警，确保管理者及时响应，避免故障影响生产，保障园区运营稳定高效。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bidi w:val="0"/>
              <w:spacing w:line="360" w:lineRule="auto"/>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“监测一张图”</w:t>
            </w:r>
            <w:r>
              <w:rPr>
                <w:rStyle w:val="34"/>
                <w:rFonts w:hint="eastAsia" w:ascii="宋体" w:hAnsi="宋体" w:eastAsia="宋体" w:cs="宋体"/>
                <w:sz w:val="21"/>
                <w:szCs w:val="21"/>
                <w:highlight w:val="none"/>
                <w:lang w:val="en-US" w:eastAsia="zh-CN" w:bidi="ar"/>
              </w:rPr>
              <w:t>，集成多源数据，全面、实时、直观展示稻麦生长、逆境、视频监控、土壤、气象及水体状况，支撑精准农业决策。内容包括：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1.稻麦长势监测：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融合遥感、无人机、地面传感数据，获取多光谱图像与生长参数，AI分析生成长势分布图，以颜色、等级展示时空差异，助管理者评估作物状态，及时发现问题。</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2.逆境监测：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集成病虫害、土壤养分水分、气象预警信息，地图标注与预警图标示病虫害区、土壤异常地段、灾害预警区，助力及时防控，减轻逆境影响。</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3.视频监测：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高清摄像头全天候监控稻麦关键区，视频流接入地图，用户点击摄像头图标查看实时/历史画面，直观了解生长、病虫、作业情况，提升远程监控与应急响应。</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5.土壤信息监测：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整合土壤传感器数据，展示温度、湿度、电导率、PH、养分空间分布与变化趋势，地图标注与图表辅助精准掌握土壤状况，科学指导施肥灌溉，提升资源利用效率。</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6.气象信息监测：</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接入权威气象数据，实时显示园区及周边气温、降水、风速、湿度、光照、蒸发等参数及未来预报，地图叠加与图标直观揭示气象对稻麦影响，助提前防灾减灾。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7.农田水体监测：</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监测灌溉水体水质（溶解氧、氨氮、总磷、pH等）、水位、水量，地图标注与曲线展示水体状况；结合地下水位数据，评估农田水分、地下水利用，为优化灌溉、防止盐碱化提供科学依据。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bidi w:val="0"/>
              <w:spacing w:line="360" w:lineRule="auto"/>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“处方一张图”</w:t>
            </w:r>
            <w:r>
              <w:rPr>
                <w:rStyle w:val="34"/>
                <w:rFonts w:hint="eastAsia" w:ascii="宋体" w:hAnsi="宋体" w:eastAsia="宋体" w:cs="宋体"/>
                <w:sz w:val="21"/>
                <w:szCs w:val="21"/>
                <w:highlight w:val="none"/>
                <w:lang w:val="en-US" w:eastAsia="zh-CN" w:bidi="ar"/>
              </w:rPr>
              <w:t>，深度融合精准农业处方与GIS，打造集时间规划、地块定位、处方建议与详情的可视化管理工具。以地图形式直观展现专家基于监测数据制定的处方，便于管理者与农户快速理解并精准执行田间措施，提升处方传达效率与执行精度，实现精细化、标准化、智能化管理，促进资源高效利用与产品质量提升。主要包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1.时间设定：</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地图中标注处方有效执行时段（播种期、生长期等）或具体日期（如2023年5月1日至15日），以时间轴、日历标记、文字表述呈现，确保用户清晰掌握操作时机。</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2.地块分布：</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基于高精度GIS，精确定位园区内各地块位置、边界及编号，地块视觉元素与处方关联，一目了然处方覆盖地块分布。支持地块搜索、筛选、放大定位及关联处方信息。</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3.处方建议：</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为每个地块或相似地块提供种植管理、水肥管理、病虫防治、农机作业等详细处方建议，图文并茂，通过地图弹窗、侧栏面板、交互图表展示，确保信息清晰、操作性强。</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4.地块详情：</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用户点击地块触发详细处方卡片，含全部处方建议、数据支撑（如土壤报告、作物监测、气象预报）及一键分享、打印、导出功能，便利线下参考、协作交流。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bidi w:val="0"/>
              <w:spacing w:line="360" w:lineRule="auto"/>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3"/>
                <w:rFonts w:hint="eastAsia" w:ascii="宋体" w:hAnsi="宋体" w:eastAsia="宋体" w:cs="宋体"/>
                <w:sz w:val="21"/>
                <w:szCs w:val="21"/>
                <w:highlight w:val="none"/>
                <w:lang w:val="en-US" w:eastAsia="zh-CN" w:bidi="ar"/>
              </w:rPr>
              <w:t>“作业一张图”</w:t>
            </w:r>
            <w:r>
              <w:rPr>
                <w:rStyle w:val="34"/>
                <w:rFonts w:hint="eastAsia" w:ascii="宋体" w:hAnsi="宋体" w:eastAsia="宋体" w:cs="宋体"/>
                <w:sz w:val="21"/>
                <w:szCs w:val="21"/>
                <w:highlight w:val="none"/>
                <w:lang w:val="en-US" w:eastAsia="zh-CN" w:bidi="ar"/>
              </w:rPr>
              <w:t>，整合物联网、GIS与农机数据，实现对园区内农机作业的实时监控、历史追溯、统计分析。该平台旨在提升管理透明度、效率与精准度，为决策提供支持。核心功能包括：</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1.农机作业状态实时展示：</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地图上动态追踪农机GPS位置，图标反映作业状态（作业中/待命/故障/空闲），清晰呈现园区作业全局。</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2.基地地图与基础设施：</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精确划分地块，关联作业类型；叠加显示道路、水源、电力设施等，辅助规划作业与应急。</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3.作业记录查询与回放：</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查询农机历史轨迹，动画回顾行驶、起止时间、停留点等信息；点击获取农机型号、驾驶员、作业详情等。</w:t>
            </w:r>
          </w:p>
          <w:p>
            <w:pPr>
              <w:keepNext w:val="0"/>
              <w:keepLines w:val="0"/>
              <w:widowControl/>
              <w:suppressLineNumbers w:val="0"/>
              <w:kinsoku/>
              <w:bidi w:val="0"/>
              <w:spacing w:line="360" w:lineRule="auto"/>
              <w:jc w:val="left"/>
              <w:textAlignment w:val="center"/>
              <w:rPr>
                <w:rStyle w:val="34"/>
                <w:rFonts w:hint="eastAsia" w:ascii="宋体" w:hAnsi="宋体" w:eastAsia="宋体" w:cs="宋体"/>
                <w:sz w:val="21"/>
                <w:szCs w:val="21"/>
                <w:highlight w:val="none"/>
                <w:lang w:val="en-US" w:eastAsia="zh-CN" w:bidi="ar"/>
              </w:rPr>
            </w:pPr>
            <w:r>
              <w:rPr>
                <w:rStyle w:val="34"/>
                <w:rFonts w:hint="eastAsia" w:ascii="宋体" w:hAnsi="宋体" w:eastAsia="宋体" w:cs="宋体"/>
                <w:sz w:val="21"/>
                <w:szCs w:val="21"/>
                <w:highlight w:val="none"/>
                <w:lang w:val="en-US" w:eastAsia="zh-CN" w:bidi="ar"/>
              </w:rPr>
              <w:t>4. 统计分析与绩效评估：</w:t>
            </w:r>
          </w:p>
          <w:p>
            <w:pPr>
              <w:keepNext w:val="0"/>
              <w:keepLines w:val="0"/>
              <w:widowControl/>
              <w:suppressLineNumbers w:val="0"/>
              <w:kinsoku/>
              <w:bidi w:val="0"/>
              <w:spacing w:line="360" w:lineRule="auto"/>
              <w:jc w:val="left"/>
              <w:textAlignment w:val="center"/>
              <w:rPr>
                <w:rFonts w:hint="eastAsia" w:ascii="宋体" w:hAnsi="宋体" w:eastAsia="宋体" w:cs="宋体"/>
                <w:b/>
                <w:bCs/>
                <w:i w:val="0"/>
                <w:iCs w:val="0"/>
                <w:color w:val="000000"/>
                <w:sz w:val="21"/>
                <w:szCs w:val="21"/>
                <w:highlight w:val="none"/>
                <w:u w:val="none"/>
              </w:rPr>
            </w:pPr>
            <w:r>
              <w:rPr>
                <w:rStyle w:val="34"/>
                <w:rFonts w:hint="eastAsia" w:ascii="宋体" w:hAnsi="宋体" w:eastAsia="宋体" w:cs="宋体"/>
                <w:sz w:val="21"/>
                <w:szCs w:val="21"/>
                <w:highlight w:val="none"/>
                <w:lang w:val="en-US" w:eastAsia="zh-CN" w:bidi="ar"/>
              </w:rPr>
              <w:t>按地块、作业区统计作业面积、次数、效率、资源消耗；提供作业量时间趋势，指导调度与维护；计算单台农机绩效，用于设备更新、培训及奖惩决策。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生产管理PC端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通过PC生产管理端，实现全面、精准、高效的数字化资源管理，旨在提升农业生产效率、降低成本、增强抗风险能力，并为精细化种植、科学决策和智能运营提供坚实数据支持。系统涵盖基地资源、稻麦品种、农资、农机、农具、农事信息及设备信息等多方面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1.基础数据管理：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具体包括：录入园区概况，地块档案与分区，稻麦品种与种子库存管理，肥料与农药等农资跟踪，农机档案与智能调度，农具清单与损耗维修记录，农事活动关联管理，以及硬件设备位置、状态与维护信息监控。</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2.种植管理：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具体内容包括：作物布局规划、播期安排与产量目标设定，田间作业与生长监测记录，灾害事件快速上报，精准施肥、灌溉与病虫害防治处方设计，以及肥料、农药等各类投入品使用统计分析。</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3.智能作业管理：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智能作业管理系统，融合信息技术、物联网、智能装备，精准计划、远程控制农机与灌溉作业，大幅提升农产效率，降低成本。系统包含两核心模块：</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农机作业管理：依据种植计划、地块特性和排班等，系统自动生成任务清单（犁耕、播种等），规划最优路径，调度农机、燃油、配件资源，确保作业流畅并应对突发情况。远程监控农机位置、状态、油耗，提供故障预警与诊断建议，支持远程参数调整与自动驾驶导航。</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灌溉作业管理：整合土壤监测、气象、需水量模型，精确预测灌溉需求，制定科学计划（时间、方式、量、周期），实行节水策略（分区、间歇、夜间灌溉），确保合规。远程控制阀门，精准灌溉，实时监控系统运行，反馈灌溉进度、效果、能耗，自动识别故障并报警，支持远程诊断与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生产管理移动端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开发移动端生产管理平台，为管理者、技术人员及现场人员提供实时、便捷的移动办公工具，实现全程精细化、数字化管控，提升农场运营效能。移动端具备以下功能：</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1.基地档案：</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查看地块位置、面积、土壤、肥力等基本信息，历史种植记录、作物轮作；展示灌溉、农机库、仓库设施位置、状态，便于维护调度；查阅员工、技术人员、农户联系、职务、技能信息，利于任务分配协作。</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2.农场监测：</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集成视频监控，实时查看田间、设施，支持回放；展示气象（温湿光风等）、土壤（水分、电导率等）、作物生理数据，提供图表、阈值预警。</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3.农事计划提醒：</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推送待办任务（播种、施肥等）详情、标准、物资需求；发送极端天气预警，指导防护；提示作物关键生育期管理要点与风险。</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4.农事信息记录：</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支持文字、图片、语音、视频记录农事活动、作物状况、病虫害，GPS定位关联地块；实时云端同步数据，确保完整一致。</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5.农机作业管理：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制定作业计划（耕种收等），考虑种植、地块、农机因素，支持任务分配；远程监控位置、进度、油耗、故障，可远程控制；分析作业面积、效率、成本，指导调度维修。</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6.灌溉作业管理：</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制定灌溉计划（时间、方式、水量），基于土壤水分、气象、需水模型，一键启动设备；监控系统运行状态，远程调控，确保效果与节水；记录灌溉信息，统计用水、效率，指导策略优化。</w:t>
            </w:r>
          </w:p>
          <w:p>
            <w:pPr>
              <w:keepNext w:val="0"/>
              <w:keepLines w:val="0"/>
              <w:widowControl/>
              <w:suppressLineNumbers w:val="0"/>
              <w:kinsoku/>
              <w:bidi w:val="0"/>
              <w:spacing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农作处方查看：查阅精准施肥建议（种类、用量、时期、方法），一键添加计划；查看个性化灌溉方案（时间、量、频率），指导灌溉作业；获取病虫害防治建议（农药、剂量、方式、间隔期），确保科学用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kinsoku/>
              <w:bidi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r>
    </w:tbl>
    <w:p>
      <w:pPr>
        <w:pStyle w:val="21"/>
        <w:numPr>
          <w:ilvl w:val="0"/>
          <w:numId w:val="7"/>
        </w:numPr>
        <w:kinsoku/>
        <w:autoSpaceDE w:val="0"/>
        <w:autoSpaceDN w:val="0"/>
        <w:bidi w:val="0"/>
        <w:spacing w:line="360" w:lineRule="auto"/>
        <w:ind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项目实施要求</w:t>
      </w:r>
    </w:p>
    <w:p>
      <w:pPr>
        <w:pStyle w:val="21"/>
        <w:numPr>
          <w:ilvl w:val="0"/>
          <w:numId w:val="8"/>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bookmarkStart w:id="28" w:name="_Hlk142117001"/>
      <w:r>
        <w:rPr>
          <w:rFonts w:hint="eastAsia" w:ascii="宋体" w:hAnsi="宋体" w:eastAsia="宋体" w:cs="宋体"/>
          <w:b/>
          <w:bCs/>
          <w:color w:val="auto"/>
          <w:sz w:val="21"/>
          <w:szCs w:val="21"/>
          <w:highlight w:val="none"/>
        </w:rPr>
        <w:t>安装方案编制要求</w:t>
      </w:r>
    </w:p>
    <w:p>
      <w:pPr>
        <w:pStyle w:val="21"/>
        <w:numPr>
          <w:ilvl w:val="0"/>
          <w:numId w:val="9"/>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安装方案编制依据</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本项目安装方案编制时除符合本项目技术方案要求外，还应符合国家和江苏地区颁发的现行有关设计、施工验收等相关方面的规范、规定。</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案未详尽之处，请供货方按国家及本地区现有规范进行施工。</w:t>
      </w:r>
    </w:p>
    <w:p>
      <w:pPr>
        <w:pStyle w:val="21"/>
        <w:numPr>
          <w:ilvl w:val="0"/>
          <w:numId w:val="9"/>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技术资料提交要求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供货方应提供包括但不限于满足货物日常使用、专用的维修工具以及使用、维护的技术文件，如设备和附件装箱清单、产品合格证、产品检验报告、保修服务卡、使用说明（原版正本）、中文维护手册。</w:t>
      </w:r>
    </w:p>
    <w:p>
      <w:pPr>
        <w:pStyle w:val="21"/>
        <w:numPr>
          <w:ilvl w:val="0"/>
          <w:numId w:val="10"/>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安装方案编制要求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供货方的投标文件中实施方案仅作为评标依据，供货方签定合同后，需重新根据</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的要求和项目现场的实际情况，重新优化编制《安装方案》，直至</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完全满意为止。《安装方案》的编制应由具有相关资质的单位负责完成，供货方无相关资质的可分包。供货方需全部承担《安装方案》编制的质量与安全责任，确保项目建成后所有设备能正常运行，能满足设备使用人高效的生产要求。</w:t>
      </w:r>
    </w:p>
    <w:p>
      <w:pPr>
        <w:pStyle w:val="21"/>
        <w:numPr>
          <w:ilvl w:val="0"/>
          <w:numId w:val="10"/>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安装方案审核要求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如《安装方案》未经过</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en-US" w:eastAsia="zh-CN"/>
        </w:rPr>
        <w:t>认可，经3次协商交流未达成共识后，</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en-US" w:eastAsia="zh-CN"/>
        </w:rPr>
        <w:t>有权与供货方解除部分或全部合同。</w:t>
      </w:r>
    </w:p>
    <w:p>
      <w:pPr>
        <w:pStyle w:val="21"/>
        <w:numPr>
          <w:ilvl w:val="0"/>
          <w:numId w:val="10"/>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知识产权保护要求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供货方应承担由于</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在其本国使用该设备或设备任何一部分时而引起第三方提出的侵犯专利权、商标权或工业设计权的起诉、行动、行政程序索赔、请求等以及</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为此而产生的损失和损害、费用和支出（包括律师费）。</w:t>
      </w:r>
    </w:p>
    <w:p>
      <w:pPr>
        <w:pStyle w:val="21"/>
        <w:numPr>
          <w:ilvl w:val="0"/>
          <w:numId w:val="10"/>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验收资料上交要求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产品调试完成后，需经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验收合格，供货方负责将全部《安装方案》以及有关技术文件、资料、测试、验收报告等文档汇集成册交付</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w:t>
      </w:r>
    </w:p>
    <w:p>
      <w:pPr>
        <w:pStyle w:val="21"/>
        <w:numPr>
          <w:ilvl w:val="0"/>
          <w:numId w:val="8"/>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项目现场管理要求</w:t>
      </w:r>
    </w:p>
    <w:p>
      <w:pPr>
        <w:pStyle w:val="21"/>
        <w:numPr>
          <w:ilvl w:val="0"/>
          <w:numId w:val="11"/>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安全管理要求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供货方应遵守现场的一切规章制度，按照</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要求文明建设，施工人员的安全由供货方负责，</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监督执行，如发生安全事故，由供货方负全责。现场协调工作由供货方负责，</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配合。</w:t>
      </w:r>
    </w:p>
    <w:p>
      <w:pPr>
        <w:pStyle w:val="21"/>
        <w:numPr>
          <w:ilvl w:val="0"/>
          <w:numId w:val="11"/>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货物保管要求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供货方负责为工具设备、安装设备等提供适当的保护、包装或覆盖等处理，负责保管、看护进场的工具设备及附配件直至验收合格，以免受损。</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供货方所供货物</w:t>
      </w:r>
      <w:r>
        <w:rPr>
          <w:rFonts w:hint="eastAsia" w:ascii="宋体" w:hAnsi="宋体" w:eastAsia="宋体" w:cs="宋体"/>
          <w:color w:val="auto"/>
          <w:sz w:val="21"/>
          <w:szCs w:val="21"/>
          <w:highlight w:val="none"/>
        </w:rPr>
        <w:t>涉及商品包装和快递包装的，</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参考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关于印发</w:t>
      </w:r>
      <w:r>
        <w:rPr>
          <w:rFonts w:hint="eastAsia" w:ascii="宋体" w:hAnsi="宋体" w:eastAsia="宋体" w:cs="宋体"/>
          <w:color w:val="auto"/>
          <w:sz w:val="21"/>
          <w:szCs w:val="21"/>
          <w:highlight w:val="none"/>
          <w:lang w:val="en-US" w:eastAsia="zh-CN"/>
        </w:rPr>
        <w:t>&lt;</w:t>
      </w:r>
      <w:r>
        <w:rPr>
          <w:rFonts w:hint="eastAsia" w:ascii="宋体" w:hAnsi="宋体" w:eastAsia="宋体" w:cs="宋体"/>
          <w:color w:val="auto"/>
          <w:sz w:val="21"/>
          <w:szCs w:val="21"/>
          <w:highlight w:val="none"/>
        </w:rPr>
        <w:t>商品包装政</w:t>
      </w:r>
      <w:r>
        <w:rPr>
          <w:rFonts w:hint="eastAsia" w:ascii="宋体" w:hAnsi="宋体" w:eastAsia="宋体" w:cs="宋体"/>
          <w:color w:val="auto"/>
          <w:sz w:val="21"/>
          <w:szCs w:val="21"/>
          <w:highlight w:val="none"/>
          <w:lang w:val="en-US" w:eastAsia="zh-CN"/>
        </w:rPr>
        <w:t>府采购需求标准（试行）&gt;、&lt;快递包装政府采购需求标准（试行）&gt;的通知》（财办库〔2020〕123号）要求执行。</w:t>
      </w:r>
    </w:p>
    <w:p>
      <w:pPr>
        <w:pStyle w:val="21"/>
        <w:numPr>
          <w:ilvl w:val="0"/>
          <w:numId w:val="11"/>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垃圾清运要求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在安装、调试期间或保修过程中，供货方负责及时清理现场垃圾。</w:t>
      </w:r>
    </w:p>
    <w:bookmarkEnd w:id="28"/>
    <w:p>
      <w:pPr>
        <w:pStyle w:val="21"/>
        <w:numPr>
          <w:ilvl w:val="0"/>
          <w:numId w:val="8"/>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bookmarkStart w:id="29" w:name="_Hlk142117040"/>
      <w:r>
        <w:rPr>
          <w:rFonts w:hint="eastAsia" w:ascii="宋体" w:hAnsi="宋体" w:eastAsia="宋体" w:cs="宋体"/>
          <w:b/>
          <w:bCs/>
          <w:color w:val="auto"/>
          <w:sz w:val="21"/>
          <w:szCs w:val="21"/>
          <w:highlight w:val="none"/>
        </w:rPr>
        <w:t>货物质量与验收要求</w:t>
      </w:r>
    </w:p>
    <w:bookmarkEnd w:id="29"/>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货物质量标准</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时所有货物（包括零部件）须为全新的、未使用过的原装正品，并完全符合国家质量标准。需提供厂家出具的合格证书、有国家强制性认证要求的产品须提供相应证书，货物的技术参数及配置情况必须由投标人提供国家相关检测机构出具的检验报告、生产厂家公开发布的印刷资料等技术资料予以支持。</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货物包装要求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货物为原厂商未启封全新包装，具有出厂合格证，序列号、包装箱号与出厂批号一致，并可追溯查阅。</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货物检验原则</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货物的生产、调试、维修、检验、验收原则为：有国家标准的执行国家标准；无国家标准的执行行业标准；无行业标准的执行地方标准；无地方标准的执行企业标准。所有设备在到达现场时须经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代表验收，验货时须提交该产品的质量合格证明。</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货物检验标准</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所有设备、附（配）件应符合本方案与招标文件要求，无瑕疵和缺陷，质量为合格产品。所有货物在到达现场时须经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代表验收，验货时须提交该产品的质量合格证明。如商检或货物测试中发现设备性能指标或功能上不符合招标文件和合同要求时，将被看作性能不合格，</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有权拒收并要求赔偿。</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货物验收内容</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及有关部门依招标文件要求，对全部货物的型号、规格、数量、外型、外观、包装及资料、文件(如装箱单、保修单、随箱介质等）的验收。供货方必须为使用单位调试、维修、使用提供足够的技术资料和技术保障，提供设备的有关证明。</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调货换货要求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如设备运输和调试过程中因事故造成货物短缺、损坏，供货方应及时安排换货，以保证设备调试的成功完成。换货的相关费用由供货方承担。</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补充货物说明</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按中标价格和数量向供货方采购本项目货物后，在合同执行期若需增加采购相同品牌型号的货物，供货方必须按相同的配置和不高于中标价格销售给</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w:t>
      </w:r>
    </w:p>
    <w:p>
      <w:pPr>
        <w:pStyle w:val="21"/>
        <w:numPr>
          <w:ilvl w:val="0"/>
          <w:numId w:val="12"/>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逾期交货处罚</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如供货方逾期交付货物、验收超过10个工作日的，应以合同货物总额为基数，按每天2‰向</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支付滞纳金。</w:t>
      </w:r>
    </w:p>
    <w:p>
      <w:pPr>
        <w:pStyle w:val="21"/>
        <w:numPr>
          <w:ilvl w:val="0"/>
          <w:numId w:val="8"/>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货物质保与维修要求</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质量保证期限</w:t>
      </w:r>
    </w:p>
    <w:p>
      <w:pPr>
        <w:pStyle w:val="21"/>
        <w:numPr>
          <w:ilvl w:val="0"/>
          <w:numId w:val="0"/>
        </w:numPr>
        <w:kinsoku/>
        <w:autoSpaceDE w:val="0"/>
        <w:autoSpaceDN w:val="0"/>
        <w:bidi w:val="0"/>
        <w:spacing w:line="360" w:lineRule="auto"/>
        <w:ind w:leftChars="0" w:firstLine="422" w:firstLineChars="200"/>
        <w:outlineLvl w:val="2"/>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自验收合格之日起，</w:t>
      </w:r>
      <w:r>
        <w:rPr>
          <w:rFonts w:hint="eastAsia" w:ascii="宋体" w:hAnsi="宋体" w:cs="宋体"/>
          <w:b/>
          <w:bCs/>
          <w:color w:val="auto"/>
          <w:sz w:val="21"/>
          <w:szCs w:val="21"/>
          <w:highlight w:val="none"/>
          <w:lang w:val="en-US" w:eastAsia="zh-CN"/>
        </w:rPr>
        <w:t>不低于</w:t>
      </w:r>
      <w:r>
        <w:rPr>
          <w:rFonts w:hint="eastAsia" w:ascii="宋体" w:hAnsi="宋体" w:eastAsia="宋体" w:cs="宋体"/>
          <w:b/>
          <w:bCs/>
          <w:color w:val="auto"/>
          <w:sz w:val="21"/>
          <w:szCs w:val="21"/>
          <w:highlight w:val="none"/>
          <w:u w:val="none"/>
        </w:rPr>
        <w:t>3年免费质保</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single"/>
        </w:rPr>
        <w:t>国家和省市有关三包规定和厂商标准高于该要求的，应按相关规定和厂商标准执行</w:t>
      </w:r>
      <w:r>
        <w:rPr>
          <w:rFonts w:hint="eastAsia" w:ascii="宋体" w:hAnsi="宋体" w:eastAsia="宋体" w:cs="宋体"/>
          <w:color w:val="auto"/>
          <w:sz w:val="21"/>
          <w:szCs w:val="21"/>
          <w:highlight w:val="none"/>
        </w:rPr>
        <w:t>。质保期结束后，供货方对合同中的设备提供免费保修服务，如需更换零配件，供货方只收取零配件费。</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质保维修范围</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质保期内因供货方产品质量不可靠，导致产品非主观故意损坏或遗失，由供货方免费负责维修、更换。因台风、地震不可抗力因素或发生偷盗、人为恶意破坏导致产品损坏或遗失，不属于售后服务范围，但供货方需配合</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承担维修或更换工作，价格依产品审计单价按实结算。</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质保响应时间</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无论保修期内还是保修期外，供货方应满足</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售后服务的紧急需求，提供24小时的全方位技术支持和售后服务。对</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的故障通知，供货方在接报后1小时内响应，2小时内到达现场，4小时内处理完毕。若在12小时内仍未能有效解决故障的，供货方须免费提供同档次的货物给</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临时使用，确保</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的业务正常开展。</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货物维护培训</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供货方无偿培训</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操作使用与维修人员，主要内容包括但不限于货物的基本结构、性能、操作使用方法、主要部件的构造及修理，日常使用保养与管理，安全防范，常见故障的排除，紧急情况的处理等，培训时间按</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要求，培训地点主要在设备现场或按</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安排。</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缺陷保修要求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如果设备交付使用后，缺陷多次反复出现，供货方必须提出分析报告和解决方案，直到最后纠正缺陷，供货方提供的质保从纠正之日起重新计算质保期。</w:t>
      </w:r>
    </w:p>
    <w:p>
      <w:pPr>
        <w:pStyle w:val="21"/>
        <w:numPr>
          <w:ilvl w:val="0"/>
          <w:numId w:val="13"/>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货物退回处理</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供货方两次维修仍不能达到合同约定的质量标准和厂家的质量标准，</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有权单方面决定退货，并依法追究供货方的违约责任。</w:t>
      </w:r>
    </w:p>
    <w:p>
      <w:pPr>
        <w:pStyle w:val="21"/>
        <w:numPr>
          <w:ilvl w:val="0"/>
          <w:numId w:val="7"/>
        </w:numPr>
        <w:kinsoku/>
        <w:autoSpaceDE w:val="0"/>
        <w:autoSpaceDN w:val="0"/>
        <w:bidi w:val="0"/>
        <w:spacing w:line="360" w:lineRule="auto"/>
        <w:ind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要求</w:t>
      </w:r>
    </w:p>
    <w:p>
      <w:pPr>
        <w:pStyle w:val="21"/>
        <w:numPr>
          <w:ilvl w:val="0"/>
          <w:numId w:val="14"/>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报价清单编制要求</w:t>
      </w:r>
    </w:p>
    <w:p>
      <w:pPr>
        <w:pStyle w:val="21"/>
        <w:numPr>
          <w:ilvl w:val="0"/>
          <w:numId w:val="15"/>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投标报价范围</w:t>
      </w:r>
    </w:p>
    <w:p>
      <w:pPr>
        <w:pStyle w:val="21"/>
        <w:numPr>
          <w:ilvl w:val="0"/>
          <w:numId w:val="0"/>
        </w:numPr>
        <w:kinsoku/>
        <w:autoSpaceDE w:val="0"/>
        <w:autoSpaceDN w:val="0"/>
        <w:bidi w:val="0"/>
        <w:spacing w:line="360" w:lineRule="auto"/>
        <w:ind w:leftChars="0" w:firstLine="422" w:firstLineChars="20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投标报价应包括本项目按“交钥匙工程”竣工交付时所需全部费用</w:t>
      </w:r>
      <w:r>
        <w:rPr>
          <w:rFonts w:hint="eastAsia" w:ascii="宋体" w:hAnsi="宋体" w:eastAsia="宋体" w:cs="宋体"/>
          <w:color w:val="auto"/>
          <w:sz w:val="21"/>
          <w:szCs w:val="21"/>
          <w:highlight w:val="none"/>
        </w:rPr>
        <w:t>，包括但不限于：安装方案编制和修改完善，所有设备及配套设施采购、安装、施工、保修（执行国家相关规定）、竣工验收及相关服务等全过程的交钥匙工程全部内容，以及为完成上述内容所必须的包装、运输、附属工程、临时工程、开办费、技术措施费、工程施工过程现场服务咨询费、资料增加成本费、风险费（含设计变更）、材料、劳务、机械设备、安装、维护、管理、利润、税金、建筑垃圾清运费用（施工过程中产生的建筑垃圾，就地资源化利用或运至场外建筑垃圾具备资质的处置企业处置，且不得掺杂其他垃圾。垃圾处置费用由供货方自行考虑列入报价，结算时不再调整）、招标投标综合服务费、政策性文件规定费用等；相关设备应提供</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操作手册、配件备件等。供货方需踏勘现场、充分考虑现场情况后综合考虑，结算时不再调整。</w:t>
      </w:r>
    </w:p>
    <w:p>
      <w:pPr>
        <w:pStyle w:val="21"/>
        <w:numPr>
          <w:ilvl w:val="0"/>
          <w:numId w:val="15"/>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投标时货物单价为</w:t>
      </w:r>
      <w:r>
        <w:rPr>
          <w:rFonts w:hint="eastAsia" w:ascii="宋体" w:hAnsi="宋体" w:eastAsia="宋体" w:cs="宋体"/>
          <w:b/>
          <w:bCs/>
          <w:color w:val="auto"/>
          <w:sz w:val="21"/>
          <w:szCs w:val="21"/>
          <w:highlight w:val="none"/>
          <w:u w:val="none"/>
        </w:rPr>
        <w:t>全费用综合单价</w:t>
      </w:r>
      <w:r>
        <w:rPr>
          <w:rFonts w:hint="eastAsia" w:ascii="宋体" w:hAnsi="宋体" w:eastAsia="宋体" w:cs="宋体"/>
          <w:color w:val="auto"/>
          <w:sz w:val="21"/>
          <w:szCs w:val="21"/>
          <w:highlight w:val="none"/>
          <w:u w:val="none"/>
        </w:rPr>
        <w:t>。</w:t>
      </w:r>
      <w:r>
        <w:rPr>
          <w:rFonts w:hint="eastAsia" w:ascii="宋体" w:hAnsi="宋体" w:eastAsia="宋体" w:cs="宋体"/>
          <w:b/>
          <w:bCs/>
          <w:color w:val="auto"/>
          <w:sz w:val="21"/>
          <w:szCs w:val="21"/>
          <w:highlight w:val="none"/>
          <w:u w:val="none"/>
        </w:rPr>
        <w:t>报价清单中若有漏项、缺项、少算部分，视同分摊至其余综合单价中，结算时不予增加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除</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认可的方案变更引起的调整外，供货方不得提出任何增加费用的要求。</w:t>
      </w:r>
    </w:p>
    <w:p>
      <w:pPr>
        <w:pStyle w:val="21"/>
        <w:numPr>
          <w:ilvl w:val="0"/>
          <w:numId w:val="15"/>
        </w:numPr>
        <w:kinsoku/>
        <w:autoSpaceDE w:val="0"/>
        <w:autoSpaceDN w:val="0"/>
        <w:bidi w:val="0"/>
        <w:spacing w:line="360" w:lineRule="auto"/>
        <w:ind w:firstLineChars="0"/>
        <w:outlineLvl w:val="2"/>
        <w:rPr>
          <w:rFonts w:hint="eastAsia" w:ascii="宋体" w:hAnsi="宋体" w:eastAsia="宋体" w:cs="宋体"/>
          <w:b/>
          <w:bCs/>
          <w:color w:val="auto"/>
          <w:sz w:val="21"/>
          <w:szCs w:val="21"/>
          <w:highlight w:val="none"/>
          <w:u w:val="none"/>
        </w:rPr>
      </w:pPr>
      <w:r>
        <w:rPr>
          <w:rFonts w:hint="eastAsia" w:ascii="宋体" w:hAnsi="宋体" w:eastAsia="宋体" w:cs="宋体"/>
          <w:b/>
          <w:color w:val="auto"/>
          <w:sz w:val="21"/>
          <w:szCs w:val="21"/>
          <w:highlight w:val="none"/>
        </w:rPr>
        <w:t>现场踏勘要求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rPr>
        <w:t>供货方需自行组织</w:t>
      </w:r>
      <w:r>
        <w:rPr>
          <w:rFonts w:hint="eastAsia" w:ascii="宋体" w:hAnsi="宋体" w:eastAsia="宋体" w:cs="宋体"/>
          <w:b/>
          <w:color w:val="auto"/>
          <w:sz w:val="21"/>
          <w:szCs w:val="21"/>
          <w:highlight w:val="none"/>
        </w:rPr>
        <w:t>现场踏勘</w:t>
      </w:r>
      <w:r>
        <w:rPr>
          <w:rFonts w:hint="eastAsia" w:ascii="宋体" w:hAnsi="宋体" w:eastAsia="宋体" w:cs="宋体"/>
          <w:color w:val="auto"/>
          <w:sz w:val="21"/>
          <w:szCs w:val="21"/>
          <w:highlight w:val="none"/>
        </w:rPr>
        <w:t>，要结合设备安装实际情况勘测现场布线及辅材实际用量。</w:t>
      </w:r>
      <w:r>
        <w:rPr>
          <w:rFonts w:hint="eastAsia" w:ascii="宋体" w:hAnsi="宋体" w:eastAsia="宋体" w:cs="宋体"/>
          <w:b/>
          <w:bCs/>
          <w:color w:val="auto"/>
          <w:sz w:val="21"/>
          <w:szCs w:val="21"/>
          <w:highlight w:val="none"/>
          <w:u w:val="none"/>
        </w:rPr>
        <w:t>供货方无权因现场调查不周而修改有关文件或要求补偿。</w:t>
      </w:r>
    </w:p>
    <w:p>
      <w:pPr>
        <w:pStyle w:val="21"/>
        <w:numPr>
          <w:ilvl w:val="0"/>
          <w:numId w:val="14"/>
        </w:numPr>
        <w:tabs>
          <w:tab w:val="left" w:pos="484"/>
          <w:tab w:val="left" w:pos="550"/>
        </w:tabs>
        <w:kinsoku/>
        <w:bidi w:val="0"/>
        <w:spacing w:line="360" w:lineRule="auto"/>
        <w:ind w:firstLineChars="0"/>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货物资料完善要求</w:t>
      </w:r>
    </w:p>
    <w:p>
      <w:pPr>
        <w:pStyle w:val="21"/>
        <w:numPr>
          <w:ilvl w:val="0"/>
          <w:numId w:val="16"/>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货物参数优化</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供货方必须严格按照项目实施要求，结合现场实际条件，依据自己的工艺标准，在不低于本文件</w:t>
      </w:r>
      <w:r>
        <w:rPr>
          <w:rFonts w:hint="eastAsia" w:ascii="宋体" w:hAnsi="宋体" w:eastAsia="宋体" w:cs="宋体"/>
          <w:b/>
          <w:color w:val="auto"/>
          <w:sz w:val="21"/>
          <w:szCs w:val="21"/>
          <w:highlight w:val="none"/>
        </w:rPr>
        <w:t>要求参数的基础之上，编制完整的、准确的报价清单，进一步明确所选用的主材、辅材、设备等的品牌、规格、型号、参数等，并详述具体的安装工艺</w:t>
      </w:r>
      <w:r>
        <w:rPr>
          <w:rFonts w:hint="eastAsia" w:ascii="宋体" w:hAnsi="宋体" w:eastAsia="宋体" w:cs="宋体"/>
          <w:color w:val="auto"/>
          <w:sz w:val="21"/>
          <w:szCs w:val="21"/>
          <w:highlight w:val="none"/>
        </w:rPr>
        <w:t>。供货方对采购方案中规定的技术参数、规格、数量和要求等必须等于或高于招标文件提供的详细参数。</w:t>
      </w:r>
    </w:p>
    <w:p>
      <w:pPr>
        <w:pStyle w:val="21"/>
        <w:numPr>
          <w:ilvl w:val="0"/>
          <w:numId w:val="16"/>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货物供应保证</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供货方</w:t>
      </w:r>
      <w:r>
        <w:rPr>
          <w:rFonts w:hint="eastAsia" w:ascii="宋体" w:hAnsi="宋体" w:cs="宋体"/>
          <w:color w:val="auto"/>
          <w:sz w:val="21"/>
          <w:szCs w:val="21"/>
          <w:highlight w:val="none"/>
          <w:lang w:eastAsia="zh-CN"/>
        </w:rPr>
        <w:t>所投产品</w:t>
      </w:r>
      <w:r>
        <w:rPr>
          <w:rFonts w:hint="eastAsia" w:ascii="宋体" w:hAnsi="宋体" w:eastAsia="宋体" w:cs="宋体"/>
          <w:color w:val="auto"/>
          <w:sz w:val="21"/>
          <w:szCs w:val="21"/>
          <w:highlight w:val="none"/>
        </w:rPr>
        <w:t>货物型号必须是真实存在的且尚未停产，在供货周期内按照所投设施设备的品牌、型号、规格参数供应设施设备，否则供货方需处以该货物3倍以上罚款。</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供货方所投产品符合国家、省、市节能、环保要求（</w:t>
      </w:r>
      <w:r>
        <w:rPr>
          <w:rFonts w:hint="eastAsia" w:ascii="宋体" w:hAnsi="宋体" w:eastAsia="宋体" w:cs="宋体"/>
          <w:color w:val="auto"/>
          <w:sz w:val="21"/>
          <w:szCs w:val="21"/>
          <w:highlight w:val="none"/>
        </w:rPr>
        <w:t>节能产品认证应依据相关国家标准的最新版本</w:t>
      </w:r>
      <w:r>
        <w:rPr>
          <w:rFonts w:hint="eastAsia" w:ascii="宋体" w:hAnsi="宋体" w:cs="宋体"/>
          <w:color w:val="auto"/>
          <w:sz w:val="21"/>
          <w:szCs w:val="21"/>
          <w:highlight w:val="none"/>
          <w:lang w:val="en-US" w:eastAsia="zh-CN"/>
        </w:rPr>
        <w:t>）。</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供货方所供货物应当按照《财政部 生态环境部 工业和信息化部关于印发&lt;绿色数据中心政府采购需求标准（试行）&gt;的通知》（</w:t>
      </w:r>
      <w:bookmarkStart w:id="30" w:name="sendNo"/>
      <w:r>
        <w:rPr>
          <w:rFonts w:hint="eastAsia" w:ascii="宋体" w:hAnsi="宋体" w:eastAsia="宋体" w:cs="宋体"/>
          <w:color w:val="auto"/>
          <w:sz w:val="21"/>
          <w:szCs w:val="21"/>
          <w:highlight w:val="none"/>
          <w:lang w:val="en-US" w:eastAsia="zh-CN"/>
        </w:rPr>
        <w:t>财库〔2023</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7</w:t>
      </w:r>
      <w:r>
        <w:rPr>
          <w:rFonts w:hint="default" w:ascii="宋体" w:hAnsi="宋体" w:eastAsia="宋体" w:cs="宋体"/>
          <w:color w:val="auto"/>
          <w:sz w:val="21"/>
          <w:szCs w:val="21"/>
          <w:highlight w:val="none"/>
          <w:lang w:val="en-US" w:eastAsia="zh-CN"/>
        </w:rPr>
        <w:t>号</w:t>
      </w:r>
      <w:bookmarkEnd w:id="30"/>
      <w:r>
        <w:rPr>
          <w:rFonts w:hint="eastAsia" w:ascii="宋体" w:hAnsi="宋体" w:eastAsia="宋体" w:cs="宋体"/>
          <w:color w:val="auto"/>
          <w:sz w:val="21"/>
          <w:szCs w:val="21"/>
          <w:highlight w:val="none"/>
          <w:lang w:val="en-US" w:eastAsia="zh-CN"/>
        </w:rPr>
        <w:t>）提供本项目所需设备及服务。</w:t>
      </w:r>
    </w:p>
    <w:p>
      <w:pPr>
        <w:pStyle w:val="21"/>
        <w:numPr>
          <w:ilvl w:val="0"/>
          <w:numId w:val="16"/>
        </w:numPr>
        <w:kinsoku/>
        <w:autoSpaceDE w:val="0"/>
        <w:autoSpaceDN w:val="0"/>
        <w:bidi w:val="0"/>
        <w:spacing w:line="360" w:lineRule="auto"/>
        <w:ind w:firstLineChars="0"/>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货物品牌要求</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清单中所列品牌（如有）均为参考品牌，不作为指定品牌，供货方可以自行选择其它品牌报价，但各投标单位必须在投标文件中提供相关证明材料证明所报产品品质、档次、性能、技术参数相当于或优于参考品牌，否则其投标无效。</w:t>
      </w:r>
    </w:p>
    <w:p>
      <w:pPr>
        <w:pStyle w:val="21"/>
        <w:numPr>
          <w:ilvl w:val="0"/>
          <w:numId w:val="0"/>
        </w:numPr>
        <w:kinsoku/>
        <w:autoSpaceDE w:val="0"/>
        <w:autoSpaceDN w:val="0"/>
        <w:bidi w:val="0"/>
        <w:spacing w:line="360" w:lineRule="auto"/>
        <w:ind w:leftChars="0"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或者</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委托评标委员会按照招标文件规定的方式确定一个投标人获得中标人推荐资格，招标文件未规定的采取随机抽取方式确定，其他同品牌投标人不作为中标候选人。</w:t>
      </w:r>
    </w:p>
    <w:p>
      <w:pPr>
        <w:widowControl/>
        <w:numPr>
          <w:ilvl w:val="0"/>
          <w:numId w:val="14"/>
        </w:numPr>
        <w:kinsoku/>
        <w:bidi w:val="0"/>
        <w:spacing w:line="360" w:lineRule="auto"/>
        <w:ind w:left="0" w:leftChars="0" w:firstLine="0" w:firstLineChars="0"/>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付款方式</w:t>
      </w:r>
      <w:bookmarkStart w:id="31" w:name="_Toc15397"/>
    </w:p>
    <w:p>
      <w:pPr>
        <w:widowControl/>
        <w:numPr>
          <w:ilvl w:val="0"/>
          <w:numId w:val="0"/>
        </w:numPr>
        <w:kinsoku/>
        <w:bidi w:val="0"/>
        <w:spacing w:line="360" w:lineRule="auto"/>
        <w:ind w:leftChars="0"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 xml:space="preserve"> 合同签订，完成需求确认后甲方向乙方支付合同总金额的30%；项目通过审计验收后，甲方向乙方支付至审定总金额的97%；履约满后，付清尾款。</w:t>
      </w:r>
    </w:p>
    <w:p>
      <w:pPr>
        <w:keepNext/>
        <w:keepLines/>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kinsoku/>
        <w:overflowPunct/>
        <w:bidi w:val="0"/>
        <w:spacing w:before="340" w:after="330" w:line="360" w:lineRule="auto"/>
        <w:jc w:val="center"/>
        <w:textAlignment w:val="auto"/>
        <w:outlineLvl w:val="0"/>
        <w:rPr>
          <w:rFonts w:ascii="Times New Roman" w:hAnsi="Times New Roman"/>
          <w:b/>
          <w:color w:val="auto"/>
          <w:kern w:val="44"/>
          <w:sz w:val="21"/>
          <w:szCs w:val="21"/>
          <w:highlight w:val="none"/>
        </w:rPr>
      </w:pPr>
      <w:r>
        <w:rPr>
          <w:rFonts w:hint="eastAsia" w:ascii="Times New Roman" w:hAnsi="Times New Roman"/>
          <w:b/>
          <w:color w:val="auto"/>
          <w:kern w:val="44"/>
          <w:sz w:val="21"/>
          <w:szCs w:val="21"/>
          <w:highlight w:val="none"/>
        </w:rPr>
        <w:t>第五章</w:t>
      </w: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评</w:t>
      </w: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审</w:t>
      </w: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办</w:t>
      </w:r>
      <w:r>
        <w:rPr>
          <w:rFonts w:ascii="Times New Roman" w:hAnsi="Times New Roman"/>
          <w:b/>
          <w:color w:val="auto"/>
          <w:kern w:val="44"/>
          <w:sz w:val="21"/>
          <w:szCs w:val="21"/>
          <w:highlight w:val="none"/>
        </w:rPr>
        <w:t xml:space="preserve"> </w:t>
      </w:r>
      <w:r>
        <w:rPr>
          <w:rFonts w:hint="eastAsia" w:ascii="Times New Roman" w:hAnsi="Times New Roman"/>
          <w:b/>
          <w:color w:val="auto"/>
          <w:kern w:val="44"/>
          <w:sz w:val="21"/>
          <w:szCs w:val="21"/>
          <w:highlight w:val="none"/>
        </w:rPr>
        <w:t>法</w:t>
      </w:r>
      <w:bookmarkEnd w:id="31"/>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bookmarkStart w:id="32" w:name="EB41ab225cafa04b3cae8183c7622128f1"/>
      <w:bookmarkEnd w:id="32"/>
      <w:r>
        <w:rPr>
          <w:rFonts w:hint="eastAsia" w:ascii="宋体" w:hAnsi="宋体" w:cs="宋体"/>
          <w:bCs/>
          <w:color w:val="auto"/>
          <w:sz w:val="21"/>
          <w:szCs w:val="21"/>
          <w:highlight w:val="none"/>
        </w:rPr>
        <w:t>为做好招标投标工作，根据国家有关规定特制订本标准及办法。</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1.</w:t>
      </w:r>
      <w:r>
        <w:rPr>
          <w:rFonts w:hint="eastAsia" w:ascii="宋体" w:hAnsi="宋体" w:cs="宋体"/>
          <w:bCs/>
          <w:color w:val="auto"/>
          <w:sz w:val="21"/>
          <w:szCs w:val="21"/>
          <w:highlight w:val="none"/>
        </w:rPr>
        <w:t>评标办法</w:t>
      </w:r>
      <w:r>
        <w:rPr>
          <w:rFonts w:hint="eastAsia" w:ascii="宋体" w:hAnsi="宋体" w:cs="宋体"/>
          <w:bCs/>
          <w:color w:val="auto"/>
          <w:sz w:val="21"/>
          <w:szCs w:val="21"/>
          <w:highlight w:val="none"/>
          <w:lang w:eastAsia="zh-CN"/>
        </w:rPr>
        <w:t>制定</w:t>
      </w:r>
      <w:r>
        <w:rPr>
          <w:rFonts w:hint="eastAsia" w:ascii="宋体" w:hAnsi="宋体" w:cs="宋体"/>
          <w:bCs/>
          <w:color w:val="auto"/>
          <w:sz w:val="21"/>
          <w:szCs w:val="21"/>
          <w:highlight w:val="none"/>
        </w:rPr>
        <w:t>依据</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政府采购</w:t>
      </w:r>
      <w:r>
        <w:rPr>
          <w:rFonts w:hint="eastAsia" w:ascii="宋体" w:hAnsi="宋体" w:cs="宋体"/>
          <w:bCs/>
          <w:color w:val="auto"/>
          <w:sz w:val="21"/>
          <w:szCs w:val="21"/>
          <w:highlight w:val="none"/>
          <w:lang w:val="en-US" w:eastAsia="zh-CN"/>
        </w:rPr>
        <w:t>法律</w:t>
      </w:r>
      <w:r>
        <w:rPr>
          <w:rFonts w:hint="eastAsia" w:ascii="宋体" w:hAnsi="宋体" w:cs="宋体"/>
          <w:bCs/>
          <w:color w:val="auto"/>
          <w:sz w:val="21"/>
          <w:szCs w:val="21"/>
          <w:highlight w:val="none"/>
        </w:rPr>
        <w:t>法规、制度。</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2.</w:t>
      </w:r>
      <w:r>
        <w:rPr>
          <w:rFonts w:hint="eastAsia" w:ascii="宋体" w:hAnsi="宋体" w:cs="宋体"/>
          <w:bCs/>
          <w:color w:val="auto"/>
          <w:sz w:val="21"/>
          <w:szCs w:val="21"/>
          <w:highlight w:val="none"/>
        </w:rPr>
        <w:t>评标原则</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评标活动遵循</w:t>
      </w:r>
      <w:r>
        <w:rPr>
          <w:rFonts w:hint="eastAsia" w:ascii="宋体" w:hAnsi="宋体" w:cs="宋体"/>
          <w:bCs/>
          <w:color w:val="auto"/>
          <w:sz w:val="21"/>
          <w:szCs w:val="21"/>
          <w:highlight w:val="none"/>
          <w:lang w:val="en-US" w:eastAsia="zh-CN"/>
        </w:rPr>
        <w:t>客观、</w:t>
      </w:r>
      <w:r>
        <w:rPr>
          <w:rFonts w:hint="eastAsia" w:ascii="宋体" w:hAnsi="宋体" w:cs="宋体"/>
          <w:bCs/>
          <w:color w:val="auto"/>
          <w:sz w:val="21"/>
          <w:szCs w:val="21"/>
          <w:highlight w:val="none"/>
        </w:rPr>
        <w:t>公正、</w:t>
      </w:r>
      <w:r>
        <w:rPr>
          <w:rFonts w:hint="eastAsia" w:ascii="宋体" w:hAnsi="宋体" w:cs="宋体"/>
          <w:bCs/>
          <w:color w:val="auto"/>
          <w:sz w:val="21"/>
          <w:szCs w:val="21"/>
          <w:highlight w:val="none"/>
          <w:lang w:val="en-US" w:eastAsia="zh-CN"/>
        </w:rPr>
        <w:t>审慎</w:t>
      </w:r>
      <w:r>
        <w:rPr>
          <w:rFonts w:hint="eastAsia" w:ascii="宋体" w:hAnsi="宋体" w:cs="宋体"/>
          <w:bCs/>
          <w:color w:val="auto"/>
          <w:sz w:val="21"/>
          <w:szCs w:val="21"/>
          <w:highlight w:val="none"/>
        </w:rPr>
        <w:t>的原则。</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3.</w:t>
      </w:r>
      <w:r>
        <w:rPr>
          <w:rFonts w:hint="eastAsia" w:ascii="宋体" w:hAnsi="宋体" w:cs="宋体"/>
          <w:bCs/>
          <w:color w:val="auto"/>
          <w:sz w:val="21"/>
          <w:szCs w:val="21"/>
          <w:highlight w:val="none"/>
        </w:rPr>
        <w:t>评标机构</w:t>
      </w:r>
    </w:p>
    <w:p>
      <w:pPr>
        <w:kinsoku/>
        <w:overflowPunct/>
        <w:bidi w:val="0"/>
        <w:spacing w:line="360" w:lineRule="auto"/>
        <w:ind w:firstLine="420" w:firstLineChars="200"/>
        <w:textAlignment w:val="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评标委员会由 </w:t>
      </w:r>
      <w:r>
        <w:rPr>
          <w:rFonts w:hint="eastAsia" w:ascii="宋体" w:hAnsi="宋体" w:cs="宋体"/>
          <w:b w:val="0"/>
          <w:bCs/>
          <w:color w:val="auto"/>
          <w:sz w:val="21"/>
          <w:szCs w:val="21"/>
          <w:highlight w:val="none"/>
          <w:lang w:val="en-US" w:eastAsia="zh-CN"/>
        </w:rPr>
        <w:t>5</w:t>
      </w:r>
      <w:r>
        <w:rPr>
          <w:rFonts w:hint="eastAsia" w:ascii="宋体" w:hAnsi="宋体" w:cs="宋体"/>
          <w:b w:val="0"/>
          <w:bCs/>
          <w:color w:val="auto"/>
          <w:sz w:val="21"/>
          <w:szCs w:val="21"/>
          <w:highlight w:val="none"/>
        </w:rPr>
        <w:t xml:space="preserve">人（含 </w:t>
      </w:r>
      <w:r>
        <w:rPr>
          <w:rFonts w:hint="eastAsia" w:ascii="宋体" w:hAnsi="宋体" w:cs="宋体"/>
          <w:b w:val="0"/>
          <w:bCs/>
          <w:color w:val="auto"/>
          <w:sz w:val="21"/>
          <w:szCs w:val="21"/>
          <w:highlight w:val="none"/>
          <w:lang w:val="en-US" w:eastAsia="zh-CN"/>
        </w:rPr>
        <w:t>5</w:t>
      </w:r>
      <w:r>
        <w:rPr>
          <w:rFonts w:hint="eastAsia" w:ascii="宋体" w:hAnsi="宋体" w:cs="宋体"/>
          <w:b w:val="0"/>
          <w:bCs/>
          <w:color w:val="auto"/>
          <w:sz w:val="21"/>
          <w:szCs w:val="21"/>
          <w:highlight w:val="none"/>
        </w:rPr>
        <w:t>人）以上单数的评委组成。开标前，按照政府采购评审专家管理的有关规定产生专家评委。</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4.</w:t>
      </w:r>
      <w:r>
        <w:rPr>
          <w:rFonts w:hint="eastAsia" w:ascii="宋体" w:hAnsi="宋体" w:cs="宋体"/>
          <w:bCs/>
          <w:color w:val="auto"/>
          <w:sz w:val="21"/>
          <w:szCs w:val="21"/>
          <w:highlight w:val="none"/>
        </w:rPr>
        <w:t>评标程序</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（一）</w:t>
      </w:r>
      <w:r>
        <w:rPr>
          <w:rFonts w:hint="eastAsia" w:ascii="宋体" w:hAnsi="宋体" w:cs="宋体"/>
          <w:color w:val="auto"/>
          <w:sz w:val="21"/>
          <w:szCs w:val="21"/>
          <w:highlight w:val="none"/>
        </w:rPr>
        <w:t>由于本项目资格审查采用“资格后审法”，因此只有通过资格审查的投标人的投标文件才可进入详细评审。</w:t>
      </w:r>
      <w:r>
        <w:rPr>
          <w:rFonts w:hint="eastAsia" w:ascii="宋体" w:hAnsi="宋体" w:cs="宋体"/>
          <w:bCs/>
          <w:color w:val="auto"/>
          <w:sz w:val="21"/>
          <w:szCs w:val="21"/>
          <w:highlight w:val="none"/>
        </w:rPr>
        <w:t>资格审查将由</w:t>
      </w:r>
      <w:r>
        <w:rPr>
          <w:rFonts w:hint="eastAsia" w:ascii="宋体" w:hAnsi="宋体" w:cs="宋体"/>
          <w:bCs/>
          <w:color w:val="auto"/>
          <w:sz w:val="21"/>
          <w:szCs w:val="21"/>
          <w:highlight w:val="none"/>
          <w:lang w:eastAsia="zh-CN"/>
        </w:rPr>
        <w:t>招标人</w:t>
      </w:r>
      <w:r>
        <w:rPr>
          <w:rFonts w:hint="eastAsia" w:ascii="宋体" w:hAnsi="宋体" w:cs="宋体"/>
          <w:bCs/>
          <w:color w:val="auto"/>
          <w:sz w:val="21"/>
          <w:szCs w:val="21"/>
          <w:highlight w:val="none"/>
        </w:rPr>
        <w:t>在开标后评审前对所有投标人进行资格审查，通过资格审查的投标人才能继续参加评审。</w:t>
      </w:r>
    </w:p>
    <w:p>
      <w:pPr>
        <w:widowControl/>
        <w:kinsoku/>
        <w:overflowPunct/>
        <w:bidi w:val="0"/>
        <w:spacing w:line="360" w:lineRule="auto"/>
        <w:ind w:firstLine="420" w:firstLineChars="200"/>
        <w:jc w:val="left"/>
        <w:textAlignment w:val="auto"/>
        <w:rPr>
          <w:rFonts w:hint="eastAsia" w:ascii="宋体" w:hAnsi="宋体" w:cs="宋体"/>
          <w:b/>
          <w:color w:val="auto"/>
          <w:sz w:val="21"/>
          <w:szCs w:val="21"/>
          <w:highlight w:val="none"/>
        </w:rPr>
      </w:pPr>
      <w:r>
        <w:rPr>
          <w:rFonts w:hint="eastAsia" w:ascii="宋体" w:hAnsi="宋体" w:cs="宋体"/>
          <w:bCs/>
          <w:color w:val="auto"/>
          <w:sz w:val="21"/>
          <w:szCs w:val="21"/>
          <w:highlight w:val="none"/>
        </w:rPr>
        <w:t>（二）</w:t>
      </w:r>
      <w:r>
        <w:rPr>
          <w:rFonts w:hint="eastAsia" w:ascii="宋体" w:hAnsi="宋体" w:cs="宋体"/>
          <w:color w:val="auto"/>
          <w:sz w:val="21"/>
          <w:szCs w:val="21"/>
          <w:highlight w:val="none"/>
        </w:rPr>
        <w:t>评标委员会首先对各投标文件进行符合性审查，未通过审查的为无效标。</w:t>
      </w:r>
    </w:p>
    <w:p>
      <w:pPr>
        <w:widowControl/>
        <w:kinsoku/>
        <w:overflowPunct/>
        <w:bidi w:val="0"/>
        <w:spacing w:line="360" w:lineRule="auto"/>
        <w:ind w:firstLine="420" w:firstLineChars="200"/>
        <w:jc w:val="left"/>
        <w:textAlignment w:val="auto"/>
        <w:rPr>
          <w:rFonts w:hint="eastAsia" w:ascii="宋体" w:hAnsi="宋体" w:cs="宋体"/>
          <w:b/>
          <w:color w:val="auto"/>
          <w:sz w:val="21"/>
          <w:szCs w:val="21"/>
          <w:highlight w:val="none"/>
        </w:rPr>
      </w:pPr>
      <w:r>
        <w:rPr>
          <w:rFonts w:hint="eastAsia" w:ascii="宋体" w:hAnsi="宋体" w:cs="宋体"/>
          <w:color w:val="auto"/>
          <w:sz w:val="21"/>
          <w:szCs w:val="21"/>
          <w:highlight w:val="none"/>
        </w:rPr>
        <w:t>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 w:val="21"/>
          <w:szCs w:val="21"/>
          <w:highlight w:val="none"/>
        </w:rPr>
        <w:t>审查并逐项列出投标文件的全部投标偏差。投标偏差分为重大偏差和细微偏差</w:t>
      </w:r>
      <w:r>
        <w:rPr>
          <w:rFonts w:hint="eastAsia" w:ascii="宋体" w:hAnsi="宋体" w:cs="宋体"/>
          <w:color w:val="auto"/>
          <w:sz w:val="21"/>
          <w:szCs w:val="21"/>
          <w:highlight w:val="none"/>
        </w:rPr>
        <w:t>。</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下列情况属于重大偏差：</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（1）</w:t>
      </w:r>
      <w:r>
        <w:rPr>
          <w:rFonts w:hint="eastAsia" w:ascii="宋体" w:hAnsi="宋体" w:cs="宋体"/>
          <w:bCs/>
          <w:color w:val="auto"/>
          <w:sz w:val="21"/>
          <w:szCs w:val="21"/>
          <w:highlight w:val="none"/>
          <w:lang w:val="en-US" w:eastAsia="zh-CN"/>
        </w:rPr>
        <w:t>要求盖章签字</w:t>
      </w:r>
      <w:r>
        <w:rPr>
          <w:rFonts w:hint="eastAsia" w:ascii="宋体" w:hAnsi="宋体" w:cs="宋体"/>
          <w:bCs/>
          <w:color w:val="auto"/>
          <w:sz w:val="21"/>
          <w:szCs w:val="21"/>
          <w:highlight w:val="none"/>
        </w:rPr>
        <w:t>无单位盖章，无法定代表人或法定代表人授权的代理人签字或盖章的；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（2）无法定代表人出具的授权委托书的；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（3）未按规定的格式填写，内容不全或关键字迹模糊、无法辨认的；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（4）投标人递交两份或多份内容不同的投标文件，或在一份投标文件中对同一招标货物报有两个或多个报价，且未声明哪一个为最终报价的，按招标文件规定提交备选投标方案的除外；</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（5）投标人名称或组织结构与本次投标报名时不一致且未提供有效证明的；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（6）投标有效期不满足招标文件要求的；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（7）招标文件明确规定可以废标的其他情形。</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①投标函无投标人盖章，无法定代表人或法定代表人授权的代理人签字或盖章的；</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②授权委托书无法定代表人（或代理人）手签或法人印章；</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③投标文件中含有虚假材料；</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④其他不满足法律法规、招标文件规定或评标委员会讨论通过确定为废标的情形。</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投标文件出现上述情形之一的，属未能对招标文件作出实质性的响应，作废标处理。</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在评标过程中，评标委员会发现投标人以他人名义投标、串通投标、以行贿手段谋取中标或者以其他弄虚作假方式投标的，该投标人的投标作废标处理。</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三）评标委员会以书面方式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bCs/>
          <w:color w:val="auto"/>
          <w:sz w:val="21"/>
          <w:szCs w:val="21"/>
          <w:highlight w:val="none"/>
        </w:rPr>
        <w:t>（四）</w:t>
      </w:r>
      <w:r>
        <w:rPr>
          <w:rFonts w:hint="eastAsia" w:ascii="宋体" w:hAnsi="宋体" w:cs="宋体"/>
          <w:color w:val="auto"/>
          <w:sz w:val="21"/>
          <w:szCs w:val="21"/>
          <w:highlight w:val="none"/>
        </w:rPr>
        <w:t xml:space="preserve"> 投标文件算术错误的修正：</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投标文件中的大写金额与小写金额不一致的，以大写金额为准；</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总价金额与依据单价计算出的结果不一致的，以单价金额为准修正总价，但单价金额小数点有明显错误的除外。</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（五）报价评审及细微偏差量化；</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（六）评委评价投标文件。评委阅读、审查、评价投标文件，依据评分标准进行有记名打分；</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（七）根据实际需要，对有关投标人进行核实和考察；</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（八）评标委员会在评标过程中发现的问题，应及时作出处理或者向招标人提出处理建议，并作出书面记录；</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（九）计算经综合评审的评分，综合评分为各评委评分的算术平均值；</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（十）评标委员会完成评标后，向招标人提出书面评标报告。</w:t>
      </w:r>
    </w:p>
    <w:p>
      <w:pPr>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bCs/>
          <w:color w:val="auto"/>
          <w:sz w:val="21"/>
          <w:szCs w:val="21"/>
          <w:highlight w:val="none"/>
        </w:rPr>
        <w:t>（十一）</w:t>
      </w:r>
      <w:r>
        <w:rPr>
          <w:rFonts w:hint="eastAsia" w:ascii="宋体" w:hAnsi="宋体" w:cs="宋体"/>
          <w:color w:val="auto"/>
          <w:sz w:val="21"/>
          <w:szCs w:val="21"/>
          <w:highlight w:val="none"/>
        </w:rPr>
        <w:t>中标人的确定</w:t>
      </w:r>
    </w:p>
    <w:p>
      <w:pPr>
        <w:kinsoku/>
        <w:overflowPunct/>
        <w:bidi w:val="0"/>
        <w:spacing w:line="360" w:lineRule="auto"/>
        <w:ind w:firstLine="420" w:firstLineChars="200"/>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本次招标项目的评标办法采用“综合评分法”。评标委员会仅对确定为实质上响应招标文件要求的投标进行评价和比较。</w:t>
      </w:r>
    </w:p>
    <w:p>
      <w:pPr>
        <w:kinsoku/>
        <w:overflowPunct/>
        <w:bidi w:val="0"/>
        <w:spacing w:line="360" w:lineRule="auto"/>
        <w:ind w:firstLine="422" w:firstLineChars="200"/>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rPr>
        <w:t>评标委员会根据综合评分高低进行排序确定中标候选单位。若综合得分相同，按商务标报价分由高到低顺序排列；若综合得分相同且商务标报价分相同，按技术标得分由高到低顺序排列。</w:t>
      </w:r>
      <w:r>
        <w:rPr>
          <w:rFonts w:hint="eastAsia" w:ascii="宋体" w:hAnsi="宋体" w:cs="宋体"/>
          <w:b/>
          <w:bCs/>
          <w:color w:val="auto"/>
          <w:sz w:val="21"/>
          <w:szCs w:val="21"/>
          <w:highlight w:val="none"/>
          <w:lang w:eastAsia="zh-CN"/>
        </w:rPr>
        <w:t>招标人</w:t>
      </w:r>
      <w:r>
        <w:rPr>
          <w:rFonts w:hint="eastAsia" w:ascii="宋体" w:hAnsi="宋体" w:cs="宋体"/>
          <w:b/>
          <w:bCs/>
          <w:color w:val="auto"/>
          <w:sz w:val="21"/>
          <w:szCs w:val="21"/>
          <w:highlight w:val="none"/>
        </w:rPr>
        <w:t>确定排名第一的中标候选单位为本项目</w:t>
      </w:r>
      <w:r>
        <w:rPr>
          <w:rFonts w:hint="eastAsia" w:ascii="宋体" w:hAnsi="宋体" w:cs="宋体"/>
          <w:b/>
          <w:bCs/>
          <w:color w:val="auto"/>
          <w:sz w:val="21"/>
          <w:szCs w:val="21"/>
          <w:highlight w:val="none"/>
          <w:lang w:eastAsia="zh-CN"/>
        </w:rPr>
        <w:t>中标人。</w:t>
      </w:r>
    </w:p>
    <w:p>
      <w:pPr>
        <w:pStyle w:val="16"/>
        <w:kinsoku/>
        <w:bidi w:val="0"/>
        <w:spacing w:line="360" w:lineRule="auto"/>
        <w:jc w:val="center"/>
        <w:rPr>
          <w:rFonts w:hint="default"/>
          <w:sz w:val="21"/>
          <w:szCs w:val="21"/>
          <w:highlight w:val="none"/>
          <w:lang w:val="en-US" w:eastAsia="zh-CN"/>
        </w:rPr>
      </w:pPr>
      <w:r>
        <w:rPr>
          <w:rFonts w:hint="eastAsia" w:ascii="宋体" w:hAnsi="宋体" w:cs="宋体"/>
          <w:b/>
          <w:bCs/>
          <w:color w:val="auto"/>
          <w:sz w:val="21"/>
          <w:szCs w:val="21"/>
          <w:highlight w:val="none"/>
          <w:lang w:val="en-US" w:eastAsia="zh-CN"/>
        </w:rPr>
        <w:t>评审标准</w:t>
      </w:r>
    </w:p>
    <w:tbl>
      <w:tblPr>
        <w:tblStyle w:val="19"/>
        <w:tblW w:w="8789" w:type="dxa"/>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764"/>
        <w:gridCol w:w="975"/>
        <w:gridCol w:w="1275"/>
        <w:gridCol w:w="49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850" w:type="dxa"/>
            <w:tcBorders>
              <w:tl2br w:val="nil"/>
              <w:tr2bl w:val="nil"/>
            </w:tcBorders>
            <w:shd w:val="clear" w:color="auto" w:fill="auto"/>
            <w:vAlign w:val="center"/>
          </w:tcPr>
          <w:p>
            <w:pPr>
              <w:widowControl/>
              <w:kinsoku/>
              <w:bidi w:val="0"/>
              <w:spacing w:line="360" w:lineRule="auto"/>
              <w:jc w:val="center"/>
              <w:textAlignment w:val="center"/>
              <w:rPr>
                <w:rFonts w:hint="default" w:ascii="宋体" w:hAnsi="宋体" w:eastAsia="宋体" w:cs="宋体"/>
                <w:b/>
                <w:bCs/>
                <w:color w:val="000000"/>
                <w:sz w:val="21"/>
                <w:szCs w:val="21"/>
                <w:highlight w:val="none"/>
                <w:lang w:val="en-US" w:eastAsia="zh-CN"/>
              </w:rPr>
            </w:pPr>
            <w:bookmarkStart w:id="33" w:name="_Toc15528"/>
            <w:r>
              <w:rPr>
                <w:rFonts w:hint="eastAsia" w:ascii="宋体" w:hAnsi="宋体" w:eastAsia="宋体" w:cs="宋体"/>
                <w:b/>
                <w:bCs/>
                <w:color w:val="000000"/>
                <w:sz w:val="21"/>
                <w:szCs w:val="21"/>
                <w:highlight w:val="none"/>
                <w:lang w:val="en-US" w:eastAsia="zh-CN"/>
              </w:rPr>
              <w:t>序号</w:t>
            </w:r>
          </w:p>
        </w:tc>
        <w:tc>
          <w:tcPr>
            <w:tcW w:w="764" w:type="dxa"/>
            <w:tcBorders>
              <w:tl2br w:val="nil"/>
              <w:tr2bl w:val="nil"/>
            </w:tcBorders>
            <w:shd w:val="clear" w:color="auto" w:fill="auto"/>
            <w:vAlign w:val="center"/>
          </w:tcPr>
          <w:p>
            <w:pPr>
              <w:widowControl/>
              <w:kinsoku/>
              <w:bidi w:val="0"/>
              <w:spacing w:line="360" w:lineRule="auto"/>
              <w:jc w:val="center"/>
              <w:textAlignment w:val="center"/>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评审因素</w:t>
            </w: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分值</w:t>
            </w:r>
          </w:p>
        </w:tc>
        <w:tc>
          <w:tcPr>
            <w:tcW w:w="6200" w:type="dxa"/>
            <w:gridSpan w:val="2"/>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评分细则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850"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w:t>
            </w:r>
          </w:p>
        </w:tc>
        <w:tc>
          <w:tcPr>
            <w:tcW w:w="764"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商务部分</w:t>
            </w: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报价</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30分</w:t>
            </w:r>
          </w:p>
        </w:tc>
        <w:tc>
          <w:tcPr>
            <w:tcW w:w="6200" w:type="dxa"/>
            <w:gridSpan w:val="2"/>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按满足招标文件要求且有效投标价格最低的投标报价作为评审基准价，其价格分为满分；其他投标人的价格分按以下公式计算：投标报价得分＝（评标基准价/投标报价）×30 分。</w:t>
            </w:r>
            <w:r>
              <w:rPr>
                <w:rFonts w:hint="eastAsia" w:ascii="宋体" w:hAnsi="宋体" w:eastAsia="宋体" w:cs="宋体"/>
                <w:color w:val="000000"/>
                <w:kern w:val="0"/>
                <w:sz w:val="21"/>
                <w:szCs w:val="21"/>
                <w:highlight w:val="none"/>
                <w:lang w:val="en-US" w:eastAsia="zh-CN" w:bidi="ar"/>
              </w:rPr>
              <w:t>结果保留两位小数。</w:t>
            </w:r>
          </w:p>
          <w:p>
            <w:pPr>
              <w:widowControl/>
              <w:kinsoku/>
              <w:bidi w:val="0"/>
              <w:spacing w:line="360" w:lineRule="auto"/>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b/>
                <w:bCs/>
                <w:highlight w:val="none"/>
                <w:lang w:val="en-US" w:eastAsia="zh-CN"/>
              </w:rPr>
              <w:t>注：</w:t>
            </w:r>
            <w:r>
              <w:rPr>
                <w:rFonts w:hint="eastAsia" w:ascii="宋体" w:hAnsi="宋体" w:cs="宋体"/>
                <w:b/>
                <w:bCs/>
                <w:highlight w:val="none"/>
              </w:rPr>
              <w:t>对满足价格扣除条件且在</w:t>
            </w:r>
            <w:r>
              <w:rPr>
                <w:rFonts w:hint="eastAsia" w:ascii="宋体" w:hAnsi="宋体" w:cs="宋体"/>
                <w:b/>
                <w:bCs/>
                <w:highlight w:val="none"/>
                <w:lang w:val="en-US" w:eastAsia="zh-CN"/>
              </w:rPr>
              <w:t>投标</w:t>
            </w:r>
            <w:r>
              <w:rPr>
                <w:rFonts w:hint="eastAsia" w:ascii="宋体" w:hAnsi="宋体" w:cs="宋体"/>
                <w:b/>
                <w:bCs/>
                <w:highlight w:val="none"/>
              </w:rPr>
              <w:t>文件中提交了《中小企业声明函》等证明文件的供应商，对小型和微型企业产品的价格给予10%的扣除。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8" w:hRule="atLeast"/>
        </w:trPr>
        <w:tc>
          <w:tcPr>
            <w:tcW w:w="850" w:type="dxa"/>
            <w:tcBorders>
              <w:tl2br w:val="nil"/>
              <w:tr2bl w:val="nil"/>
            </w:tcBorders>
            <w:shd w:val="clear" w:color="auto" w:fill="auto"/>
            <w:vAlign w:val="center"/>
          </w:tcPr>
          <w:p>
            <w:pPr>
              <w:widowControl/>
              <w:kinsoku/>
              <w:bidi w:val="0"/>
              <w:spacing w:line="360" w:lineRule="auto"/>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c>
          <w:tcPr>
            <w:tcW w:w="764" w:type="dxa"/>
            <w:vMerge w:val="restart"/>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综合实力</w:t>
            </w: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投标人实力</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2分</w:t>
            </w:r>
          </w:p>
        </w:tc>
        <w:tc>
          <w:tcPr>
            <w:tcW w:w="6200" w:type="dxa"/>
            <w:gridSpan w:val="2"/>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投标人具有</w:t>
            </w:r>
            <w:r>
              <w:rPr>
                <w:rFonts w:hint="eastAsia" w:ascii="宋体" w:hAnsi="宋体" w:eastAsia="宋体" w:cs="宋体"/>
                <w:color w:val="000000"/>
                <w:kern w:val="0"/>
                <w:sz w:val="21"/>
                <w:szCs w:val="21"/>
                <w:highlight w:val="none"/>
                <w:lang w:val="en-US" w:eastAsia="zh-CN" w:bidi="ar"/>
              </w:rPr>
              <w:t>有效期内的</w:t>
            </w:r>
            <w:r>
              <w:rPr>
                <w:rFonts w:hint="eastAsia" w:ascii="宋体" w:hAnsi="宋体" w:eastAsia="宋体" w:cs="宋体"/>
                <w:color w:val="000000"/>
                <w:kern w:val="0"/>
                <w:sz w:val="21"/>
                <w:szCs w:val="21"/>
                <w:highlight w:val="none"/>
                <w:lang w:bidi="ar"/>
              </w:rPr>
              <w:t>农业大数据平台、农业生产信息化管理系统、智慧水利灌区智能化</w:t>
            </w:r>
            <w:r>
              <w:rPr>
                <w:rFonts w:hint="eastAsia" w:ascii="宋体" w:hAnsi="宋体" w:eastAsia="宋体" w:cs="宋体"/>
                <w:color w:val="000000"/>
                <w:kern w:val="0"/>
                <w:sz w:val="21"/>
                <w:szCs w:val="21"/>
                <w:highlight w:val="none"/>
                <w:lang w:val="en-US" w:eastAsia="zh-CN" w:bidi="ar"/>
              </w:rPr>
              <w:t>管理系统</w:t>
            </w:r>
            <w:r>
              <w:rPr>
                <w:rFonts w:hint="eastAsia" w:ascii="宋体" w:hAnsi="宋体" w:eastAsia="宋体" w:cs="宋体"/>
                <w:color w:val="000000"/>
                <w:kern w:val="0"/>
                <w:sz w:val="21"/>
                <w:szCs w:val="21"/>
                <w:highlight w:val="none"/>
                <w:lang w:bidi="ar"/>
              </w:rPr>
              <w:t>、农田水利智慧管理平台类软件著作权，每提供1个得0.5分，最高得2分。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trPr>
        <w:tc>
          <w:tcPr>
            <w:tcW w:w="850" w:type="dxa"/>
            <w:tcBorders>
              <w:tl2br w:val="nil"/>
              <w:tr2bl w:val="nil"/>
            </w:tcBorders>
            <w:shd w:val="clear" w:color="auto" w:fill="auto"/>
            <w:vAlign w:val="center"/>
          </w:tcPr>
          <w:p>
            <w:pPr>
              <w:kinsoku/>
              <w:bidi w:val="0"/>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w:t>
            </w:r>
          </w:p>
        </w:tc>
        <w:tc>
          <w:tcPr>
            <w:tcW w:w="764" w:type="dxa"/>
            <w:vMerge w:val="continue"/>
            <w:tcBorders>
              <w:tl2br w:val="nil"/>
              <w:tr2bl w:val="nil"/>
            </w:tcBorders>
            <w:shd w:val="clear" w:color="auto" w:fill="auto"/>
            <w:vAlign w:val="center"/>
          </w:tcPr>
          <w:p>
            <w:pPr>
              <w:kinsoku/>
              <w:bidi w:val="0"/>
              <w:spacing w:line="360" w:lineRule="auto"/>
              <w:rPr>
                <w:rFonts w:hint="eastAsia" w:ascii="宋体" w:hAnsi="宋体" w:eastAsia="宋体" w:cs="宋体"/>
                <w:color w:val="000000"/>
                <w:sz w:val="21"/>
                <w:szCs w:val="21"/>
                <w:highlight w:val="none"/>
              </w:rPr>
            </w:pP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投标人业绩</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4分</w:t>
            </w:r>
          </w:p>
        </w:tc>
        <w:tc>
          <w:tcPr>
            <w:tcW w:w="6200" w:type="dxa"/>
            <w:gridSpan w:val="2"/>
            <w:tcBorders>
              <w:tl2br w:val="nil"/>
              <w:tr2bl w:val="nil"/>
            </w:tcBorders>
            <w:shd w:val="clear" w:color="auto" w:fill="FFFFFF"/>
            <w:vAlign w:val="center"/>
          </w:tcPr>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投标人近三年（2021年1月至今，以合同签订时间为准）具有本项目涉及产品的相关业绩，每份得2分，最高4分。</w:t>
            </w:r>
          </w:p>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b/>
                <w:bCs/>
                <w:color w:val="000000"/>
                <w:kern w:val="0"/>
                <w:sz w:val="21"/>
                <w:szCs w:val="21"/>
                <w:highlight w:val="none"/>
                <w:lang w:val="en-US" w:eastAsia="zh-CN" w:bidi="ar"/>
              </w:rPr>
              <w:t>注：不包含生产厂商与经销商或代理商的供货业绩。</w:t>
            </w:r>
            <w:r>
              <w:rPr>
                <w:rFonts w:hint="eastAsia" w:ascii="宋体" w:hAnsi="宋体" w:eastAsia="宋体" w:cs="宋体"/>
                <w:b/>
                <w:bCs/>
                <w:color w:val="000000"/>
                <w:kern w:val="0"/>
                <w:sz w:val="21"/>
                <w:szCs w:val="21"/>
                <w:highlight w:val="none"/>
                <w:lang w:bidi="ar"/>
              </w:rPr>
              <w:t>业绩证明材料须提供有效的合同关键页复印件并加盖投标单位公章，未提供或提供不符合要求的不得分。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1" w:hRule="atLeast"/>
        </w:trPr>
        <w:tc>
          <w:tcPr>
            <w:tcW w:w="850" w:type="dxa"/>
            <w:tcBorders>
              <w:tl2br w:val="nil"/>
              <w:tr2bl w:val="nil"/>
            </w:tcBorders>
            <w:shd w:val="clear" w:color="auto" w:fill="auto"/>
            <w:vAlign w:val="center"/>
          </w:tcPr>
          <w:p>
            <w:pPr>
              <w:kinsoku/>
              <w:bidi w:val="0"/>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p>
        </w:tc>
        <w:tc>
          <w:tcPr>
            <w:tcW w:w="764" w:type="dxa"/>
            <w:vMerge w:val="continue"/>
            <w:tcBorders>
              <w:tl2br w:val="nil"/>
              <w:tr2bl w:val="nil"/>
            </w:tcBorders>
            <w:shd w:val="clear" w:color="auto" w:fill="auto"/>
            <w:vAlign w:val="center"/>
          </w:tcPr>
          <w:p>
            <w:pPr>
              <w:kinsoku/>
              <w:bidi w:val="0"/>
              <w:spacing w:line="360" w:lineRule="auto"/>
              <w:rPr>
                <w:rFonts w:hint="eastAsia" w:ascii="宋体" w:hAnsi="宋体" w:eastAsia="宋体" w:cs="宋体"/>
                <w:color w:val="000000"/>
                <w:sz w:val="21"/>
                <w:szCs w:val="21"/>
                <w:highlight w:val="none"/>
              </w:rPr>
            </w:pP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投标人资质</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12分</w:t>
            </w:r>
          </w:p>
        </w:tc>
        <w:tc>
          <w:tcPr>
            <w:tcW w:w="6200" w:type="dxa"/>
            <w:gridSpan w:val="2"/>
            <w:tcBorders>
              <w:tl2br w:val="nil"/>
              <w:tr2bl w:val="nil"/>
            </w:tcBorders>
            <w:shd w:val="clear" w:color="auto" w:fill="FFFFFF"/>
            <w:vAlign w:val="center"/>
          </w:tcPr>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投标人具有有效期内ISO27001信息安全管理体系认证证书、ISO9001质量管理体系认证证书，每提供一个证书得</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分，最高得</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分；</w:t>
            </w:r>
          </w:p>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2.投标人具有有效期内大数据服务安全能力评价认证证书得2分；</w:t>
            </w:r>
          </w:p>
          <w:p>
            <w:pPr>
              <w:widowControl/>
              <w:numPr>
                <w:ilvl w:val="0"/>
                <w:numId w:val="0"/>
              </w:numPr>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000000"/>
                <w:kern w:val="0"/>
                <w:sz w:val="21"/>
                <w:szCs w:val="21"/>
                <w:highlight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投标人具有有效期内CCRC信息安全服务资质（安全集成）一级证书得3分，二级及以下得1分；</w:t>
            </w:r>
          </w:p>
          <w:p>
            <w:pPr>
              <w:widowControl/>
              <w:numPr>
                <w:ilvl w:val="0"/>
                <w:numId w:val="0"/>
              </w:numPr>
              <w:kinsoku/>
              <w:bidi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4.投标人具有有效期内CCRC信息安全服务资质（软件开发）一级证书得3分，二级及以下得1分；</w:t>
            </w:r>
          </w:p>
          <w:p>
            <w:pPr>
              <w:widowControl/>
              <w:numPr>
                <w:ilvl w:val="0"/>
                <w:numId w:val="0"/>
              </w:numPr>
              <w:kinsoku/>
              <w:bidi w:val="0"/>
              <w:spacing w:line="360" w:lineRule="auto"/>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注：以上证书提供扫描件加盖公章，不提供不得分。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trPr>
        <w:tc>
          <w:tcPr>
            <w:tcW w:w="850" w:type="dxa"/>
            <w:tcBorders>
              <w:tl2br w:val="nil"/>
              <w:tr2bl w:val="nil"/>
            </w:tcBorders>
            <w:shd w:val="clear" w:color="auto" w:fill="auto"/>
            <w:vAlign w:val="center"/>
          </w:tcPr>
          <w:p>
            <w:pPr>
              <w:kinsoku/>
              <w:bidi w:val="0"/>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764" w:type="dxa"/>
            <w:vMerge w:val="continue"/>
            <w:tcBorders>
              <w:tl2br w:val="nil"/>
              <w:tr2bl w:val="nil"/>
            </w:tcBorders>
            <w:shd w:val="clear" w:color="auto" w:fill="auto"/>
            <w:vAlign w:val="center"/>
          </w:tcPr>
          <w:p>
            <w:pPr>
              <w:kinsoku/>
              <w:bidi w:val="0"/>
              <w:spacing w:line="360" w:lineRule="auto"/>
              <w:rPr>
                <w:rFonts w:hint="eastAsia" w:ascii="宋体" w:hAnsi="宋体" w:eastAsia="宋体" w:cs="宋体"/>
                <w:color w:val="000000"/>
                <w:sz w:val="21"/>
                <w:szCs w:val="21"/>
                <w:highlight w:val="none"/>
              </w:rPr>
            </w:pP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p>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p>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p>
          <w:p>
            <w:pPr>
              <w:widowControl/>
              <w:kinsoku/>
              <w:bidi w:val="0"/>
              <w:spacing w:line="360" w:lineRule="auto"/>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人员配置</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分</w:t>
            </w:r>
          </w:p>
        </w:tc>
        <w:tc>
          <w:tcPr>
            <w:tcW w:w="6200" w:type="dxa"/>
            <w:gridSpan w:val="2"/>
            <w:tcBorders>
              <w:tl2br w:val="nil"/>
              <w:tr2bl w:val="nil"/>
            </w:tcBorders>
            <w:shd w:val="clear" w:color="auto" w:fill="auto"/>
            <w:vAlign w:val="center"/>
          </w:tcPr>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项目经理（1人）：具</w:t>
            </w:r>
            <w:r>
              <w:rPr>
                <w:rFonts w:hint="eastAsia" w:ascii="宋体" w:hAnsi="宋体" w:eastAsia="宋体" w:cs="宋体"/>
                <w:color w:val="000000"/>
                <w:kern w:val="0"/>
                <w:sz w:val="21"/>
                <w:szCs w:val="21"/>
                <w:highlight w:val="none"/>
                <w:lang w:val="en-US" w:eastAsia="zh-CN" w:bidi="ar"/>
              </w:rPr>
              <w:t>有</w:t>
            </w:r>
            <w:r>
              <w:rPr>
                <w:rFonts w:hint="eastAsia" w:ascii="宋体" w:hAnsi="宋体" w:eastAsia="宋体" w:cs="宋体"/>
                <w:color w:val="000000"/>
                <w:kern w:val="0"/>
                <w:sz w:val="21"/>
                <w:szCs w:val="21"/>
                <w:highlight w:val="none"/>
                <w:lang w:bidi="ar"/>
              </w:rPr>
              <w:t>高级信息系统项目管理师、网络安全能力认证(CCSC)、高级工程师</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高级土壤调查工程师证书</w:t>
            </w:r>
            <w:r>
              <w:rPr>
                <w:rFonts w:hint="eastAsia" w:ascii="宋体" w:hAnsi="宋体" w:eastAsia="宋体" w:cs="宋体"/>
                <w:color w:val="000000"/>
                <w:kern w:val="0"/>
                <w:sz w:val="21"/>
                <w:szCs w:val="21"/>
                <w:highlight w:val="none"/>
                <w:lang w:val="en-US" w:eastAsia="zh-CN" w:bidi="ar"/>
              </w:rPr>
              <w:t>的</w:t>
            </w:r>
            <w:r>
              <w:rPr>
                <w:rFonts w:hint="eastAsia" w:ascii="宋体" w:hAnsi="宋体" w:eastAsia="宋体" w:cs="宋体"/>
                <w:color w:val="000000"/>
                <w:kern w:val="0"/>
                <w:sz w:val="21"/>
                <w:szCs w:val="21"/>
                <w:highlight w:val="none"/>
                <w:lang w:bidi="ar"/>
              </w:rPr>
              <w:t>，每提供1个</w:t>
            </w:r>
            <w:r>
              <w:rPr>
                <w:rFonts w:hint="eastAsia" w:ascii="宋体" w:hAnsi="宋体" w:eastAsia="宋体" w:cs="宋体"/>
                <w:color w:val="000000"/>
                <w:kern w:val="0"/>
                <w:sz w:val="21"/>
                <w:szCs w:val="21"/>
                <w:highlight w:val="none"/>
                <w:lang w:val="en-US" w:eastAsia="zh-CN" w:bidi="ar"/>
              </w:rPr>
              <w:t>证书</w:t>
            </w:r>
            <w:r>
              <w:rPr>
                <w:rFonts w:hint="eastAsia" w:ascii="宋体" w:hAnsi="宋体" w:eastAsia="宋体" w:cs="宋体"/>
                <w:color w:val="000000"/>
                <w:kern w:val="0"/>
                <w:sz w:val="21"/>
                <w:szCs w:val="21"/>
                <w:highlight w:val="none"/>
                <w:lang w:bidi="ar"/>
              </w:rPr>
              <w:t>得1分，最高得</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分</w:t>
            </w:r>
            <w:r>
              <w:rPr>
                <w:rFonts w:hint="eastAsia" w:ascii="宋体" w:hAnsi="宋体" w:eastAsia="宋体" w:cs="宋体"/>
                <w:color w:val="000000"/>
                <w:kern w:val="0"/>
                <w:sz w:val="21"/>
                <w:szCs w:val="21"/>
                <w:highlight w:val="none"/>
                <w:lang w:eastAsia="zh-CN" w:bidi="ar"/>
              </w:rPr>
              <w:t>。</w:t>
            </w:r>
          </w:p>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技术负责人（1人）：具</w:t>
            </w:r>
            <w:r>
              <w:rPr>
                <w:rFonts w:hint="eastAsia" w:ascii="宋体" w:hAnsi="宋体" w:eastAsia="宋体" w:cs="宋体"/>
                <w:color w:val="000000"/>
                <w:kern w:val="0"/>
                <w:sz w:val="21"/>
                <w:szCs w:val="21"/>
                <w:highlight w:val="none"/>
                <w:lang w:val="en-US" w:eastAsia="zh-CN" w:bidi="ar"/>
              </w:rPr>
              <w:t>有</w:t>
            </w:r>
            <w:r>
              <w:rPr>
                <w:rFonts w:hint="eastAsia" w:ascii="宋体" w:hAnsi="宋体" w:eastAsia="宋体" w:cs="宋体"/>
                <w:color w:val="000000"/>
                <w:kern w:val="0"/>
                <w:sz w:val="21"/>
                <w:szCs w:val="21"/>
                <w:highlight w:val="none"/>
                <w:lang w:bidi="ar"/>
              </w:rPr>
              <w:t>网络规划设计师</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网络工程师、高级土壤调查工程师、高级工程师</w:t>
            </w:r>
            <w:r>
              <w:rPr>
                <w:rFonts w:hint="eastAsia" w:ascii="宋体" w:hAnsi="宋体" w:eastAsia="宋体" w:cs="宋体"/>
                <w:color w:val="000000"/>
                <w:kern w:val="0"/>
                <w:sz w:val="21"/>
                <w:szCs w:val="21"/>
                <w:highlight w:val="none"/>
                <w:lang w:val="en-US" w:eastAsia="zh-CN" w:bidi="ar"/>
              </w:rPr>
              <w:t>证书的</w:t>
            </w:r>
            <w:r>
              <w:rPr>
                <w:rFonts w:hint="eastAsia" w:ascii="宋体" w:hAnsi="宋体" w:eastAsia="宋体" w:cs="宋体"/>
                <w:color w:val="000000"/>
                <w:kern w:val="0"/>
                <w:sz w:val="21"/>
                <w:szCs w:val="21"/>
                <w:highlight w:val="none"/>
                <w:lang w:bidi="ar"/>
              </w:rPr>
              <w:t>，每提供1个</w:t>
            </w:r>
            <w:r>
              <w:rPr>
                <w:rFonts w:hint="eastAsia" w:ascii="宋体" w:hAnsi="宋体" w:eastAsia="宋体" w:cs="宋体"/>
                <w:color w:val="000000"/>
                <w:kern w:val="0"/>
                <w:sz w:val="21"/>
                <w:szCs w:val="21"/>
                <w:highlight w:val="none"/>
                <w:lang w:val="en-US" w:eastAsia="zh-CN" w:bidi="ar"/>
              </w:rPr>
              <w:t>证书</w:t>
            </w:r>
            <w:r>
              <w:rPr>
                <w:rFonts w:hint="eastAsia" w:ascii="宋体" w:hAnsi="宋体" w:eastAsia="宋体" w:cs="宋体"/>
                <w:color w:val="000000"/>
                <w:kern w:val="0"/>
                <w:sz w:val="21"/>
                <w:szCs w:val="21"/>
                <w:highlight w:val="none"/>
                <w:lang w:bidi="ar"/>
              </w:rPr>
              <w:t>得1分，最高得4分。</w:t>
            </w:r>
          </w:p>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 运维负责人（1人）：具</w:t>
            </w:r>
            <w:r>
              <w:rPr>
                <w:rFonts w:hint="eastAsia" w:ascii="宋体" w:hAnsi="宋体" w:eastAsia="宋体" w:cs="宋体"/>
                <w:color w:val="000000"/>
                <w:kern w:val="0"/>
                <w:sz w:val="21"/>
                <w:szCs w:val="21"/>
                <w:highlight w:val="none"/>
                <w:lang w:val="en-US" w:eastAsia="zh-CN" w:bidi="ar"/>
              </w:rPr>
              <w:t>有</w:t>
            </w:r>
            <w:r>
              <w:rPr>
                <w:rFonts w:hint="eastAsia" w:ascii="宋体" w:hAnsi="宋体" w:eastAsia="宋体" w:cs="宋体"/>
                <w:color w:val="000000"/>
                <w:kern w:val="0"/>
                <w:sz w:val="21"/>
                <w:szCs w:val="21"/>
                <w:highlight w:val="none"/>
                <w:lang w:bidi="ar"/>
              </w:rPr>
              <w:t>CISAW信息安全保障人员认证证书、网络工程师证书、IT服务工程师</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高级土壤调查工程师证书</w:t>
            </w:r>
            <w:r>
              <w:rPr>
                <w:rFonts w:hint="eastAsia" w:ascii="宋体" w:hAnsi="宋体" w:eastAsia="宋体" w:cs="宋体"/>
                <w:color w:val="000000"/>
                <w:kern w:val="0"/>
                <w:sz w:val="21"/>
                <w:szCs w:val="21"/>
                <w:highlight w:val="none"/>
                <w:lang w:val="en-US" w:eastAsia="zh-CN" w:bidi="ar"/>
              </w:rPr>
              <w:t>的</w:t>
            </w:r>
            <w:r>
              <w:rPr>
                <w:rFonts w:hint="eastAsia" w:ascii="宋体" w:hAnsi="宋体" w:eastAsia="宋体" w:cs="宋体"/>
                <w:color w:val="000000"/>
                <w:kern w:val="0"/>
                <w:sz w:val="21"/>
                <w:szCs w:val="21"/>
                <w:highlight w:val="none"/>
                <w:lang w:bidi="ar"/>
              </w:rPr>
              <w:t>，每提供1个</w:t>
            </w:r>
            <w:r>
              <w:rPr>
                <w:rFonts w:hint="eastAsia" w:ascii="宋体" w:hAnsi="宋体" w:eastAsia="宋体" w:cs="宋体"/>
                <w:color w:val="000000"/>
                <w:kern w:val="0"/>
                <w:sz w:val="21"/>
                <w:szCs w:val="21"/>
                <w:highlight w:val="none"/>
                <w:lang w:val="en-US" w:eastAsia="zh-CN" w:bidi="ar"/>
              </w:rPr>
              <w:t>证书</w:t>
            </w:r>
            <w:r>
              <w:rPr>
                <w:rFonts w:hint="eastAsia" w:ascii="宋体" w:hAnsi="宋体" w:eastAsia="宋体" w:cs="宋体"/>
                <w:color w:val="000000"/>
                <w:kern w:val="0"/>
                <w:sz w:val="21"/>
                <w:szCs w:val="21"/>
                <w:highlight w:val="none"/>
                <w:lang w:bidi="ar"/>
              </w:rPr>
              <w:t>得</w:t>
            </w:r>
            <w:r>
              <w:rPr>
                <w:rFonts w:hint="eastAsia" w:ascii="宋体" w:hAnsi="宋体" w:eastAsia="宋体" w:cs="宋体"/>
                <w:color w:val="000000"/>
                <w:kern w:val="0"/>
                <w:sz w:val="21"/>
                <w:szCs w:val="21"/>
                <w:highlight w:val="none"/>
                <w:lang w:val="en-US" w:eastAsia="zh-CN" w:bidi="ar"/>
              </w:rPr>
              <w:t>0.5</w:t>
            </w:r>
            <w:r>
              <w:rPr>
                <w:rFonts w:hint="eastAsia" w:ascii="宋体" w:hAnsi="宋体" w:eastAsia="宋体" w:cs="宋体"/>
                <w:color w:val="000000"/>
                <w:kern w:val="0"/>
                <w:sz w:val="21"/>
                <w:szCs w:val="21"/>
                <w:highlight w:val="none"/>
                <w:lang w:bidi="ar"/>
              </w:rPr>
              <w:t>分，最高得</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分。</w:t>
            </w:r>
          </w:p>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4.本次项目配备实施团队</w:t>
            </w:r>
            <w:r>
              <w:rPr>
                <w:rFonts w:hint="eastAsia" w:ascii="宋体" w:hAnsi="宋体" w:eastAsia="宋体" w:cs="宋体"/>
                <w:color w:val="000000"/>
                <w:kern w:val="0"/>
                <w:sz w:val="21"/>
                <w:szCs w:val="21"/>
                <w:highlight w:val="none"/>
                <w:lang w:val="en-US" w:eastAsia="zh-CN" w:bidi="ar"/>
              </w:rPr>
              <w:t>成员</w:t>
            </w:r>
            <w:r>
              <w:rPr>
                <w:rFonts w:hint="eastAsia" w:ascii="宋体" w:hAnsi="宋体" w:eastAsia="宋体" w:cs="宋体"/>
                <w:color w:val="000000"/>
                <w:kern w:val="0"/>
                <w:sz w:val="21"/>
                <w:szCs w:val="21"/>
                <w:highlight w:val="none"/>
                <w:lang w:bidi="ar"/>
              </w:rPr>
              <w:t>具</w:t>
            </w:r>
            <w:r>
              <w:rPr>
                <w:rFonts w:hint="eastAsia" w:ascii="宋体" w:hAnsi="宋体" w:eastAsia="宋体" w:cs="宋体"/>
                <w:color w:val="000000"/>
                <w:kern w:val="0"/>
                <w:sz w:val="21"/>
                <w:szCs w:val="21"/>
                <w:highlight w:val="none"/>
                <w:lang w:val="en-US" w:eastAsia="zh-CN" w:bidi="ar"/>
              </w:rPr>
              <w:t>有</w:t>
            </w:r>
            <w:r>
              <w:rPr>
                <w:rFonts w:hint="eastAsia" w:ascii="宋体" w:hAnsi="宋体" w:eastAsia="宋体" w:cs="宋体"/>
                <w:color w:val="000000"/>
                <w:kern w:val="0"/>
                <w:sz w:val="21"/>
                <w:szCs w:val="21"/>
                <w:highlight w:val="none"/>
                <w:lang w:bidi="ar"/>
              </w:rPr>
              <w:t>软件设计师、信息系统业务安全服务工程师、系统分析师、售后服务管理师证书</w:t>
            </w:r>
            <w:r>
              <w:rPr>
                <w:rFonts w:hint="eastAsia" w:ascii="宋体" w:hAnsi="宋体" w:cs="宋体"/>
                <w:color w:val="000000"/>
                <w:kern w:val="0"/>
                <w:sz w:val="21"/>
                <w:szCs w:val="21"/>
                <w:highlight w:val="none"/>
                <w:lang w:val="en-US" w:eastAsia="zh-CN" w:bidi="ar"/>
              </w:rPr>
              <w:t>的</w:t>
            </w:r>
            <w:r>
              <w:rPr>
                <w:rFonts w:hint="eastAsia" w:ascii="宋体" w:hAnsi="宋体" w:eastAsia="宋体" w:cs="宋体"/>
                <w:color w:val="000000"/>
                <w:kern w:val="0"/>
                <w:sz w:val="21"/>
                <w:szCs w:val="21"/>
                <w:highlight w:val="none"/>
                <w:lang w:bidi="ar"/>
              </w:rPr>
              <w:t>，每提供1</w:t>
            </w:r>
            <w:r>
              <w:rPr>
                <w:rFonts w:hint="eastAsia" w:ascii="宋体" w:hAnsi="宋体" w:eastAsia="宋体" w:cs="宋体"/>
                <w:color w:val="000000"/>
                <w:kern w:val="0"/>
                <w:sz w:val="21"/>
                <w:szCs w:val="21"/>
                <w:highlight w:val="none"/>
                <w:lang w:val="en-US" w:eastAsia="zh-CN" w:bidi="ar"/>
              </w:rPr>
              <w:t>个证书</w:t>
            </w:r>
            <w:r>
              <w:rPr>
                <w:rFonts w:hint="eastAsia" w:ascii="宋体" w:hAnsi="宋体" w:eastAsia="宋体" w:cs="宋体"/>
                <w:color w:val="000000"/>
                <w:kern w:val="0"/>
                <w:sz w:val="21"/>
                <w:szCs w:val="21"/>
                <w:highlight w:val="none"/>
                <w:lang w:bidi="ar"/>
              </w:rPr>
              <w:t>得</w:t>
            </w:r>
            <w:r>
              <w:rPr>
                <w:rFonts w:hint="eastAsia" w:ascii="宋体" w:hAnsi="宋体" w:eastAsia="宋体" w:cs="宋体"/>
                <w:color w:val="000000"/>
                <w:kern w:val="0"/>
                <w:sz w:val="21"/>
                <w:szCs w:val="21"/>
                <w:highlight w:val="none"/>
                <w:lang w:val="en-US" w:eastAsia="zh-CN" w:bidi="ar"/>
              </w:rPr>
              <w:t>0.5</w:t>
            </w:r>
            <w:r>
              <w:rPr>
                <w:rFonts w:hint="eastAsia" w:ascii="宋体" w:hAnsi="宋体" w:eastAsia="宋体" w:cs="宋体"/>
                <w:color w:val="000000"/>
                <w:kern w:val="0"/>
                <w:sz w:val="21"/>
                <w:szCs w:val="21"/>
                <w:highlight w:val="none"/>
                <w:lang w:bidi="ar"/>
              </w:rPr>
              <w:t>，最高得</w:t>
            </w: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分。</w:t>
            </w:r>
          </w:p>
          <w:p>
            <w:pPr>
              <w:widowControl/>
              <w:numPr>
                <w:ilvl w:val="0"/>
                <w:numId w:val="0"/>
              </w:numPr>
              <w:kinsoku/>
              <w:bidi w:val="0"/>
              <w:spacing w:line="360" w:lineRule="auto"/>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注：以上人员不能兼任，同专业证书以最高级别计分，不重复累计。</w:t>
            </w:r>
            <w:r>
              <w:rPr>
                <w:rFonts w:hint="eastAsia" w:ascii="宋体" w:hAnsi="宋体" w:eastAsia="宋体" w:cs="宋体"/>
                <w:b/>
                <w:bCs/>
                <w:color w:val="000000"/>
                <w:kern w:val="0"/>
                <w:sz w:val="21"/>
                <w:szCs w:val="21"/>
                <w:highlight w:val="none"/>
                <w:lang w:bidi="ar"/>
              </w:rPr>
              <w:t>须提供有效期内的证书</w:t>
            </w:r>
            <w:r>
              <w:rPr>
                <w:rFonts w:hint="eastAsia" w:ascii="宋体" w:hAnsi="宋体" w:eastAsia="宋体" w:cs="宋体"/>
                <w:b/>
                <w:bCs/>
                <w:color w:val="000000"/>
                <w:kern w:val="0"/>
                <w:sz w:val="21"/>
                <w:szCs w:val="21"/>
                <w:highlight w:val="none"/>
                <w:lang w:val="en-US" w:eastAsia="zh-CN" w:bidi="ar"/>
              </w:rPr>
              <w:t>扫描</w:t>
            </w:r>
            <w:r>
              <w:rPr>
                <w:rFonts w:hint="eastAsia" w:ascii="宋体" w:hAnsi="宋体" w:eastAsia="宋体" w:cs="宋体"/>
                <w:b/>
                <w:bCs/>
                <w:color w:val="000000"/>
                <w:kern w:val="0"/>
                <w:sz w:val="21"/>
                <w:szCs w:val="21"/>
                <w:highlight w:val="none"/>
                <w:lang w:bidi="ar"/>
              </w:rPr>
              <w:t>件及投标人为其缴纳的连续</w:t>
            </w:r>
            <w:r>
              <w:rPr>
                <w:rFonts w:hint="eastAsia" w:ascii="宋体" w:hAnsi="宋体" w:eastAsia="宋体" w:cs="宋体"/>
                <w:b/>
                <w:bCs/>
                <w:color w:val="000000"/>
                <w:kern w:val="0"/>
                <w:sz w:val="21"/>
                <w:szCs w:val="21"/>
                <w:highlight w:val="none"/>
                <w:lang w:val="en-US" w:eastAsia="zh-CN" w:bidi="ar"/>
              </w:rPr>
              <w:t>六</w:t>
            </w:r>
            <w:r>
              <w:rPr>
                <w:rFonts w:hint="eastAsia" w:ascii="宋体" w:hAnsi="宋体" w:eastAsia="宋体" w:cs="宋体"/>
                <w:b/>
                <w:bCs/>
                <w:color w:val="000000"/>
                <w:kern w:val="0"/>
                <w:sz w:val="21"/>
                <w:szCs w:val="21"/>
                <w:highlight w:val="none"/>
                <w:lang w:bidi="ar"/>
              </w:rPr>
              <w:t>个月</w:t>
            </w:r>
            <w:r>
              <w:rPr>
                <w:rFonts w:hint="eastAsia" w:ascii="宋体" w:hAnsi="宋体" w:eastAsia="宋体" w:cs="宋体"/>
                <w:b/>
                <w:bCs/>
                <w:color w:val="000000"/>
                <w:kern w:val="0"/>
                <w:sz w:val="21"/>
                <w:szCs w:val="21"/>
                <w:highlight w:val="none"/>
                <w:lang w:eastAsia="zh-CN" w:bidi="ar"/>
              </w:rPr>
              <w:t>（</w:t>
            </w:r>
            <w:r>
              <w:rPr>
                <w:rFonts w:hint="eastAsia" w:ascii="宋体" w:hAnsi="宋体" w:eastAsia="宋体" w:cs="宋体"/>
                <w:b/>
                <w:bCs/>
                <w:color w:val="000000"/>
                <w:kern w:val="0"/>
                <w:sz w:val="21"/>
                <w:szCs w:val="21"/>
                <w:highlight w:val="none"/>
                <w:lang w:val="en-US" w:eastAsia="zh-CN" w:bidi="ar"/>
              </w:rPr>
              <w:t>2023年12月-2024年5月</w:t>
            </w:r>
            <w:r>
              <w:rPr>
                <w:rFonts w:hint="eastAsia" w:ascii="宋体" w:hAnsi="宋体" w:eastAsia="宋体" w:cs="宋体"/>
                <w:b/>
                <w:bCs/>
                <w:color w:val="000000"/>
                <w:kern w:val="0"/>
                <w:sz w:val="21"/>
                <w:szCs w:val="21"/>
                <w:highlight w:val="none"/>
                <w:lang w:eastAsia="zh-CN" w:bidi="ar"/>
              </w:rPr>
              <w:t>）</w:t>
            </w:r>
            <w:r>
              <w:rPr>
                <w:rFonts w:hint="eastAsia" w:ascii="宋体" w:hAnsi="宋体" w:eastAsia="宋体" w:cs="宋体"/>
                <w:b/>
                <w:bCs/>
                <w:color w:val="000000"/>
                <w:kern w:val="0"/>
                <w:sz w:val="21"/>
                <w:szCs w:val="21"/>
                <w:highlight w:val="none"/>
                <w:lang w:bidi="ar"/>
              </w:rPr>
              <w:t>的社保证明材料加盖投标单位公章，未提供或提供不符合要求的不得分。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p>
        </w:tc>
        <w:tc>
          <w:tcPr>
            <w:tcW w:w="764" w:type="dxa"/>
            <w:vMerge w:val="restart"/>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技术文件（</w:t>
            </w:r>
            <w:r>
              <w:rPr>
                <w:rFonts w:hint="eastAsia" w:ascii="宋体" w:hAnsi="宋体" w:eastAsia="宋体" w:cs="宋体"/>
                <w:color w:val="000000"/>
                <w:kern w:val="0"/>
                <w:sz w:val="21"/>
                <w:szCs w:val="21"/>
                <w:highlight w:val="none"/>
                <w:lang w:val="en-US" w:eastAsia="zh-CN" w:bidi="ar"/>
              </w:rPr>
              <w:t>40</w:t>
            </w:r>
            <w:r>
              <w:rPr>
                <w:rFonts w:hint="eastAsia" w:ascii="宋体" w:hAnsi="宋体" w:eastAsia="宋体" w:cs="宋体"/>
                <w:color w:val="000000"/>
                <w:kern w:val="0"/>
                <w:sz w:val="21"/>
                <w:szCs w:val="21"/>
                <w:highlight w:val="none"/>
                <w:lang w:bidi="ar"/>
              </w:rPr>
              <w:t>）</w:t>
            </w:r>
          </w:p>
          <w:p>
            <w:pPr>
              <w:kinsoku/>
              <w:bidi w:val="0"/>
              <w:spacing w:line="360" w:lineRule="auto"/>
              <w:jc w:val="center"/>
              <w:rPr>
                <w:rFonts w:hint="eastAsia" w:ascii="宋体" w:hAnsi="宋体" w:eastAsia="宋体" w:cs="宋体"/>
                <w:color w:val="000000"/>
                <w:sz w:val="21"/>
                <w:szCs w:val="21"/>
                <w:highlight w:val="none"/>
              </w:rPr>
            </w:pPr>
          </w:p>
          <w:p>
            <w:pPr>
              <w:kinsoku/>
              <w:bidi w:val="0"/>
              <w:spacing w:line="360" w:lineRule="auto"/>
              <w:jc w:val="center"/>
              <w:rPr>
                <w:rFonts w:hint="eastAsia" w:ascii="宋体" w:hAnsi="宋体" w:eastAsia="宋体" w:cs="宋体"/>
                <w:color w:val="000000"/>
                <w:sz w:val="21"/>
                <w:szCs w:val="21"/>
                <w:highlight w:val="none"/>
              </w:rPr>
            </w:pPr>
          </w:p>
        </w:tc>
        <w:tc>
          <w:tcPr>
            <w:tcW w:w="975" w:type="dxa"/>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技术指标参数</w:t>
            </w:r>
            <w:r>
              <w:rPr>
                <w:rFonts w:hint="eastAsia" w:ascii="宋体" w:hAnsi="宋体" w:eastAsia="宋体" w:cs="宋体"/>
                <w:color w:val="000000"/>
                <w:kern w:val="0"/>
                <w:sz w:val="21"/>
                <w:szCs w:val="21"/>
                <w:highlight w:val="none"/>
                <w:lang w:val="en-US" w:eastAsia="zh-CN" w:bidi="ar"/>
              </w:rPr>
              <w:t>20</w:t>
            </w:r>
            <w:r>
              <w:rPr>
                <w:rFonts w:hint="eastAsia" w:ascii="宋体" w:hAnsi="宋体" w:eastAsia="宋体" w:cs="宋体"/>
                <w:color w:val="000000"/>
                <w:kern w:val="0"/>
                <w:sz w:val="21"/>
                <w:szCs w:val="21"/>
                <w:highlight w:val="none"/>
                <w:lang w:bidi="ar"/>
              </w:rPr>
              <w:t>分</w:t>
            </w:r>
          </w:p>
        </w:tc>
        <w:tc>
          <w:tcPr>
            <w:tcW w:w="6200" w:type="dxa"/>
            <w:gridSpan w:val="2"/>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完全响应招标文件所有技术要求的得</w:t>
            </w:r>
            <w:r>
              <w:rPr>
                <w:rFonts w:hint="eastAsia" w:ascii="宋体" w:hAnsi="宋体" w:eastAsia="宋体" w:cs="宋体"/>
                <w:color w:val="000000"/>
                <w:kern w:val="0"/>
                <w:sz w:val="21"/>
                <w:szCs w:val="21"/>
                <w:highlight w:val="none"/>
                <w:lang w:val="en-US" w:eastAsia="zh-CN" w:bidi="ar"/>
              </w:rPr>
              <w:t>20</w:t>
            </w:r>
            <w:r>
              <w:rPr>
                <w:rFonts w:hint="eastAsia" w:ascii="宋体" w:hAnsi="宋体" w:eastAsia="宋体" w:cs="宋体"/>
                <w:color w:val="000000"/>
                <w:kern w:val="0"/>
                <w:sz w:val="21"/>
                <w:szCs w:val="21"/>
                <w:highlight w:val="none"/>
                <w:lang w:bidi="ar"/>
              </w:rPr>
              <w:t>分。标“▲”的设备和技术指标项为重要设备和重要技术指标，若该设备和技术指标出现负偏离，每个“▲”扣2分。未标“▲”指标，每负偏离一条，扣1分，扣完为止。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000000"/>
                <w:sz w:val="21"/>
                <w:szCs w:val="21"/>
                <w:highlight w:val="none"/>
              </w:rPr>
            </w:pPr>
            <w:r>
              <w:rPr>
                <w:rFonts w:hint="eastAsia" w:ascii="宋体" w:hAnsi="宋体" w:cs="宋体"/>
                <w:b/>
                <w:bCs/>
                <w:sz w:val="21"/>
                <w:szCs w:val="21"/>
                <w:highlight w:val="none"/>
                <w:lang w:val="en-US" w:eastAsia="zh-CN"/>
              </w:rPr>
              <w:t>注：</w:t>
            </w:r>
            <w:r>
              <w:rPr>
                <w:rFonts w:hint="eastAsia" w:ascii="宋体" w:hAnsi="宋体" w:eastAsia="宋体" w:cs="宋体"/>
                <w:b/>
                <w:bCs/>
                <w:sz w:val="21"/>
                <w:szCs w:val="21"/>
                <w:highlight w:val="none"/>
              </w:rPr>
              <w:t>投标单位须如实详细填写“技术部分偏离表”，并如实填写所投</w:t>
            </w:r>
            <w:r>
              <w:rPr>
                <w:rFonts w:hint="eastAsia" w:ascii="宋体" w:hAnsi="宋体" w:eastAsia="宋体" w:cs="宋体"/>
                <w:b/>
                <w:bCs/>
                <w:sz w:val="21"/>
                <w:szCs w:val="21"/>
                <w:highlight w:val="none"/>
                <w:lang w:val="en-US" w:eastAsia="zh-CN"/>
              </w:rPr>
              <w:t>产品</w:t>
            </w:r>
            <w:r>
              <w:rPr>
                <w:rFonts w:hint="eastAsia" w:ascii="宋体" w:hAnsi="宋体" w:eastAsia="宋体" w:cs="宋体"/>
                <w:b/>
                <w:bCs/>
                <w:sz w:val="21"/>
                <w:szCs w:val="21"/>
                <w:highlight w:val="none"/>
              </w:rPr>
              <w:t>的真实参数</w:t>
            </w:r>
            <w:r>
              <w:rPr>
                <w:rFonts w:hint="eastAsia" w:ascii="宋体" w:hAnsi="宋体" w:cs="宋体"/>
                <w:b/>
                <w:bCs/>
                <w:sz w:val="21"/>
                <w:szCs w:val="21"/>
                <w:highlight w:val="none"/>
                <w:lang w:eastAsia="zh-CN"/>
              </w:rPr>
              <w:t>。</w:t>
            </w:r>
            <w:r>
              <w:rPr>
                <w:rFonts w:hint="eastAsia" w:ascii="宋体" w:hAnsi="宋体" w:cs="宋体"/>
                <w:b/>
                <w:bCs/>
                <w:sz w:val="21"/>
                <w:szCs w:val="21"/>
                <w:highlight w:val="none"/>
                <w:lang w:val="en-US" w:eastAsia="zh-CN"/>
              </w:rPr>
              <w:t>投标人可提供与所投产品参数匹配的相关材料加以佐证（佐证材料包含但不限于：产品公告、产品介绍、产品图册、产品相关检测报告等）。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w:t>
            </w:r>
          </w:p>
        </w:tc>
        <w:tc>
          <w:tcPr>
            <w:tcW w:w="764"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975" w:type="dxa"/>
            <w:vMerge w:val="restart"/>
            <w:tcBorders>
              <w:tl2br w:val="nil"/>
              <w:tr2bl w:val="nil"/>
            </w:tcBorders>
            <w:shd w:val="clear" w:color="auto" w:fill="auto"/>
            <w:vAlign w:val="center"/>
          </w:tcPr>
          <w:p>
            <w:pPr>
              <w:widowControl/>
              <w:kinsoku/>
              <w:bidi w:val="0"/>
              <w:spacing w:line="360" w:lineRule="auto"/>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技术方案</w:t>
            </w:r>
          </w:p>
          <w:p>
            <w:pPr>
              <w:widowControl/>
              <w:kinsoku/>
              <w:bidi w:val="0"/>
              <w:spacing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20分</w:t>
            </w:r>
          </w:p>
        </w:tc>
        <w:tc>
          <w:tcPr>
            <w:tcW w:w="1275" w:type="dxa"/>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项目的理解（</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分）</w:t>
            </w:r>
          </w:p>
        </w:tc>
        <w:tc>
          <w:tcPr>
            <w:tcW w:w="4925" w:type="dxa"/>
            <w:tcBorders>
              <w:tl2br w:val="nil"/>
              <w:tr2bl w:val="nil"/>
            </w:tcBorders>
            <w:shd w:val="clear" w:color="auto" w:fill="auto"/>
            <w:vAlign w:val="center"/>
          </w:tcPr>
          <w:p>
            <w:pPr>
              <w:kinsoku/>
              <w:bidi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供应商按照项目的采购需求，提供对项目的理解方案，根据相关项目需求服务规范响应的完整性、合理性进行综合打分：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1、掌握和熟悉项目实施的必要性。</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2、项目现状和需求分析与项目采购要求响应情况.</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3、详细阐述项目的建设目标、总体架构、建设内容和建设效益等内容响应情况。</w:t>
            </w:r>
          </w:p>
          <w:p>
            <w:pPr>
              <w:kinsoku/>
              <w:bidi w:val="0"/>
              <w:spacing w:line="360" w:lineRule="auto"/>
              <w:ind w:firstLine="422" w:firstLineChars="20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注：评审委员会根据各供应商的具体响应内容按照以下量化的评审因素指标对各项要求进行满足性判断：</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1、方案内容完整，可行性强；方案专业性强，需求理解透彻；符合项目需求，该项得4分；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2、方案内容完整，具有可行性，且有一定的理解，基本符合项目需求，该项得2分；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3、方案不细致，欠完善，与项目需求响应度低，项目理解一般，该项得1分。</w:t>
            </w:r>
          </w:p>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4、不提供不得分。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764"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975"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1275" w:type="dxa"/>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基础设施提升与智能化灌溉系统方案（4分）</w:t>
            </w:r>
          </w:p>
        </w:tc>
        <w:tc>
          <w:tcPr>
            <w:tcW w:w="4925" w:type="dxa"/>
            <w:tcBorders>
              <w:tl2br w:val="nil"/>
              <w:tr2bl w:val="nil"/>
            </w:tcBorders>
            <w:shd w:val="clear" w:color="auto" w:fill="auto"/>
            <w:vAlign w:val="center"/>
          </w:tcPr>
          <w:p>
            <w:pPr>
              <w:kinsoku/>
              <w:bidi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按照项目的采购需求，提供</w:t>
            </w:r>
            <w:r>
              <w:rPr>
                <w:rFonts w:hint="eastAsia" w:ascii="宋体" w:hAnsi="宋体" w:eastAsia="宋体" w:cs="宋体"/>
                <w:color w:val="000000"/>
                <w:kern w:val="0"/>
                <w:sz w:val="21"/>
                <w:szCs w:val="21"/>
                <w:highlight w:val="none"/>
                <w:lang w:bidi="ar"/>
              </w:rPr>
              <w:t>基础设施提升与智能化灌溉系统方案</w:t>
            </w:r>
            <w:r>
              <w:rPr>
                <w:rFonts w:hint="eastAsia" w:ascii="宋体" w:hAnsi="宋体" w:eastAsia="宋体" w:cs="宋体"/>
                <w:sz w:val="21"/>
                <w:szCs w:val="21"/>
                <w:highlight w:val="none"/>
              </w:rPr>
              <w:t>，根据建设规范响应和执行的完整性、合理性进行综合打分：</w:t>
            </w:r>
          </w:p>
          <w:p>
            <w:pPr>
              <w:widowControl/>
              <w:kinsoku/>
              <w:bidi w:val="0"/>
              <w:spacing w:line="360" w:lineRule="auto"/>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详细阐述土地整治，下田口新建，沟渠修缮清淤的基础设施建设内容响应情况；</w:t>
            </w:r>
          </w:p>
          <w:p>
            <w:pPr>
              <w:widowControl/>
              <w:kinsoku/>
              <w:bidi w:val="0"/>
              <w:spacing w:line="360" w:lineRule="auto"/>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根据项目现有基础条件和设施提升，制定智能化灌溉建设内容响应情况。</w:t>
            </w:r>
          </w:p>
          <w:p>
            <w:pPr>
              <w:widowControl/>
              <w:kinsoku/>
              <w:bidi w:val="0"/>
              <w:spacing w:line="360" w:lineRule="auto"/>
              <w:jc w:val="left"/>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注：评审委员会根据各</w:t>
            </w:r>
            <w:r>
              <w:rPr>
                <w:rFonts w:hint="eastAsia" w:ascii="宋体" w:hAnsi="宋体" w:eastAsia="宋体" w:cs="宋体"/>
                <w:b/>
                <w:bCs/>
                <w:sz w:val="21"/>
                <w:szCs w:val="21"/>
                <w:highlight w:val="none"/>
                <w:lang w:eastAsia="zh-CN"/>
              </w:rPr>
              <w:t>投标人</w:t>
            </w:r>
            <w:r>
              <w:rPr>
                <w:rFonts w:hint="eastAsia" w:ascii="宋体" w:hAnsi="宋体" w:eastAsia="宋体" w:cs="宋体"/>
                <w:b/>
                <w:bCs/>
                <w:sz w:val="21"/>
                <w:szCs w:val="21"/>
                <w:highlight w:val="none"/>
              </w:rPr>
              <w:t>的具体响应内容按照以下量化的评审因素指标对各项要求进行满足性判断：</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1、方案内容完整，可行性强；方案专业性强，需求理解透彻；符合项目需求，该项得4分；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2、方案较为完整，具有可行性，基本符合项目需求，该项得2分；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3、方案不细致，欠完善，与项目需求响应度低，项目理解一般，该项得1分。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4、不提供不得分。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764"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975"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1275" w:type="dxa"/>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智能作业，全程机械化与智能化方案（4分）</w:t>
            </w:r>
          </w:p>
        </w:tc>
        <w:tc>
          <w:tcPr>
            <w:tcW w:w="4925" w:type="dxa"/>
            <w:tcBorders>
              <w:tl2br w:val="nil"/>
              <w:tr2bl w:val="nil"/>
            </w:tcBorders>
            <w:shd w:val="clear" w:color="auto" w:fill="auto"/>
            <w:vAlign w:val="center"/>
          </w:tcPr>
          <w:p>
            <w:pPr>
              <w:kinsoku/>
              <w:bidi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按照项目的采购需求，提供</w:t>
            </w:r>
            <w:r>
              <w:rPr>
                <w:rFonts w:hint="eastAsia" w:ascii="宋体" w:hAnsi="宋体" w:eastAsia="宋体" w:cs="宋体"/>
                <w:color w:val="000000"/>
                <w:kern w:val="0"/>
                <w:sz w:val="21"/>
                <w:szCs w:val="21"/>
                <w:highlight w:val="none"/>
                <w:lang w:bidi="ar"/>
              </w:rPr>
              <w:t>智能作业，全程机械化与智能化方案</w:t>
            </w:r>
            <w:r>
              <w:rPr>
                <w:rFonts w:hint="eastAsia" w:ascii="宋体" w:hAnsi="宋体" w:eastAsia="宋体" w:cs="宋体"/>
                <w:sz w:val="21"/>
                <w:szCs w:val="21"/>
                <w:highlight w:val="none"/>
              </w:rPr>
              <w:t>，根据建设规范响应和执行的完整性、合理性进行综合打分：</w:t>
            </w:r>
          </w:p>
          <w:p>
            <w:pPr>
              <w:kinsoku/>
              <w:bidi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根据项目需求，合理设计配置农机具的建设响应情况；</w:t>
            </w:r>
          </w:p>
          <w:p>
            <w:pPr>
              <w:kinsoku/>
              <w:bidi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详细阐述农机无人化改造建设内容响应情况。</w:t>
            </w:r>
          </w:p>
          <w:p>
            <w:pPr>
              <w:widowControl/>
              <w:kinsoku/>
              <w:bidi w:val="0"/>
              <w:spacing w:line="360" w:lineRule="auto"/>
              <w:jc w:val="left"/>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注：评审委员会根据各</w:t>
            </w:r>
            <w:r>
              <w:rPr>
                <w:rFonts w:hint="eastAsia" w:ascii="宋体" w:hAnsi="宋体" w:eastAsia="宋体" w:cs="宋体"/>
                <w:b/>
                <w:bCs/>
                <w:sz w:val="21"/>
                <w:szCs w:val="21"/>
                <w:highlight w:val="none"/>
                <w:lang w:eastAsia="zh-CN"/>
              </w:rPr>
              <w:t>投标人</w:t>
            </w:r>
            <w:r>
              <w:rPr>
                <w:rFonts w:hint="eastAsia" w:ascii="宋体" w:hAnsi="宋体" w:eastAsia="宋体" w:cs="宋体"/>
                <w:b/>
                <w:bCs/>
                <w:sz w:val="21"/>
                <w:szCs w:val="21"/>
                <w:highlight w:val="none"/>
              </w:rPr>
              <w:t>的具体响应内容按照以下量化的评审因素指标对各项要求进行满足性判断：</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1、方案内容完整，可行性强；方案专业性强，需求理解透彻；符合项目需求，该项得4分；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 xml:space="preserve">2、方案较为完整，具有可行性，基本符合项目需求，该项得2分； </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3、方案不细致，欠完善，与项目需求响应度低，项目理解一般，该项得1分。</w:t>
            </w:r>
          </w:p>
          <w:p>
            <w:pPr>
              <w:widowControl/>
              <w:kinsoku/>
              <w:bidi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4、不提供不得分。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764"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975"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1275" w:type="dxa"/>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精准种植与数字处方设计方案（4分）</w:t>
            </w:r>
          </w:p>
        </w:tc>
        <w:tc>
          <w:tcPr>
            <w:tcW w:w="4925" w:type="dxa"/>
            <w:tcBorders>
              <w:tl2br w:val="nil"/>
              <w:tr2bl w:val="nil"/>
            </w:tcBorders>
            <w:shd w:val="clear" w:color="auto" w:fill="auto"/>
            <w:vAlign w:val="center"/>
          </w:tcPr>
          <w:p>
            <w:pPr>
              <w:kinsoku/>
              <w:bidi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按照项目的采购需求，提供</w:t>
            </w:r>
            <w:r>
              <w:rPr>
                <w:rFonts w:hint="eastAsia" w:ascii="宋体" w:hAnsi="宋体" w:eastAsia="宋体" w:cs="宋体"/>
                <w:color w:val="000000"/>
                <w:kern w:val="0"/>
                <w:sz w:val="21"/>
                <w:szCs w:val="21"/>
                <w:highlight w:val="none"/>
                <w:lang w:bidi="ar"/>
              </w:rPr>
              <w:t>精准种植与数字处方设计方案</w:t>
            </w:r>
            <w:r>
              <w:rPr>
                <w:rFonts w:hint="eastAsia" w:ascii="宋体" w:hAnsi="宋体" w:eastAsia="宋体" w:cs="宋体"/>
                <w:sz w:val="21"/>
                <w:szCs w:val="21"/>
                <w:highlight w:val="none"/>
              </w:rPr>
              <w:t>，根据建设规范响应和执行的完整性、合理性进行综合打分：</w:t>
            </w:r>
          </w:p>
          <w:p>
            <w:pPr>
              <w:kinsoku/>
              <w:bidi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掌握和熟悉项目精准种植建设的要求。</w:t>
            </w:r>
          </w:p>
          <w:p>
            <w:pPr>
              <w:kinsoku/>
              <w:bidi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详细阐述精准种植的功能系统或功能描述响应情况。</w:t>
            </w:r>
          </w:p>
          <w:p>
            <w:pPr>
              <w:kinsoku/>
              <w:bidi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根据精准种植的内容提供数字处方软件建设响应情况。</w:t>
            </w:r>
          </w:p>
          <w:p>
            <w:pPr>
              <w:widowControl/>
              <w:kinsoku/>
              <w:bidi w:val="0"/>
              <w:spacing w:line="360" w:lineRule="auto"/>
              <w:jc w:val="left"/>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注：评审委员会根据各</w:t>
            </w:r>
            <w:r>
              <w:rPr>
                <w:rFonts w:hint="eastAsia" w:ascii="宋体" w:hAnsi="宋体" w:eastAsia="宋体" w:cs="宋体"/>
                <w:b/>
                <w:bCs/>
                <w:sz w:val="21"/>
                <w:szCs w:val="21"/>
                <w:highlight w:val="none"/>
                <w:lang w:eastAsia="zh-CN"/>
              </w:rPr>
              <w:t>投标人</w:t>
            </w:r>
            <w:r>
              <w:rPr>
                <w:rFonts w:hint="eastAsia" w:ascii="宋体" w:hAnsi="宋体" w:eastAsia="宋体" w:cs="宋体"/>
                <w:b/>
                <w:bCs/>
                <w:sz w:val="21"/>
                <w:szCs w:val="21"/>
                <w:highlight w:val="none"/>
              </w:rPr>
              <w:t>的具体响应内容按照以下量化的评审因素指标对各项要求进行满足性判断：</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 xml:space="preserve">1、方案内容完整，可行性强；方案专业性强，需求理解透彻；符合项目需求，该项得4分； </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2、方案较为完整，具有可行性，基本符合项目需求，该项得2分；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 xml:space="preserve">3、方案不细致，欠完善，与项目需求响应度低，项目理解一般，该项得1分。 </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4、不提供不得分。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850" w:type="dxa"/>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764"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975" w:type="dxa"/>
            <w:vMerge w:val="continue"/>
            <w:tcBorders>
              <w:tl2br w:val="nil"/>
              <w:tr2bl w:val="nil"/>
            </w:tcBorders>
            <w:shd w:val="clear" w:color="auto" w:fill="auto"/>
            <w:vAlign w:val="center"/>
          </w:tcPr>
          <w:p>
            <w:pPr>
              <w:kinsoku/>
              <w:bidi w:val="0"/>
              <w:spacing w:line="360" w:lineRule="auto"/>
              <w:jc w:val="center"/>
              <w:rPr>
                <w:rFonts w:hint="eastAsia" w:ascii="宋体" w:hAnsi="宋体" w:eastAsia="宋体" w:cs="宋体"/>
                <w:color w:val="000000"/>
                <w:sz w:val="21"/>
                <w:szCs w:val="21"/>
                <w:highlight w:val="none"/>
              </w:rPr>
            </w:pPr>
          </w:p>
        </w:tc>
        <w:tc>
          <w:tcPr>
            <w:tcW w:w="1275" w:type="dxa"/>
            <w:tcBorders>
              <w:tl2br w:val="nil"/>
              <w:tr2bl w:val="nil"/>
            </w:tcBorders>
            <w:shd w:val="clear" w:color="auto" w:fill="auto"/>
            <w:vAlign w:val="center"/>
          </w:tcPr>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数字化生产管理方案（4分）</w:t>
            </w:r>
          </w:p>
        </w:tc>
        <w:tc>
          <w:tcPr>
            <w:tcW w:w="4925" w:type="dxa"/>
            <w:tcBorders>
              <w:tl2br w:val="nil"/>
              <w:tr2bl w:val="nil"/>
            </w:tcBorders>
            <w:shd w:val="clear" w:color="auto" w:fill="auto"/>
            <w:vAlign w:val="center"/>
          </w:tcPr>
          <w:p>
            <w:pPr>
              <w:kinsoku/>
              <w:bidi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按照项目的采购需求，提供</w:t>
            </w:r>
            <w:r>
              <w:rPr>
                <w:rFonts w:hint="eastAsia" w:ascii="宋体" w:hAnsi="宋体" w:eastAsia="宋体" w:cs="宋体"/>
                <w:color w:val="000000"/>
                <w:kern w:val="0"/>
                <w:sz w:val="21"/>
                <w:szCs w:val="21"/>
                <w:highlight w:val="none"/>
                <w:lang w:bidi="ar"/>
              </w:rPr>
              <w:t>数字化生产管理方案</w:t>
            </w:r>
            <w:r>
              <w:rPr>
                <w:rFonts w:hint="eastAsia" w:ascii="宋体" w:hAnsi="宋体" w:eastAsia="宋体" w:cs="宋体"/>
                <w:sz w:val="21"/>
                <w:szCs w:val="21"/>
                <w:highlight w:val="none"/>
              </w:rPr>
              <w:t>，根据建设规范响应和执行的完整性、合理性进行综合打分：</w:t>
            </w:r>
          </w:p>
          <w:p>
            <w:pPr>
              <w:kinsoku/>
              <w:bidi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color w:val="000000"/>
                <w:kern w:val="0"/>
                <w:sz w:val="21"/>
                <w:szCs w:val="21"/>
                <w:highlight w:val="none"/>
                <w:lang w:bidi="ar"/>
              </w:rPr>
              <w:t>、结合</w:t>
            </w:r>
            <w:r>
              <w:rPr>
                <w:rFonts w:hint="eastAsia" w:ascii="宋体" w:hAnsi="宋体" w:eastAsia="宋体" w:cs="宋体"/>
                <w:sz w:val="21"/>
                <w:szCs w:val="21"/>
                <w:highlight w:val="none"/>
              </w:rPr>
              <w:t>现状，分析提升生产要素与经营活动数字化必要性响应情况；</w:t>
            </w:r>
          </w:p>
          <w:p>
            <w:pPr>
              <w:kinsoku/>
              <w:bidi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color w:val="000000"/>
                <w:kern w:val="0"/>
                <w:sz w:val="21"/>
                <w:szCs w:val="21"/>
                <w:highlight w:val="none"/>
                <w:lang w:bidi="ar"/>
              </w:rPr>
              <w:t>、</w:t>
            </w:r>
            <w:r>
              <w:rPr>
                <w:rFonts w:hint="eastAsia" w:ascii="宋体" w:hAnsi="宋体" w:eastAsia="宋体" w:cs="宋体"/>
                <w:sz w:val="21"/>
                <w:szCs w:val="21"/>
                <w:highlight w:val="none"/>
              </w:rPr>
              <w:t>详细阐述数字化生产管理建设响应情况。</w:t>
            </w:r>
          </w:p>
          <w:p>
            <w:pPr>
              <w:widowControl/>
              <w:kinsoku/>
              <w:bidi w:val="0"/>
              <w:spacing w:line="360" w:lineRule="auto"/>
              <w:jc w:val="left"/>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注：评审委员会根据各</w:t>
            </w:r>
            <w:r>
              <w:rPr>
                <w:rFonts w:hint="eastAsia" w:ascii="宋体" w:hAnsi="宋体" w:eastAsia="宋体" w:cs="宋体"/>
                <w:b/>
                <w:bCs/>
                <w:sz w:val="21"/>
                <w:szCs w:val="21"/>
                <w:highlight w:val="none"/>
                <w:lang w:eastAsia="zh-CN"/>
              </w:rPr>
              <w:t>投标人</w:t>
            </w:r>
            <w:r>
              <w:rPr>
                <w:rFonts w:hint="eastAsia" w:ascii="宋体" w:hAnsi="宋体" w:eastAsia="宋体" w:cs="宋体"/>
                <w:b/>
                <w:bCs/>
                <w:sz w:val="21"/>
                <w:szCs w:val="21"/>
                <w:highlight w:val="none"/>
              </w:rPr>
              <w:t>的具体响应内容按照以下量化的评审因素指标对各项要求进行满足性判断：</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1、方案内容完整，可行性强；方案专业性强，需求理解透彻；符合项目需求，该项得4分；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2、方案较为完整，具有可行性，基本符合项目需求，该项得2分；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3、方案不细致，欠完善，与项目需求响应度低，项目理解一般，该项得1分。</w:t>
            </w:r>
          </w:p>
          <w:p>
            <w:pPr>
              <w:widowControl/>
              <w:kinsoku/>
              <w:bidi w:val="0"/>
              <w:spacing w:line="360" w:lineRule="auto"/>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4、不提供不得分。</w:t>
            </w:r>
          </w:p>
        </w:tc>
      </w:tr>
    </w:tbl>
    <w:p>
      <w:pPr>
        <w:pStyle w:val="15"/>
        <w:kinsoku/>
        <w:overflowPunct/>
        <w:bidi w:val="0"/>
        <w:spacing w:line="360" w:lineRule="auto"/>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bCs w:val="0"/>
          <w:kern w:val="2"/>
          <w:sz w:val="21"/>
          <w:szCs w:val="21"/>
          <w:highlight w:val="none"/>
          <w:lang w:val="en-US" w:eastAsia="zh-CN" w:bidi="ar-SA"/>
        </w:rPr>
        <w:t>注：</w:t>
      </w:r>
      <w:r>
        <w:rPr>
          <w:rFonts w:hint="eastAsia" w:ascii="宋体" w:hAnsi="宋体" w:eastAsia="宋体" w:cs="宋体"/>
          <w:b w:val="0"/>
          <w:bCs/>
          <w:kern w:val="2"/>
          <w:sz w:val="21"/>
          <w:szCs w:val="21"/>
          <w:highlight w:val="none"/>
          <w:lang w:val="en-US" w:eastAsia="zh-CN" w:bidi="ar-SA"/>
        </w:rPr>
        <w:t>（1）针对评分标准中评分的每一条，投标单位均应按要求提供相关资料并作出相应说明供评标委员会评判，不提供相关资料或所提供资料无法证明的视为不具备该项得分的条件，投标文件中相关证明材料须编好目录及页码；</w:t>
      </w:r>
    </w:p>
    <w:p>
      <w:pPr>
        <w:pStyle w:val="15"/>
        <w:kinsoku/>
        <w:overflowPunct/>
        <w:bidi w:val="0"/>
        <w:spacing w:line="360" w:lineRule="auto"/>
        <w:ind w:firstLine="420" w:firstLineChars="200"/>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（2）投标报价超过最高限价的，不得进入评标程序；</w:t>
      </w:r>
    </w:p>
    <w:p>
      <w:pPr>
        <w:pStyle w:val="15"/>
        <w:kinsoku/>
        <w:overflowPunct/>
        <w:bidi w:val="0"/>
        <w:spacing w:line="360" w:lineRule="auto"/>
        <w:ind w:firstLine="420" w:firstLineChars="200"/>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（3）投标文件中如出现前后不一致时,评标委员会有权要求投标单位澄清说明，澄清说明事项涉及评分时，该项不得分；</w:t>
      </w:r>
    </w:p>
    <w:p>
      <w:pPr>
        <w:pStyle w:val="15"/>
        <w:kinsoku/>
        <w:overflowPunct/>
        <w:bidi w:val="0"/>
        <w:spacing w:line="360" w:lineRule="auto"/>
        <w:ind w:firstLine="420" w:firstLineChars="200"/>
        <w:textAlignment w:val="auto"/>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pPr>
        <w:pStyle w:val="15"/>
        <w:kinsoku/>
        <w:overflowPunct/>
        <w:bidi w:val="0"/>
        <w:spacing w:line="360" w:lineRule="auto"/>
        <w:ind w:firstLine="420" w:firstLineChars="200"/>
        <w:textAlignment w:val="auto"/>
        <w:rPr>
          <w:rFonts w:hint="eastAsia" w:ascii="Times New Roman" w:hAnsi="Times New Roman"/>
          <w:b w:val="0"/>
          <w:bCs/>
          <w:color w:val="auto"/>
          <w:kern w:val="44"/>
          <w:sz w:val="21"/>
          <w:szCs w:val="21"/>
          <w:highlight w:val="none"/>
        </w:rPr>
      </w:pPr>
      <w:r>
        <w:rPr>
          <w:rFonts w:hint="eastAsia" w:ascii="宋体" w:hAnsi="宋体" w:eastAsia="宋体" w:cs="宋体"/>
          <w:b w:val="0"/>
          <w:bCs/>
          <w:kern w:val="2"/>
          <w:sz w:val="21"/>
          <w:szCs w:val="21"/>
          <w:highlight w:val="none"/>
          <w:lang w:val="en-US" w:eastAsia="zh-CN" w:bidi="ar-SA"/>
        </w:rPr>
        <w:t>（5</w:t>
      </w:r>
      <w:r>
        <w:rPr>
          <w:rFonts w:hint="eastAsia" w:ascii="宋体" w:hAnsi="宋体" w:eastAsia="宋体" w:cs="宋体"/>
          <w:b w:val="0"/>
          <w:bCs/>
          <w:sz w:val="21"/>
          <w:szCs w:val="21"/>
          <w:highlight w:val="none"/>
        </w:rPr>
        <w:t>）投标单位的最终得分取</w:t>
      </w:r>
      <w:r>
        <w:rPr>
          <w:rFonts w:hint="eastAsia" w:ascii="宋体" w:hAnsi="宋体" w:eastAsia="宋体" w:cs="宋体"/>
          <w:b w:val="0"/>
          <w:bCs/>
          <w:sz w:val="21"/>
          <w:szCs w:val="21"/>
          <w:highlight w:val="none"/>
          <w:lang w:eastAsia="zh-CN"/>
        </w:rPr>
        <w:t>评标委员会</w:t>
      </w:r>
      <w:r>
        <w:rPr>
          <w:rFonts w:hint="eastAsia" w:ascii="宋体" w:hAnsi="宋体" w:eastAsia="宋体" w:cs="宋体"/>
          <w:b w:val="0"/>
          <w:bCs/>
          <w:sz w:val="21"/>
          <w:szCs w:val="21"/>
          <w:highlight w:val="none"/>
        </w:rPr>
        <w:t>各成员所评定分值的平均值（小数点后保留两位）。</w:t>
      </w:r>
    </w:p>
    <w:p>
      <w:pPr>
        <w:keepNext/>
        <w:keepLines/>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pPr>
    </w:p>
    <w:p>
      <w:pPr>
        <w:keepNext/>
        <w:keepLines/>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kinsoku/>
        <w:overflowPunct/>
        <w:bidi w:val="0"/>
        <w:spacing w:before="340" w:after="330" w:line="360" w:lineRule="auto"/>
        <w:jc w:val="center"/>
        <w:textAlignment w:val="auto"/>
        <w:outlineLvl w:val="0"/>
        <w:rPr>
          <w:rFonts w:hint="eastAsia" w:ascii="Times New Roman" w:hAnsi="Times New Roman"/>
          <w:b/>
          <w:color w:val="auto"/>
          <w:kern w:val="44"/>
          <w:sz w:val="24"/>
          <w:szCs w:val="24"/>
          <w:highlight w:val="none"/>
        </w:rPr>
      </w:pPr>
      <w:r>
        <w:rPr>
          <w:rFonts w:hint="eastAsia" w:ascii="Times New Roman" w:hAnsi="Times New Roman"/>
          <w:b/>
          <w:color w:val="auto"/>
          <w:kern w:val="44"/>
          <w:sz w:val="24"/>
          <w:szCs w:val="24"/>
          <w:highlight w:val="none"/>
        </w:rPr>
        <w:t>第六章</w:t>
      </w:r>
      <w:r>
        <w:rPr>
          <w:rFonts w:ascii="Times New Roman" w:hAnsi="Times New Roman"/>
          <w:b/>
          <w:color w:val="auto"/>
          <w:kern w:val="44"/>
          <w:sz w:val="24"/>
          <w:szCs w:val="24"/>
          <w:highlight w:val="none"/>
        </w:rPr>
        <w:t xml:space="preserve">    </w:t>
      </w:r>
      <w:r>
        <w:rPr>
          <w:rFonts w:hint="eastAsia" w:ascii="Times New Roman" w:hAnsi="Times New Roman"/>
          <w:b/>
          <w:color w:val="auto"/>
          <w:kern w:val="44"/>
          <w:sz w:val="24"/>
          <w:szCs w:val="24"/>
          <w:highlight w:val="none"/>
        </w:rPr>
        <w:t>投标文件格式</w:t>
      </w:r>
      <w:bookmarkEnd w:id="33"/>
    </w:p>
    <w:p>
      <w:pPr>
        <w:kinsoku/>
        <w:overflowPunct/>
        <w:bidi w:val="0"/>
        <w:spacing w:line="360" w:lineRule="auto"/>
        <w:textAlignment w:val="auto"/>
        <w:rPr>
          <w:rFonts w:ascii="宋体" w:hAnsi="宋体" w:cs="宋体"/>
          <w:b/>
          <w:color w:val="auto"/>
          <w:sz w:val="24"/>
          <w:szCs w:val="24"/>
          <w:highlight w:val="none"/>
        </w:rPr>
      </w:pPr>
    </w:p>
    <w:p>
      <w:pPr>
        <w:kinsoku/>
        <w:overflowPunct/>
        <w:bidi w:val="0"/>
        <w:spacing w:line="360" w:lineRule="auto"/>
        <w:textAlignment w:val="auto"/>
        <w:rPr>
          <w:rFonts w:hint="eastAsia" w:ascii="宋体" w:hAnsi="宋体" w:cs="宋体"/>
          <w:b/>
          <w:color w:val="auto"/>
          <w:sz w:val="24"/>
          <w:szCs w:val="24"/>
          <w:highlight w:val="none"/>
        </w:rPr>
      </w:pPr>
    </w:p>
    <w:p>
      <w:pPr>
        <w:kinsoku/>
        <w:bidi w:val="0"/>
        <w:spacing w:line="360" w:lineRule="auto"/>
        <w:ind w:firstLine="1446"/>
        <w:contextualSpacing/>
        <w:jc w:val="center"/>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水稻无人农场示范基地建设项目</w:t>
      </w:r>
    </w:p>
    <w:p>
      <w:pPr>
        <w:kinsoku/>
        <w:overflowPunct/>
        <w:bidi w:val="0"/>
        <w:spacing w:line="360" w:lineRule="auto"/>
        <w:jc w:val="center"/>
        <w:textAlignment w:val="auto"/>
        <w:rPr>
          <w:rFonts w:hint="eastAsia" w:ascii="宋体" w:hAnsi="宋体" w:cs="宋体"/>
          <w:b/>
          <w:bCs/>
          <w:color w:val="auto"/>
          <w:sz w:val="24"/>
          <w:szCs w:val="24"/>
          <w:highlight w:val="none"/>
        </w:rPr>
      </w:pPr>
    </w:p>
    <w:p>
      <w:pPr>
        <w:kinsoku/>
        <w:overflowPunct/>
        <w:bidi w:val="0"/>
        <w:spacing w:line="360" w:lineRule="auto"/>
        <w:jc w:val="center"/>
        <w:textAlignment w:val="auto"/>
        <w:rPr>
          <w:rFonts w:hint="eastAsia" w:ascii="宋体" w:hAnsi="宋体" w:cs="宋体"/>
          <w:b/>
          <w:color w:val="auto"/>
          <w:sz w:val="24"/>
          <w:szCs w:val="24"/>
          <w:highlight w:val="none"/>
        </w:rPr>
      </w:pPr>
    </w:p>
    <w:p>
      <w:pPr>
        <w:kinsoku/>
        <w:overflowPunct/>
        <w:bidi w:val="0"/>
        <w:spacing w:line="360" w:lineRule="auto"/>
        <w:textAlignment w:val="auto"/>
        <w:rPr>
          <w:rFonts w:hint="eastAsia" w:ascii="宋体" w:hAnsi="宋体" w:cs="宋体"/>
          <w:b/>
          <w:color w:val="auto"/>
          <w:sz w:val="24"/>
          <w:szCs w:val="24"/>
          <w:highlight w:val="none"/>
        </w:rPr>
      </w:pPr>
    </w:p>
    <w:p>
      <w:pPr>
        <w:kinsoku/>
        <w:overflowPunct/>
        <w:bidi w:val="0"/>
        <w:spacing w:line="360" w:lineRule="auto"/>
        <w:textAlignment w:val="auto"/>
        <w:rPr>
          <w:rFonts w:hint="eastAsia" w:ascii="宋体" w:hAnsi="宋体" w:cs="宋体"/>
          <w:b/>
          <w:color w:val="auto"/>
          <w:sz w:val="24"/>
          <w:szCs w:val="24"/>
          <w:highlight w:val="none"/>
        </w:rPr>
      </w:pPr>
    </w:p>
    <w:p>
      <w:pPr>
        <w:kinsoku/>
        <w:bidi w:val="0"/>
        <w:spacing w:line="360" w:lineRule="auto"/>
        <w:ind w:firstLine="1446"/>
        <w:contextualSpacing/>
        <w:jc w:val="center"/>
        <w:rPr>
          <w:rFonts w:ascii="宋体" w:hAnsi="宋体" w:cs="宋体"/>
          <w:b/>
          <w:color w:val="auto"/>
          <w:sz w:val="72"/>
          <w:szCs w:val="72"/>
          <w:highlight w:val="none"/>
        </w:rPr>
      </w:pPr>
      <w:r>
        <w:rPr>
          <w:rFonts w:hint="eastAsia" w:ascii="宋体" w:hAnsi="宋体" w:cs="宋体"/>
          <w:b/>
          <w:color w:val="auto"/>
          <w:sz w:val="72"/>
          <w:szCs w:val="72"/>
          <w:highlight w:val="none"/>
        </w:rPr>
        <w:t>投 标 文 件</w:t>
      </w:r>
    </w:p>
    <w:p>
      <w:pPr>
        <w:kinsoku/>
        <w:overflowPunct/>
        <w:bidi w:val="0"/>
        <w:spacing w:line="360" w:lineRule="auto"/>
        <w:jc w:val="center"/>
        <w:textAlignment w:val="auto"/>
        <w:rPr>
          <w:rFonts w:ascii="宋体" w:hAnsi="宋体" w:cs="宋体"/>
          <w:b/>
          <w:color w:val="auto"/>
          <w:sz w:val="24"/>
          <w:szCs w:val="24"/>
          <w:highlight w:val="none"/>
        </w:rPr>
      </w:pPr>
    </w:p>
    <w:p>
      <w:pPr>
        <w:kinsoku/>
        <w:bidi w:val="0"/>
        <w:spacing w:line="360" w:lineRule="auto"/>
        <w:ind w:firstLine="1245" w:firstLineChars="443"/>
        <w:contextualSpacing/>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项目编号：****</w:t>
      </w:r>
    </w:p>
    <w:p>
      <w:pPr>
        <w:kinsoku/>
        <w:bidi w:val="0"/>
        <w:spacing w:line="360" w:lineRule="auto"/>
        <w:ind w:firstLine="562"/>
        <w:contextualSpacing/>
        <w:jc w:val="center"/>
        <w:rPr>
          <w:rFonts w:ascii="宋体" w:hAnsi="宋体" w:cs="宋体"/>
          <w:b/>
          <w:color w:val="auto"/>
          <w:sz w:val="28"/>
          <w:szCs w:val="28"/>
          <w:highlight w:val="none"/>
        </w:rPr>
      </w:pPr>
    </w:p>
    <w:p>
      <w:pPr>
        <w:kinsoku/>
        <w:bidi w:val="0"/>
        <w:spacing w:line="360" w:lineRule="auto"/>
        <w:ind w:firstLine="562"/>
        <w:contextualSpacing/>
        <w:jc w:val="center"/>
        <w:rPr>
          <w:rFonts w:ascii="宋体" w:hAnsi="宋体" w:cs="宋体"/>
          <w:b/>
          <w:color w:val="auto"/>
          <w:sz w:val="28"/>
          <w:szCs w:val="28"/>
          <w:highlight w:val="none"/>
        </w:rPr>
      </w:pPr>
    </w:p>
    <w:p>
      <w:pPr>
        <w:pStyle w:val="11"/>
        <w:kinsoku/>
        <w:bidi w:val="0"/>
        <w:spacing w:line="360" w:lineRule="auto"/>
        <w:contextualSpacing/>
        <w:rPr>
          <w:rFonts w:hAnsi="宋体" w:cs="宋体"/>
          <w:color w:val="auto"/>
          <w:highlight w:val="none"/>
        </w:rPr>
      </w:pPr>
    </w:p>
    <w:p>
      <w:pPr>
        <w:pStyle w:val="6"/>
        <w:kinsoku/>
        <w:bidi w:val="0"/>
        <w:spacing w:line="360" w:lineRule="auto"/>
        <w:contextualSpacing/>
        <w:rPr>
          <w:color w:val="auto"/>
          <w:highlight w:val="none"/>
        </w:rPr>
      </w:pPr>
    </w:p>
    <w:p>
      <w:pPr>
        <w:kinsoku/>
        <w:bidi w:val="0"/>
        <w:spacing w:line="360" w:lineRule="auto"/>
        <w:ind w:firstLine="562"/>
        <w:contextualSpacing/>
        <w:jc w:val="center"/>
        <w:rPr>
          <w:rFonts w:ascii="宋体" w:hAnsi="宋体" w:cs="宋体"/>
          <w:b/>
          <w:color w:val="auto"/>
          <w:sz w:val="28"/>
          <w:szCs w:val="28"/>
          <w:highlight w:val="none"/>
        </w:rPr>
      </w:pPr>
    </w:p>
    <w:p>
      <w:pPr>
        <w:kinsoku/>
        <w:bidi w:val="0"/>
        <w:spacing w:line="360" w:lineRule="auto"/>
        <w:ind w:firstLine="1245" w:firstLineChars="443"/>
        <w:contextualSpacing/>
        <w:rPr>
          <w:rFonts w:ascii="宋体" w:hAnsi="宋体" w:cs="宋体"/>
          <w:b/>
          <w:color w:val="auto"/>
          <w:sz w:val="28"/>
          <w:szCs w:val="28"/>
          <w:highlight w:val="none"/>
          <w:u w:val="single"/>
        </w:rPr>
      </w:pPr>
      <w:r>
        <w:rPr>
          <w:rFonts w:hint="eastAsia" w:ascii="宋体" w:hAnsi="宋体" w:cs="宋体"/>
          <w:b/>
          <w:color w:val="auto"/>
          <w:sz w:val="28"/>
          <w:szCs w:val="28"/>
          <w:highlight w:val="none"/>
        </w:rPr>
        <w:t>投标人名称：</w:t>
      </w:r>
      <w:r>
        <w:rPr>
          <w:rFonts w:hint="eastAsia" w:ascii="宋体" w:hAnsi="宋体" w:cs="宋体"/>
          <w:b/>
          <w:color w:val="auto"/>
          <w:sz w:val="28"/>
          <w:szCs w:val="28"/>
          <w:highlight w:val="none"/>
          <w:u w:val="single"/>
        </w:rPr>
        <w:t xml:space="preserve">                    （盖单位公章）</w:t>
      </w:r>
    </w:p>
    <w:p>
      <w:pPr>
        <w:kinsoku/>
        <w:bidi w:val="0"/>
        <w:spacing w:line="360" w:lineRule="auto"/>
        <w:ind w:firstLine="1245" w:firstLineChars="443"/>
        <w:contextualSpacing/>
        <w:rPr>
          <w:rFonts w:ascii="宋体" w:hAnsi="宋体" w:cs="宋体"/>
          <w:b/>
          <w:color w:val="auto"/>
          <w:sz w:val="28"/>
          <w:szCs w:val="28"/>
          <w:highlight w:val="none"/>
          <w:u w:val="single"/>
        </w:rPr>
      </w:pPr>
      <w:r>
        <w:rPr>
          <w:rFonts w:hint="eastAsia" w:ascii="宋体" w:hAnsi="宋体" w:cs="宋体"/>
          <w:b/>
          <w:color w:val="auto"/>
          <w:sz w:val="28"/>
          <w:szCs w:val="28"/>
          <w:highlight w:val="none"/>
        </w:rPr>
        <w:t>委托代理人：</w:t>
      </w:r>
      <w:r>
        <w:rPr>
          <w:rFonts w:hint="eastAsia" w:ascii="宋体" w:hAnsi="宋体" w:cs="宋体"/>
          <w:b/>
          <w:color w:val="auto"/>
          <w:sz w:val="28"/>
          <w:szCs w:val="28"/>
          <w:highlight w:val="none"/>
          <w:u w:val="single"/>
        </w:rPr>
        <w:t xml:space="preserve">                     （签字或盖章）</w:t>
      </w:r>
    </w:p>
    <w:p>
      <w:pPr>
        <w:kinsoku/>
        <w:bidi w:val="0"/>
        <w:spacing w:line="360" w:lineRule="auto"/>
        <w:ind w:firstLine="562"/>
        <w:contextualSpacing/>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  日期：</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年</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月</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日</w:t>
      </w:r>
    </w:p>
    <w:p>
      <w:pPr>
        <w:kinsoku/>
        <w:bidi w:val="0"/>
        <w:spacing w:line="360" w:lineRule="auto"/>
        <w:ind w:firstLine="723"/>
        <w:contextualSpacing/>
        <w:jc w:val="center"/>
        <w:rPr>
          <w:rFonts w:ascii="宋体"/>
          <w:b/>
          <w:color w:val="auto"/>
          <w:sz w:val="36"/>
          <w:szCs w:val="36"/>
          <w:highlight w:val="none"/>
        </w:rPr>
        <w:sectPr>
          <w:pgSz w:w="11907" w:h="16840"/>
          <w:pgMar w:top="1531" w:right="1406" w:bottom="1361" w:left="1474" w:header="720" w:footer="720" w:gutter="0"/>
          <w:pgBorders>
            <w:top w:val="none" w:sz="0" w:space="0"/>
            <w:left w:val="none" w:sz="0" w:space="0"/>
            <w:bottom w:val="none" w:sz="0" w:space="0"/>
            <w:right w:val="none" w:sz="0" w:space="0"/>
          </w:pgBorders>
          <w:pgNumType w:fmt="decimal"/>
          <w:cols w:space="720" w:num="1"/>
          <w:docGrid w:linePitch="285" w:charSpace="0"/>
        </w:sectPr>
      </w:pPr>
    </w:p>
    <w:p>
      <w:pPr>
        <w:kinsoku/>
        <w:overflowPunct/>
        <w:bidi w:val="0"/>
        <w:spacing w:line="360" w:lineRule="auto"/>
        <w:textAlignment w:val="auto"/>
        <w:rPr>
          <w:rFonts w:ascii="Times New Roman" w:hAnsi="Times New Roman"/>
          <w:b/>
          <w:bCs/>
          <w:color w:val="auto"/>
          <w:sz w:val="21"/>
          <w:szCs w:val="21"/>
          <w:highlight w:val="none"/>
        </w:rPr>
      </w:pPr>
      <w:r>
        <w:rPr>
          <w:rFonts w:hint="eastAsia" w:ascii="宋体" w:hAnsi="宋体" w:cs="宋体"/>
          <w:b/>
          <w:bCs/>
          <w:color w:val="auto"/>
          <w:kern w:val="0"/>
          <w:sz w:val="21"/>
          <w:szCs w:val="21"/>
          <w:highlight w:val="none"/>
          <w:lang w:val="en-US" w:eastAsia="zh-CN"/>
        </w:rPr>
        <w:t>附件1</w:t>
      </w:r>
      <w:r>
        <w:rPr>
          <w:rFonts w:hint="eastAsia" w:ascii="宋体" w:hAnsi="宋体" w:cs="宋体"/>
          <w:b/>
          <w:bCs/>
          <w:color w:val="auto"/>
          <w:kern w:val="0"/>
          <w:sz w:val="21"/>
          <w:szCs w:val="21"/>
          <w:highlight w:val="none"/>
        </w:rPr>
        <w:t>：</w:t>
      </w:r>
    </w:p>
    <w:p>
      <w:pPr>
        <w:kinsoku/>
        <w:overflowPunct/>
        <w:bidi w:val="0"/>
        <w:spacing w:line="360" w:lineRule="auto"/>
        <w:jc w:val="center"/>
        <w:textAlignment w:val="auto"/>
        <w:rPr>
          <w:rFonts w:hint="eastAsia" w:ascii="宋体" w:hAnsi="宋体" w:cs="宋体"/>
          <w:b/>
          <w:bCs w:val="0"/>
          <w:color w:val="auto"/>
          <w:kern w:val="0"/>
          <w:sz w:val="21"/>
          <w:szCs w:val="21"/>
          <w:highlight w:val="none"/>
        </w:rPr>
      </w:pPr>
      <w:r>
        <w:rPr>
          <w:rFonts w:hint="eastAsia" w:ascii="宋体" w:hAnsi="宋体" w:cs="宋体"/>
          <w:b/>
          <w:bCs w:val="0"/>
          <w:color w:val="auto"/>
          <w:kern w:val="0"/>
          <w:sz w:val="21"/>
          <w:szCs w:val="21"/>
          <w:highlight w:val="none"/>
        </w:rPr>
        <w:t>投 标 函</w:t>
      </w:r>
    </w:p>
    <w:p>
      <w:pPr>
        <w:widowControl/>
        <w:kinsoku/>
        <w:overflowPunct/>
        <w:bidi w:val="0"/>
        <w:spacing w:line="360" w:lineRule="auto"/>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（招标人</w:t>
      </w:r>
      <w:r>
        <w:rPr>
          <w:rFonts w:hint="eastAsia" w:ascii="宋体" w:hAnsi="宋体" w:cs="宋体"/>
          <w:color w:val="auto"/>
          <w:sz w:val="21"/>
          <w:szCs w:val="21"/>
          <w:highlight w:val="none"/>
          <w:u w:val="single"/>
          <w:lang w:val="en-US" w:eastAsia="zh-CN"/>
        </w:rPr>
        <w:t>名称</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pPr>
        <w:widowControl/>
        <w:kinsoku/>
        <w:overflowPunct/>
        <w:bidi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根据贵方为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（项目名称及编号）项目招标采购服务的投标邀请,签字人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（姓名、职务或职称）经正式授权并代表投标人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（投标人名称、地址）提交投标文件正本一份（包括招标文件要求提供的全部资料）；</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据此函，签字代表宣布同意如下：</w:t>
      </w:r>
    </w:p>
    <w:p>
      <w:pPr>
        <w:widowControl/>
        <w:numPr>
          <w:ilvl w:val="0"/>
          <w:numId w:val="17"/>
        </w:numPr>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按招标文件规定的各项要求，</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贵方</w:t>
      </w:r>
      <w:r>
        <w:rPr>
          <w:rFonts w:hint="eastAsia" w:ascii="宋体" w:hAnsi="宋体" w:cs="宋体"/>
          <w:color w:val="auto"/>
          <w:sz w:val="21"/>
          <w:szCs w:val="21"/>
          <w:highlight w:val="none"/>
        </w:rPr>
        <w:t>提供所需的</w:t>
      </w:r>
      <w:r>
        <w:rPr>
          <w:rFonts w:hint="eastAsia" w:ascii="宋体" w:hAnsi="宋体" w:cs="宋体"/>
          <w:color w:val="auto"/>
          <w:sz w:val="21"/>
          <w:szCs w:val="21"/>
          <w:highlight w:val="none"/>
          <w:lang w:val="en-US" w:eastAsia="zh-CN"/>
        </w:rPr>
        <w:t>货物及配套</w:t>
      </w:r>
      <w:r>
        <w:rPr>
          <w:rFonts w:hint="eastAsia" w:ascii="宋体" w:hAnsi="宋体" w:cs="宋体"/>
          <w:color w:val="auto"/>
          <w:sz w:val="21"/>
          <w:szCs w:val="21"/>
          <w:highlight w:val="none"/>
        </w:rPr>
        <w:t>服务</w:t>
      </w:r>
      <w:r>
        <w:rPr>
          <w:rFonts w:hint="eastAsia" w:ascii="宋体" w:hAnsi="宋体" w:cs="宋体"/>
          <w:b/>
          <w:bCs/>
          <w:color w:val="auto"/>
          <w:sz w:val="21"/>
          <w:szCs w:val="21"/>
          <w:highlight w:val="none"/>
          <w:lang w:val="en-US" w:eastAsia="zh-CN"/>
        </w:rPr>
        <w:t>总</w:t>
      </w:r>
      <w:r>
        <w:rPr>
          <w:rFonts w:hint="eastAsia" w:ascii="宋体" w:hAnsi="宋体" w:cs="宋体"/>
          <w:b/>
          <w:bCs/>
          <w:color w:val="auto"/>
          <w:sz w:val="21"/>
          <w:szCs w:val="21"/>
          <w:highlight w:val="none"/>
        </w:rPr>
        <w:t>报价</w:t>
      </w:r>
      <w:r>
        <w:rPr>
          <w:rFonts w:hint="eastAsia" w:ascii="宋体" w:hAnsi="宋体" w:eastAsia="宋体" w:cs="宋体"/>
          <w:b/>
          <w:bCs/>
          <w:color w:val="auto"/>
          <w:sz w:val="21"/>
          <w:szCs w:val="21"/>
          <w:highlight w:val="none"/>
          <w:lang w:val="en-US" w:eastAsia="zh-CN"/>
        </w:rPr>
        <w:t>为</w:t>
      </w:r>
      <w:r>
        <w:rPr>
          <w:rFonts w:hint="eastAsia" w:ascii="宋体" w:hAnsi="宋体" w:eastAsia="宋体" w:cs="宋体"/>
          <w:b/>
          <w:bCs/>
          <w:color w:val="auto"/>
          <w:sz w:val="21"/>
          <w:szCs w:val="21"/>
          <w:highlight w:val="none"/>
        </w:rPr>
        <w:t>人民币</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万元</w:t>
      </w:r>
      <w:r>
        <w:rPr>
          <w:rFonts w:hint="eastAsia" w:ascii="宋体" w:hAnsi="宋体"/>
          <w:color w:val="auto"/>
          <w:sz w:val="21"/>
          <w:szCs w:val="21"/>
          <w:highlight w:val="none"/>
        </w:rPr>
        <w:t>；</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 我方已详细审查全部招标文件，包括有关澄清和补充说明（如果有的话）。我们完全理解并同意放弃对这方面有不明及误解的权力。</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 本投标文件有效期为自开标日起90个日历天。在这期间，本投标文件将始终对我方具有约束力，并可随时被接受。本次招标文件和本投标文件将作为买卖合同的附件。</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 如果在规定的开标时间后，我方在投标有效期内撤回或撤销投标，由此给</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造成损失的，我方愿意承担相应赔偿责任。</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5. 我方愿意向招标人提供与本次招标的相关资料，并对其真实性、合法性、有效性负责。</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6. 我方将严格履行本投标文件中的全部承诺和责任，并遵守招标文件中对投标人的所有规定。</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7. 我方完全理解招标人有保留在授标之前任何时候根据评标小组的意见接受或拒绝任何投标的权力，并完全理解招标人对此无解释的义务。</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8. 我方承诺在此次招标过程中涉及的一切应当保密的事项，不向任何第三方泄露，否则承担一切法律责任。</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9. 如果我方中标，我们将在接到招标人的中标通知书后按工期要求的时间内完成本项目的所有工作。并将按招标文件的规定履行合同责任和义务。</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10. 如果我方中标，为执行合同，我们将按照招标文件要求提交履约保证金。</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11. 如果我方中标，我们将在招标文件第二章“投标人须知”规定的金额向有关单位支付招标代理费。</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12. 与本次投标有关的一切往来信函请寄：</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电话：</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 </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投标人名称（公章）：</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法定代表人（</w:t>
      </w:r>
      <w:r>
        <w:rPr>
          <w:rFonts w:hint="eastAsia" w:ascii="宋体" w:hAnsi="宋体" w:cs="宋体"/>
          <w:color w:val="auto"/>
          <w:sz w:val="21"/>
          <w:szCs w:val="21"/>
          <w:highlight w:val="none"/>
        </w:rPr>
        <w:t>授 权 代 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 xml:space="preserve"> 签 字：</w:t>
      </w: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pPr>
        <w:kinsoku/>
        <w:overflowPunct/>
        <w:bidi w:val="0"/>
        <w:spacing w:line="360" w:lineRule="auto"/>
        <w:textAlignment w:val="auto"/>
        <w:rPr>
          <w:color w:val="auto"/>
          <w:sz w:val="21"/>
          <w:szCs w:val="21"/>
          <w:highlight w:val="none"/>
        </w:rPr>
      </w:pPr>
    </w:p>
    <w:p>
      <w:pPr>
        <w:pStyle w:val="5"/>
        <w:kinsoku/>
        <w:overflowPunct/>
        <w:bidi w:val="0"/>
        <w:spacing w:line="360" w:lineRule="auto"/>
        <w:jc w:val="both"/>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br w:type="page"/>
      </w:r>
      <w:r>
        <w:rPr>
          <w:rFonts w:hint="eastAsia" w:ascii="宋体" w:hAnsi="宋体" w:cs="宋体"/>
          <w:b/>
          <w:bCs/>
          <w:color w:val="auto"/>
          <w:kern w:val="0"/>
          <w:sz w:val="21"/>
          <w:szCs w:val="21"/>
          <w:highlight w:val="none"/>
        </w:rPr>
        <w:t>附件2：</w:t>
      </w:r>
    </w:p>
    <w:p>
      <w:pPr>
        <w:kinsoku/>
        <w:bidi w:val="0"/>
        <w:spacing w:line="360" w:lineRule="auto"/>
        <w:ind w:firstLine="723"/>
        <w:contextualSpacing/>
        <w:jc w:val="center"/>
        <w:rPr>
          <w:rFonts w:ascii="宋体"/>
          <w:b/>
          <w:sz w:val="21"/>
          <w:szCs w:val="21"/>
          <w:highlight w:val="none"/>
        </w:rPr>
      </w:pPr>
      <w:r>
        <w:rPr>
          <w:rFonts w:hint="eastAsia" w:ascii="宋体"/>
          <w:b/>
          <w:sz w:val="21"/>
          <w:szCs w:val="21"/>
          <w:highlight w:val="none"/>
        </w:rPr>
        <w:t>开标一览表</w:t>
      </w:r>
    </w:p>
    <w:tbl>
      <w:tblPr>
        <w:tblStyle w:val="19"/>
        <w:tblW w:w="5000"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2216"/>
        <w:gridCol w:w="7213"/>
      </w:tblGrid>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04" w:hRule="atLeast"/>
          <w:jc w:val="center"/>
        </w:trPr>
        <w:tc>
          <w:tcPr>
            <w:tcW w:w="1175" w:type="pct"/>
            <w:tcBorders>
              <w:top w:val="single" w:color="000000" w:sz="6" w:space="0"/>
            </w:tcBorders>
            <w:noWrap w:val="0"/>
            <w:vAlign w:val="center"/>
          </w:tcPr>
          <w:p>
            <w:pPr>
              <w:kinsoku/>
              <w:bidi w:val="0"/>
              <w:spacing w:line="360" w:lineRule="auto"/>
              <w:ind w:firstLine="420" w:firstLineChars="200"/>
              <w:contextualSpacing/>
              <w:jc w:val="left"/>
              <w:rPr>
                <w:rFonts w:ascii="宋体" w:hAnsi="宋体" w:cs="宋体"/>
                <w:sz w:val="21"/>
                <w:szCs w:val="21"/>
                <w:highlight w:val="none"/>
              </w:rPr>
            </w:pPr>
            <w:r>
              <w:rPr>
                <w:rFonts w:hint="eastAsia" w:ascii="宋体" w:hAnsi="宋体" w:cs="宋体"/>
                <w:sz w:val="21"/>
                <w:szCs w:val="21"/>
                <w:highlight w:val="none"/>
              </w:rPr>
              <w:t>项目名称</w:t>
            </w:r>
          </w:p>
        </w:tc>
        <w:tc>
          <w:tcPr>
            <w:tcW w:w="3824" w:type="pct"/>
            <w:tcBorders>
              <w:top w:val="single" w:color="000000" w:sz="6" w:space="0"/>
              <w:right w:val="single" w:color="auto" w:sz="4" w:space="0"/>
            </w:tcBorders>
            <w:noWrap w:val="0"/>
            <w:vAlign w:val="center"/>
          </w:tcPr>
          <w:p>
            <w:pPr>
              <w:kinsoku/>
              <w:bidi w:val="0"/>
              <w:spacing w:line="360" w:lineRule="auto"/>
              <w:contextualSpacing/>
              <w:jc w:val="left"/>
              <w:rPr>
                <w:rFonts w:ascii="宋体" w:hAnsi="宋体" w:cs="宋体"/>
                <w:sz w:val="21"/>
                <w:szCs w:val="21"/>
                <w:highlight w:val="none"/>
              </w:rPr>
            </w:pP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04" w:hRule="atLeast"/>
          <w:jc w:val="center"/>
        </w:trPr>
        <w:tc>
          <w:tcPr>
            <w:tcW w:w="1175" w:type="pct"/>
            <w:tcBorders>
              <w:top w:val="single" w:color="000000" w:sz="6" w:space="0"/>
            </w:tcBorders>
            <w:noWrap w:val="0"/>
            <w:vAlign w:val="center"/>
          </w:tcPr>
          <w:p>
            <w:pPr>
              <w:kinsoku/>
              <w:bidi w:val="0"/>
              <w:spacing w:line="360" w:lineRule="auto"/>
              <w:ind w:firstLine="420" w:firstLineChars="200"/>
              <w:contextualSpacing/>
              <w:jc w:val="lef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项目编号</w:t>
            </w:r>
          </w:p>
        </w:tc>
        <w:tc>
          <w:tcPr>
            <w:tcW w:w="3824" w:type="pct"/>
            <w:tcBorders>
              <w:top w:val="single" w:color="000000" w:sz="6" w:space="0"/>
              <w:right w:val="single" w:color="auto" w:sz="4" w:space="0"/>
            </w:tcBorders>
            <w:noWrap w:val="0"/>
            <w:vAlign w:val="center"/>
          </w:tcPr>
          <w:p>
            <w:pPr>
              <w:kinsoku/>
              <w:bidi w:val="0"/>
              <w:spacing w:line="360" w:lineRule="auto"/>
              <w:contextualSpacing/>
              <w:jc w:val="left"/>
              <w:rPr>
                <w:rFonts w:ascii="宋体" w:hAnsi="宋体" w:cs="宋体"/>
                <w:sz w:val="21"/>
                <w:szCs w:val="21"/>
                <w:highlight w:val="none"/>
              </w:rPr>
            </w:pP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32" w:hRule="atLeast"/>
          <w:jc w:val="center"/>
        </w:trPr>
        <w:tc>
          <w:tcPr>
            <w:tcW w:w="1175" w:type="pct"/>
            <w:noWrap w:val="0"/>
            <w:vAlign w:val="center"/>
          </w:tcPr>
          <w:p>
            <w:pPr>
              <w:kinsoku/>
              <w:bidi w:val="0"/>
              <w:spacing w:line="360" w:lineRule="auto"/>
              <w:contextualSpacing/>
              <w:jc w:val="center"/>
              <w:rPr>
                <w:rFonts w:ascii="宋体" w:hAnsi="宋体" w:cs="宋体"/>
                <w:sz w:val="21"/>
                <w:szCs w:val="21"/>
                <w:highlight w:val="none"/>
              </w:rPr>
            </w:pPr>
            <w:r>
              <w:rPr>
                <w:rFonts w:hint="eastAsia" w:ascii="宋体" w:hAnsi="宋体" w:cs="宋体"/>
                <w:sz w:val="21"/>
                <w:szCs w:val="21"/>
                <w:highlight w:val="none"/>
                <w:lang w:val="en-US" w:eastAsia="zh-CN"/>
              </w:rPr>
              <w:t>投标</w:t>
            </w:r>
            <w:r>
              <w:rPr>
                <w:rFonts w:hint="eastAsia" w:ascii="宋体" w:hAnsi="宋体" w:cs="宋体"/>
                <w:sz w:val="21"/>
                <w:szCs w:val="21"/>
                <w:highlight w:val="none"/>
              </w:rPr>
              <w:t>总</w:t>
            </w:r>
            <w:r>
              <w:rPr>
                <w:rFonts w:hint="eastAsia" w:ascii="宋体" w:hAnsi="宋体" w:cs="宋体"/>
                <w:sz w:val="21"/>
                <w:szCs w:val="21"/>
                <w:highlight w:val="none"/>
                <w:lang w:val="en-US" w:eastAsia="zh-CN"/>
              </w:rPr>
              <w:t>报</w:t>
            </w:r>
            <w:r>
              <w:rPr>
                <w:rFonts w:hint="eastAsia" w:ascii="宋体" w:hAnsi="宋体" w:cs="宋体"/>
                <w:sz w:val="21"/>
                <w:szCs w:val="21"/>
                <w:highlight w:val="none"/>
              </w:rPr>
              <w:t>价（元）</w:t>
            </w:r>
          </w:p>
        </w:tc>
        <w:tc>
          <w:tcPr>
            <w:tcW w:w="3824" w:type="pct"/>
            <w:tcBorders>
              <w:right w:val="single" w:color="auto" w:sz="4" w:space="0"/>
            </w:tcBorders>
            <w:noWrap w:val="0"/>
            <w:vAlign w:val="center"/>
          </w:tcPr>
          <w:p>
            <w:pPr>
              <w:kinsoku/>
              <w:bidi w:val="0"/>
              <w:spacing w:line="360" w:lineRule="auto"/>
              <w:ind w:firstLine="420" w:firstLineChars="200"/>
              <w:contextualSpacing/>
              <w:jc w:val="left"/>
              <w:rPr>
                <w:rFonts w:hint="eastAsia" w:ascii="宋体" w:hAnsi="宋体" w:cs="宋体"/>
                <w:sz w:val="21"/>
                <w:szCs w:val="21"/>
                <w:highlight w:val="none"/>
                <w:u w:val="none"/>
                <w:lang w:val="en-US" w:eastAsia="zh-CN"/>
              </w:rPr>
            </w:pPr>
            <w:r>
              <w:rPr>
                <w:rFonts w:hint="eastAsia" w:ascii="宋体" w:hAnsi="宋体" w:cs="宋体"/>
                <w:sz w:val="21"/>
                <w:szCs w:val="21"/>
                <w:highlight w:val="none"/>
              </w:rPr>
              <w:t>人民币：</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（大写）</w:t>
            </w:r>
          </w:p>
          <w:p>
            <w:pPr>
              <w:kinsoku/>
              <w:bidi w:val="0"/>
              <w:spacing w:line="360" w:lineRule="auto"/>
              <w:ind w:firstLine="420" w:firstLineChars="200"/>
              <w:contextualSpacing/>
              <w:jc w:val="left"/>
              <w:rPr>
                <w:rFonts w:hint="default" w:ascii="宋体" w:hAnsi="宋体" w:cs="宋体"/>
                <w:sz w:val="21"/>
                <w:szCs w:val="21"/>
                <w:highlight w:val="none"/>
                <w:u w:val="none"/>
                <w:lang w:val="en-US" w:eastAsia="zh-CN"/>
              </w:rPr>
            </w:pPr>
            <w:r>
              <w:rPr>
                <w:rFonts w:hint="eastAsia" w:ascii="宋体" w:hAnsi="宋体" w:cs="宋体"/>
                <w:sz w:val="21"/>
                <w:szCs w:val="21"/>
                <w:highlight w:val="none"/>
              </w:rPr>
              <w:t>人民币：</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（小写）</w:t>
            </w: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32" w:hRule="atLeast"/>
          <w:jc w:val="center"/>
        </w:trPr>
        <w:tc>
          <w:tcPr>
            <w:tcW w:w="1175" w:type="pct"/>
            <w:noWrap w:val="0"/>
            <w:vAlign w:val="center"/>
          </w:tcPr>
          <w:p>
            <w:pPr>
              <w:kinsoku/>
              <w:bidi w:val="0"/>
              <w:spacing w:line="360" w:lineRule="auto"/>
              <w:ind w:firstLine="420" w:firstLineChars="200"/>
              <w:contextualSpacing/>
              <w:jc w:val="left"/>
              <w:rPr>
                <w:rFonts w:ascii="宋体" w:hAnsi="宋体" w:cs="宋体"/>
                <w:sz w:val="21"/>
                <w:szCs w:val="21"/>
                <w:highlight w:val="none"/>
              </w:rPr>
            </w:pPr>
            <w:r>
              <w:rPr>
                <w:rFonts w:hint="eastAsia" w:ascii="宋体" w:hAnsi="宋体" w:cs="宋体"/>
                <w:sz w:val="21"/>
                <w:szCs w:val="21"/>
                <w:highlight w:val="none"/>
                <w:lang w:val="en-US" w:eastAsia="zh-CN"/>
              </w:rPr>
              <w:t>供货</w:t>
            </w:r>
            <w:r>
              <w:rPr>
                <w:rFonts w:hint="eastAsia" w:ascii="宋体" w:hAnsi="宋体" w:cs="宋体"/>
                <w:sz w:val="21"/>
                <w:szCs w:val="21"/>
                <w:highlight w:val="none"/>
              </w:rPr>
              <w:t>期限</w:t>
            </w:r>
          </w:p>
        </w:tc>
        <w:tc>
          <w:tcPr>
            <w:tcW w:w="3824" w:type="pct"/>
            <w:tcBorders>
              <w:right w:val="single" w:color="auto" w:sz="4" w:space="0"/>
            </w:tcBorders>
            <w:noWrap w:val="0"/>
            <w:vAlign w:val="center"/>
          </w:tcPr>
          <w:p>
            <w:pPr>
              <w:kinsoku/>
              <w:bidi w:val="0"/>
              <w:spacing w:line="360" w:lineRule="auto"/>
              <w:ind w:firstLine="420" w:firstLineChars="200"/>
              <w:contextualSpacing/>
              <w:jc w:val="left"/>
              <w:rPr>
                <w:rFonts w:ascii="宋体" w:hAnsi="宋体" w:cs="宋体"/>
                <w:sz w:val="21"/>
                <w:szCs w:val="21"/>
                <w:highlight w:val="none"/>
              </w:rPr>
            </w:pP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32" w:hRule="atLeast"/>
          <w:jc w:val="center"/>
        </w:trPr>
        <w:tc>
          <w:tcPr>
            <w:tcW w:w="1175" w:type="pct"/>
            <w:noWrap w:val="0"/>
            <w:vAlign w:val="center"/>
          </w:tcPr>
          <w:p>
            <w:pPr>
              <w:kinsoku/>
              <w:bidi w:val="0"/>
              <w:spacing w:line="360" w:lineRule="auto"/>
              <w:contextualSpacing/>
              <w:jc w:val="center"/>
              <w:rPr>
                <w:rFonts w:ascii="宋体" w:hAnsi="宋体" w:cs="宋体"/>
                <w:sz w:val="21"/>
                <w:szCs w:val="21"/>
                <w:highlight w:val="none"/>
              </w:rPr>
            </w:pPr>
            <w:r>
              <w:rPr>
                <w:rFonts w:hint="eastAsia" w:ascii="宋体" w:hAnsi="宋体" w:cs="宋体"/>
                <w:sz w:val="21"/>
                <w:szCs w:val="21"/>
                <w:highlight w:val="none"/>
              </w:rPr>
              <w:t>投标有效期：</w:t>
            </w:r>
          </w:p>
        </w:tc>
        <w:tc>
          <w:tcPr>
            <w:tcW w:w="3824" w:type="pct"/>
            <w:tcBorders>
              <w:right w:val="single" w:color="auto" w:sz="4" w:space="0"/>
            </w:tcBorders>
            <w:noWrap w:val="0"/>
            <w:vAlign w:val="center"/>
          </w:tcPr>
          <w:p>
            <w:pPr>
              <w:kinsoku/>
              <w:bidi w:val="0"/>
              <w:spacing w:line="360" w:lineRule="auto"/>
              <w:ind w:firstLine="420" w:firstLineChars="200"/>
              <w:contextualSpacing/>
              <w:jc w:val="left"/>
              <w:rPr>
                <w:rFonts w:ascii="宋体" w:hAnsi="宋体" w:cs="宋体"/>
                <w:sz w:val="21"/>
                <w:szCs w:val="21"/>
                <w:highlight w:val="none"/>
              </w:rPr>
            </w:pPr>
            <w:r>
              <w:rPr>
                <w:rFonts w:hint="eastAsia" w:ascii="宋体" w:hAnsi="宋体" w:cs="宋体"/>
                <w:sz w:val="21"/>
                <w:szCs w:val="21"/>
                <w:highlight w:val="none"/>
              </w:rPr>
              <w:t>9</w:t>
            </w:r>
            <w:r>
              <w:rPr>
                <w:rFonts w:ascii="宋体" w:hAnsi="宋体" w:cs="宋体"/>
                <w:sz w:val="21"/>
                <w:szCs w:val="21"/>
                <w:highlight w:val="none"/>
              </w:rPr>
              <w:t>0</w:t>
            </w:r>
            <w:r>
              <w:rPr>
                <w:rFonts w:hint="eastAsia" w:ascii="宋体" w:hAnsi="宋体" w:cs="宋体"/>
                <w:sz w:val="21"/>
                <w:szCs w:val="21"/>
                <w:highlight w:val="none"/>
              </w:rPr>
              <w:t>天</w:t>
            </w:r>
          </w:p>
        </w:tc>
      </w:tr>
    </w:tbl>
    <w:p>
      <w:pPr>
        <w:kinsoku/>
        <w:bidi w:val="0"/>
        <w:spacing w:line="360" w:lineRule="auto"/>
        <w:ind w:firstLine="420" w:firstLineChars="200"/>
        <w:contextualSpacing/>
        <w:jc w:val="left"/>
        <w:rPr>
          <w:rFonts w:ascii="宋体" w:hAnsi="宋体" w:cs="宋体"/>
          <w:sz w:val="21"/>
          <w:szCs w:val="21"/>
          <w:highlight w:val="none"/>
        </w:rPr>
      </w:pPr>
      <w:r>
        <w:rPr>
          <w:rFonts w:hint="eastAsia" w:ascii="宋体" w:hAnsi="宋体" w:cs="宋体"/>
          <w:sz w:val="21"/>
          <w:szCs w:val="21"/>
          <w:highlight w:val="none"/>
        </w:rPr>
        <w:t>填写说明：</w:t>
      </w:r>
    </w:p>
    <w:p>
      <w:pPr>
        <w:kinsoku/>
        <w:bidi w:val="0"/>
        <w:spacing w:line="360" w:lineRule="auto"/>
        <w:ind w:firstLine="420" w:firstLineChars="200"/>
        <w:contextualSpacing/>
        <w:jc w:val="left"/>
        <w:rPr>
          <w:rFonts w:hint="eastAsia" w:ascii="宋体" w:hAnsi="宋体" w:eastAsia="宋体" w:cs="宋体"/>
          <w:sz w:val="21"/>
          <w:szCs w:val="21"/>
          <w:highlight w:val="none"/>
          <w:lang w:eastAsia="zh-CN"/>
        </w:rPr>
      </w:pPr>
      <w:r>
        <w:rPr>
          <w:rFonts w:hint="eastAsia" w:ascii="宋体" w:hAnsi="宋体" w:cs="宋体"/>
          <w:sz w:val="21"/>
          <w:szCs w:val="21"/>
          <w:highlight w:val="none"/>
        </w:rPr>
        <w:t>投标人按</w:t>
      </w:r>
      <w:r>
        <w:rPr>
          <w:rFonts w:hint="eastAsia" w:ascii="宋体" w:hAnsi="宋体" w:cs="宋体"/>
          <w:sz w:val="21"/>
          <w:szCs w:val="21"/>
          <w:highlight w:val="none"/>
          <w:lang w:val="en-US" w:eastAsia="zh-CN"/>
        </w:rPr>
        <w:t>电子投标文件中统一</w:t>
      </w:r>
      <w:r>
        <w:rPr>
          <w:rFonts w:hint="eastAsia" w:ascii="宋体" w:hAnsi="宋体" w:cs="宋体"/>
          <w:sz w:val="21"/>
          <w:szCs w:val="21"/>
          <w:highlight w:val="none"/>
        </w:rPr>
        <w:t>格式，完整、正确填写开标一览表，加盖投标人公章，并经投标人法定代表人或其授权代表签字或盖章，否则该投标文件为无效投标文件（复印件无效）</w:t>
      </w:r>
      <w:r>
        <w:rPr>
          <w:rFonts w:hint="eastAsia" w:ascii="宋体" w:hAnsi="宋体" w:cs="宋体"/>
          <w:sz w:val="21"/>
          <w:szCs w:val="21"/>
          <w:highlight w:val="none"/>
          <w:lang w:eastAsia="zh-CN"/>
        </w:rPr>
        <w:t>。</w:t>
      </w:r>
    </w:p>
    <w:p>
      <w:pPr>
        <w:kinsoku/>
        <w:bidi w:val="0"/>
        <w:spacing w:line="360" w:lineRule="auto"/>
        <w:ind w:firstLine="420" w:firstLineChars="200"/>
        <w:contextualSpacing/>
        <w:jc w:val="right"/>
        <w:rPr>
          <w:rFonts w:ascii="宋体" w:hAnsi="宋体"/>
          <w:bCs/>
          <w:sz w:val="21"/>
          <w:szCs w:val="21"/>
          <w:highlight w:val="none"/>
        </w:rPr>
      </w:pPr>
    </w:p>
    <w:p>
      <w:pPr>
        <w:kinsoku/>
        <w:bidi w:val="0"/>
        <w:spacing w:line="360" w:lineRule="auto"/>
        <w:ind w:firstLine="420" w:firstLineChars="200"/>
        <w:contextualSpacing/>
        <w:jc w:val="right"/>
        <w:rPr>
          <w:rFonts w:ascii="宋体" w:hAnsi="宋体"/>
          <w:sz w:val="21"/>
          <w:szCs w:val="21"/>
          <w:highlight w:val="none"/>
        </w:rPr>
      </w:pPr>
      <w:r>
        <w:rPr>
          <w:rFonts w:hint="eastAsia" w:ascii="宋体" w:hAnsi="宋体" w:eastAsia="宋体" w:cs="Times New Roman"/>
          <w:kern w:val="2"/>
          <w:sz w:val="21"/>
          <w:szCs w:val="21"/>
          <w:highlight w:val="none"/>
          <w:lang w:val="en-US" w:eastAsia="zh-CN" w:bidi="ar-SA"/>
        </w:rPr>
        <w:t xml:space="preserve"> 投标人名称</w:t>
      </w:r>
      <w:r>
        <w:rPr>
          <w:rFonts w:hint="eastAsia" w:ascii="宋体" w:hAnsi="宋体"/>
          <w:sz w:val="21"/>
          <w:szCs w:val="21"/>
          <w:highlight w:val="none"/>
        </w:rPr>
        <w:t>：        （盖章）</w:t>
      </w:r>
    </w:p>
    <w:p>
      <w:pPr>
        <w:kinsoku/>
        <w:bidi w:val="0"/>
        <w:spacing w:line="360" w:lineRule="auto"/>
        <w:ind w:firstLine="420" w:firstLineChars="200"/>
        <w:contextualSpacing/>
        <w:jc w:val="right"/>
        <w:rPr>
          <w:rFonts w:ascii="宋体" w:hAnsi="宋体"/>
          <w:sz w:val="21"/>
          <w:szCs w:val="21"/>
          <w:highlight w:val="none"/>
        </w:rPr>
      </w:pPr>
    </w:p>
    <w:p>
      <w:pPr>
        <w:kinsoku/>
        <w:bidi w:val="0"/>
        <w:spacing w:line="360" w:lineRule="auto"/>
        <w:ind w:firstLine="420" w:firstLineChars="200"/>
        <w:contextualSpacing/>
        <w:jc w:val="right"/>
        <w:rPr>
          <w:rFonts w:ascii="宋体" w:hAnsi="宋体"/>
          <w:sz w:val="21"/>
          <w:szCs w:val="21"/>
          <w:highlight w:val="none"/>
        </w:rPr>
      </w:pPr>
      <w:r>
        <w:rPr>
          <w:rFonts w:hint="eastAsia" w:ascii="宋体" w:hAnsi="宋体"/>
          <w:sz w:val="21"/>
          <w:szCs w:val="21"/>
          <w:highlight w:val="none"/>
        </w:rPr>
        <w:t>法定代表人或授权委托代理人（签字或盖章）：</w:t>
      </w:r>
    </w:p>
    <w:p>
      <w:pPr>
        <w:kinsoku/>
        <w:bidi w:val="0"/>
        <w:spacing w:line="360" w:lineRule="auto"/>
        <w:ind w:firstLine="420" w:firstLineChars="200"/>
        <w:contextualSpacing/>
        <w:jc w:val="right"/>
        <w:rPr>
          <w:rFonts w:ascii="宋体" w:hAnsi="宋体"/>
          <w:sz w:val="21"/>
          <w:szCs w:val="21"/>
          <w:highlight w:val="none"/>
        </w:rPr>
      </w:pPr>
    </w:p>
    <w:p>
      <w:pPr>
        <w:kinsoku/>
        <w:bidi w:val="0"/>
        <w:spacing w:line="360" w:lineRule="auto"/>
        <w:ind w:firstLine="420" w:firstLineChars="200"/>
        <w:contextualSpacing/>
        <w:jc w:val="right"/>
        <w:rPr>
          <w:rFonts w:ascii="宋体" w:hAnsi="宋体"/>
          <w:sz w:val="21"/>
          <w:szCs w:val="21"/>
          <w:highlight w:val="none"/>
        </w:rPr>
      </w:pPr>
      <w:r>
        <w:rPr>
          <w:rFonts w:hint="eastAsia" w:ascii="宋体" w:hAnsi="宋体"/>
          <w:sz w:val="21"/>
          <w:szCs w:val="21"/>
          <w:highlight w:val="none"/>
        </w:rPr>
        <w:t>日期：</w:t>
      </w:r>
    </w:p>
    <w:p>
      <w:pPr>
        <w:kinsoku/>
        <w:bidi w:val="0"/>
        <w:spacing w:line="360" w:lineRule="auto"/>
        <w:contextualSpacing/>
        <w:jc w:val="right"/>
        <w:rPr>
          <w:rFonts w:ascii="宋体" w:hAnsi="宋体" w:cs="宋体"/>
          <w:sz w:val="21"/>
          <w:szCs w:val="21"/>
          <w:highlight w:val="none"/>
        </w:rPr>
      </w:pPr>
    </w:p>
    <w:p>
      <w:pPr>
        <w:pStyle w:val="22"/>
        <w:kinsoku/>
        <w:overflowPunct/>
        <w:bidi w:val="0"/>
        <w:spacing w:line="360" w:lineRule="auto"/>
        <w:textAlignment w:val="auto"/>
        <w:rPr>
          <w:rFonts w:hint="eastAsia" w:cs="宋体"/>
          <w:color w:val="auto"/>
          <w:kern w:val="0"/>
          <w:sz w:val="21"/>
          <w:szCs w:val="21"/>
          <w:highlight w:val="none"/>
        </w:rPr>
      </w:pPr>
    </w:p>
    <w:p>
      <w:pPr>
        <w:pStyle w:val="3"/>
        <w:numPr>
          <w:ilvl w:val="0"/>
          <w:numId w:val="0"/>
        </w:numPr>
        <w:kinsoku/>
        <w:bidi w:val="0"/>
        <w:adjustRightInd w:val="0"/>
        <w:snapToGrid w:val="0"/>
        <w:spacing w:before="0" w:after="0" w:line="360" w:lineRule="auto"/>
        <w:ind w:leftChars="0"/>
        <w:rPr>
          <w:rFonts w:hint="eastAsia" w:ascii="宋体" w:hAnsi="宋体" w:eastAsia="宋体"/>
          <w:sz w:val="21"/>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5"/>
        <w:kinsoku/>
        <w:overflowPunct/>
        <w:bidi w:val="0"/>
        <w:spacing w:line="360" w:lineRule="auto"/>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报价分析表</w:t>
      </w:r>
    </w:p>
    <w:p>
      <w:pPr>
        <w:pStyle w:val="6"/>
        <w:kinsoku/>
        <w:bidi w:val="0"/>
        <w:spacing w:line="360" w:lineRule="auto"/>
        <w:rPr>
          <w:sz w:val="21"/>
          <w:szCs w:val="21"/>
          <w:highlight w:val="none"/>
        </w:rPr>
      </w:pPr>
    </w:p>
    <w:tbl>
      <w:tblPr>
        <w:tblStyle w:val="1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1419"/>
        <w:gridCol w:w="1608"/>
        <w:gridCol w:w="1219"/>
        <w:gridCol w:w="870"/>
        <w:gridCol w:w="720"/>
        <w:gridCol w:w="720"/>
        <w:gridCol w:w="996"/>
        <w:gridCol w:w="1116"/>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4" w:space="0"/>
              <w:left w:val="single" w:color="auto" w:sz="4"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序号</w:t>
            </w:r>
          </w:p>
        </w:tc>
        <w:tc>
          <w:tcPr>
            <w:tcW w:w="1608" w:type="dxa"/>
            <w:tcBorders>
              <w:top w:val="single" w:color="auto" w:sz="4"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标的物名称</w:t>
            </w:r>
          </w:p>
        </w:tc>
        <w:tc>
          <w:tcPr>
            <w:tcW w:w="1219" w:type="dxa"/>
            <w:tcBorders>
              <w:top w:val="single" w:color="auto" w:sz="4" w:space="0"/>
              <w:left w:val="single" w:color="auto" w:sz="6" w:space="0"/>
              <w:bottom w:val="single" w:color="auto" w:sz="4"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品牌、规格</w:t>
            </w:r>
          </w:p>
        </w:tc>
        <w:tc>
          <w:tcPr>
            <w:tcW w:w="870" w:type="dxa"/>
            <w:tcBorders>
              <w:top w:val="single" w:color="auto" w:sz="4"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单位</w:t>
            </w:r>
          </w:p>
        </w:tc>
        <w:tc>
          <w:tcPr>
            <w:tcW w:w="720" w:type="dxa"/>
            <w:tcBorders>
              <w:top w:val="single" w:color="auto" w:sz="4" w:space="0"/>
              <w:left w:val="single" w:color="auto" w:sz="4"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数量</w:t>
            </w:r>
          </w:p>
        </w:tc>
        <w:tc>
          <w:tcPr>
            <w:tcW w:w="720" w:type="dxa"/>
            <w:tcBorders>
              <w:top w:val="single" w:color="auto" w:sz="4"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单价</w:t>
            </w:r>
          </w:p>
        </w:tc>
        <w:tc>
          <w:tcPr>
            <w:tcW w:w="996" w:type="dxa"/>
            <w:tcBorders>
              <w:top w:val="single" w:color="auto" w:sz="4"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总价</w:t>
            </w:r>
          </w:p>
        </w:tc>
        <w:tc>
          <w:tcPr>
            <w:tcW w:w="1116" w:type="dxa"/>
            <w:tcBorders>
              <w:top w:val="single" w:color="auto" w:sz="4"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交付期</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1</w:t>
            </w:r>
          </w:p>
        </w:tc>
        <w:tc>
          <w:tcPr>
            <w:tcW w:w="1608"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870" w:type="dxa"/>
            <w:tcBorders>
              <w:top w:val="single" w:color="auto" w:sz="6" w:space="0"/>
              <w:left w:val="single" w:color="auto" w:sz="6" w:space="0"/>
              <w:bottom w:val="single" w:color="auto" w:sz="6" w:space="0"/>
              <w:right w:val="single" w:color="auto" w:sz="4"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99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111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2</w:t>
            </w:r>
          </w:p>
        </w:tc>
        <w:tc>
          <w:tcPr>
            <w:tcW w:w="1608"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870" w:type="dxa"/>
            <w:tcBorders>
              <w:top w:val="single" w:color="auto" w:sz="6" w:space="0"/>
              <w:left w:val="single" w:color="auto" w:sz="6" w:space="0"/>
              <w:bottom w:val="single" w:color="auto" w:sz="6" w:space="0"/>
              <w:right w:val="single" w:color="auto" w:sz="4"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99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111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3</w:t>
            </w:r>
          </w:p>
        </w:tc>
        <w:tc>
          <w:tcPr>
            <w:tcW w:w="1608"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870" w:type="dxa"/>
            <w:tcBorders>
              <w:top w:val="single" w:color="auto" w:sz="6" w:space="0"/>
              <w:left w:val="single" w:color="auto" w:sz="6" w:space="0"/>
              <w:bottom w:val="single" w:color="auto" w:sz="6" w:space="0"/>
              <w:right w:val="single" w:color="auto" w:sz="4"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99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111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4</w:t>
            </w:r>
          </w:p>
        </w:tc>
        <w:tc>
          <w:tcPr>
            <w:tcW w:w="1608"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870" w:type="dxa"/>
            <w:tcBorders>
              <w:top w:val="single" w:color="auto" w:sz="6" w:space="0"/>
              <w:left w:val="single" w:color="auto" w:sz="6" w:space="0"/>
              <w:bottom w:val="single" w:color="auto" w:sz="6" w:space="0"/>
              <w:right w:val="single" w:color="auto" w:sz="4"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4"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99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c>
          <w:tcPr>
            <w:tcW w:w="1116" w:type="dxa"/>
            <w:tcBorders>
              <w:top w:val="single" w:color="auto" w:sz="6" w:space="0"/>
              <w:left w:val="single" w:color="auto" w:sz="6" w:space="0"/>
              <w:bottom w:val="single" w:color="auto" w:sz="6" w:space="0"/>
              <w:right w:val="single" w:color="auto" w:sz="4" w:space="0"/>
            </w:tcBorders>
            <w:noWrap w:val="0"/>
            <w:vAlign w:val="center"/>
          </w:tcPr>
          <w:p>
            <w:pPr>
              <w:pStyle w:val="23"/>
              <w:kinsoku/>
              <w:bidi w:val="0"/>
              <w:snapToGrid w:val="0"/>
              <w:spacing w:line="360" w:lineRule="auto"/>
              <w:jc w:val="center"/>
              <w:rPr>
                <w:rFonts w:ascii="宋体" w:hAnsi="宋体" w:cs="宋体"/>
                <w:bCs/>
                <w:sz w:val="21"/>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419" w:type="dxa"/>
            <w:tcBorders>
              <w:top w:val="single" w:color="auto" w:sz="4" w:space="0"/>
              <w:left w:val="single" w:color="auto" w:sz="6" w:space="0"/>
              <w:bottom w:val="single" w:color="auto" w:sz="6" w:space="0"/>
              <w:right w:val="single" w:color="auto" w:sz="6" w:space="0"/>
            </w:tcBorders>
            <w:noWrap w:val="0"/>
            <w:vAlign w:val="center"/>
          </w:tcPr>
          <w:p>
            <w:pPr>
              <w:kinsoku/>
              <w:bidi w:val="0"/>
              <w:adjustRightInd w:val="0"/>
              <w:snapToGrid w:val="0"/>
              <w:spacing w:line="360" w:lineRule="auto"/>
              <w:jc w:val="center"/>
              <w:rPr>
                <w:rFonts w:ascii="宋体" w:hAnsi="宋体" w:cs="宋体"/>
                <w:bCs/>
                <w:sz w:val="21"/>
                <w:szCs w:val="21"/>
                <w:highlight w:val="none"/>
              </w:rPr>
            </w:pPr>
            <w:r>
              <w:rPr>
                <w:rFonts w:hint="eastAsia" w:ascii="宋体" w:hAnsi="宋体" w:cs="宋体"/>
                <w:bCs/>
                <w:sz w:val="21"/>
                <w:szCs w:val="21"/>
                <w:highlight w:val="none"/>
              </w:rPr>
              <w:t>投标总报价</w:t>
            </w:r>
          </w:p>
        </w:tc>
        <w:tc>
          <w:tcPr>
            <w:tcW w:w="7249" w:type="dxa"/>
            <w:gridSpan w:val="7"/>
            <w:tcBorders>
              <w:top w:val="single" w:color="auto" w:sz="4" w:space="0"/>
              <w:left w:val="single" w:color="auto" w:sz="6" w:space="0"/>
              <w:bottom w:val="single" w:color="auto" w:sz="6" w:space="0"/>
              <w:right w:val="single" w:color="auto" w:sz="6" w:space="0"/>
            </w:tcBorders>
            <w:noWrap w:val="0"/>
            <w:vAlign w:val="center"/>
          </w:tcPr>
          <w:p>
            <w:pPr>
              <w:pStyle w:val="23"/>
              <w:kinsoku/>
              <w:bidi w:val="0"/>
              <w:snapToGrid w:val="0"/>
              <w:spacing w:line="360" w:lineRule="auto"/>
              <w:jc w:val="left"/>
              <w:rPr>
                <w:rFonts w:ascii="宋体" w:hAnsi="宋体" w:cs="宋体"/>
                <w:bCs/>
                <w:sz w:val="21"/>
                <w:szCs w:val="21"/>
                <w:highlight w:val="none"/>
              </w:rPr>
            </w:pPr>
            <w:r>
              <w:rPr>
                <w:rFonts w:hint="eastAsia" w:ascii="宋体" w:hAnsi="宋体" w:cs="宋体"/>
                <w:bCs/>
                <w:sz w:val="21"/>
                <w:szCs w:val="21"/>
                <w:highlight w:val="none"/>
              </w:rPr>
              <w:t>金额大写                      元      （¥：              元）</w:t>
            </w:r>
          </w:p>
        </w:tc>
      </w:tr>
    </w:tbl>
    <w:p>
      <w:pPr>
        <w:pStyle w:val="24"/>
        <w:kinsoku/>
        <w:bidi w:val="0"/>
        <w:snapToGrid w:val="0"/>
        <w:spacing w:line="360" w:lineRule="auto"/>
        <w:ind w:firstLine="422" w:firstLineChars="200"/>
        <w:rPr>
          <w:rFonts w:hAnsi="宋体" w:eastAsia="宋体" w:cs="宋体"/>
          <w:b/>
          <w:bCs/>
          <w:sz w:val="21"/>
          <w:szCs w:val="21"/>
          <w:highlight w:val="none"/>
        </w:rPr>
      </w:pPr>
    </w:p>
    <w:p>
      <w:pPr>
        <w:pStyle w:val="24"/>
        <w:kinsoku/>
        <w:bidi w:val="0"/>
        <w:snapToGrid w:val="0"/>
        <w:spacing w:line="360" w:lineRule="auto"/>
        <w:ind w:firstLine="422" w:firstLineChars="200"/>
        <w:rPr>
          <w:rFonts w:hAnsi="宋体" w:eastAsia="宋体" w:cs="宋体"/>
          <w:b/>
          <w:bCs/>
          <w:sz w:val="21"/>
          <w:szCs w:val="21"/>
          <w:highlight w:val="none"/>
        </w:rPr>
      </w:pPr>
      <w:r>
        <w:rPr>
          <w:rFonts w:hint="eastAsia" w:hAnsi="宋体" w:eastAsia="宋体" w:cs="宋体"/>
          <w:b/>
          <w:bCs/>
          <w:sz w:val="21"/>
          <w:szCs w:val="21"/>
          <w:highlight w:val="none"/>
        </w:rPr>
        <w:t>注：“投标总报价”金额与</w:t>
      </w:r>
      <w:r>
        <w:rPr>
          <w:rFonts w:hint="eastAsia" w:hAnsi="宋体" w:eastAsia="宋体" w:cs="宋体"/>
          <w:b/>
          <w:bCs/>
          <w:sz w:val="21"/>
          <w:szCs w:val="21"/>
          <w:highlight w:val="none"/>
          <w:lang w:val="en-US" w:eastAsia="zh-CN"/>
        </w:rPr>
        <w:t>报价函、开标一览表</w:t>
      </w:r>
      <w:r>
        <w:rPr>
          <w:rFonts w:hint="eastAsia" w:hAnsi="宋体" w:eastAsia="宋体" w:cs="宋体"/>
          <w:b/>
          <w:bCs/>
          <w:sz w:val="21"/>
          <w:szCs w:val="21"/>
          <w:highlight w:val="none"/>
        </w:rPr>
        <w:t>须保持一致。</w:t>
      </w:r>
    </w:p>
    <w:p>
      <w:pPr>
        <w:pStyle w:val="24"/>
        <w:kinsoku/>
        <w:bidi w:val="0"/>
        <w:spacing w:line="360" w:lineRule="auto"/>
        <w:ind w:firstLine="405"/>
        <w:rPr>
          <w:rFonts w:hAnsi="宋体" w:eastAsia="宋体" w:cs="宋体"/>
          <w:sz w:val="21"/>
          <w:szCs w:val="21"/>
          <w:highlight w:val="none"/>
        </w:rPr>
      </w:pPr>
    </w:p>
    <w:p>
      <w:pPr>
        <w:pStyle w:val="24"/>
        <w:kinsoku/>
        <w:bidi w:val="0"/>
        <w:snapToGrid w:val="0"/>
        <w:spacing w:line="360" w:lineRule="auto"/>
        <w:ind w:firstLine="405"/>
        <w:jc w:val="center"/>
        <w:rPr>
          <w:rFonts w:hint="eastAsia" w:ascii="宋体" w:hAnsi="宋体" w:eastAsia="宋体" w:cs="Times New Roman"/>
          <w:kern w:val="2"/>
          <w:sz w:val="21"/>
          <w:szCs w:val="21"/>
          <w:highlight w:val="none"/>
          <w:lang w:val="en-US" w:eastAsia="zh-CN" w:bidi="ar-SA"/>
        </w:rPr>
      </w:pPr>
      <w:r>
        <w:rPr>
          <w:rFonts w:hint="eastAsia" w:hAnsi="宋体" w:eastAsia="宋体" w:cs="宋体"/>
          <w:sz w:val="21"/>
          <w:szCs w:val="21"/>
          <w:highlight w:val="none"/>
          <w:lang w:val="en-US" w:eastAsia="zh-CN"/>
        </w:rPr>
        <w:t xml:space="preserve">                                      </w:t>
      </w:r>
      <w:r>
        <w:rPr>
          <w:rFonts w:hint="eastAsia" w:ascii="宋体" w:hAnsi="宋体" w:eastAsia="宋体" w:cs="Times New Roman"/>
          <w:kern w:val="2"/>
          <w:sz w:val="21"/>
          <w:szCs w:val="21"/>
          <w:highlight w:val="none"/>
          <w:lang w:val="en-US" w:eastAsia="zh-CN" w:bidi="ar-SA"/>
        </w:rPr>
        <w:t xml:space="preserve">   投标人名称：（盖章）</w:t>
      </w:r>
    </w:p>
    <w:p>
      <w:pPr>
        <w:pStyle w:val="24"/>
        <w:kinsoku/>
        <w:bidi w:val="0"/>
        <w:snapToGrid w:val="0"/>
        <w:spacing w:line="360" w:lineRule="auto"/>
        <w:ind w:firstLine="405"/>
        <w:jc w:val="righ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 xml:space="preserve">法定代表人或代理人：（签字或盖章）  </w:t>
      </w:r>
    </w:p>
    <w:p>
      <w:pPr>
        <w:pStyle w:val="6"/>
        <w:kinsoku/>
        <w:overflowPunct w:val="0"/>
        <w:bidi w:val="0"/>
        <w:snapToGrid w:val="0"/>
        <w:spacing w:line="360" w:lineRule="auto"/>
        <w:ind w:firstLineChars="200"/>
        <w:jc w:val="righ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日期：     年     月     日</w:t>
      </w:r>
    </w:p>
    <w:p>
      <w:pPr>
        <w:kinsoku/>
        <w:bidi w:val="0"/>
        <w:spacing w:line="360" w:lineRule="auto"/>
        <w:ind w:firstLine="420" w:firstLineChars="200"/>
        <w:jc w:val="right"/>
        <w:rPr>
          <w:rFonts w:ascii="宋体" w:hAnsi="宋体"/>
          <w:sz w:val="21"/>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pgNumType w:fmt="decimal"/>
          <w:cols w:space="720" w:num="1"/>
          <w:docGrid w:linePitch="312" w:charSpace="0"/>
        </w:sectPr>
      </w:pPr>
    </w:p>
    <w:p>
      <w:pPr>
        <w:kinsoku/>
        <w:overflowPunct/>
        <w:bidi w:val="0"/>
        <w:spacing w:line="360" w:lineRule="auto"/>
        <w:textAlignment w:val="auto"/>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附件3：</w:t>
      </w:r>
    </w:p>
    <w:p>
      <w:pPr>
        <w:kinsoku/>
        <w:overflowPunct/>
        <w:bidi w:val="0"/>
        <w:spacing w:line="360" w:lineRule="auto"/>
        <w:jc w:val="center"/>
        <w:textAlignment w:val="auto"/>
        <w:rPr>
          <w:rFonts w:ascii="宋体" w:hAnsi="宋体" w:cs="宋体"/>
          <w:b/>
          <w:bCs w:val="0"/>
          <w:color w:val="auto"/>
          <w:kern w:val="0"/>
          <w:sz w:val="21"/>
          <w:szCs w:val="21"/>
          <w:highlight w:val="none"/>
        </w:rPr>
      </w:pPr>
      <w:r>
        <w:rPr>
          <w:rFonts w:hint="eastAsia" w:ascii="宋体" w:hAnsi="宋体" w:cs="宋体"/>
          <w:b/>
          <w:bCs w:val="0"/>
          <w:color w:val="auto"/>
          <w:kern w:val="0"/>
          <w:sz w:val="21"/>
          <w:szCs w:val="21"/>
          <w:highlight w:val="none"/>
        </w:rPr>
        <w:t>法定代表人</w:t>
      </w:r>
      <w:r>
        <w:rPr>
          <w:rFonts w:hint="eastAsia" w:ascii="宋体" w:hAnsi="宋体" w:cs="宋体"/>
          <w:b/>
          <w:bCs w:val="0"/>
          <w:color w:val="auto"/>
          <w:kern w:val="0"/>
          <w:sz w:val="21"/>
          <w:szCs w:val="21"/>
          <w:highlight w:val="none"/>
          <w:lang w:eastAsia="zh-CN"/>
        </w:rPr>
        <w:t>（</w:t>
      </w:r>
      <w:r>
        <w:rPr>
          <w:rFonts w:hint="eastAsia" w:ascii="宋体" w:hAnsi="宋体" w:cs="宋体"/>
          <w:b/>
          <w:bCs w:val="0"/>
          <w:color w:val="auto"/>
          <w:kern w:val="0"/>
          <w:sz w:val="21"/>
          <w:szCs w:val="21"/>
          <w:highlight w:val="none"/>
          <w:lang w:val="en-US" w:eastAsia="zh-CN"/>
        </w:rPr>
        <w:t>负责人</w:t>
      </w:r>
      <w:r>
        <w:rPr>
          <w:rFonts w:hint="eastAsia" w:ascii="宋体" w:hAnsi="宋体" w:cs="宋体"/>
          <w:b/>
          <w:bCs w:val="0"/>
          <w:color w:val="auto"/>
          <w:kern w:val="0"/>
          <w:sz w:val="21"/>
          <w:szCs w:val="21"/>
          <w:highlight w:val="none"/>
          <w:lang w:eastAsia="zh-CN"/>
        </w:rPr>
        <w:t>）</w:t>
      </w:r>
      <w:r>
        <w:rPr>
          <w:rFonts w:hint="eastAsia" w:ascii="宋体" w:hAnsi="宋体" w:cs="宋体"/>
          <w:b/>
          <w:bCs w:val="0"/>
          <w:color w:val="auto"/>
          <w:kern w:val="0"/>
          <w:sz w:val="21"/>
          <w:szCs w:val="21"/>
          <w:highlight w:val="none"/>
        </w:rPr>
        <w:t>身份证明书</w:t>
      </w:r>
    </w:p>
    <w:p>
      <w:pPr>
        <w:kinsoku/>
        <w:overflowPunct/>
        <w:bidi w:val="0"/>
        <w:spacing w:line="360" w:lineRule="auto"/>
        <w:ind w:firstLine="420" w:firstLineChars="200"/>
        <w:textAlignment w:val="auto"/>
        <w:rPr>
          <w:rFonts w:hint="eastAsia" w:ascii="宋体" w:hAnsi="宋体" w:cs="宋体"/>
          <w:color w:val="auto"/>
          <w:kern w:val="0"/>
          <w:sz w:val="21"/>
          <w:szCs w:val="21"/>
          <w:highlight w:val="none"/>
        </w:rPr>
      </w:pP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w:t>
      </w:r>
      <w:r>
        <w:rPr>
          <w:rFonts w:ascii="宋体" w:hAnsi="宋体" w:cs="宋体"/>
          <w:color w:val="auto"/>
          <w:kern w:val="0"/>
          <w:sz w:val="21"/>
          <w:szCs w:val="21"/>
          <w:highlight w:val="none"/>
          <w:u w:val="singl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单位性质：</w:t>
      </w:r>
      <w:r>
        <w:rPr>
          <w:rFonts w:ascii="宋体" w:hAnsi="宋体" w:cs="宋体"/>
          <w:color w:val="auto"/>
          <w:kern w:val="0"/>
          <w:sz w:val="21"/>
          <w:szCs w:val="21"/>
          <w:highlight w:val="none"/>
          <w:u w:val="singl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地</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址：</w:t>
      </w:r>
      <w:r>
        <w:rPr>
          <w:rFonts w:ascii="宋体" w:hAnsi="宋体" w:cs="宋体"/>
          <w:color w:val="auto"/>
          <w:kern w:val="0"/>
          <w:sz w:val="21"/>
          <w:szCs w:val="21"/>
          <w:highlight w:val="none"/>
          <w:u w:val="singl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成立时间：</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年</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月</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日</w:t>
      </w:r>
      <w:r>
        <w:rPr>
          <w:rFonts w:ascii="宋体" w:hAnsi="宋体" w:cs="宋体"/>
          <w:color w:val="auto"/>
          <w:kern w:val="0"/>
          <w:sz w:val="21"/>
          <w:szCs w:val="21"/>
          <w:highlight w:val="non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经营期限：</w:t>
      </w:r>
      <w:r>
        <w:rPr>
          <w:rFonts w:ascii="宋体" w:hAnsi="宋体" w:cs="宋体"/>
          <w:color w:val="auto"/>
          <w:kern w:val="0"/>
          <w:sz w:val="21"/>
          <w:szCs w:val="21"/>
          <w:highlight w:val="none"/>
          <w:u w:val="singl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u w:val="single"/>
        </w:rPr>
      </w:pPr>
      <w:r>
        <w:rPr>
          <w:rFonts w:hint="eastAsia" w:ascii="宋体" w:hAnsi="宋体" w:cs="宋体"/>
          <w:color w:val="auto"/>
          <w:kern w:val="0"/>
          <w:sz w:val="21"/>
          <w:szCs w:val="21"/>
          <w:highlight w:val="none"/>
        </w:rPr>
        <w:t>姓</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名：</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身份证号：</w:t>
      </w:r>
      <w:r>
        <w:rPr>
          <w:rFonts w:ascii="宋体" w:hAnsi="宋体" w:cs="宋体"/>
          <w:color w:val="auto"/>
          <w:kern w:val="0"/>
          <w:sz w:val="21"/>
          <w:szCs w:val="21"/>
          <w:highlight w:val="none"/>
          <w:u w:val="single"/>
        </w:rPr>
        <w:t xml:space="preserve">             </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系</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投标人名称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的法定代表人（负责人）。</w:t>
      </w:r>
    </w:p>
    <w:p>
      <w:pPr>
        <w:kinsoku/>
        <w:overflowPunct/>
        <w:bidi w:val="0"/>
        <w:spacing w:line="360" w:lineRule="auto"/>
        <w:ind w:firstLine="420" w:firstLineChars="200"/>
        <w:textAlignment w:val="auto"/>
        <w:rPr>
          <w:rFonts w:ascii="宋体" w:hAnsi="宋体" w:cs="宋体"/>
          <w:color w:val="auto"/>
          <w:kern w:val="0"/>
          <w:sz w:val="21"/>
          <w:szCs w:val="21"/>
          <w:highlight w:val="none"/>
        </w:rPr>
      </w:pP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特此证明。</w:t>
      </w:r>
    </w:p>
    <w:p>
      <w:pPr>
        <w:kinsoku/>
        <w:overflowPunct/>
        <w:bidi w:val="0"/>
        <w:spacing w:line="360" w:lineRule="auto"/>
        <w:textAlignment w:val="auto"/>
        <w:rPr>
          <w:rFonts w:ascii="宋体" w:hAnsi="宋体" w:cs="宋体"/>
          <w:color w:val="auto"/>
          <w:kern w:val="0"/>
          <w:sz w:val="21"/>
          <w:szCs w:val="21"/>
          <w:highlight w:val="none"/>
        </w:rPr>
      </w:pPr>
    </w:p>
    <w:p>
      <w:pPr>
        <w:kinsoku/>
        <w:overflowPunct/>
        <w:bidi w:val="0"/>
        <w:spacing w:line="360" w:lineRule="auto"/>
        <w:ind w:firstLine="444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投标人</w:t>
      </w:r>
      <w:r>
        <w:rPr>
          <w:rFonts w:hint="eastAsia" w:ascii="宋体" w:hAnsi="宋体" w:cs="宋体"/>
          <w:color w:val="auto"/>
          <w:kern w:val="0"/>
          <w:sz w:val="21"/>
          <w:szCs w:val="21"/>
          <w:highlight w:val="none"/>
          <w:lang w:val="en-US" w:eastAsia="zh-CN"/>
        </w:rPr>
        <w:t>名称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公章</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w:t>
      </w:r>
      <w:r>
        <w:rPr>
          <w:rFonts w:ascii="宋体" w:hAnsi="宋体" w:cs="宋体"/>
          <w:color w:val="auto"/>
          <w:kern w:val="0"/>
          <w:sz w:val="21"/>
          <w:szCs w:val="21"/>
          <w:highlight w:val="none"/>
          <w:u w:val="single"/>
        </w:rPr>
        <w:t xml:space="preserve">             </w:t>
      </w:r>
    </w:p>
    <w:p>
      <w:pPr>
        <w:kinsoku/>
        <w:overflowPunct/>
        <w:bidi w:val="0"/>
        <w:spacing w:line="360" w:lineRule="auto"/>
        <w:textAlignment w:val="auto"/>
        <w:rPr>
          <w:rFonts w:ascii="宋体" w:hAnsi="宋体" w:cs="宋体"/>
          <w:color w:val="auto"/>
          <w:kern w:val="0"/>
          <w:sz w:val="21"/>
          <w:szCs w:val="21"/>
          <w:highlight w:val="none"/>
        </w:rPr>
      </w:pPr>
    </w:p>
    <w:p>
      <w:pPr>
        <w:kinsoku/>
        <w:overflowPunct/>
        <w:bidi w:val="0"/>
        <w:spacing w:line="360" w:lineRule="auto"/>
        <w:ind w:firstLine="444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日期：</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年</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月</w:t>
      </w:r>
      <w:r>
        <w:rPr>
          <w:rFonts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日</w:t>
      </w:r>
    </w:p>
    <w:p>
      <w:pPr>
        <w:kinsoku/>
        <w:overflowPunct/>
        <w:bidi w:val="0"/>
        <w:spacing w:line="360" w:lineRule="auto"/>
        <w:ind w:firstLine="1800"/>
        <w:textAlignment w:val="auto"/>
        <w:rPr>
          <w:rFonts w:ascii="宋体" w:hAnsi="宋体" w:cs="宋体"/>
          <w:color w:val="auto"/>
          <w:kern w:val="0"/>
          <w:sz w:val="21"/>
          <w:szCs w:val="21"/>
          <w:highlight w:val="none"/>
        </w:rPr>
      </w:pPr>
    </w:p>
    <w:p>
      <w:pPr>
        <w:kinsoku/>
        <w:overflowPunct/>
        <w:bidi w:val="0"/>
        <w:spacing w:line="360" w:lineRule="auto"/>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 附法定代表人</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负责人</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身份证正反面复印件</w:t>
      </w:r>
    </w:p>
    <w:p>
      <w:pPr>
        <w:kinsoku/>
        <w:overflowPunct/>
        <w:bidi w:val="0"/>
        <w:spacing w:line="360" w:lineRule="auto"/>
        <w:textAlignment w:val="auto"/>
        <w:rPr>
          <w:rFonts w:hint="eastAsia" w:ascii="宋体" w:hAnsi="宋体" w:cs="宋体"/>
          <w:color w:val="auto"/>
          <w:kern w:val="0"/>
          <w:sz w:val="21"/>
          <w:szCs w:val="21"/>
          <w:highlight w:val="none"/>
        </w:rPr>
      </w:pPr>
    </w:p>
    <w:p>
      <w:pPr>
        <w:kinsoku/>
        <w:overflowPunct/>
        <w:bidi w:val="0"/>
        <w:spacing w:line="360" w:lineRule="auto"/>
        <w:textAlignment w:val="auto"/>
        <w:rPr>
          <w:rFonts w:ascii="宋体" w:hAnsi="宋体" w:cs="宋体"/>
          <w:color w:val="auto"/>
          <w:kern w:val="0"/>
          <w:sz w:val="21"/>
          <w:szCs w:val="21"/>
          <w:highlight w:val="none"/>
        </w:rPr>
      </w:pPr>
      <w:r>
        <w:rPr>
          <w:rFonts w:ascii="宋体" w:hAnsi="宋体" w:cs="宋体"/>
          <w:color w:val="auto"/>
          <w:kern w:val="0"/>
          <w:sz w:val="21"/>
          <w:szCs w:val="21"/>
          <w:highlight w:val="none"/>
        </w:rPr>
        <w:br w:type="page"/>
      </w:r>
      <w:r>
        <w:rPr>
          <w:rFonts w:hint="eastAsia" w:ascii="宋体" w:hAnsi="宋体" w:cs="宋体"/>
          <w:b/>
          <w:bCs/>
          <w:color w:val="auto"/>
          <w:kern w:val="0"/>
          <w:sz w:val="21"/>
          <w:szCs w:val="21"/>
          <w:highlight w:val="none"/>
        </w:rPr>
        <w:t>附件4：</w:t>
      </w:r>
    </w:p>
    <w:p>
      <w:pPr>
        <w:kinsoku/>
        <w:overflowPunct/>
        <w:bidi w:val="0"/>
        <w:spacing w:line="360" w:lineRule="auto"/>
        <w:jc w:val="center"/>
        <w:textAlignment w:val="auto"/>
        <w:rPr>
          <w:rFonts w:ascii="宋体" w:hAnsi="宋体" w:cs="宋体"/>
          <w:b/>
          <w:bCs w:val="0"/>
          <w:color w:val="auto"/>
          <w:kern w:val="0"/>
          <w:sz w:val="21"/>
          <w:szCs w:val="21"/>
          <w:highlight w:val="none"/>
        </w:rPr>
      </w:pPr>
      <w:r>
        <w:rPr>
          <w:rFonts w:hint="eastAsia" w:ascii="宋体" w:hAnsi="宋体" w:cs="宋体"/>
          <w:b/>
          <w:bCs w:val="0"/>
          <w:color w:val="auto"/>
          <w:kern w:val="0"/>
          <w:sz w:val="21"/>
          <w:szCs w:val="21"/>
          <w:highlight w:val="none"/>
        </w:rPr>
        <w:t>授</w:t>
      </w:r>
      <w:r>
        <w:rPr>
          <w:rFonts w:ascii="宋体" w:hAnsi="宋体" w:cs="宋体"/>
          <w:b/>
          <w:bCs w:val="0"/>
          <w:color w:val="auto"/>
          <w:kern w:val="0"/>
          <w:sz w:val="21"/>
          <w:szCs w:val="21"/>
          <w:highlight w:val="none"/>
        </w:rPr>
        <w:t xml:space="preserve"> </w:t>
      </w:r>
      <w:r>
        <w:rPr>
          <w:rFonts w:hint="eastAsia" w:ascii="宋体" w:hAnsi="宋体" w:cs="宋体"/>
          <w:b/>
          <w:bCs w:val="0"/>
          <w:color w:val="auto"/>
          <w:kern w:val="0"/>
          <w:sz w:val="21"/>
          <w:szCs w:val="21"/>
          <w:highlight w:val="none"/>
        </w:rPr>
        <w:t>权</w:t>
      </w:r>
      <w:r>
        <w:rPr>
          <w:rFonts w:ascii="宋体" w:hAnsi="宋体" w:cs="宋体"/>
          <w:b/>
          <w:bCs w:val="0"/>
          <w:color w:val="auto"/>
          <w:kern w:val="0"/>
          <w:sz w:val="21"/>
          <w:szCs w:val="21"/>
          <w:highlight w:val="none"/>
        </w:rPr>
        <w:t xml:space="preserve"> </w:t>
      </w:r>
      <w:r>
        <w:rPr>
          <w:rFonts w:hint="eastAsia" w:ascii="宋体" w:hAnsi="宋体" w:cs="宋体"/>
          <w:b/>
          <w:bCs w:val="0"/>
          <w:color w:val="auto"/>
          <w:kern w:val="0"/>
          <w:sz w:val="21"/>
          <w:szCs w:val="21"/>
          <w:highlight w:val="none"/>
        </w:rPr>
        <w:t>委</w:t>
      </w:r>
      <w:r>
        <w:rPr>
          <w:rFonts w:ascii="宋体" w:hAnsi="宋体" w:cs="宋体"/>
          <w:b/>
          <w:bCs w:val="0"/>
          <w:color w:val="auto"/>
          <w:kern w:val="0"/>
          <w:sz w:val="21"/>
          <w:szCs w:val="21"/>
          <w:highlight w:val="none"/>
        </w:rPr>
        <w:t xml:space="preserve"> </w:t>
      </w:r>
      <w:r>
        <w:rPr>
          <w:rFonts w:hint="eastAsia" w:ascii="宋体" w:hAnsi="宋体" w:cs="宋体"/>
          <w:b/>
          <w:bCs w:val="0"/>
          <w:color w:val="auto"/>
          <w:kern w:val="0"/>
          <w:sz w:val="21"/>
          <w:szCs w:val="21"/>
          <w:highlight w:val="none"/>
        </w:rPr>
        <w:t>托</w:t>
      </w:r>
      <w:r>
        <w:rPr>
          <w:rFonts w:ascii="宋体" w:hAnsi="宋体" w:cs="宋体"/>
          <w:b/>
          <w:bCs w:val="0"/>
          <w:color w:val="auto"/>
          <w:kern w:val="0"/>
          <w:sz w:val="21"/>
          <w:szCs w:val="21"/>
          <w:highlight w:val="none"/>
        </w:rPr>
        <w:t xml:space="preserve"> </w:t>
      </w:r>
      <w:r>
        <w:rPr>
          <w:rFonts w:hint="eastAsia" w:ascii="宋体" w:hAnsi="宋体" w:cs="宋体"/>
          <w:b/>
          <w:bCs w:val="0"/>
          <w:color w:val="auto"/>
          <w:kern w:val="0"/>
          <w:sz w:val="21"/>
          <w:szCs w:val="21"/>
          <w:highlight w:val="none"/>
        </w:rPr>
        <w:t>书</w:t>
      </w:r>
    </w:p>
    <w:p>
      <w:pPr>
        <w:kinsoku/>
        <w:overflowPunct/>
        <w:bidi w:val="0"/>
        <w:spacing w:line="360" w:lineRule="auto"/>
        <w:jc w:val="center"/>
        <w:textAlignment w:val="auto"/>
        <w:rPr>
          <w:rFonts w:ascii="宋体" w:hAnsi="宋体" w:cs="宋体"/>
          <w:bCs/>
          <w:color w:val="auto"/>
          <w:kern w:val="0"/>
          <w:sz w:val="21"/>
          <w:szCs w:val="21"/>
          <w:highlight w:val="none"/>
        </w:rPr>
      </w:pPr>
      <w:r>
        <w:rPr>
          <w:rFonts w:ascii="宋体" w:hAnsi="宋体" w:cs="宋体"/>
          <w:bCs/>
          <w:color w:val="auto"/>
          <w:kern w:val="0"/>
          <w:sz w:val="21"/>
          <w:szCs w:val="21"/>
          <w:highlight w:val="none"/>
        </w:rPr>
        <w:t>(</w:t>
      </w:r>
      <w:r>
        <w:rPr>
          <w:rFonts w:hint="eastAsia" w:ascii="宋体" w:hAnsi="宋体" w:cs="宋体"/>
          <w:bCs/>
          <w:color w:val="auto"/>
          <w:kern w:val="0"/>
          <w:sz w:val="21"/>
          <w:szCs w:val="21"/>
          <w:highlight w:val="none"/>
        </w:rPr>
        <w:t>原件</w:t>
      </w:r>
      <w:r>
        <w:rPr>
          <w:rFonts w:ascii="宋体" w:hAnsi="宋体" w:cs="宋体"/>
          <w:bCs/>
          <w:color w:val="auto"/>
          <w:kern w:val="0"/>
          <w:sz w:val="21"/>
          <w:szCs w:val="21"/>
          <w:highlight w:val="none"/>
        </w:rPr>
        <w:t>)</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本授权委托书声明：本人</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姓名</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系</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单位全称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的法定代表人（负责人），现代表本单位（公司）授权我单位（公司）</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部门、职务或职称、姓名</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作为本单位（公司）的合法代理人，以本单位（公司）的名义参加</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招标单位名称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的</w:t>
      </w:r>
      <w:r>
        <w:rPr>
          <w:rFonts w:ascii="宋体" w:hAnsi="宋体" w:cs="宋体"/>
          <w:color w:val="auto"/>
          <w:kern w:val="0"/>
          <w:sz w:val="21"/>
          <w:szCs w:val="21"/>
          <w:highlight w:val="none"/>
          <w:u w:val="single"/>
        </w:rPr>
        <w:t xml:space="preserve">          </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项目名称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投标。授权代表签署与本次招标相关的一切文件和处理与之有关的一切事务，本人均予以承认。</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授权委托人无转委托权。</w:t>
      </w: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特此声明</w:t>
      </w:r>
    </w:p>
    <w:p>
      <w:pPr>
        <w:kinsoku/>
        <w:overflowPunct/>
        <w:bidi w:val="0"/>
        <w:spacing w:line="360" w:lineRule="auto"/>
        <w:ind w:firstLine="420" w:firstLineChars="200"/>
        <w:textAlignment w:val="auto"/>
        <w:rPr>
          <w:rFonts w:ascii="宋体" w:hAnsi="宋体" w:cs="宋体"/>
          <w:color w:val="auto"/>
          <w:kern w:val="0"/>
          <w:sz w:val="21"/>
          <w:szCs w:val="21"/>
          <w:highlight w:val="none"/>
        </w:rPr>
      </w:pPr>
    </w:p>
    <w:p>
      <w:pPr>
        <w:kinsoku/>
        <w:overflowPunct/>
        <w:bidi w:val="0"/>
        <w:spacing w:line="360" w:lineRule="auto"/>
        <w:ind w:firstLine="420" w:firstLineChars="200"/>
        <w:textAlignment w:val="auto"/>
        <w:rPr>
          <w:rFonts w:ascii="宋体" w:hAnsi="宋体" w:cs="宋体"/>
          <w:color w:val="auto"/>
          <w:kern w:val="0"/>
          <w:sz w:val="21"/>
          <w:szCs w:val="21"/>
          <w:highlight w:val="none"/>
        </w:rPr>
      </w:pP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w:t>
      </w:r>
      <w:r>
        <w:rPr>
          <w:rFonts w:hint="eastAsia" w:ascii="宋体" w:hAnsi="宋体" w:cs="宋体"/>
          <w:color w:val="auto"/>
          <w:kern w:val="0"/>
          <w:sz w:val="21"/>
          <w:szCs w:val="21"/>
          <w:highlight w:val="none"/>
          <w:lang w:val="en-US" w:eastAsia="zh-CN"/>
        </w:rPr>
        <w:t>人名称</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t>公章</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w:t>
      </w:r>
    </w:p>
    <w:p>
      <w:pPr>
        <w:kinsoku/>
        <w:overflowPunct/>
        <w:bidi w:val="0"/>
        <w:spacing w:line="360" w:lineRule="auto"/>
        <w:ind w:firstLine="422" w:firstLineChars="200"/>
        <w:textAlignment w:val="auto"/>
        <w:rPr>
          <w:rFonts w:hint="eastAsia" w:ascii="宋体" w:hAnsi="宋体" w:cs="宋体"/>
          <w:b/>
          <w:bCs/>
          <w:color w:val="auto"/>
          <w:kern w:val="0"/>
          <w:sz w:val="21"/>
          <w:szCs w:val="21"/>
          <w:highlight w:val="none"/>
        </w:rPr>
      </w:pPr>
    </w:p>
    <w:p>
      <w:pPr>
        <w:kinsoku/>
        <w:overflowPunct/>
        <w:bidi w:val="0"/>
        <w:spacing w:line="360" w:lineRule="auto"/>
        <w:ind w:firstLine="422" w:firstLineChars="200"/>
        <w:textAlignment w:val="auto"/>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法定代表人（负责人）签字：</w:t>
      </w:r>
    </w:p>
    <w:p>
      <w:pPr>
        <w:kinsoku/>
        <w:overflowPunct/>
        <w:bidi w:val="0"/>
        <w:spacing w:line="360" w:lineRule="auto"/>
        <w:ind w:firstLine="422" w:firstLineChars="200"/>
        <w:textAlignment w:val="auto"/>
        <w:rPr>
          <w:rFonts w:hint="eastAsia" w:ascii="宋体" w:hAnsi="宋体" w:cs="宋体"/>
          <w:b/>
          <w:bCs/>
          <w:color w:val="auto"/>
          <w:kern w:val="0"/>
          <w:sz w:val="21"/>
          <w:szCs w:val="21"/>
          <w:highlight w:val="none"/>
        </w:rPr>
      </w:pPr>
    </w:p>
    <w:p>
      <w:pPr>
        <w:kinsoku/>
        <w:overflowPunct/>
        <w:bidi w:val="0"/>
        <w:spacing w:line="360" w:lineRule="auto"/>
        <w:ind w:firstLine="422" w:firstLineChars="200"/>
        <w:textAlignment w:val="auto"/>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授权委托人</w:t>
      </w:r>
      <w:r>
        <w:rPr>
          <w:rFonts w:ascii="宋体" w:hAnsi="宋体" w:cs="宋体"/>
          <w:b/>
          <w:bCs/>
          <w:color w:val="auto"/>
          <w:kern w:val="0"/>
          <w:sz w:val="21"/>
          <w:szCs w:val="21"/>
          <w:highlight w:val="none"/>
        </w:rPr>
        <w:t>(</w:t>
      </w:r>
      <w:r>
        <w:rPr>
          <w:rFonts w:hint="eastAsia" w:ascii="宋体" w:hAnsi="宋体" w:cs="宋体"/>
          <w:b/>
          <w:bCs/>
          <w:color w:val="auto"/>
          <w:kern w:val="0"/>
          <w:sz w:val="21"/>
          <w:szCs w:val="21"/>
          <w:highlight w:val="none"/>
        </w:rPr>
        <w:t>签字</w:t>
      </w:r>
      <w:r>
        <w:rPr>
          <w:rFonts w:ascii="宋体" w:hAnsi="宋体" w:cs="宋体"/>
          <w:b/>
          <w:bCs/>
          <w:color w:val="auto"/>
          <w:kern w:val="0"/>
          <w:sz w:val="21"/>
          <w:szCs w:val="21"/>
          <w:highlight w:val="none"/>
        </w:rPr>
        <w:t xml:space="preserve">) </w:t>
      </w:r>
      <w:r>
        <w:rPr>
          <w:rFonts w:hint="eastAsia" w:ascii="宋体" w:hAnsi="宋体" w:cs="宋体"/>
          <w:b/>
          <w:bCs/>
          <w:color w:val="auto"/>
          <w:kern w:val="0"/>
          <w:sz w:val="21"/>
          <w:szCs w:val="21"/>
          <w:highlight w:val="none"/>
        </w:rPr>
        <w:t>：</w:t>
      </w:r>
      <w:r>
        <w:rPr>
          <w:rFonts w:ascii="宋体" w:hAnsi="宋体" w:cs="宋体"/>
          <w:b/>
          <w:bCs/>
          <w:color w:val="auto"/>
          <w:kern w:val="0"/>
          <w:sz w:val="21"/>
          <w:szCs w:val="21"/>
          <w:highlight w:val="none"/>
        </w:rPr>
        <w:t xml:space="preserve"> </w:t>
      </w:r>
    </w:p>
    <w:p>
      <w:pPr>
        <w:kinsoku/>
        <w:overflowPunct/>
        <w:bidi w:val="0"/>
        <w:spacing w:line="360" w:lineRule="auto"/>
        <w:ind w:firstLine="420" w:firstLineChars="200"/>
        <w:textAlignment w:val="auto"/>
        <w:rPr>
          <w:rFonts w:hint="eastAsia" w:ascii="宋体" w:hAnsi="宋体" w:cs="宋体"/>
          <w:color w:val="auto"/>
          <w:kern w:val="0"/>
          <w:sz w:val="21"/>
          <w:szCs w:val="21"/>
          <w:highlight w:val="none"/>
        </w:rPr>
      </w:pPr>
    </w:p>
    <w:p>
      <w:pPr>
        <w:kinsoku/>
        <w:overflowPunct/>
        <w:bidi w:val="0"/>
        <w:spacing w:line="360" w:lineRule="auto"/>
        <w:ind w:firstLine="420" w:firstLineChars="200"/>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日期：</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年</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月</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日</w:t>
      </w:r>
    </w:p>
    <w:p>
      <w:pPr>
        <w:kinsoku/>
        <w:overflowPunct/>
        <w:bidi w:val="0"/>
        <w:spacing w:line="360" w:lineRule="auto"/>
        <w:ind w:firstLine="420" w:firstLineChars="200"/>
        <w:textAlignment w:val="auto"/>
        <w:rPr>
          <w:rFonts w:hint="eastAsia" w:ascii="宋体" w:hAnsi="宋体" w:cs="宋体"/>
          <w:color w:val="auto"/>
          <w:kern w:val="0"/>
          <w:sz w:val="21"/>
          <w:szCs w:val="21"/>
          <w:highlight w:val="none"/>
        </w:rPr>
      </w:pPr>
    </w:p>
    <w:p>
      <w:pPr>
        <w:kinsoku/>
        <w:overflowPunct/>
        <w:bidi w:val="0"/>
        <w:spacing w:line="360" w:lineRule="auto"/>
        <w:ind w:firstLine="420" w:firstLineChars="200"/>
        <w:textAlignment w:val="auto"/>
        <w:rPr>
          <w:rFonts w:ascii="宋体" w:hAnsi="宋体" w:cs="宋体"/>
          <w:color w:val="auto"/>
          <w:kern w:val="0"/>
          <w:sz w:val="21"/>
          <w:szCs w:val="21"/>
          <w:highlight w:val="none"/>
        </w:rPr>
      </w:pPr>
      <w:r>
        <w:rPr>
          <w:rFonts w:hint="eastAsia" w:ascii="宋体" w:hAnsi="宋体"/>
          <w:color w:val="auto"/>
          <w:sz w:val="21"/>
          <w:szCs w:val="21"/>
          <w:highlight w:val="none"/>
        </w:rPr>
        <w:t>附授权委托人身份证正反面复印件</w:t>
      </w:r>
    </w:p>
    <w:p>
      <w:pPr>
        <w:kinsoku/>
        <w:overflowPunct/>
        <w:bidi w:val="0"/>
        <w:spacing w:line="360" w:lineRule="auto"/>
        <w:jc w:val="center"/>
        <w:textAlignment w:val="auto"/>
        <w:rPr>
          <w:rFonts w:ascii="宋体" w:hAnsi="宋体"/>
          <w:color w:val="auto"/>
          <w:sz w:val="21"/>
          <w:szCs w:val="21"/>
          <w:highlight w:val="none"/>
        </w:rPr>
      </w:pPr>
    </w:p>
    <w:p>
      <w:pPr>
        <w:kinsoku/>
        <w:overflowPunct/>
        <w:bidi w:val="0"/>
        <w:spacing w:line="360" w:lineRule="auto"/>
        <w:jc w:val="center"/>
        <w:textAlignment w:val="auto"/>
        <w:rPr>
          <w:rFonts w:ascii="宋体" w:hAnsi="宋体"/>
          <w:color w:val="auto"/>
          <w:sz w:val="21"/>
          <w:szCs w:val="21"/>
          <w:highlight w:val="none"/>
        </w:rPr>
      </w:pPr>
    </w:p>
    <w:p>
      <w:pPr>
        <w:kinsoku/>
        <w:overflowPunct/>
        <w:bidi w:val="0"/>
        <w:spacing w:line="360" w:lineRule="auto"/>
        <w:textAlignment w:val="auto"/>
        <w:rPr>
          <w:rFonts w:hint="eastAsia" w:ascii="宋体" w:hAnsi="宋体" w:cs="宋体"/>
          <w:color w:val="auto"/>
          <w:kern w:val="0"/>
          <w:sz w:val="21"/>
          <w:szCs w:val="21"/>
          <w:highlight w:val="none"/>
        </w:rPr>
      </w:pPr>
      <w:r>
        <w:rPr>
          <w:rFonts w:ascii="宋体" w:hAnsi="宋体"/>
          <w:color w:val="auto"/>
          <w:sz w:val="21"/>
          <w:szCs w:val="21"/>
          <w:highlight w:val="none"/>
        </w:rPr>
        <w:br w:type="page"/>
      </w:r>
      <w:r>
        <w:rPr>
          <w:rFonts w:hint="eastAsia" w:ascii="宋体" w:hAnsi="宋体" w:cs="宋体"/>
          <w:b/>
          <w:bCs/>
          <w:color w:val="auto"/>
          <w:kern w:val="0"/>
          <w:sz w:val="21"/>
          <w:szCs w:val="21"/>
          <w:highlight w:val="none"/>
        </w:rPr>
        <w:t>附件5：</w:t>
      </w:r>
    </w:p>
    <w:p>
      <w:pPr>
        <w:kinsoku/>
        <w:overflowPunct/>
        <w:bidi w:val="0"/>
        <w:spacing w:line="360" w:lineRule="auto"/>
        <w:ind w:firstLine="422" w:firstLineChars="200"/>
        <w:jc w:val="center"/>
        <w:textAlignment w:val="auto"/>
        <w:rPr>
          <w:rFonts w:hint="eastAsia" w:ascii="宋体" w:hAnsi="宋体" w:cs="宋体"/>
          <w:b/>
          <w:bCs w:val="0"/>
          <w:color w:val="auto"/>
          <w:sz w:val="21"/>
          <w:szCs w:val="21"/>
          <w:highlight w:val="none"/>
        </w:rPr>
      </w:pPr>
      <w:r>
        <w:rPr>
          <w:rFonts w:hint="eastAsia" w:ascii="宋体" w:hAnsi="宋体"/>
          <w:b/>
          <w:bCs w:val="0"/>
          <w:color w:val="auto"/>
          <w:sz w:val="21"/>
          <w:szCs w:val="21"/>
          <w:highlight w:val="none"/>
        </w:rPr>
        <w:t>具备履行合同所必需的设备和专业技术能力的证明材料</w:t>
      </w:r>
      <w:r>
        <w:rPr>
          <w:rFonts w:hint="eastAsia" w:ascii="宋体" w:hAnsi="宋体"/>
          <w:b/>
          <w:bCs w:val="0"/>
          <w:color w:val="auto"/>
          <w:sz w:val="21"/>
          <w:szCs w:val="21"/>
          <w:highlight w:val="none"/>
          <w:lang w:eastAsia="zh-CN"/>
        </w:rPr>
        <w:t>、</w:t>
      </w:r>
      <w:bookmarkStart w:id="34" w:name="_Toc414607925"/>
      <w:r>
        <w:rPr>
          <w:rFonts w:hint="eastAsia" w:ascii="宋体" w:hAnsi="宋体" w:cs="宋体"/>
          <w:b/>
          <w:bCs w:val="0"/>
          <w:color w:val="auto"/>
          <w:sz w:val="21"/>
          <w:szCs w:val="21"/>
          <w:highlight w:val="none"/>
        </w:rPr>
        <w:t>参加政府采购活动前</w:t>
      </w:r>
      <w:r>
        <w:rPr>
          <w:rFonts w:ascii="宋体" w:hAnsi="宋体" w:cs="宋体"/>
          <w:b/>
          <w:bCs w:val="0"/>
          <w:color w:val="auto"/>
          <w:sz w:val="21"/>
          <w:szCs w:val="21"/>
          <w:highlight w:val="none"/>
        </w:rPr>
        <w:t>3</w:t>
      </w:r>
      <w:r>
        <w:rPr>
          <w:rFonts w:hint="eastAsia" w:ascii="宋体" w:hAnsi="宋体" w:cs="宋体"/>
          <w:b/>
          <w:bCs w:val="0"/>
          <w:color w:val="auto"/>
          <w:sz w:val="21"/>
          <w:szCs w:val="21"/>
          <w:highlight w:val="none"/>
        </w:rPr>
        <w:t>年内在经营活动中没有重大违法记录的书面声明</w:t>
      </w:r>
    </w:p>
    <w:p>
      <w:pPr>
        <w:pStyle w:val="25"/>
        <w:kinsoku/>
        <w:overflowPunct/>
        <w:bidi w:val="0"/>
        <w:spacing w:line="360" w:lineRule="auto"/>
        <w:ind w:left="0" w:firstLine="0"/>
        <w:jc w:val="center"/>
        <w:textAlignment w:val="auto"/>
        <w:rPr>
          <w:rFonts w:ascii="宋体" w:hAnsi="宋体" w:cs="宋体"/>
          <w:b w:val="0"/>
          <w:color w:val="auto"/>
          <w:sz w:val="21"/>
          <w:szCs w:val="21"/>
          <w:highlight w:val="none"/>
        </w:rPr>
      </w:pPr>
      <w:r>
        <w:rPr>
          <w:rFonts w:ascii="宋体" w:hAnsi="宋体" w:cs="宋体"/>
          <w:b w:val="0"/>
          <w:color w:val="auto"/>
          <w:sz w:val="21"/>
          <w:szCs w:val="21"/>
          <w:highlight w:val="none"/>
        </w:rPr>
        <w:t>(</w:t>
      </w:r>
      <w:r>
        <w:rPr>
          <w:rFonts w:hint="eastAsia" w:ascii="宋体" w:hAnsi="宋体" w:cs="宋体"/>
          <w:b w:val="0"/>
          <w:color w:val="auto"/>
          <w:sz w:val="21"/>
          <w:szCs w:val="21"/>
          <w:highlight w:val="none"/>
        </w:rPr>
        <w:t>参考格式</w:t>
      </w:r>
      <w:r>
        <w:rPr>
          <w:rFonts w:ascii="宋体" w:hAnsi="宋体" w:cs="宋体"/>
          <w:b w:val="0"/>
          <w:color w:val="auto"/>
          <w:sz w:val="21"/>
          <w:szCs w:val="21"/>
          <w:highlight w:val="none"/>
        </w:rPr>
        <w:t>)</w:t>
      </w:r>
      <w:bookmarkEnd w:id="34"/>
      <w:r>
        <w:rPr>
          <w:rFonts w:ascii="宋体" w:hAnsi="宋体" w:cs="宋体"/>
          <w:b w:val="0"/>
          <w:color w:val="auto"/>
          <w:sz w:val="21"/>
          <w:szCs w:val="21"/>
          <w:highlight w:val="none"/>
        </w:rPr>
        <w:t xml:space="preserve"> </w:t>
      </w:r>
    </w:p>
    <w:p>
      <w:pPr>
        <w:pStyle w:val="3"/>
        <w:pageBreakBefore w:val="0"/>
        <w:numPr>
          <w:ilvl w:val="0"/>
          <w:numId w:val="0"/>
        </w:numPr>
        <w:kinsoku/>
        <w:topLinePunct w:val="0"/>
        <w:bidi w:val="0"/>
        <w:adjustRightInd/>
        <w:snapToGrid/>
        <w:spacing w:line="360" w:lineRule="auto"/>
        <w:ind w:leftChars="0"/>
        <w:jc w:val="center"/>
        <w:rPr>
          <w:rFonts w:ascii="宋体" w:hAnsi="宋体" w:eastAsia="宋体"/>
          <w:b/>
          <w:bCs/>
          <w:sz w:val="21"/>
          <w:szCs w:val="21"/>
          <w:highlight w:val="none"/>
        </w:rPr>
      </w:pPr>
      <w:r>
        <w:rPr>
          <w:rFonts w:hint="eastAsia" w:ascii="宋体" w:hAnsi="宋体" w:eastAsia="宋体"/>
          <w:b/>
          <w:bCs/>
          <w:sz w:val="21"/>
          <w:szCs w:val="21"/>
          <w:highlight w:val="none"/>
          <w:lang w:val="en-US" w:eastAsia="zh-CN"/>
        </w:rPr>
        <w:t>投标人</w:t>
      </w:r>
      <w:r>
        <w:rPr>
          <w:rFonts w:hint="eastAsia" w:ascii="宋体" w:hAnsi="宋体" w:eastAsia="宋体"/>
          <w:b/>
          <w:bCs/>
          <w:sz w:val="21"/>
          <w:szCs w:val="21"/>
          <w:highlight w:val="none"/>
        </w:rPr>
        <w:t>资格声明书</w:t>
      </w:r>
    </w:p>
    <w:p>
      <w:pPr>
        <w:pageBreakBefore w:val="0"/>
        <w:tabs>
          <w:tab w:val="left" w:pos="5580"/>
        </w:tabs>
        <w:kinsoku/>
        <w:topLinePunct w:val="0"/>
        <w:bidi w:val="0"/>
        <w:adjustRightInd/>
        <w:snapToGrid/>
        <w:spacing w:line="360" w:lineRule="auto"/>
        <w:rPr>
          <w:rFonts w:hint="default" w:eastAsia="宋体"/>
          <w:sz w:val="21"/>
          <w:szCs w:val="21"/>
          <w:highlight w:val="none"/>
          <w:lang w:val="en-US" w:eastAsia="zh-CN"/>
        </w:rPr>
      </w:pPr>
      <w:r>
        <w:rPr>
          <w:rFonts w:hint="eastAsia"/>
          <w:sz w:val="21"/>
          <w:szCs w:val="21"/>
          <w:highlight w:val="none"/>
        </w:rPr>
        <w:t>致：</w:t>
      </w:r>
      <w:r>
        <w:rPr>
          <w:rFonts w:hint="eastAsia"/>
          <w:sz w:val="21"/>
          <w:szCs w:val="21"/>
          <w:highlight w:val="none"/>
          <w:u w:val="single"/>
          <w:lang w:val="en-US" w:eastAsia="zh-CN"/>
        </w:rPr>
        <w:t xml:space="preserve">                  （招标人名称）</w:t>
      </w:r>
    </w:p>
    <w:p>
      <w:pPr>
        <w:pageBreakBefore w:val="0"/>
        <w:kinsoku/>
        <w:topLinePunct w:val="0"/>
        <w:bidi w:val="0"/>
        <w:adjustRightInd/>
        <w:snapToGrid/>
        <w:spacing w:line="360" w:lineRule="auto"/>
        <w:ind w:firstLine="420" w:firstLineChars="200"/>
        <w:rPr>
          <w:sz w:val="21"/>
          <w:szCs w:val="21"/>
          <w:highlight w:val="none"/>
        </w:rPr>
      </w:pPr>
      <w:r>
        <w:rPr>
          <w:rFonts w:hint="eastAsia"/>
          <w:sz w:val="21"/>
          <w:szCs w:val="21"/>
          <w:highlight w:val="none"/>
        </w:rPr>
        <w:t>在参与本次项目响应中，我单位承诺：</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具有良好的商业信誉和健全的财务会计制度；</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具有履行合同所必需的设备和专业技术能力；</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具有依法缴纳税收和社会保障资金的良好记录；</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我单位不存在为采购项目提供整体设计、规范编制或者项目管理、监理、检测等服务后，再参加该采购项目的其他采购活动的情形（单一来源采购项目除外）；</w:t>
      </w:r>
    </w:p>
    <w:p>
      <w:pPr>
        <w:pageBreakBefore w:val="0"/>
        <w:numPr>
          <w:ilvl w:val="0"/>
          <w:numId w:val="18"/>
        </w:numPr>
        <w:kinsoku/>
        <w:topLinePunct w:val="0"/>
        <w:autoSpaceDE w:val="0"/>
        <w:autoSpaceDN w:val="0"/>
        <w:bidi w:val="0"/>
        <w:adjustRightInd/>
        <w:snapToGrid/>
        <w:spacing w:line="360" w:lineRule="auto"/>
        <w:ind w:left="1134"/>
        <w:jc w:val="left"/>
        <w:rPr>
          <w:sz w:val="21"/>
          <w:szCs w:val="21"/>
          <w:highlight w:val="none"/>
        </w:rPr>
      </w:pPr>
      <w:r>
        <w:rPr>
          <w:rFonts w:hint="eastAsia"/>
          <w:sz w:val="21"/>
          <w:szCs w:val="21"/>
          <w:highlight w:val="none"/>
        </w:rPr>
        <w:t>与我单位存在“单位负责人为同一人或者存在直接控股、管理关系”的其他法人单位信息如下（如有，不论其是否参加同一合同项下的政府采购活动均须填写）：</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sz w:val="21"/>
                <w:szCs w:val="21"/>
                <w:highlight w:val="none"/>
              </w:rPr>
            </w:pPr>
            <w:r>
              <w:rPr>
                <w:rFonts w:hint="eastAsia"/>
                <w:sz w:val="21"/>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adjustRightInd/>
              <w:snapToGrid/>
              <w:spacing w:line="360" w:lineRule="auto"/>
              <w:jc w:val="center"/>
              <w:rPr>
                <w:b/>
                <w:bCs/>
                <w:sz w:val="21"/>
                <w:szCs w:val="21"/>
                <w:highlight w:val="none"/>
              </w:rPr>
            </w:pPr>
            <w:r>
              <w:rPr>
                <w:rFonts w:hint="eastAsia"/>
                <w:b/>
                <w:bCs/>
                <w:sz w:val="21"/>
                <w:szCs w:val="21"/>
                <w:highlight w:val="none"/>
              </w:rPr>
              <w:t>/</w:t>
            </w:r>
          </w:p>
        </w:tc>
      </w:tr>
    </w:tbl>
    <w:p>
      <w:pPr>
        <w:pageBreakBefore w:val="0"/>
        <w:kinsoku/>
        <w:topLinePunct w:val="0"/>
        <w:bidi w:val="0"/>
        <w:adjustRightInd/>
        <w:snapToGrid/>
        <w:spacing w:line="360" w:lineRule="auto"/>
        <w:rPr>
          <w:sz w:val="21"/>
          <w:szCs w:val="21"/>
          <w:highlight w:val="none"/>
        </w:rPr>
      </w:pPr>
    </w:p>
    <w:p>
      <w:pPr>
        <w:pageBreakBefore w:val="0"/>
        <w:kinsoku/>
        <w:topLinePunct w:val="0"/>
        <w:bidi w:val="0"/>
        <w:adjustRightInd/>
        <w:snapToGrid/>
        <w:spacing w:line="360" w:lineRule="auto"/>
        <w:ind w:firstLine="420" w:firstLineChars="200"/>
        <w:rPr>
          <w:sz w:val="21"/>
          <w:szCs w:val="21"/>
          <w:highlight w:val="none"/>
        </w:rPr>
      </w:pPr>
      <w:r>
        <w:rPr>
          <w:rFonts w:hint="eastAsia"/>
          <w:sz w:val="21"/>
          <w:szCs w:val="21"/>
          <w:highlight w:val="none"/>
        </w:rPr>
        <w:t>上述声明真实有效，否则我方负全部责任。</w:t>
      </w:r>
    </w:p>
    <w:p>
      <w:pPr>
        <w:pageBreakBefore w:val="0"/>
        <w:kinsoku/>
        <w:topLinePunct w:val="0"/>
        <w:bidi w:val="0"/>
        <w:adjustRightInd/>
        <w:snapToGrid/>
        <w:spacing w:line="360" w:lineRule="auto"/>
        <w:rPr>
          <w:sz w:val="21"/>
          <w:szCs w:val="21"/>
          <w:highlight w:val="none"/>
        </w:rPr>
      </w:pPr>
    </w:p>
    <w:p>
      <w:pPr>
        <w:pageBreakBefore w:val="0"/>
        <w:kinsoku/>
        <w:wordWrap w:val="0"/>
        <w:topLinePunct w:val="0"/>
        <w:bidi w:val="0"/>
        <w:adjustRightInd/>
        <w:snapToGrid/>
        <w:spacing w:before="25" w:after="25" w:line="360" w:lineRule="auto"/>
        <w:jc w:val="right"/>
        <w:rPr>
          <w:color w:val="000000"/>
          <w:sz w:val="21"/>
          <w:szCs w:val="21"/>
          <w:highlight w:val="none"/>
        </w:rPr>
      </w:pPr>
      <w:r>
        <w:rPr>
          <w:rFonts w:hint="eastAsia"/>
          <w:color w:val="000000"/>
          <w:sz w:val="21"/>
          <w:szCs w:val="21"/>
          <w:highlight w:val="none"/>
          <w:lang w:val="en-US" w:eastAsia="zh-CN"/>
        </w:rPr>
        <w:t>投标人</w:t>
      </w:r>
      <w:r>
        <w:rPr>
          <w:rFonts w:hint="eastAsia"/>
          <w:color w:val="000000"/>
          <w:sz w:val="21"/>
          <w:szCs w:val="21"/>
          <w:highlight w:val="none"/>
        </w:rPr>
        <w:t>名称（加盖公章）：</w:t>
      </w:r>
      <w:r>
        <w:rPr>
          <w:rFonts w:hint="eastAsia"/>
          <w:color w:val="000000"/>
          <w:sz w:val="21"/>
          <w:szCs w:val="21"/>
          <w:highlight w:val="none"/>
          <w:u w:val="single"/>
        </w:rPr>
        <w:t xml:space="preserve">            </w:t>
      </w:r>
      <w:r>
        <w:rPr>
          <w:rFonts w:hint="eastAsia"/>
          <w:color w:val="000000"/>
          <w:sz w:val="21"/>
          <w:szCs w:val="21"/>
          <w:highlight w:val="none"/>
        </w:rPr>
        <w:t xml:space="preserve"> </w:t>
      </w:r>
    </w:p>
    <w:p>
      <w:pPr>
        <w:pageBreakBefore w:val="0"/>
        <w:kinsoku/>
        <w:topLinePunct w:val="0"/>
        <w:bidi w:val="0"/>
        <w:adjustRightInd/>
        <w:snapToGrid/>
        <w:spacing w:line="360" w:lineRule="auto"/>
        <w:ind w:right="360" w:firstLine="480"/>
        <w:jc w:val="right"/>
        <w:rPr>
          <w:color w:val="000000"/>
          <w:sz w:val="21"/>
          <w:szCs w:val="21"/>
          <w:highlight w:val="none"/>
        </w:rPr>
      </w:pPr>
      <w:r>
        <w:rPr>
          <w:rFonts w:hint="eastAsia"/>
          <w:color w:val="000000"/>
          <w:sz w:val="21"/>
          <w:szCs w:val="21"/>
          <w:highlight w:val="none"/>
        </w:rPr>
        <w:t>日期：</w:t>
      </w:r>
      <w:r>
        <w:rPr>
          <w:rFonts w:hint="eastAsia"/>
          <w:color w:val="000000"/>
          <w:sz w:val="21"/>
          <w:szCs w:val="21"/>
          <w:highlight w:val="none"/>
          <w:u w:val="single"/>
        </w:rPr>
        <w:t xml:space="preserve"> </w:t>
      </w:r>
      <w:r>
        <w:rPr>
          <w:color w:val="000000"/>
          <w:sz w:val="21"/>
          <w:szCs w:val="21"/>
          <w:highlight w:val="none"/>
          <w:u w:val="single"/>
        </w:rPr>
        <w:t xml:space="preserve">  </w:t>
      </w:r>
      <w:r>
        <w:rPr>
          <w:rFonts w:hint="eastAsia"/>
          <w:color w:val="000000"/>
          <w:sz w:val="21"/>
          <w:szCs w:val="21"/>
          <w:highlight w:val="none"/>
          <w:u w:val="single"/>
        </w:rPr>
        <w:t xml:space="preserve">  </w:t>
      </w:r>
      <w:r>
        <w:rPr>
          <w:rFonts w:hint="eastAsia"/>
          <w:color w:val="000000"/>
          <w:sz w:val="21"/>
          <w:szCs w:val="21"/>
          <w:highlight w:val="none"/>
        </w:rPr>
        <w:t>年</w:t>
      </w:r>
      <w:r>
        <w:rPr>
          <w:rFonts w:hint="eastAsia"/>
          <w:color w:val="000000"/>
          <w:sz w:val="21"/>
          <w:szCs w:val="21"/>
          <w:highlight w:val="none"/>
          <w:u w:val="single"/>
        </w:rPr>
        <w:t xml:space="preserve">    </w:t>
      </w:r>
      <w:r>
        <w:rPr>
          <w:rFonts w:hint="eastAsia"/>
          <w:color w:val="000000"/>
          <w:sz w:val="21"/>
          <w:szCs w:val="21"/>
          <w:highlight w:val="none"/>
        </w:rPr>
        <w:t>月</w:t>
      </w:r>
      <w:r>
        <w:rPr>
          <w:rFonts w:hint="eastAsia"/>
          <w:color w:val="000000"/>
          <w:sz w:val="21"/>
          <w:szCs w:val="21"/>
          <w:highlight w:val="none"/>
          <w:u w:val="single"/>
        </w:rPr>
        <w:t xml:space="preserve">    </w:t>
      </w:r>
      <w:r>
        <w:rPr>
          <w:rFonts w:hint="eastAsia"/>
          <w:color w:val="000000"/>
          <w:sz w:val="21"/>
          <w:szCs w:val="21"/>
          <w:highlight w:val="none"/>
        </w:rPr>
        <w:t>日</w:t>
      </w:r>
    </w:p>
    <w:p>
      <w:pPr>
        <w:pageBreakBefore w:val="0"/>
        <w:kinsoku/>
        <w:topLinePunct w:val="0"/>
        <w:bidi w:val="0"/>
        <w:adjustRightInd/>
        <w:snapToGrid/>
        <w:spacing w:before="25" w:after="25" w:line="360" w:lineRule="auto"/>
        <w:jc w:val="right"/>
        <w:rPr>
          <w:color w:val="000000"/>
          <w:sz w:val="21"/>
          <w:szCs w:val="21"/>
          <w:highlight w:val="none"/>
        </w:rPr>
      </w:pPr>
    </w:p>
    <w:p>
      <w:pPr>
        <w:pageBreakBefore w:val="0"/>
        <w:kinsoku/>
        <w:topLinePunct w:val="0"/>
        <w:bidi w:val="0"/>
        <w:adjustRightInd/>
        <w:snapToGrid/>
        <w:spacing w:line="360" w:lineRule="auto"/>
        <w:rPr>
          <w:sz w:val="21"/>
          <w:szCs w:val="21"/>
          <w:highlight w:val="none"/>
        </w:rPr>
      </w:pPr>
      <w:r>
        <w:rPr>
          <w:rFonts w:hint="eastAsia"/>
          <w:sz w:val="21"/>
          <w:szCs w:val="21"/>
          <w:highlight w:val="none"/>
        </w:rPr>
        <w:t>说明：</w:t>
      </w:r>
      <w:r>
        <w:rPr>
          <w:rFonts w:hint="eastAsia"/>
          <w:sz w:val="21"/>
          <w:szCs w:val="21"/>
          <w:highlight w:val="none"/>
          <w:lang w:val="en-US" w:eastAsia="zh-CN"/>
        </w:rPr>
        <w:t>投标人</w:t>
      </w:r>
      <w:r>
        <w:rPr>
          <w:rFonts w:hint="eastAsia"/>
          <w:sz w:val="21"/>
          <w:szCs w:val="21"/>
          <w:highlight w:val="none"/>
        </w:rPr>
        <w:t>承诺不实的，依据《</w:t>
      </w:r>
      <w:r>
        <w:rPr>
          <w:rFonts w:hint="eastAsia" w:ascii="宋体" w:hAnsi="宋体" w:cs="宋体"/>
          <w:sz w:val="21"/>
          <w:szCs w:val="21"/>
          <w:highlight w:val="none"/>
        </w:rPr>
        <w:t>中华人民共和国政府采购法</w:t>
      </w:r>
      <w:r>
        <w:rPr>
          <w:rFonts w:hint="eastAsia"/>
          <w:sz w:val="21"/>
          <w:szCs w:val="21"/>
          <w:highlight w:val="none"/>
        </w:rPr>
        <w:t>》第七十七条“提供虚假材料谋取中标、成交的”有关规定予以处理。</w:t>
      </w:r>
    </w:p>
    <w:p>
      <w:pPr>
        <w:pageBreakBefore w:val="0"/>
        <w:kinsoku/>
        <w:topLinePunct w:val="0"/>
        <w:bidi w:val="0"/>
        <w:adjustRightInd/>
        <w:snapToGrid/>
        <w:spacing w:line="360" w:lineRule="auto"/>
        <w:ind w:firstLine="420" w:firstLineChars="200"/>
        <w:contextualSpacing/>
        <w:rPr>
          <w:rFonts w:ascii="宋体" w:hAnsi="宋体"/>
          <w:bCs/>
          <w:sz w:val="21"/>
          <w:szCs w:val="21"/>
          <w:highlight w:val="none"/>
        </w:rPr>
      </w:pPr>
    </w:p>
    <w:p>
      <w:pPr>
        <w:pageBreakBefore w:val="0"/>
        <w:kinsoku/>
        <w:topLinePunct w:val="0"/>
        <w:bidi w:val="0"/>
        <w:adjustRightInd/>
        <w:snapToGrid/>
        <w:spacing w:line="360" w:lineRule="auto"/>
        <w:ind w:firstLine="420" w:firstLineChars="200"/>
        <w:contextualSpacing/>
        <w:rPr>
          <w:rFonts w:ascii="宋体" w:hAnsi="宋体"/>
          <w:bCs/>
          <w:sz w:val="21"/>
          <w:szCs w:val="21"/>
          <w:highlight w:val="none"/>
        </w:rPr>
      </w:pPr>
    </w:p>
    <w:p>
      <w:pPr>
        <w:pStyle w:val="26"/>
        <w:kinsoku/>
        <w:overflowPunct/>
        <w:bidi w:val="0"/>
        <w:spacing w:before="0" w:after="0" w:line="360" w:lineRule="auto"/>
        <w:ind w:firstLineChars="200"/>
        <w:jc w:val="right"/>
        <w:textAlignment w:val="auto"/>
        <w:rPr>
          <w:rFonts w:ascii="宋体" w:hAnsi="宋体"/>
          <w:color w:val="auto"/>
          <w:kern w:val="2"/>
          <w:sz w:val="21"/>
          <w:szCs w:val="21"/>
          <w:highlight w:val="none"/>
        </w:rPr>
      </w:pPr>
      <w:r>
        <w:rPr>
          <w:rFonts w:ascii="宋体" w:hAnsi="宋体"/>
          <w:color w:val="auto"/>
          <w:kern w:val="2"/>
          <w:sz w:val="21"/>
          <w:szCs w:val="21"/>
          <w:highlight w:val="none"/>
        </w:rPr>
        <w:t xml:space="preserve">                   </w:t>
      </w:r>
    </w:p>
    <w:p>
      <w:pPr>
        <w:pStyle w:val="25"/>
        <w:kinsoku/>
        <w:overflowPunct/>
        <w:bidi w:val="0"/>
        <w:spacing w:line="360" w:lineRule="auto"/>
        <w:ind w:left="0" w:firstLine="0"/>
        <w:jc w:val="both"/>
        <w:textAlignment w:val="auto"/>
        <w:rPr>
          <w:rFonts w:hint="eastAsia" w:ascii="宋体" w:hAnsi="宋体" w:cs="宋体"/>
          <w:color w:val="auto"/>
          <w:sz w:val="21"/>
          <w:szCs w:val="21"/>
          <w:highlight w:val="none"/>
          <w:lang w:val="en-US" w:eastAsia="zh-CN"/>
        </w:rPr>
      </w:pPr>
      <w:bookmarkStart w:id="35" w:name="_Toc496184265"/>
      <w:bookmarkStart w:id="36" w:name="_Toc496188859"/>
      <w:bookmarkStart w:id="37" w:name="_Toc475009311"/>
      <w:bookmarkStart w:id="38" w:name="_Toc481071981"/>
      <w:bookmarkStart w:id="39" w:name="_Toc481072027"/>
      <w:bookmarkStart w:id="40" w:name="_Toc496079296"/>
      <w:r>
        <w:rPr>
          <w:rFonts w:ascii="宋体" w:hAnsi="宋体" w:cs="宋体"/>
          <w:color w:val="auto"/>
          <w:sz w:val="21"/>
          <w:szCs w:val="21"/>
          <w:highlight w:val="none"/>
        </w:rPr>
        <w:br w:type="page"/>
      </w:r>
      <w:r>
        <w:rPr>
          <w:rFonts w:hint="eastAsia" w:ascii="宋体" w:hAnsi="宋体" w:cs="宋体"/>
          <w:b/>
          <w:bCs w:val="0"/>
          <w:color w:val="auto"/>
          <w:sz w:val="21"/>
          <w:szCs w:val="21"/>
          <w:highlight w:val="none"/>
        </w:rPr>
        <w:t>附件</w:t>
      </w:r>
      <w:bookmarkEnd w:id="35"/>
      <w:bookmarkEnd w:id="36"/>
      <w:bookmarkEnd w:id="37"/>
      <w:bookmarkEnd w:id="38"/>
      <w:bookmarkEnd w:id="39"/>
      <w:bookmarkEnd w:id="40"/>
      <w:r>
        <w:rPr>
          <w:rFonts w:hint="eastAsia" w:ascii="宋体" w:hAnsi="宋体" w:cs="宋体"/>
          <w:b/>
          <w:bCs w:val="0"/>
          <w:color w:val="auto"/>
          <w:sz w:val="21"/>
          <w:szCs w:val="21"/>
          <w:highlight w:val="none"/>
          <w:lang w:val="en-US" w:eastAsia="zh-CN"/>
        </w:rPr>
        <w:t>6：</w:t>
      </w:r>
    </w:p>
    <w:p>
      <w:pPr>
        <w:pStyle w:val="25"/>
        <w:kinsoku/>
        <w:overflowPunct/>
        <w:bidi w:val="0"/>
        <w:spacing w:line="360" w:lineRule="auto"/>
        <w:ind w:left="0"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技术</w:t>
      </w:r>
      <w:r>
        <w:rPr>
          <w:rFonts w:hint="eastAsia" w:ascii="宋体" w:hAnsi="宋体" w:eastAsia="宋体" w:cs="宋体"/>
          <w:b/>
          <w:color w:val="auto"/>
          <w:sz w:val="21"/>
          <w:szCs w:val="21"/>
          <w:highlight w:val="none"/>
        </w:rPr>
        <w:t>条款响应及偏离表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52"/>
        <w:gridCol w:w="2535"/>
        <w:gridCol w:w="1134"/>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675" w:type="dxa"/>
            <w:noWrap w:val="0"/>
            <w:vAlign w:val="center"/>
          </w:tcPr>
          <w:p>
            <w:pPr>
              <w:kinsoku/>
              <w:overflowPunct/>
              <w:bidi w:val="0"/>
              <w:spacing w:line="360"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2852" w:type="dxa"/>
            <w:noWrap w:val="0"/>
            <w:vAlign w:val="center"/>
          </w:tcPr>
          <w:p>
            <w:pPr>
              <w:kinsoku/>
              <w:overflowPunct/>
              <w:bidi w:val="0"/>
              <w:spacing w:line="360" w:lineRule="auto"/>
              <w:jc w:val="center"/>
              <w:textAlignment w:val="auto"/>
              <w:rPr>
                <w:rFonts w:hint="eastAsia" w:ascii="宋体" w:hAnsi="宋体" w:cs="宋体"/>
                <w:color w:val="auto"/>
                <w:sz w:val="21"/>
                <w:szCs w:val="21"/>
                <w:highlight w:val="none"/>
              </w:rPr>
            </w:pPr>
            <w:r>
              <w:rPr>
                <w:rFonts w:hint="eastAsia" w:ascii="宋体" w:hAnsi="宋体" w:cs="宋体"/>
                <w:color w:val="auto"/>
                <w:spacing w:val="15"/>
                <w:kern w:val="0"/>
                <w:sz w:val="21"/>
                <w:szCs w:val="21"/>
                <w:highlight w:val="none"/>
              </w:rPr>
              <w:t>招标文件要求</w:t>
            </w:r>
          </w:p>
        </w:tc>
        <w:tc>
          <w:tcPr>
            <w:tcW w:w="2535" w:type="dxa"/>
            <w:noWrap w:val="0"/>
            <w:vAlign w:val="center"/>
          </w:tcPr>
          <w:p>
            <w:pPr>
              <w:kinsoku/>
              <w:overflowPunct/>
              <w:bidi w:val="0"/>
              <w:spacing w:line="360" w:lineRule="auto"/>
              <w:ind w:firstLine="120" w:firstLineChars="50"/>
              <w:jc w:val="center"/>
              <w:textAlignment w:val="auto"/>
              <w:rPr>
                <w:rFonts w:hint="eastAsia" w:ascii="宋体" w:hAnsi="宋体" w:cs="宋体"/>
                <w:color w:val="auto"/>
                <w:sz w:val="21"/>
                <w:szCs w:val="21"/>
                <w:highlight w:val="none"/>
              </w:rPr>
            </w:pPr>
            <w:r>
              <w:rPr>
                <w:rFonts w:hint="eastAsia" w:ascii="宋体" w:hAnsi="宋体" w:cs="宋体"/>
                <w:color w:val="auto"/>
                <w:spacing w:val="15"/>
                <w:kern w:val="0"/>
                <w:sz w:val="21"/>
                <w:szCs w:val="21"/>
                <w:highlight w:val="none"/>
              </w:rPr>
              <w:t>投标文件响应</w:t>
            </w:r>
          </w:p>
        </w:tc>
        <w:tc>
          <w:tcPr>
            <w:tcW w:w="1134" w:type="dxa"/>
            <w:noWrap w:val="0"/>
            <w:vAlign w:val="center"/>
          </w:tcPr>
          <w:p>
            <w:pPr>
              <w:kinsoku/>
              <w:overflowPunct/>
              <w:bidi w:val="0"/>
              <w:spacing w:line="360"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超出、</w:t>
            </w:r>
          </w:p>
          <w:p>
            <w:pPr>
              <w:kinsoku/>
              <w:overflowPunct/>
              <w:bidi w:val="0"/>
              <w:spacing w:line="360"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符合或偏离</w:t>
            </w:r>
          </w:p>
        </w:tc>
        <w:tc>
          <w:tcPr>
            <w:tcW w:w="1347" w:type="dxa"/>
            <w:noWrap w:val="0"/>
            <w:vAlign w:val="center"/>
          </w:tcPr>
          <w:p>
            <w:pPr>
              <w:kinsoku/>
              <w:overflowPunct/>
              <w:bidi w:val="0"/>
              <w:spacing w:line="360"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7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852"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2535"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134"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c>
          <w:tcPr>
            <w:tcW w:w="1347" w:type="dxa"/>
            <w:noWrap w:val="0"/>
            <w:vAlign w:val="top"/>
          </w:tcPr>
          <w:p>
            <w:pPr>
              <w:kinsoku/>
              <w:overflowPunct/>
              <w:bidi w:val="0"/>
              <w:spacing w:line="360" w:lineRule="auto"/>
              <w:jc w:val="center"/>
              <w:textAlignment w:val="auto"/>
              <w:rPr>
                <w:rFonts w:hint="eastAsia" w:ascii="宋体" w:hAnsi="宋体" w:cs="宋体"/>
                <w:color w:val="auto"/>
                <w:sz w:val="21"/>
                <w:szCs w:val="21"/>
                <w:highlight w:val="none"/>
              </w:rPr>
            </w:pPr>
          </w:p>
        </w:tc>
      </w:tr>
    </w:tbl>
    <w:p>
      <w:pPr>
        <w:pStyle w:val="6"/>
        <w:kinsoku/>
        <w:overflowPunct/>
        <w:bidi w:val="0"/>
        <w:spacing w:line="360" w:lineRule="auto"/>
        <w:ind w:left="0" w:leftChars="-50" w:hanging="105" w:hangingChars="50"/>
        <w:textAlignment w:val="auto"/>
        <w:rPr>
          <w:rFonts w:hint="eastAsia" w:ascii="宋体" w:hAnsi="宋体" w:cs="宋体"/>
          <w:color w:val="auto"/>
          <w:sz w:val="21"/>
          <w:szCs w:val="21"/>
          <w:highlight w:val="none"/>
          <w:lang w:val="en-US" w:eastAsia="zh-CN"/>
        </w:rPr>
      </w:pPr>
    </w:p>
    <w:p>
      <w:pPr>
        <w:pStyle w:val="6"/>
        <w:kinsoku/>
        <w:overflowPunct/>
        <w:bidi w:val="0"/>
        <w:spacing w:line="360" w:lineRule="auto"/>
        <w:ind w:left="0" w:leftChars="-50" w:hanging="105" w:hangingChars="5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投标人</w:t>
      </w:r>
      <w:r>
        <w:rPr>
          <w:rFonts w:hint="eastAsia" w:ascii="宋体" w:hAnsi="宋体" w:cs="宋体"/>
          <w:color w:val="auto"/>
          <w:sz w:val="21"/>
          <w:szCs w:val="21"/>
          <w:highlight w:val="none"/>
        </w:rPr>
        <w:t>名称（公章）：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pPr>
        <w:pStyle w:val="6"/>
        <w:kinsoku/>
        <w:overflowPunct/>
        <w:bidi w:val="0"/>
        <w:spacing w:line="360" w:lineRule="auto"/>
        <w:ind w:left="0" w:leftChars="-50" w:hanging="105" w:hangingChars="50"/>
        <w:textAlignment w:val="auto"/>
        <w:rPr>
          <w:rFonts w:hint="eastAsia" w:ascii="宋体" w:hAnsi="宋体" w:cs="宋体"/>
          <w:color w:val="auto"/>
          <w:sz w:val="21"/>
          <w:szCs w:val="21"/>
          <w:highlight w:val="none"/>
        </w:rPr>
      </w:pPr>
    </w:p>
    <w:p>
      <w:pPr>
        <w:kinsoku/>
        <w:overflowPunct/>
        <w:bidi w:val="0"/>
        <w:spacing w:line="360" w:lineRule="auto"/>
        <w:ind w:hanging="315"/>
        <w:jc w:val="righ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pPr>
        <w:kinsoku/>
        <w:overflowPunct/>
        <w:bidi w:val="0"/>
        <w:spacing w:line="360" w:lineRule="auto"/>
        <w:textAlignment w:val="auto"/>
        <w:rPr>
          <w:rFonts w:hint="eastAsia" w:ascii="宋体" w:hAnsi="宋体" w:cs="宋体"/>
          <w:color w:val="auto"/>
          <w:sz w:val="21"/>
          <w:szCs w:val="21"/>
          <w:highlight w:val="none"/>
        </w:rPr>
      </w:pPr>
    </w:p>
    <w:p>
      <w:pPr>
        <w:kinsoku/>
        <w:overflowPunct/>
        <w:bidi w:val="0"/>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填写说明：</w:t>
      </w:r>
    </w:p>
    <w:p>
      <w:pPr>
        <w:kinsoku/>
        <w:overflowPunct/>
        <w:bidi w:val="0"/>
        <w:spacing w:line="360" w:lineRule="auto"/>
        <w:ind w:firstLine="422" w:firstLineChars="200"/>
        <w:textAlignment w:val="auto"/>
        <w:rPr>
          <w:rFonts w:hint="eastAsia" w:ascii="宋体" w:hAnsi="宋体" w:cs="宋体"/>
          <w:b/>
          <w:bCs/>
          <w:i w:val="0"/>
          <w:iCs w:val="0"/>
          <w:color w:val="auto"/>
          <w:sz w:val="21"/>
          <w:szCs w:val="21"/>
          <w:highlight w:val="none"/>
        </w:rPr>
      </w:pPr>
      <w:r>
        <w:rPr>
          <w:rFonts w:hint="eastAsia" w:ascii="宋体" w:hAnsi="宋体" w:cs="宋体"/>
          <w:b/>
          <w:bCs/>
          <w:i w:val="0"/>
          <w:iCs w:val="0"/>
          <w:color w:val="auto"/>
          <w:sz w:val="21"/>
          <w:szCs w:val="21"/>
          <w:highlight w:val="none"/>
          <w:lang w:eastAsia="zh-CN"/>
        </w:rPr>
        <w:t>1.</w:t>
      </w:r>
      <w:r>
        <w:rPr>
          <w:rFonts w:hint="eastAsia" w:ascii="宋体" w:hAnsi="宋体" w:cs="宋体"/>
          <w:b/>
          <w:bCs/>
          <w:i w:val="0"/>
          <w:iCs w:val="0"/>
          <w:color w:val="auto"/>
          <w:sz w:val="21"/>
          <w:szCs w:val="21"/>
          <w:highlight w:val="none"/>
        </w:rPr>
        <w:t>按照</w:t>
      </w:r>
      <w:r>
        <w:rPr>
          <w:rFonts w:hint="eastAsia" w:ascii="宋体" w:hAnsi="宋体" w:cs="宋体"/>
          <w:b/>
          <w:bCs/>
          <w:i w:val="0"/>
          <w:iCs w:val="0"/>
          <w:color w:val="auto"/>
          <w:sz w:val="21"/>
          <w:szCs w:val="21"/>
          <w:highlight w:val="none"/>
          <w:lang w:val="en-US" w:eastAsia="zh-CN"/>
        </w:rPr>
        <w:t>第四章 项目内容及</w:t>
      </w:r>
      <w:r>
        <w:rPr>
          <w:rFonts w:hint="eastAsia" w:ascii="宋体" w:hAnsi="宋体" w:cs="宋体"/>
          <w:b/>
          <w:bCs/>
          <w:i w:val="0"/>
          <w:iCs w:val="0"/>
          <w:color w:val="auto"/>
          <w:sz w:val="21"/>
          <w:szCs w:val="21"/>
          <w:highlight w:val="none"/>
        </w:rPr>
        <w:t>基本要求详细填列</w:t>
      </w:r>
      <w:r>
        <w:rPr>
          <w:rFonts w:hint="eastAsia" w:ascii="宋体" w:hAnsi="宋体" w:cs="宋体"/>
          <w:b/>
          <w:bCs/>
          <w:i w:val="0"/>
          <w:iCs w:val="0"/>
          <w:color w:val="auto"/>
          <w:sz w:val="21"/>
          <w:szCs w:val="21"/>
          <w:highlight w:val="none"/>
          <w:lang w:val="en-US" w:eastAsia="zh-CN"/>
        </w:rPr>
        <w:t>此表</w:t>
      </w:r>
      <w:r>
        <w:rPr>
          <w:rFonts w:hint="eastAsia" w:ascii="宋体" w:hAnsi="宋体" w:cs="宋体"/>
          <w:b/>
          <w:bCs/>
          <w:i w:val="0"/>
          <w:iCs w:val="0"/>
          <w:color w:val="auto"/>
          <w:sz w:val="21"/>
          <w:szCs w:val="21"/>
          <w:highlight w:val="none"/>
        </w:rPr>
        <w:t>；</w:t>
      </w:r>
    </w:p>
    <w:p>
      <w:pPr>
        <w:kinsoku/>
        <w:overflowPunct/>
        <w:bidi w:val="0"/>
        <w:spacing w:line="360" w:lineRule="auto"/>
        <w:ind w:firstLine="422" w:firstLineChars="200"/>
        <w:textAlignment w:val="auto"/>
        <w:rPr>
          <w:rFonts w:hint="eastAsia" w:ascii="宋体" w:hAnsi="宋体" w:cs="宋体"/>
          <w:b/>
          <w:bCs/>
          <w:i w:val="0"/>
          <w:iCs w:val="0"/>
          <w:color w:val="auto"/>
          <w:sz w:val="21"/>
          <w:szCs w:val="21"/>
          <w:highlight w:val="none"/>
        </w:rPr>
      </w:pPr>
      <w:r>
        <w:rPr>
          <w:rFonts w:hint="eastAsia" w:ascii="宋体" w:hAnsi="宋体" w:cs="宋体"/>
          <w:b/>
          <w:bCs/>
          <w:i w:val="0"/>
          <w:iCs w:val="0"/>
          <w:color w:val="auto"/>
          <w:sz w:val="21"/>
          <w:szCs w:val="21"/>
          <w:highlight w:val="none"/>
          <w:lang w:eastAsia="zh-CN"/>
        </w:rPr>
        <w:t>2.</w:t>
      </w:r>
      <w:r>
        <w:rPr>
          <w:rFonts w:hint="eastAsia" w:ascii="宋体" w:hAnsi="宋体" w:cs="宋体"/>
          <w:b/>
          <w:bCs/>
          <w:i w:val="0"/>
          <w:iCs w:val="0"/>
          <w:color w:val="auto"/>
          <w:sz w:val="21"/>
          <w:szCs w:val="21"/>
          <w:highlight w:val="none"/>
        </w:rPr>
        <w:t>行数不够，可自行添加。</w:t>
      </w:r>
    </w:p>
    <w:p>
      <w:pPr>
        <w:pStyle w:val="27"/>
        <w:kinsoku/>
        <w:overflowPunct/>
        <w:bidi w:val="0"/>
        <w:spacing w:line="360" w:lineRule="auto"/>
        <w:jc w:val="both"/>
        <w:textAlignment w:val="auto"/>
        <w:rPr>
          <w:rFonts w:hint="eastAsia" w:ascii="宋体" w:hAnsi="宋体" w:cs="宋体"/>
          <w:bCs/>
          <w:color w:val="auto"/>
          <w:sz w:val="21"/>
          <w:szCs w:val="21"/>
          <w:highlight w:val="none"/>
        </w:rPr>
      </w:pPr>
    </w:p>
    <w:p>
      <w:pPr>
        <w:pStyle w:val="27"/>
        <w:kinsoku/>
        <w:overflowPunct/>
        <w:bidi w:val="0"/>
        <w:spacing w:line="360" w:lineRule="auto"/>
        <w:jc w:val="both"/>
        <w:textAlignment w:val="auto"/>
        <w:rPr>
          <w:rFonts w:hint="eastAsia" w:ascii="宋体" w:hAnsi="宋体" w:cs="宋体"/>
          <w:bCs/>
          <w:color w:val="auto"/>
          <w:sz w:val="21"/>
          <w:szCs w:val="21"/>
          <w:highlight w:val="none"/>
        </w:rPr>
      </w:pPr>
    </w:p>
    <w:p>
      <w:pPr>
        <w:pStyle w:val="6"/>
        <w:kinsoku/>
        <w:overflowPunct/>
        <w:bidi w:val="0"/>
        <w:spacing w:line="360" w:lineRule="auto"/>
        <w:ind w:firstLine="480"/>
        <w:textAlignment w:val="auto"/>
        <w:rPr>
          <w:rFonts w:hint="eastAsia" w:ascii="宋体" w:hAnsi="宋体"/>
          <w:color w:val="auto"/>
          <w:sz w:val="21"/>
          <w:szCs w:val="21"/>
          <w:highlight w:val="none"/>
        </w:rPr>
      </w:pPr>
    </w:p>
    <w:p>
      <w:pPr>
        <w:pStyle w:val="6"/>
        <w:kinsoku/>
        <w:overflowPunct/>
        <w:bidi w:val="0"/>
        <w:spacing w:line="360" w:lineRule="auto"/>
        <w:ind w:firstLine="480"/>
        <w:textAlignment w:val="auto"/>
        <w:rPr>
          <w:rFonts w:hint="eastAsia" w:ascii="宋体" w:hAnsi="宋体"/>
          <w:color w:val="auto"/>
          <w:sz w:val="21"/>
          <w:szCs w:val="21"/>
          <w:highlight w:val="none"/>
        </w:rPr>
      </w:pPr>
    </w:p>
    <w:p>
      <w:pPr>
        <w:pStyle w:val="6"/>
        <w:kinsoku/>
        <w:overflowPunct/>
        <w:bidi w:val="0"/>
        <w:spacing w:line="360" w:lineRule="auto"/>
        <w:ind w:firstLine="480"/>
        <w:textAlignment w:val="auto"/>
        <w:rPr>
          <w:rFonts w:hint="eastAsia" w:ascii="宋体" w:hAnsi="宋体"/>
          <w:color w:val="auto"/>
          <w:sz w:val="21"/>
          <w:szCs w:val="21"/>
          <w:highlight w:val="none"/>
        </w:rPr>
      </w:pPr>
    </w:p>
    <w:p>
      <w:pPr>
        <w:pStyle w:val="25"/>
        <w:kinsoku/>
        <w:overflowPunct/>
        <w:bidi w:val="0"/>
        <w:spacing w:line="360" w:lineRule="auto"/>
        <w:ind w:left="0" w:firstLine="0"/>
        <w:jc w:val="center"/>
        <w:textAlignment w:val="auto"/>
        <w:rPr>
          <w:rFonts w:hint="eastAsia" w:ascii="宋体" w:hAnsi="宋体" w:eastAsia="宋体" w:cs="宋体"/>
          <w:b/>
          <w:color w:val="auto"/>
          <w:sz w:val="21"/>
          <w:szCs w:val="21"/>
          <w:highlight w:val="none"/>
        </w:rPr>
      </w:pPr>
      <w:bookmarkStart w:id="41" w:name="_Toc15683"/>
      <w:bookmarkStart w:id="42" w:name="_Toc20755"/>
      <w:bookmarkStart w:id="43" w:name="_Toc528398513"/>
      <w:r>
        <w:rPr>
          <w:rFonts w:hint="eastAsia" w:ascii="宋体" w:hAnsi="宋体" w:eastAsia="宋体" w:cs="宋体"/>
          <w:b/>
          <w:color w:val="auto"/>
          <w:sz w:val="21"/>
          <w:szCs w:val="21"/>
          <w:highlight w:val="none"/>
        </w:rPr>
        <w:t>商务条款响应及偏离表</w:t>
      </w:r>
      <w:bookmarkEnd w:id="41"/>
      <w:bookmarkEnd w:id="42"/>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1235"/>
        <w:gridCol w:w="18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r>
              <w:rPr>
                <w:color w:val="auto"/>
                <w:sz w:val="21"/>
                <w:szCs w:val="21"/>
                <w:highlight w:val="none"/>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r>
              <w:rPr>
                <w:color w:val="auto"/>
                <w:sz w:val="21"/>
                <w:szCs w:val="21"/>
                <w:highlight w:val="none"/>
              </w:rPr>
              <w:t>项目</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r>
              <w:rPr>
                <w:color w:val="auto"/>
                <w:sz w:val="21"/>
                <w:szCs w:val="21"/>
                <w:highlight w:val="none"/>
              </w:rPr>
              <w:t>招标要求</w:t>
            </w: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r>
              <w:rPr>
                <w:color w:val="auto"/>
                <w:sz w:val="21"/>
                <w:szCs w:val="21"/>
                <w:highlight w:val="none"/>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pPr>
              <w:kinsoku/>
              <w:overflowPunct/>
              <w:bidi w:val="0"/>
              <w:snapToGrid w:val="0"/>
              <w:spacing w:before="156" w:beforeLines="50" w:line="360" w:lineRule="auto"/>
              <w:jc w:val="center"/>
              <w:textAlignment w:val="auto"/>
              <w:rPr>
                <w:color w:val="auto"/>
                <w:sz w:val="21"/>
                <w:szCs w:val="21"/>
                <w:highlight w:val="none"/>
              </w:rPr>
            </w:pPr>
            <w:r>
              <w:rPr>
                <w:color w:val="auto"/>
                <w:sz w:val="21"/>
                <w:szCs w:val="21"/>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1</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合同履行期限</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2</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服务地点</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3</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付款方式</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4</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投标货币</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jc w:val="center"/>
              <w:textAlignment w:val="auto"/>
              <w:rPr>
                <w:color w:val="auto"/>
                <w:sz w:val="21"/>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pPr>
              <w:kinsoku/>
              <w:overflowPunct/>
              <w:bidi w:val="0"/>
              <w:snapToGrid w:val="0"/>
              <w:spacing w:before="156" w:beforeLines="50" w:line="360" w:lineRule="auto"/>
              <w:textAlignment w:val="auto"/>
              <w:rPr>
                <w:color w:val="auto"/>
                <w:sz w:val="21"/>
                <w:szCs w:val="21"/>
                <w:highlight w:val="none"/>
              </w:rPr>
            </w:pPr>
          </w:p>
        </w:tc>
      </w:tr>
    </w:tbl>
    <w:p>
      <w:pPr>
        <w:pStyle w:val="6"/>
        <w:keepNext w:val="0"/>
        <w:keepLines w:val="0"/>
        <w:pageBreakBefore w:val="0"/>
        <w:widowControl w:val="0"/>
        <w:kinsoku/>
        <w:wordWrap/>
        <w:overflowPunct/>
        <w:topLinePunct w:val="0"/>
        <w:autoSpaceDE/>
        <w:autoSpaceDN/>
        <w:bidi w:val="0"/>
        <w:adjustRightInd/>
        <w:spacing w:line="360" w:lineRule="auto"/>
        <w:ind w:leftChars="0" w:firstLine="420" w:firstLineChars="200"/>
        <w:textAlignment w:val="auto"/>
        <w:rPr>
          <w:rFonts w:hint="eastAsia"/>
          <w:color w:val="auto"/>
          <w:sz w:val="21"/>
          <w:szCs w:val="21"/>
          <w:highlight w:val="none"/>
        </w:rPr>
      </w:pPr>
    </w:p>
    <w:p>
      <w:pPr>
        <w:pStyle w:val="6"/>
        <w:keepNext w:val="0"/>
        <w:keepLines w:val="0"/>
        <w:pageBreakBefore w:val="0"/>
        <w:widowControl w:val="0"/>
        <w:kinsoku/>
        <w:wordWrap/>
        <w:overflowPunct/>
        <w:topLinePunct w:val="0"/>
        <w:autoSpaceDE/>
        <w:autoSpaceDN/>
        <w:bidi w:val="0"/>
        <w:adjustRightInd/>
        <w:spacing w:line="360" w:lineRule="auto"/>
        <w:ind w:leftChars="0" w:firstLine="420" w:firstLineChars="200"/>
        <w:textAlignment w:val="auto"/>
        <w:rPr>
          <w:rFonts w:hint="eastAsia"/>
          <w:color w:val="auto"/>
          <w:sz w:val="21"/>
          <w:szCs w:val="21"/>
          <w:highlight w:val="none"/>
        </w:rPr>
      </w:pPr>
      <w:r>
        <w:rPr>
          <w:rFonts w:hint="eastAsia"/>
          <w:color w:val="auto"/>
          <w:sz w:val="21"/>
          <w:szCs w:val="21"/>
          <w:highlight w:val="none"/>
        </w:rPr>
        <w:t xml:space="preserve">投标人名称（公章）：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color w:val="auto"/>
          <w:sz w:val="21"/>
          <w:szCs w:val="21"/>
          <w:highlight w:val="none"/>
        </w:rPr>
        <w:t xml:space="preserve">                   </w:t>
      </w:r>
    </w:p>
    <w:p>
      <w:pPr>
        <w:pStyle w:val="6"/>
        <w:keepNext w:val="0"/>
        <w:keepLines w:val="0"/>
        <w:pageBreakBefore w:val="0"/>
        <w:widowControl w:val="0"/>
        <w:kinsoku/>
        <w:wordWrap/>
        <w:overflowPunct/>
        <w:topLinePunct w:val="0"/>
        <w:autoSpaceDE/>
        <w:autoSpaceDN/>
        <w:bidi w:val="0"/>
        <w:adjustRightInd/>
        <w:spacing w:line="360" w:lineRule="auto"/>
        <w:ind w:leftChars="0" w:firstLine="420" w:firstLineChars="200"/>
        <w:textAlignment w:val="auto"/>
        <w:rPr>
          <w:rFonts w:hint="eastAsia"/>
          <w:color w:val="auto"/>
          <w:sz w:val="21"/>
          <w:szCs w:val="21"/>
          <w:highlight w:val="none"/>
        </w:rPr>
      </w:pPr>
    </w:p>
    <w:p>
      <w:pPr>
        <w:kinsoku/>
        <w:overflowPunct/>
        <w:bidi w:val="0"/>
        <w:spacing w:line="360" w:lineRule="auto"/>
        <w:ind w:hanging="315"/>
        <w:textAlignment w:val="auto"/>
        <w:rPr>
          <w:color w:val="auto"/>
          <w:sz w:val="21"/>
          <w:szCs w:val="21"/>
          <w:highlight w:val="none"/>
        </w:rPr>
      </w:pPr>
      <w:r>
        <w:rPr>
          <w:color w:val="auto"/>
          <w:sz w:val="21"/>
          <w:szCs w:val="21"/>
          <w:highlight w:val="none"/>
        </w:rPr>
        <w:t xml:space="preserve">                                           </w:t>
      </w:r>
      <w:r>
        <w:rPr>
          <w:rFonts w:hint="eastAsia"/>
          <w:color w:val="auto"/>
          <w:sz w:val="21"/>
          <w:szCs w:val="21"/>
          <w:highlight w:val="none"/>
          <w:lang w:val="en-US" w:eastAsia="zh-CN"/>
        </w:rPr>
        <w:t xml:space="preserve">                   </w:t>
      </w:r>
      <w:r>
        <w:rPr>
          <w:color w:val="auto"/>
          <w:sz w:val="21"/>
          <w:szCs w:val="21"/>
          <w:highlight w:val="none"/>
        </w:rPr>
        <w:t xml:space="preserve">日期： </w:t>
      </w:r>
      <w:r>
        <w:rPr>
          <w:rFonts w:hint="eastAsia"/>
          <w:color w:val="auto"/>
          <w:sz w:val="21"/>
          <w:szCs w:val="21"/>
          <w:highlight w:val="none"/>
          <w:lang w:val="en-US" w:eastAsia="zh-CN"/>
        </w:rPr>
        <w:t xml:space="preserve">   </w:t>
      </w:r>
      <w:r>
        <w:rPr>
          <w:color w:val="auto"/>
          <w:sz w:val="21"/>
          <w:szCs w:val="21"/>
          <w:highlight w:val="none"/>
        </w:rPr>
        <w:t>年</w:t>
      </w:r>
      <w:r>
        <w:rPr>
          <w:rFonts w:hint="eastAsia"/>
          <w:color w:val="auto"/>
          <w:sz w:val="21"/>
          <w:szCs w:val="21"/>
          <w:highlight w:val="none"/>
          <w:lang w:val="en-US" w:eastAsia="zh-CN"/>
        </w:rPr>
        <w:t xml:space="preserve">  </w:t>
      </w:r>
      <w:r>
        <w:rPr>
          <w:color w:val="auto"/>
          <w:sz w:val="21"/>
          <w:szCs w:val="21"/>
          <w:highlight w:val="none"/>
        </w:rPr>
        <w:t>月</w:t>
      </w:r>
      <w:r>
        <w:rPr>
          <w:rFonts w:hint="eastAsia"/>
          <w:color w:val="auto"/>
          <w:sz w:val="21"/>
          <w:szCs w:val="21"/>
          <w:highlight w:val="none"/>
          <w:lang w:val="en-US" w:eastAsia="zh-CN"/>
        </w:rPr>
        <w:t xml:space="preserve">   </w:t>
      </w:r>
      <w:r>
        <w:rPr>
          <w:color w:val="auto"/>
          <w:sz w:val="21"/>
          <w:szCs w:val="21"/>
          <w:highlight w:val="none"/>
        </w:rPr>
        <w:t>日</w:t>
      </w:r>
    </w:p>
    <w:p>
      <w:pPr>
        <w:kinsoku/>
        <w:overflowPunct/>
        <w:bidi w:val="0"/>
        <w:spacing w:line="360" w:lineRule="auto"/>
        <w:textAlignment w:val="auto"/>
        <w:rPr>
          <w:rFonts w:hint="eastAsia" w:ascii="宋体" w:hAnsi="宋体" w:cs="宋体"/>
          <w:b/>
          <w:bCs/>
          <w:color w:val="auto"/>
          <w:sz w:val="21"/>
          <w:szCs w:val="21"/>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insoku/>
        <w:overflowPunct/>
        <w:bidi w:val="0"/>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附件</w:t>
      </w:r>
      <w:r>
        <w:rPr>
          <w:rFonts w:hint="eastAsia" w:ascii="宋体" w:hAnsi="宋体" w:cs="宋体"/>
          <w:b/>
          <w:bCs/>
          <w:color w:val="auto"/>
          <w:sz w:val="21"/>
          <w:szCs w:val="21"/>
          <w:highlight w:val="none"/>
          <w:lang w:val="en-US" w:eastAsia="zh-CN"/>
        </w:rPr>
        <w:t>7</w:t>
      </w:r>
      <w:r>
        <w:rPr>
          <w:rFonts w:hint="eastAsia" w:ascii="宋体" w:hAnsi="宋体" w:cs="宋体"/>
          <w:b/>
          <w:bCs/>
          <w:color w:val="auto"/>
          <w:sz w:val="21"/>
          <w:szCs w:val="21"/>
          <w:highlight w:val="none"/>
        </w:rPr>
        <w:t>：</w:t>
      </w:r>
    </w:p>
    <w:bookmarkEnd w:id="43"/>
    <w:p>
      <w:pPr>
        <w:widowControl/>
        <w:kinsoku/>
        <w:overflowPunct/>
        <w:bidi w:val="0"/>
        <w:spacing w:line="360" w:lineRule="auto"/>
        <w:ind w:firstLine="422" w:firstLineChars="200"/>
        <w:jc w:val="center"/>
        <w:textAlignment w:val="auto"/>
        <w:rPr>
          <w:rFonts w:ascii="宋体" w:hAnsi="宋体" w:cs="宋体"/>
          <w:b/>
          <w:sz w:val="21"/>
          <w:szCs w:val="21"/>
          <w:highlight w:val="none"/>
        </w:rPr>
      </w:pPr>
      <w:r>
        <w:rPr>
          <w:rFonts w:hint="eastAsia" w:ascii="宋体" w:hAnsi="宋体" w:cs="宋体"/>
          <w:b/>
          <w:sz w:val="21"/>
          <w:szCs w:val="21"/>
          <w:highlight w:val="none"/>
        </w:rPr>
        <w:t>中小企业声明函</w:t>
      </w:r>
    </w:p>
    <w:p>
      <w:pPr>
        <w:kinsoku/>
        <w:autoSpaceDE w:val="0"/>
        <w:autoSpaceDN w:val="0"/>
        <w:bidi w:val="0"/>
        <w:spacing w:line="360" w:lineRule="auto"/>
        <w:ind w:firstLine="420" w:firstLineChars="200"/>
        <w:contextualSpacing/>
        <w:rPr>
          <w:rFonts w:ascii="宋体" w:hAnsi="宋体" w:cs="宋体"/>
          <w:sz w:val="21"/>
          <w:szCs w:val="21"/>
          <w:highlight w:val="none"/>
          <w:lang w:val="zh-CN"/>
        </w:rPr>
      </w:pPr>
      <w:r>
        <w:rPr>
          <w:rFonts w:hint="eastAsia" w:ascii="宋体" w:hAnsi="宋体" w:cs="宋体"/>
          <w:sz w:val="21"/>
          <w:szCs w:val="21"/>
          <w:highlight w:val="none"/>
          <w:lang w:val="zh-CN"/>
        </w:rPr>
        <w:t>本公司郑重声明，根据《政府采购促进中小企业发展</w:t>
      </w:r>
      <w:r>
        <w:rPr>
          <w:rFonts w:hint="eastAsia" w:ascii="宋体" w:hAnsi="宋体" w:cs="宋体"/>
          <w:sz w:val="21"/>
          <w:szCs w:val="21"/>
          <w:highlight w:val="none"/>
        </w:rPr>
        <w:t>管理</w:t>
      </w:r>
      <w:r>
        <w:rPr>
          <w:rFonts w:hint="eastAsia" w:ascii="宋体" w:hAnsi="宋体" w:cs="宋体"/>
          <w:sz w:val="21"/>
          <w:szCs w:val="21"/>
          <w:highlight w:val="none"/>
          <w:lang w:val="zh-CN"/>
        </w:rPr>
        <w:t>办法》（财库</w:t>
      </w:r>
      <w:r>
        <w:rPr>
          <w:rFonts w:hint="eastAsia" w:ascii="仿宋" w:hAnsi="仿宋" w:eastAsia="仿宋" w:cs="仿宋"/>
          <w:sz w:val="21"/>
          <w:szCs w:val="21"/>
          <w:highlight w:val="none"/>
          <w:lang w:val="zh-CN"/>
        </w:rPr>
        <w:t>〔</w:t>
      </w:r>
      <w:r>
        <w:rPr>
          <w:rFonts w:hint="eastAsia" w:ascii="宋体" w:hAnsi="宋体" w:cs="宋体"/>
          <w:sz w:val="21"/>
          <w:szCs w:val="21"/>
          <w:highlight w:val="none"/>
          <w:lang w:val="zh-CN"/>
        </w:rPr>
        <w:t>20</w:t>
      </w:r>
      <w:r>
        <w:rPr>
          <w:rFonts w:hint="eastAsia" w:ascii="宋体" w:hAnsi="宋体" w:cs="宋体"/>
          <w:sz w:val="21"/>
          <w:szCs w:val="21"/>
          <w:highlight w:val="none"/>
        </w:rPr>
        <w:t>20</w:t>
      </w:r>
      <w:r>
        <w:rPr>
          <w:rFonts w:hint="eastAsia" w:ascii="仿宋" w:hAnsi="仿宋" w:eastAsia="仿宋" w:cs="仿宋"/>
          <w:sz w:val="21"/>
          <w:szCs w:val="21"/>
          <w:highlight w:val="none"/>
          <w:lang w:val="zh-CN"/>
        </w:rPr>
        <w:t>〕</w:t>
      </w:r>
      <w:r>
        <w:rPr>
          <w:rFonts w:hint="eastAsia" w:ascii="宋体" w:hAnsi="宋体" w:cs="宋体"/>
          <w:sz w:val="21"/>
          <w:szCs w:val="21"/>
          <w:highlight w:val="none"/>
        </w:rPr>
        <w:t>46</w:t>
      </w:r>
      <w:r>
        <w:rPr>
          <w:rFonts w:hint="eastAsia" w:ascii="宋体" w:hAnsi="宋体" w:cs="宋体"/>
          <w:sz w:val="21"/>
          <w:szCs w:val="21"/>
          <w:highlight w:val="none"/>
          <w:lang w:val="zh-CN"/>
        </w:rPr>
        <w:t>号）的规定，本公司</w:t>
      </w:r>
      <w:r>
        <w:rPr>
          <w:rFonts w:hint="eastAsia" w:ascii="宋体" w:hAnsi="宋体" w:cs="宋体"/>
          <w:sz w:val="21"/>
          <w:szCs w:val="21"/>
          <w:highlight w:val="none"/>
        </w:rPr>
        <w:t>参加（单位名称）的（项目名称）采购活动，提供的货物全部由符合政策要求的中小企业制造。相关企业的具体情况如下：</w:t>
      </w:r>
    </w:p>
    <w:p>
      <w:pPr>
        <w:kinsoku/>
        <w:autoSpaceDE w:val="0"/>
        <w:autoSpaceDN w:val="0"/>
        <w:bidi w:val="0"/>
        <w:spacing w:line="360" w:lineRule="auto"/>
        <w:ind w:firstLine="420" w:firstLineChars="200"/>
        <w:contextualSpacing/>
        <w:rPr>
          <w:rFonts w:ascii="宋体" w:hAnsi="宋体" w:cs="宋体"/>
          <w:sz w:val="21"/>
          <w:szCs w:val="21"/>
          <w:highlight w:val="none"/>
          <w:u w:val="single"/>
        </w:rPr>
      </w:pPr>
      <w:r>
        <w:rPr>
          <w:rFonts w:hint="eastAsia" w:ascii="宋体" w:hAnsi="宋体" w:cs="宋体"/>
          <w:sz w:val="21"/>
          <w:szCs w:val="21"/>
          <w:highlight w:val="none"/>
        </w:rPr>
        <w:t>1.</w:t>
      </w:r>
      <w:r>
        <w:rPr>
          <w:rFonts w:hint="eastAsia" w:ascii="宋体" w:hAnsi="宋体" w:cs="宋体"/>
          <w:sz w:val="21"/>
          <w:szCs w:val="21"/>
          <w:highlight w:val="none"/>
          <w:u w:val="single"/>
        </w:rPr>
        <w:t>（标的名称）</w:t>
      </w:r>
      <w:r>
        <w:rPr>
          <w:rFonts w:hint="eastAsia" w:ascii="宋体" w:hAnsi="宋体" w:cs="宋体"/>
          <w:sz w:val="21"/>
          <w:szCs w:val="21"/>
          <w:highlight w:val="none"/>
        </w:rPr>
        <w:t>，属于</w:t>
      </w:r>
      <w:r>
        <w:rPr>
          <w:rFonts w:hint="eastAsia" w:ascii="宋体" w:hAnsi="宋体" w:cs="宋体"/>
          <w:i/>
          <w:kern w:val="0"/>
          <w:sz w:val="21"/>
          <w:szCs w:val="21"/>
          <w:highlight w:val="none"/>
          <w:u w:val="single"/>
          <w:lang w:val="en-US" w:eastAsia="zh-CN"/>
        </w:rPr>
        <w:t>制造业</w:t>
      </w:r>
      <w:r>
        <w:rPr>
          <w:rFonts w:hint="eastAsia" w:ascii="宋体" w:hAnsi="宋体" w:cs="宋体"/>
          <w:sz w:val="21"/>
          <w:szCs w:val="21"/>
          <w:highlight w:val="none"/>
        </w:rPr>
        <w:t>（行业）；制造商为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，从业人员</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人，营业收入为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万元，资产总额为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万元，属于企业</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（中型企业、小型企业、微型企业）。</w:t>
      </w:r>
    </w:p>
    <w:p>
      <w:pPr>
        <w:kinsoku/>
        <w:autoSpaceDE w:val="0"/>
        <w:autoSpaceDN w:val="0"/>
        <w:bidi w:val="0"/>
        <w:spacing w:line="360" w:lineRule="auto"/>
        <w:ind w:firstLine="420" w:firstLineChars="200"/>
        <w:contextualSpacing/>
        <w:rPr>
          <w:rFonts w:ascii="宋体" w:hAnsi="宋体" w:cs="宋体"/>
          <w:sz w:val="21"/>
          <w:szCs w:val="21"/>
          <w:highlight w:val="none"/>
          <w:u w:val="single"/>
        </w:rPr>
      </w:pPr>
      <w:r>
        <w:rPr>
          <w:rFonts w:hint="eastAsia" w:ascii="宋体" w:hAnsi="宋体" w:cs="宋体"/>
          <w:sz w:val="21"/>
          <w:szCs w:val="21"/>
          <w:highlight w:val="none"/>
        </w:rPr>
        <w:t>2.（标的名称），属于（行业）；制造商为，从业人员人，营业收入为万元，资产总额为万元，属于企业（中型企业、小型企业、微型企业）。</w:t>
      </w:r>
    </w:p>
    <w:p>
      <w:pPr>
        <w:kinsoku/>
        <w:autoSpaceDE w:val="0"/>
        <w:autoSpaceDN w:val="0"/>
        <w:bidi w:val="0"/>
        <w:spacing w:line="360" w:lineRule="auto"/>
        <w:ind w:firstLine="420" w:firstLineChars="200"/>
        <w:contextualSpacing/>
        <w:rPr>
          <w:rFonts w:ascii="宋体" w:hAnsi="宋体" w:cs="宋体"/>
          <w:sz w:val="21"/>
          <w:szCs w:val="21"/>
          <w:highlight w:val="none"/>
        </w:rPr>
      </w:pPr>
      <w:r>
        <w:rPr>
          <w:rFonts w:hint="eastAsia" w:ascii="宋体" w:hAnsi="宋体" w:cs="宋体"/>
          <w:sz w:val="21"/>
          <w:szCs w:val="21"/>
          <w:highlight w:val="none"/>
        </w:rPr>
        <w:t>……</w:t>
      </w:r>
    </w:p>
    <w:p>
      <w:pPr>
        <w:kinsoku/>
        <w:autoSpaceDE w:val="0"/>
        <w:autoSpaceDN w:val="0"/>
        <w:bidi w:val="0"/>
        <w:spacing w:line="360" w:lineRule="auto"/>
        <w:ind w:firstLine="422" w:firstLineChars="200"/>
        <w:contextualSpacing/>
        <w:rPr>
          <w:rFonts w:ascii="宋体" w:hAnsi="宋体" w:cs="宋体"/>
          <w:b/>
          <w:bCs/>
          <w:sz w:val="21"/>
          <w:szCs w:val="21"/>
          <w:highlight w:val="none"/>
        </w:rPr>
      </w:pPr>
      <w:r>
        <w:rPr>
          <w:rFonts w:hint="eastAsia" w:ascii="宋体" w:hAnsi="宋体" w:cs="宋体"/>
          <w:b/>
          <w:bCs/>
          <w:sz w:val="21"/>
          <w:szCs w:val="21"/>
          <w:highlight w:val="none"/>
        </w:rPr>
        <w:t>以上企业，不属于大型企业的分支机构，不存在控股股东为大企业的情形，也不存在与大企业的负责人为同一人的情形。</w:t>
      </w:r>
    </w:p>
    <w:p>
      <w:pPr>
        <w:kinsoku/>
        <w:autoSpaceDE w:val="0"/>
        <w:autoSpaceDN w:val="0"/>
        <w:bidi w:val="0"/>
        <w:spacing w:line="360" w:lineRule="auto"/>
        <w:ind w:firstLine="422" w:firstLineChars="200"/>
        <w:contextualSpacing/>
        <w:rPr>
          <w:rFonts w:ascii="宋体" w:hAnsi="宋体" w:cs="宋体"/>
          <w:b/>
          <w:bCs/>
          <w:sz w:val="21"/>
          <w:szCs w:val="21"/>
          <w:highlight w:val="none"/>
          <w:lang w:val="zh-CN"/>
        </w:rPr>
      </w:pPr>
      <w:r>
        <w:rPr>
          <w:rFonts w:hint="eastAsia" w:ascii="宋体" w:hAnsi="宋体" w:cs="宋体"/>
          <w:b/>
          <w:bCs/>
          <w:sz w:val="21"/>
          <w:szCs w:val="21"/>
          <w:highlight w:val="none"/>
          <w:lang w:val="zh-CN"/>
        </w:rPr>
        <w:t>本</w:t>
      </w:r>
      <w:r>
        <w:rPr>
          <w:rFonts w:hint="eastAsia" w:ascii="宋体" w:hAnsi="宋体" w:cs="宋体"/>
          <w:b/>
          <w:bCs/>
          <w:sz w:val="21"/>
          <w:szCs w:val="21"/>
          <w:highlight w:val="none"/>
        </w:rPr>
        <w:t>企业</w:t>
      </w:r>
      <w:r>
        <w:rPr>
          <w:rFonts w:hint="eastAsia" w:ascii="宋体" w:hAnsi="宋体" w:cs="宋体"/>
          <w:b/>
          <w:bCs/>
          <w:sz w:val="21"/>
          <w:szCs w:val="21"/>
          <w:highlight w:val="none"/>
          <w:lang w:val="zh-CN"/>
        </w:rPr>
        <w:t>对上述声明</w:t>
      </w:r>
      <w:r>
        <w:rPr>
          <w:rFonts w:hint="eastAsia" w:ascii="宋体" w:hAnsi="宋体" w:cs="宋体"/>
          <w:b/>
          <w:bCs/>
          <w:sz w:val="21"/>
          <w:szCs w:val="21"/>
          <w:highlight w:val="none"/>
        </w:rPr>
        <w:t>内容</w:t>
      </w:r>
      <w:r>
        <w:rPr>
          <w:rFonts w:hint="eastAsia" w:ascii="宋体" w:hAnsi="宋体" w:cs="宋体"/>
          <w:b/>
          <w:bCs/>
          <w:sz w:val="21"/>
          <w:szCs w:val="21"/>
          <w:highlight w:val="none"/>
          <w:lang w:val="zh-CN"/>
        </w:rPr>
        <w:t>的真实性负责。如有虚假，将依法承担相应责任。</w:t>
      </w:r>
    </w:p>
    <w:p>
      <w:pPr>
        <w:kinsoku/>
        <w:bidi w:val="0"/>
        <w:spacing w:line="360" w:lineRule="auto"/>
        <w:contextualSpacing/>
        <w:rPr>
          <w:rFonts w:ascii="宋体" w:hAnsi="宋体" w:cs="宋体"/>
          <w:bCs/>
          <w:sz w:val="21"/>
          <w:szCs w:val="21"/>
          <w:highlight w:val="none"/>
        </w:rPr>
      </w:pPr>
    </w:p>
    <w:p>
      <w:pPr>
        <w:kinsoku/>
        <w:bidi w:val="0"/>
        <w:spacing w:line="360" w:lineRule="auto"/>
        <w:contextualSpacing/>
        <w:jc w:val="center"/>
        <w:rPr>
          <w:rFonts w:ascii="宋体" w:hAnsi="宋体" w:cs="宋体"/>
          <w:bCs/>
          <w:sz w:val="21"/>
          <w:szCs w:val="21"/>
          <w:highlight w:val="none"/>
        </w:rPr>
      </w:pPr>
      <w:r>
        <w:rPr>
          <w:rFonts w:hint="eastAsia" w:ascii="宋体" w:hAnsi="宋体" w:cs="宋体"/>
          <w:bCs/>
          <w:sz w:val="21"/>
          <w:szCs w:val="21"/>
          <w:highlight w:val="none"/>
        </w:rPr>
        <w:t>企业名称（盖章）：</w:t>
      </w:r>
    </w:p>
    <w:p>
      <w:pPr>
        <w:kinsoku/>
        <w:bidi w:val="0"/>
        <w:spacing w:line="360" w:lineRule="auto"/>
        <w:contextualSpacing/>
        <w:jc w:val="center"/>
        <w:rPr>
          <w:rFonts w:ascii="宋体" w:hAnsi="宋体" w:cs="宋体"/>
          <w:bCs/>
          <w:sz w:val="21"/>
          <w:szCs w:val="21"/>
          <w:highlight w:val="none"/>
        </w:rPr>
      </w:pPr>
      <w:r>
        <w:rPr>
          <w:rFonts w:hint="eastAsia" w:ascii="宋体" w:hAnsi="宋体" w:cs="宋体"/>
          <w:bCs/>
          <w:sz w:val="21"/>
          <w:szCs w:val="21"/>
          <w:highlight w:val="none"/>
        </w:rPr>
        <w:t>日　　　　　　期：</w:t>
      </w:r>
    </w:p>
    <w:p>
      <w:pPr>
        <w:pStyle w:val="11"/>
        <w:kinsoku/>
        <w:bidi w:val="0"/>
        <w:spacing w:line="360" w:lineRule="auto"/>
        <w:ind w:firstLine="422" w:firstLineChars="200"/>
        <w:contextualSpacing/>
        <w:rPr>
          <w:rFonts w:hAnsi="宋体" w:cs="宋体"/>
          <w:b/>
          <w:sz w:val="21"/>
          <w:szCs w:val="21"/>
          <w:highlight w:val="none"/>
        </w:rPr>
      </w:pPr>
      <w:r>
        <w:rPr>
          <w:rFonts w:hint="eastAsia" w:hAnsi="宋体" w:cs="宋体"/>
          <w:b/>
          <w:sz w:val="21"/>
          <w:szCs w:val="21"/>
          <w:highlight w:val="none"/>
        </w:rPr>
        <w:t>备注：1.小型、微型企业提供中型企业的服务的，视同为中型企业。若供应商提供的《中小企业声明函》为虚假声明则视同提供虚假材料，按《</w:t>
      </w:r>
      <w:r>
        <w:rPr>
          <w:rFonts w:hint="eastAsia" w:hAnsi="宋体" w:cs="宋体"/>
          <w:b/>
          <w:sz w:val="21"/>
          <w:szCs w:val="21"/>
          <w:highlight w:val="none"/>
          <w:lang w:val="en-US" w:eastAsia="zh-CN"/>
        </w:rPr>
        <w:t>中华人民共和国</w:t>
      </w:r>
      <w:r>
        <w:rPr>
          <w:rFonts w:hint="eastAsia" w:hAnsi="宋体" w:cs="宋体"/>
          <w:b/>
          <w:sz w:val="21"/>
          <w:szCs w:val="21"/>
          <w:highlight w:val="none"/>
        </w:rPr>
        <w:t>政府采购法》相关规定处理并报请政府监督部门给予行政处罚。</w:t>
      </w:r>
    </w:p>
    <w:p>
      <w:pPr>
        <w:pStyle w:val="11"/>
        <w:kinsoku/>
        <w:bidi w:val="0"/>
        <w:spacing w:line="360" w:lineRule="auto"/>
        <w:ind w:firstLine="422" w:firstLineChars="200"/>
        <w:contextualSpacing/>
        <w:rPr>
          <w:rFonts w:hAnsi="宋体" w:cs="宋体"/>
          <w:b/>
          <w:sz w:val="21"/>
          <w:szCs w:val="21"/>
          <w:highlight w:val="none"/>
        </w:rPr>
      </w:pPr>
      <w:r>
        <w:rPr>
          <w:rFonts w:hint="eastAsia" w:hAnsi="宋体" w:cs="宋体"/>
          <w:b/>
          <w:sz w:val="21"/>
          <w:szCs w:val="21"/>
          <w:highlight w:val="none"/>
        </w:rPr>
        <w:t>2.从业人员、营业收入、资产总额填报上一年度数据，无上一年度数据的新成立企业可不填报。</w:t>
      </w:r>
    </w:p>
    <w:p>
      <w:pPr>
        <w:pStyle w:val="11"/>
        <w:kinsoku/>
        <w:bidi w:val="0"/>
        <w:spacing w:line="360" w:lineRule="auto"/>
        <w:ind w:firstLine="422" w:firstLineChars="200"/>
        <w:contextualSpacing/>
        <w:rPr>
          <w:rFonts w:hAnsi="宋体" w:cs="宋体"/>
          <w:b/>
          <w:sz w:val="21"/>
          <w:szCs w:val="21"/>
          <w:highlight w:val="none"/>
        </w:rPr>
      </w:pPr>
      <w:r>
        <w:rPr>
          <w:rFonts w:hint="eastAsia" w:hAnsi="宋体" w:cs="宋体"/>
          <w:b/>
          <w:sz w:val="21"/>
          <w:szCs w:val="21"/>
          <w:highlight w:val="none"/>
        </w:rPr>
        <w:t>3.参照《关于印发中小企业划型标准规定的通知》（工信部联企业</w:t>
      </w:r>
      <w:r>
        <w:rPr>
          <w:rFonts w:hint="eastAsia" w:ascii="仿宋" w:hAnsi="仿宋" w:eastAsia="仿宋" w:cs="仿宋"/>
          <w:b/>
          <w:sz w:val="21"/>
          <w:szCs w:val="21"/>
          <w:highlight w:val="none"/>
        </w:rPr>
        <w:t>〔</w:t>
      </w:r>
      <w:r>
        <w:rPr>
          <w:rFonts w:hint="eastAsia" w:hAnsi="宋体" w:cs="宋体"/>
          <w:b/>
          <w:sz w:val="21"/>
          <w:szCs w:val="21"/>
          <w:highlight w:val="none"/>
        </w:rPr>
        <w:t>2011</w:t>
      </w:r>
      <w:r>
        <w:rPr>
          <w:rFonts w:hint="eastAsia" w:ascii="仿宋" w:hAnsi="仿宋" w:eastAsia="仿宋" w:cs="仿宋"/>
          <w:b/>
          <w:sz w:val="21"/>
          <w:szCs w:val="21"/>
          <w:highlight w:val="none"/>
        </w:rPr>
        <w:t>〕</w:t>
      </w:r>
      <w:r>
        <w:rPr>
          <w:rFonts w:hint="eastAsia" w:hAnsi="宋体" w:cs="宋体"/>
          <w:b/>
          <w:sz w:val="21"/>
          <w:szCs w:val="21"/>
          <w:highlight w:val="none"/>
        </w:rPr>
        <w:t>300号）文件，本项目采购标的所属行业为</w:t>
      </w:r>
      <w:r>
        <w:rPr>
          <w:rFonts w:hint="eastAsia" w:hAnsi="宋体" w:cs="宋体"/>
          <w:b/>
          <w:sz w:val="21"/>
          <w:szCs w:val="21"/>
          <w:highlight w:val="none"/>
          <w:lang w:val="en-US" w:eastAsia="zh-CN"/>
        </w:rPr>
        <w:t>制造</w:t>
      </w:r>
      <w:r>
        <w:rPr>
          <w:rFonts w:hint="eastAsia" w:hAnsi="宋体" w:cs="宋体"/>
          <w:b/>
          <w:sz w:val="21"/>
          <w:szCs w:val="21"/>
          <w:highlight w:val="none"/>
        </w:rPr>
        <w:t>业。</w:t>
      </w: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r>
        <w:rPr>
          <w:rFonts w:hint="eastAsia" w:ascii="宋体" w:hAnsi="宋体" w:cs="宋体"/>
          <w:b/>
          <w:sz w:val="21"/>
          <w:szCs w:val="21"/>
          <w:highlight w:val="none"/>
        </w:rPr>
        <w:t>残疾人福利性单位声明函</w:t>
      </w: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本单位对上述声明的真实性负责。如有虚假，将依法承担相应责任。</w:t>
      </w: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申请人名称：     （盖单位公章）</w:t>
      </w:r>
    </w:p>
    <w:p>
      <w:pPr>
        <w:pStyle w:val="28"/>
        <w:kinsoku/>
        <w:bidi w:val="0"/>
        <w:spacing w:line="360" w:lineRule="auto"/>
        <w:contextualSpacing/>
        <w:rPr>
          <w:rFonts w:ascii="宋体" w:hAnsi="宋体" w:cs="宋体"/>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日 期：    年     月     日</w:t>
      </w: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p>
    <w:p>
      <w:pPr>
        <w:kinsoku/>
        <w:bidi w:val="0"/>
        <w:spacing w:line="360" w:lineRule="auto"/>
        <w:ind w:firstLine="643"/>
        <w:contextualSpacing/>
        <w:jc w:val="center"/>
        <w:rPr>
          <w:rFonts w:ascii="宋体" w:hAnsi="宋体" w:cs="宋体"/>
          <w:b/>
          <w:sz w:val="21"/>
          <w:szCs w:val="21"/>
          <w:highlight w:val="none"/>
        </w:rPr>
      </w:pPr>
      <w:r>
        <w:rPr>
          <w:rFonts w:hint="eastAsia" w:ascii="宋体" w:hAnsi="宋体" w:cs="宋体"/>
          <w:b/>
          <w:sz w:val="21"/>
          <w:szCs w:val="21"/>
          <w:highlight w:val="none"/>
        </w:rPr>
        <w:t>监狱企业证明材料</w:t>
      </w: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参加政府采购活动的监狱企业应当提供省级以上监狱管理局、戒毒管理局（含新疆生产建设兵团）出具的属于监狱企业的证明文件复印件加盖申请人公章。</w:t>
      </w:r>
    </w:p>
    <w:p>
      <w:pPr>
        <w:kinsoku/>
        <w:bidi w:val="0"/>
        <w:spacing w:line="360" w:lineRule="auto"/>
        <w:ind w:firstLine="643"/>
        <w:contextualSpacing/>
        <w:jc w:val="center"/>
        <w:rPr>
          <w:rFonts w:ascii="宋体" w:hAnsi="宋体" w:cs="宋体"/>
          <w:b/>
          <w:sz w:val="21"/>
          <w:szCs w:val="21"/>
          <w:highlight w:val="none"/>
        </w:rPr>
      </w:pPr>
    </w:p>
    <w:p>
      <w:pPr>
        <w:pStyle w:val="17"/>
        <w:kinsoku/>
        <w:bidi w:val="0"/>
        <w:spacing w:line="360" w:lineRule="auto"/>
        <w:ind w:firstLine="321"/>
        <w:contextualSpacing/>
        <w:rPr>
          <w:rFonts w:ascii="宋体" w:hAnsi="宋体" w:cs="宋体"/>
          <w:b/>
          <w:sz w:val="21"/>
          <w:szCs w:val="21"/>
          <w:highlight w:val="none"/>
          <w:lang w:eastAsia="zh-CN"/>
        </w:rPr>
      </w:pPr>
    </w:p>
    <w:p>
      <w:pPr>
        <w:pStyle w:val="17"/>
        <w:kinsoku/>
        <w:bidi w:val="0"/>
        <w:spacing w:line="360" w:lineRule="auto"/>
        <w:ind w:firstLine="321"/>
        <w:contextualSpacing/>
        <w:rPr>
          <w:rFonts w:ascii="宋体" w:hAnsi="宋体" w:cs="宋体"/>
          <w:b/>
          <w:sz w:val="21"/>
          <w:szCs w:val="21"/>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insoku/>
        <w:overflowPunct/>
        <w:bidi w:val="0"/>
        <w:spacing w:line="360" w:lineRule="auto"/>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附件8：</w:t>
      </w:r>
    </w:p>
    <w:p>
      <w:pPr>
        <w:kinsoku/>
        <w:bidi w:val="0"/>
        <w:spacing w:line="360" w:lineRule="auto"/>
        <w:ind w:firstLine="643"/>
        <w:contextualSpacing/>
        <w:jc w:val="center"/>
        <w:rPr>
          <w:rFonts w:ascii="宋体" w:hAnsi="宋体" w:cs="宋体"/>
          <w:b/>
          <w:sz w:val="21"/>
          <w:szCs w:val="21"/>
          <w:highlight w:val="none"/>
        </w:rPr>
      </w:pPr>
      <w:r>
        <w:rPr>
          <w:rFonts w:hint="eastAsia" w:ascii="宋体" w:hAnsi="宋体" w:cs="宋体"/>
          <w:b/>
          <w:sz w:val="21"/>
          <w:szCs w:val="21"/>
          <w:highlight w:val="none"/>
        </w:rPr>
        <w:t>项目技术方案</w:t>
      </w: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技术方案内容见评标办法，但不仅限于这些内容，投标人可根据其对项目的理解自行增加，格式自拟。</w:t>
      </w:r>
    </w:p>
    <w:p>
      <w:pPr>
        <w:kinsoku/>
        <w:bidi w:val="0"/>
        <w:spacing w:line="360" w:lineRule="auto"/>
        <w:ind w:firstLine="420" w:firstLineChars="200"/>
        <w:contextualSpacing/>
        <w:rPr>
          <w:rFonts w:ascii="宋体" w:hAnsi="宋体" w:cs="宋体"/>
          <w:bCs/>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p>
    <w:p>
      <w:pPr>
        <w:pStyle w:val="3"/>
        <w:numPr>
          <w:ilvl w:val="0"/>
          <w:numId w:val="0"/>
        </w:numPr>
        <w:kinsoku/>
        <w:bidi w:val="0"/>
        <w:spacing w:before="0" w:line="360" w:lineRule="auto"/>
        <w:contextualSpacing/>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附件9：</w:t>
      </w:r>
    </w:p>
    <w:p>
      <w:pPr>
        <w:kinsoku/>
        <w:bidi w:val="0"/>
        <w:spacing w:line="360" w:lineRule="auto"/>
        <w:ind w:firstLine="643"/>
        <w:contextualSpacing/>
        <w:jc w:val="center"/>
        <w:rPr>
          <w:rFonts w:ascii="宋体" w:hAnsi="宋体" w:cs="宋体"/>
          <w:b/>
          <w:sz w:val="21"/>
          <w:szCs w:val="21"/>
          <w:highlight w:val="none"/>
        </w:rPr>
      </w:pPr>
      <w:r>
        <w:rPr>
          <w:rFonts w:hint="eastAsia" w:ascii="宋体" w:hAnsi="宋体" w:cs="宋体"/>
          <w:b/>
          <w:sz w:val="21"/>
          <w:szCs w:val="21"/>
          <w:highlight w:val="none"/>
        </w:rPr>
        <w:t>其它资料</w:t>
      </w:r>
    </w:p>
    <w:p>
      <w:pPr>
        <w:kinsoku/>
        <w:bidi w:val="0"/>
        <w:spacing w:line="360" w:lineRule="auto"/>
        <w:ind w:firstLine="420" w:firstLineChars="200"/>
        <w:contextualSpacing/>
        <w:rPr>
          <w:rFonts w:ascii="宋体" w:hAnsi="宋体" w:cs="宋体"/>
          <w:bCs/>
          <w:sz w:val="21"/>
          <w:szCs w:val="21"/>
          <w:highlight w:val="none"/>
        </w:rPr>
      </w:pPr>
    </w:p>
    <w:p>
      <w:pPr>
        <w:kinsoku/>
        <w:bidi w:val="0"/>
        <w:spacing w:line="360" w:lineRule="auto"/>
        <w:ind w:firstLine="420" w:firstLineChars="200"/>
        <w:contextualSpacing/>
        <w:rPr>
          <w:rFonts w:ascii="宋体" w:hAnsi="宋体" w:cs="宋体"/>
          <w:bCs/>
          <w:sz w:val="21"/>
          <w:szCs w:val="21"/>
          <w:highlight w:val="none"/>
        </w:rPr>
      </w:pPr>
      <w:r>
        <w:rPr>
          <w:rFonts w:hint="eastAsia" w:ascii="宋体" w:hAnsi="宋体" w:cs="宋体"/>
          <w:bCs/>
          <w:sz w:val="21"/>
          <w:szCs w:val="21"/>
          <w:highlight w:val="none"/>
        </w:rPr>
        <w:t>投标人认为有必要提供的声明或其他证明材料，附上的材料请在此列出清单；如无后附文件，请说明。</w:t>
      </w:r>
    </w:p>
    <w:p>
      <w:pPr>
        <w:pStyle w:val="17"/>
        <w:kinsoku/>
        <w:bidi w:val="0"/>
        <w:spacing w:line="360" w:lineRule="auto"/>
        <w:ind w:firstLine="321"/>
        <w:contextualSpacing/>
        <w:rPr>
          <w:rFonts w:ascii="宋体" w:hAnsi="宋体" w:cs="宋体"/>
          <w:b/>
          <w:sz w:val="21"/>
          <w:szCs w:val="21"/>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insoku/>
        <w:bidi w:val="0"/>
        <w:spacing w:line="360" w:lineRule="auto"/>
        <w:ind w:firstLine="643"/>
        <w:contextualSpacing/>
        <w:jc w:val="center"/>
        <w:rPr>
          <w:rFonts w:ascii="宋体" w:hAnsi="宋体" w:cs="宋体"/>
          <w:b/>
          <w:sz w:val="21"/>
          <w:szCs w:val="21"/>
          <w:highlight w:val="none"/>
        </w:rPr>
      </w:pPr>
      <w:r>
        <w:rPr>
          <w:rFonts w:hint="eastAsia" w:ascii="宋体" w:hAnsi="宋体" w:cs="宋体"/>
          <w:b/>
          <w:sz w:val="21"/>
          <w:szCs w:val="21"/>
          <w:highlight w:val="none"/>
        </w:rPr>
        <w:t>评标要素索引表</w:t>
      </w:r>
    </w:p>
    <w:tbl>
      <w:tblPr>
        <w:tblStyle w:val="1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8" w:type="dxa"/>
            <w:noWrap w:val="0"/>
            <w:vAlign w:val="center"/>
          </w:tcPr>
          <w:p>
            <w:pPr>
              <w:kinsoku/>
              <w:bidi w:val="0"/>
              <w:spacing w:line="360" w:lineRule="auto"/>
              <w:contextualSpacing/>
              <w:jc w:val="center"/>
              <w:rPr>
                <w:rFonts w:ascii="宋体" w:hAnsi="宋体" w:cs="宋体"/>
                <w:b/>
                <w:sz w:val="21"/>
                <w:szCs w:val="21"/>
                <w:highlight w:val="none"/>
              </w:rPr>
            </w:pPr>
            <w:r>
              <w:rPr>
                <w:rFonts w:hint="eastAsia" w:ascii="宋体" w:hAnsi="宋体" w:cs="宋体"/>
                <w:b/>
                <w:sz w:val="21"/>
                <w:szCs w:val="21"/>
                <w:highlight w:val="none"/>
              </w:rPr>
              <w:t>序号</w:t>
            </w:r>
          </w:p>
        </w:tc>
        <w:tc>
          <w:tcPr>
            <w:tcW w:w="6067" w:type="dxa"/>
            <w:noWrap w:val="0"/>
            <w:vAlign w:val="center"/>
          </w:tcPr>
          <w:p>
            <w:pPr>
              <w:kinsoku/>
              <w:bidi w:val="0"/>
              <w:spacing w:line="360" w:lineRule="auto"/>
              <w:ind w:firstLine="482"/>
              <w:contextualSpacing/>
              <w:jc w:val="center"/>
              <w:rPr>
                <w:rFonts w:ascii="宋体" w:hAnsi="宋体" w:cs="宋体"/>
                <w:b/>
                <w:sz w:val="21"/>
                <w:szCs w:val="21"/>
                <w:highlight w:val="none"/>
              </w:rPr>
            </w:pPr>
            <w:r>
              <w:rPr>
                <w:rFonts w:hint="eastAsia" w:ascii="宋体" w:hAnsi="宋体" w:cs="宋体"/>
                <w:b/>
                <w:sz w:val="21"/>
                <w:szCs w:val="21"/>
                <w:highlight w:val="none"/>
              </w:rPr>
              <w:t>评审内容</w:t>
            </w:r>
          </w:p>
        </w:tc>
        <w:tc>
          <w:tcPr>
            <w:tcW w:w="1633" w:type="dxa"/>
            <w:noWrap w:val="0"/>
            <w:vAlign w:val="center"/>
          </w:tcPr>
          <w:p>
            <w:pPr>
              <w:kinsoku/>
              <w:bidi w:val="0"/>
              <w:spacing w:line="360" w:lineRule="auto"/>
              <w:contextualSpacing/>
              <w:jc w:val="center"/>
              <w:rPr>
                <w:rFonts w:ascii="宋体" w:hAnsi="宋体" w:cs="宋体"/>
                <w:b/>
                <w:sz w:val="21"/>
                <w:szCs w:val="21"/>
                <w:highlight w:val="none"/>
              </w:rPr>
            </w:pPr>
            <w:r>
              <w:rPr>
                <w:rFonts w:hint="eastAsia" w:ascii="宋体" w:hAnsi="宋体" w:cs="宋体"/>
                <w:b/>
                <w:sz w:val="21"/>
                <w:szCs w:val="21"/>
                <w:highlight w:val="none"/>
              </w:rPr>
              <w:t>投标文件页码范围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pStyle w:val="29"/>
              <w:widowControl w:val="0"/>
              <w:kinsoku/>
              <w:bidi w:val="0"/>
              <w:spacing w:before="0" w:beforeAutospacing="0" w:after="0" w:afterAutospacing="0" w:line="360" w:lineRule="auto"/>
              <w:ind w:firstLine="422"/>
              <w:contextualSpacing/>
              <w:rPr>
                <w:rFonts w:hint="default" w:ascii="宋体" w:eastAsia="宋体" w:cs="宋体"/>
                <w:b/>
                <w:kern w:val="2"/>
                <w:sz w:val="21"/>
                <w:szCs w:val="21"/>
                <w:highlight w:val="none"/>
              </w:rPr>
            </w:pPr>
            <w:r>
              <w:rPr>
                <w:rFonts w:ascii="宋体" w:eastAsia="宋体" w:cs="宋体"/>
                <w:b/>
                <w:kern w:val="2"/>
                <w:sz w:val="21"/>
                <w:szCs w:val="21"/>
                <w:highlight w:val="none"/>
              </w:rPr>
              <w:t>一</w:t>
            </w:r>
          </w:p>
        </w:tc>
        <w:tc>
          <w:tcPr>
            <w:tcW w:w="7700" w:type="dxa"/>
            <w:gridSpan w:val="2"/>
            <w:noWrap w:val="0"/>
            <w:vAlign w:val="center"/>
          </w:tcPr>
          <w:p>
            <w:pPr>
              <w:kinsoku/>
              <w:bidi w:val="0"/>
              <w:spacing w:line="360" w:lineRule="auto"/>
              <w:ind w:firstLine="2108" w:firstLineChars="1000"/>
              <w:contextualSpacing/>
              <w:jc w:val="both"/>
              <w:rPr>
                <w:rFonts w:ascii="宋体" w:hAnsi="宋体" w:cs="宋体"/>
                <w:b/>
                <w:sz w:val="21"/>
                <w:szCs w:val="21"/>
                <w:highlight w:val="none"/>
              </w:rPr>
            </w:pPr>
            <w:r>
              <w:rPr>
                <w:rFonts w:hint="eastAsia" w:ascii="宋体" w:hAnsi="宋体" w:cs="宋体"/>
                <w:b/>
                <w:sz w:val="21"/>
                <w:szCs w:val="21"/>
                <w:highlight w:val="none"/>
              </w:rPr>
              <w:t>商务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1</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u w:val="singl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u w:val="singl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2</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3</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sz w:val="21"/>
                <w:szCs w:val="21"/>
                <w:highlight w:val="none"/>
              </w:rPr>
            </w:pPr>
            <w:r>
              <w:rPr>
                <w:rFonts w:hint="eastAsia" w:ascii="宋体" w:hAnsi="宋体" w:cs="宋体"/>
                <w:b/>
                <w:sz w:val="21"/>
                <w:szCs w:val="21"/>
                <w:highlight w:val="none"/>
              </w:rPr>
              <w:t>二</w:t>
            </w:r>
          </w:p>
        </w:tc>
        <w:tc>
          <w:tcPr>
            <w:tcW w:w="7700" w:type="dxa"/>
            <w:gridSpan w:val="2"/>
            <w:noWrap w:val="0"/>
            <w:vAlign w:val="center"/>
          </w:tcPr>
          <w:p>
            <w:pPr>
              <w:kinsoku/>
              <w:bidi w:val="0"/>
              <w:spacing w:line="360" w:lineRule="auto"/>
              <w:ind w:firstLine="2108" w:firstLineChars="1000"/>
              <w:contextualSpacing/>
              <w:jc w:val="both"/>
              <w:rPr>
                <w:rFonts w:ascii="宋体" w:hAnsi="宋体" w:cs="宋体"/>
                <w:b/>
                <w:sz w:val="21"/>
                <w:szCs w:val="21"/>
                <w:highlight w:val="none"/>
              </w:rPr>
            </w:pPr>
            <w:r>
              <w:rPr>
                <w:rFonts w:hint="eastAsia" w:ascii="宋体" w:hAnsi="宋体" w:cs="宋体"/>
                <w:b/>
                <w:sz w:val="21"/>
                <w:szCs w:val="21"/>
                <w:highlight w:val="none"/>
              </w:rPr>
              <w:t>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1</w:t>
            </w:r>
          </w:p>
        </w:tc>
        <w:tc>
          <w:tcPr>
            <w:tcW w:w="6067" w:type="dxa"/>
            <w:noWrap w:val="0"/>
            <w:vAlign w:val="center"/>
          </w:tcPr>
          <w:p>
            <w:pPr>
              <w:kinsoku/>
              <w:bidi w:val="0"/>
              <w:spacing w:line="360" w:lineRule="auto"/>
              <w:ind w:firstLine="480"/>
              <w:contextualSpacing/>
              <w:jc w:val="both"/>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jc w:val="both"/>
              <w:rPr>
                <w:rFonts w:ascii="宋体" w:hAnsi="宋体" w:cs="宋体"/>
                <w:bCs/>
                <w:sz w:val="21"/>
                <w:szCs w:val="21"/>
                <w:highlight w:val="none"/>
                <w:u w:val="singl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2</w:t>
            </w:r>
          </w:p>
        </w:tc>
        <w:tc>
          <w:tcPr>
            <w:tcW w:w="6067"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2"/>
              <w:contextualSpacing/>
              <w:jc w:val="center"/>
              <w:rPr>
                <w:rFonts w:ascii="宋体" w:hAnsi="宋体" w:cs="宋体"/>
                <w:b/>
                <w:bCs/>
                <w:sz w:val="21"/>
                <w:szCs w:val="21"/>
                <w:highlight w:val="none"/>
              </w:rPr>
            </w:pPr>
            <w:r>
              <w:rPr>
                <w:rFonts w:hint="eastAsia" w:ascii="宋体" w:hAnsi="宋体" w:cs="宋体"/>
                <w:b/>
                <w:bCs/>
                <w:sz w:val="21"/>
                <w:szCs w:val="21"/>
                <w:highlight w:val="none"/>
              </w:rPr>
              <w:t>3</w:t>
            </w:r>
          </w:p>
        </w:tc>
        <w:tc>
          <w:tcPr>
            <w:tcW w:w="6067"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6067"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6067"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rPr>
                <w:rFonts w:ascii="宋体" w:hAnsi="宋体" w:cs="宋体"/>
                <w:bCs/>
                <w:sz w:val="21"/>
                <w:szCs w:val="21"/>
                <w:highlight w:val="none"/>
              </w:rPr>
            </w:pPr>
            <w:r>
              <w:rPr>
                <w:rFonts w:hint="eastAsia" w:ascii="宋体" w:hAnsi="宋体" w:cs="宋体"/>
                <w:bCs/>
                <w:sz w:val="21"/>
                <w:szCs w:val="21"/>
                <w:highlight w:val="none"/>
              </w:rPr>
              <w:t>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6067" w:type="dxa"/>
            <w:noWrap w:val="0"/>
            <w:vAlign w:val="center"/>
          </w:tcPr>
          <w:p>
            <w:pPr>
              <w:kinsoku/>
              <w:bidi w:val="0"/>
              <w:spacing w:line="360" w:lineRule="auto"/>
              <w:ind w:firstLine="480"/>
              <w:contextualSpacing/>
              <w:jc w:val="center"/>
              <w:rPr>
                <w:rFonts w:ascii="宋体" w:hAnsi="宋体" w:cs="宋体"/>
                <w:bCs/>
                <w:sz w:val="21"/>
                <w:szCs w:val="21"/>
                <w:highlight w:val="none"/>
              </w:rPr>
            </w:pPr>
            <w:r>
              <w:rPr>
                <w:rFonts w:hint="eastAsia" w:ascii="宋体" w:hAnsi="宋体" w:cs="宋体"/>
                <w:bCs/>
                <w:sz w:val="21"/>
                <w:szCs w:val="21"/>
                <w:highlight w:val="none"/>
              </w:rPr>
              <w:t>………</w:t>
            </w:r>
          </w:p>
        </w:tc>
        <w:tc>
          <w:tcPr>
            <w:tcW w:w="1633" w:type="dxa"/>
            <w:noWrap w:val="0"/>
            <w:vAlign w:val="center"/>
          </w:tcPr>
          <w:p>
            <w:pPr>
              <w:kinsoku/>
              <w:bidi w:val="0"/>
              <w:spacing w:line="360" w:lineRule="auto"/>
              <w:ind w:firstLine="480"/>
              <w:contextualSpacing/>
              <w:rPr>
                <w:rFonts w:ascii="宋体" w:hAnsi="宋体" w:cs="宋体"/>
                <w:bCs/>
                <w:sz w:val="21"/>
                <w:szCs w:val="21"/>
                <w:highlight w:val="none"/>
              </w:rPr>
            </w:pPr>
            <w:r>
              <w:rPr>
                <w:rFonts w:hint="eastAsia" w:ascii="宋体" w:hAnsi="宋体" w:cs="宋体"/>
                <w:bCs/>
                <w:sz w:val="21"/>
                <w:szCs w:val="21"/>
                <w:highlight w:val="none"/>
              </w:rPr>
              <w:t>P～P</w:t>
            </w:r>
          </w:p>
        </w:tc>
      </w:tr>
    </w:tbl>
    <w:p>
      <w:pPr>
        <w:tabs>
          <w:tab w:val="left" w:pos="1269"/>
        </w:tabs>
        <w:kinsoku/>
        <w:bidi w:val="0"/>
        <w:spacing w:line="360" w:lineRule="auto"/>
        <w:ind w:firstLine="420" w:firstLineChars="200"/>
        <w:contextualSpacing/>
        <w:rPr>
          <w:rFonts w:ascii="宋体" w:hAnsi="宋体" w:cs="宋体"/>
          <w:sz w:val="21"/>
          <w:szCs w:val="21"/>
          <w:highlight w:val="none"/>
        </w:rPr>
      </w:pPr>
    </w:p>
    <w:p>
      <w:pPr>
        <w:keepNext w:val="0"/>
        <w:keepLines w:val="0"/>
        <w:pageBreakBefore w:val="0"/>
        <w:widowControl w:val="0"/>
        <w:tabs>
          <w:tab w:val="left" w:pos="1269"/>
        </w:tabs>
        <w:kinsoku/>
        <w:wordWrap/>
        <w:overflowPunct/>
        <w:topLinePunct w:val="0"/>
        <w:autoSpaceDE/>
        <w:autoSpaceDN/>
        <w:bidi w:val="0"/>
        <w:adjustRightInd/>
        <w:snapToGrid/>
        <w:spacing w:line="360" w:lineRule="auto"/>
        <w:ind w:firstLine="210" w:firstLineChars="100"/>
        <w:contextualSpacing/>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注：</w:t>
      </w:r>
    </w:p>
    <w:p>
      <w:pPr>
        <w:keepNext w:val="0"/>
        <w:keepLines w:val="0"/>
        <w:pageBreakBefore w:val="0"/>
        <w:widowControl w:val="0"/>
        <w:tabs>
          <w:tab w:val="left" w:pos="1269"/>
        </w:tabs>
        <w:kinsoku/>
        <w:wordWrap/>
        <w:overflowPunct/>
        <w:topLinePunct w:val="0"/>
        <w:autoSpaceDE/>
        <w:autoSpaceDN/>
        <w:bidi w:val="0"/>
        <w:adjustRightInd/>
        <w:snapToGrid/>
        <w:spacing w:line="360" w:lineRule="auto"/>
        <w:ind w:firstLine="420" w:firstLineChars="200"/>
        <w:contextualSpacing/>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rPr>
        <w:t>1</w:t>
      </w:r>
      <w:r>
        <w:rPr>
          <w:rFonts w:hint="eastAsia" w:ascii="宋体" w:hAnsi="宋体" w:cs="宋体"/>
          <w:b/>
          <w:color w:val="auto"/>
          <w:sz w:val="21"/>
          <w:szCs w:val="21"/>
          <w:highlight w:val="none"/>
        </w:rPr>
        <w:t>.</w:t>
      </w:r>
      <w:r>
        <w:rPr>
          <w:rFonts w:hint="eastAsia" w:ascii="宋体" w:hAnsi="宋体" w:cs="宋体"/>
          <w:bCs/>
          <w:color w:val="auto"/>
          <w:sz w:val="21"/>
          <w:szCs w:val="21"/>
          <w:highlight w:val="none"/>
        </w:rPr>
        <w:t>中标人应对提交的纸质投标文件逐页标注页码。</w:t>
      </w:r>
    </w:p>
    <w:p>
      <w:pPr>
        <w:keepNext w:val="0"/>
        <w:keepLines w:val="0"/>
        <w:pageBreakBefore w:val="0"/>
        <w:widowControl w:val="0"/>
        <w:tabs>
          <w:tab w:val="left" w:pos="1269"/>
        </w:tabs>
        <w:kinsoku/>
        <w:wordWrap/>
        <w:overflowPunct/>
        <w:topLinePunct w:val="0"/>
        <w:autoSpaceDE/>
        <w:autoSpaceDN/>
        <w:bidi w:val="0"/>
        <w:adjustRightInd/>
        <w:snapToGrid/>
        <w:spacing w:line="360" w:lineRule="auto"/>
        <w:ind w:firstLine="420" w:firstLineChars="200"/>
        <w:contextualSpacing/>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rPr>
        <w:t>2</w:t>
      </w:r>
      <w:r>
        <w:rPr>
          <w:rFonts w:hint="eastAsia" w:ascii="宋体" w:hAnsi="宋体" w:cs="宋体"/>
          <w:b/>
          <w:color w:val="auto"/>
          <w:sz w:val="21"/>
          <w:szCs w:val="21"/>
          <w:highlight w:val="none"/>
        </w:rPr>
        <w:t>.</w:t>
      </w:r>
      <w:r>
        <w:rPr>
          <w:rFonts w:hint="eastAsia" w:ascii="宋体" w:hAnsi="宋体" w:cs="宋体"/>
          <w:bCs/>
          <w:color w:val="auto"/>
          <w:sz w:val="21"/>
          <w:szCs w:val="21"/>
          <w:highlight w:val="none"/>
        </w:rPr>
        <w:t xml:space="preserve"> 评标要素索引表的位置应布置在纸质投标文件前面（顺序：投标文件封面后、投标文件目录前）。</w:t>
      </w:r>
    </w:p>
    <w:p>
      <w:pPr>
        <w:keepNext w:val="0"/>
        <w:keepLines w:val="0"/>
        <w:pageBreakBefore w:val="0"/>
        <w:widowControl w:val="0"/>
        <w:tabs>
          <w:tab w:val="left" w:pos="1269"/>
        </w:tabs>
        <w:kinsoku/>
        <w:wordWrap/>
        <w:overflowPunct/>
        <w:topLinePunct w:val="0"/>
        <w:autoSpaceDE/>
        <w:autoSpaceDN/>
        <w:bidi w:val="0"/>
        <w:adjustRightInd/>
        <w:snapToGrid/>
        <w:spacing w:line="360" w:lineRule="auto"/>
        <w:ind w:firstLine="420" w:firstLineChars="200"/>
        <w:contextualSpacing/>
        <w:textAlignment w:val="auto"/>
        <w:rPr>
          <w:rFonts w:hint="eastAsia" w:ascii="宋体" w:hAnsi="宋体" w:cs="宋体"/>
          <w:b/>
          <w:color w:val="auto"/>
          <w:sz w:val="21"/>
          <w:szCs w:val="21"/>
          <w:highlight w:val="none"/>
        </w:rPr>
      </w:pPr>
      <w:r>
        <w:rPr>
          <w:rFonts w:hint="eastAsia" w:ascii="宋体" w:hAnsi="宋体" w:cs="宋体"/>
          <w:bCs/>
          <w:color w:val="auto"/>
          <w:sz w:val="21"/>
          <w:szCs w:val="21"/>
          <w:highlight w:val="none"/>
        </w:rPr>
        <w:t>3</w:t>
      </w:r>
      <w:r>
        <w:rPr>
          <w:rFonts w:hint="eastAsia" w:ascii="宋体" w:hAnsi="宋体" w:cs="宋体"/>
          <w:b/>
          <w:color w:val="auto"/>
          <w:sz w:val="21"/>
          <w:szCs w:val="21"/>
          <w:highlight w:val="none"/>
        </w:rPr>
        <w:t>.</w:t>
      </w:r>
      <w:r>
        <w:rPr>
          <w:rFonts w:hint="eastAsia" w:ascii="宋体" w:hAnsi="宋体" w:cs="宋体"/>
          <w:bCs/>
          <w:color w:val="auto"/>
          <w:sz w:val="21"/>
          <w:szCs w:val="21"/>
          <w:highlight w:val="none"/>
        </w:rPr>
        <w:t>中标人应按上表的格式，</w:t>
      </w:r>
      <w:r>
        <w:rPr>
          <w:rFonts w:hint="eastAsia" w:ascii="宋体" w:hAnsi="宋体" w:cs="宋体"/>
          <w:b/>
          <w:bCs/>
          <w:color w:val="auto"/>
          <w:sz w:val="21"/>
          <w:szCs w:val="21"/>
          <w:highlight w:val="none"/>
        </w:rPr>
        <w:t>对照招标文件中评标办法的评审内容</w:t>
      </w:r>
      <w:r>
        <w:rPr>
          <w:rFonts w:hint="eastAsia" w:ascii="宋体" w:hAnsi="宋体" w:cs="宋体"/>
          <w:bCs/>
          <w:color w:val="auto"/>
          <w:sz w:val="21"/>
          <w:szCs w:val="21"/>
          <w:highlight w:val="none"/>
        </w:rPr>
        <w:t>，建立起投标文件相关评审内容与页码之间的索引。</w:t>
      </w:r>
    </w:p>
    <w:p>
      <w:pPr>
        <w:keepNext w:val="0"/>
        <w:keepLines w:val="0"/>
        <w:pageBreakBefore w:val="0"/>
        <w:widowControl w:val="0"/>
        <w:tabs>
          <w:tab w:val="left" w:pos="1269"/>
        </w:tabs>
        <w:kinsoku/>
        <w:wordWrap/>
        <w:overflowPunct/>
        <w:topLinePunct w:val="0"/>
        <w:autoSpaceDE/>
        <w:autoSpaceDN/>
        <w:bidi w:val="0"/>
        <w:adjustRightInd/>
        <w:snapToGrid/>
        <w:spacing w:line="360" w:lineRule="auto"/>
        <w:ind w:firstLine="422" w:firstLineChars="200"/>
        <w:contextualSpacing/>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rPr>
        <w:t>4.纸质投标文件应当与投标文件电子标书一致。</w:t>
      </w:r>
    </w:p>
    <w:p>
      <w:pPr>
        <w:pStyle w:val="17"/>
        <w:kinsoku/>
        <w:bidi w:val="0"/>
        <w:spacing w:line="360" w:lineRule="auto"/>
        <w:ind w:firstLine="321"/>
        <w:contextualSpacing/>
        <w:rPr>
          <w:rFonts w:ascii="宋体" w:hAnsi="宋体" w:cs="宋体"/>
          <w:b/>
          <w:sz w:val="21"/>
          <w:szCs w:val="21"/>
          <w:highlight w:val="none"/>
          <w:lang w:eastAsia="zh-CN"/>
        </w:rPr>
      </w:pPr>
    </w:p>
    <w:p>
      <w:pPr>
        <w:widowControl/>
        <w:kinsoku/>
        <w:overflowPunct/>
        <w:bidi w:val="0"/>
        <w:spacing w:line="360" w:lineRule="auto"/>
        <w:ind w:firstLine="420" w:firstLineChars="200"/>
        <w:jc w:val="left"/>
        <w:textAlignment w:val="auto"/>
        <w:rPr>
          <w:rFonts w:hint="eastAsia" w:ascii="宋体" w:hAnsi="宋体" w:cs="宋体"/>
          <w:color w:val="auto"/>
          <w:sz w:val="21"/>
          <w:szCs w:val="21"/>
          <w:highlight w:val="none"/>
        </w:rPr>
      </w:pPr>
    </w:p>
    <w:p>
      <w:pPr>
        <w:kinsoku/>
        <w:bidi w:val="0"/>
        <w:spacing w:line="360" w:lineRule="auto"/>
        <w:rPr>
          <w:sz w:val="21"/>
          <w:szCs w:val="21"/>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Black">
    <w:panose1 w:val="020B0A04020102020204"/>
    <w:charset w:val="00"/>
    <w:family w:val="swiss"/>
    <w:pitch w:val="default"/>
    <w:sig w:usb0="A00002AF" w:usb1="400078FB" w:usb2="00000000" w:usb3="00000000" w:csb0="6000009F" w:csb1="DFD70000"/>
  </w:font>
  <w:font w:name="Arial Narrow">
    <w:panose1 w:val="020B0606020202030204"/>
    <w:charset w:val="00"/>
    <w:family w:val="swiss"/>
    <w:pitch w:val="default"/>
    <w:sig w:usb0="00000287" w:usb1="00000800" w:usb2="00000000" w:usb3="00000000" w:csb0="2000009F" w:csb1="DFD70000"/>
  </w:font>
  <w:font w:name="方正仿宋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center"/>
                          </w:pPr>
                          <w:r>
                            <w:rPr>
                              <w:sz w:val="21"/>
                            </w:rPr>
                            <w:fldChar w:fldCharType="begin"/>
                          </w:r>
                          <w:r>
                            <w:rPr>
                              <w:sz w:val="21"/>
                            </w:rPr>
                            <w:instrText xml:space="preserve">PAGE   \* MERGEFORMAT</w:instrText>
                          </w:r>
                          <w:r>
                            <w:rPr>
                              <w:sz w:val="21"/>
                            </w:rPr>
                            <w:fldChar w:fldCharType="separate"/>
                          </w:r>
                          <w:r>
                            <w:rPr>
                              <w:sz w:val="21"/>
                              <w:lang w:val="zh-CN"/>
                            </w:rPr>
                            <w:t>2</w:t>
                          </w:r>
                          <w:r>
                            <w:rPr>
                              <w:sz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jc w:val="center"/>
                    </w:pPr>
                    <w:r>
                      <w:rPr>
                        <w:sz w:val="21"/>
                      </w:rPr>
                      <w:fldChar w:fldCharType="begin"/>
                    </w:r>
                    <w:r>
                      <w:rPr>
                        <w:sz w:val="21"/>
                      </w:rPr>
                      <w:instrText xml:space="preserve">PAGE   \* MERGEFORMAT</w:instrText>
                    </w:r>
                    <w:r>
                      <w:rPr>
                        <w:sz w:val="21"/>
                      </w:rPr>
                      <w:fldChar w:fldCharType="separate"/>
                    </w:r>
                    <w:r>
                      <w:rPr>
                        <w:sz w:val="21"/>
                        <w:lang w:val="zh-CN"/>
                      </w:rPr>
                      <w:t>2</w:t>
                    </w:r>
                    <w:r>
                      <w:rPr>
                        <w:sz w:val="21"/>
                      </w:rPr>
                      <w:fldChar w:fldCharType="end"/>
                    </w:r>
                  </w:p>
                </w:txbxContent>
              </v:textbox>
            </v:shape>
          </w:pict>
        </mc:Fallback>
      </mc:AlternateContent>
    </w:r>
  </w:p>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28184"/>
    <w:multiLevelType w:val="singleLevel"/>
    <w:tmpl w:val="92E28184"/>
    <w:lvl w:ilvl="0" w:tentative="0">
      <w:start w:val="1"/>
      <w:numFmt w:val="decimal"/>
      <w:suff w:val="nothing"/>
      <w:lvlText w:val="（%1）"/>
      <w:lvlJc w:val="left"/>
    </w:lvl>
  </w:abstractNum>
  <w:abstractNum w:abstractNumId="1">
    <w:nsid w:val="C8882580"/>
    <w:multiLevelType w:val="singleLevel"/>
    <w:tmpl w:val="C8882580"/>
    <w:lvl w:ilvl="0" w:tentative="0">
      <w:start w:val="3"/>
      <w:numFmt w:val="chineseCounting"/>
      <w:suff w:val="space"/>
      <w:lvlText w:val="第%1章"/>
      <w:lvlJc w:val="left"/>
      <w:rPr>
        <w:rFonts w:hint="eastAsia"/>
      </w:rPr>
    </w:lvl>
  </w:abstractNum>
  <w:abstractNum w:abstractNumId="2">
    <w:nsid w:val="DB9ECDC6"/>
    <w:multiLevelType w:val="singleLevel"/>
    <w:tmpl w:val="DB9ECDC6"/>
    <w:lvl w:ilvl="0" w:tentative="0">
      <w:start w:val="1"/>
      <w:numFmt w:val="decimal"/>
      <w:suff w:val="nothing"/>
      <w:lvlText w:val="（%1）"/>
      <w:lvlJc w:val="left"/>
    </w:lvl>
  </w:abstractNum>
  <w:abstractNum w:abstractNumId="3">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decimal"/>
      <w:pStyle w:val="3"/>
      <w:lvlText w:val="%1.%2"/>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4">
    <w:nsid w:val="00000003"/>
    <w:multiLevelType w:val="singleLevel"/>
    <w:tmpl w:val="00000003"/>
    <w:lvl w:ilvl="0" w:tentative="0">
      <w:start w:val="1"/>
      <w:numFmt w:val="chineseCountingThousand"/>
      <w:suff w:val="space"/>
      <w:lvlText w:val="第%1章"/>
      <w:lvlJc w:val="left"/>
      <w:pPr>
        <w:tabs>
          <w:tab w:val="left" w:pos="0"/>
        </w:tabs>
        <w:ind w:left="0" w:firstLine="0"/>
      </w:pPr>
      <w:rPr>
        <w:rFonts w:hint="eastAsia" w:ascii="宋体" w:hAnsi="宋体" w:eastAsia="宋体" w:cs="宋体"/>
        <w:sz w:val="21"/>
        <w:szCs w:val="21"/>
      </w:rPr>
    </w:lvl>
  </w:abstractNum>
  <w:abstractNum w:abstractNumId="5">
    <w:nsid w:val="128D5130"/>
    <w:multiLevelType w:val="multilevel"/>
    <w:tmpl w:val="128D5130"/>
    <w:lvl w:ilvl="0" w:tentative="0">
      <w:start w:val="1"/>
      <w:numFmt w:val="chineseCountingThousand"/>
      <w:suff w:val="nothing"/>
      <w:lvlText w:val="%1、"/>
      <w:lvlJc w:val="left"/>
      <w:pPr>
        <w:ind w:left="482" w:hanging="482"/>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8A51A96"/>
    <w:multiLevelType w:val="multilevel"/>
    <w:tmpl w:val="18A51A96"/>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AA386BE"/>
    <w:multiLevelType w:val="singleLevel"/>
    <w:tmpl w:val="1AA386BE"/>
    <w:lvl w:ilvl="0" w:tentative="0">
      <w:start w:val="3"/>
      <w:numFmt w:val="decimal"/>
      <w:lvlText w:val="%1."/>
      <w:lvlJc w:val="left"/>
      <w:pPr>
        <w:tabs>
          <w:tab w:val="left" w:pos="312"/>
        </w:tabs>
      </w:pPr>
    </w:lvl>
  </w:abstractNum>
  <w:abstractNum w:abstractNumId="8">
    <w:nsid w:val="1DB97677"/>
    <w:multiLevelType w:val="multilevel"/>
    <w:tmpl w:val="1DB97677"/>
    <w:lvl w:ilvl="0" w:tentative="0">
      <w:start w:val="1"/>
      <w:numFmt w:val="decimal"/>
      <w:lvlText w:val="3.%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25B1DC8"/>
    <w:multiLevelType w:val="singleLevel"/>
    <w:tmpl w:val="225B1DC8"/>
    <w:lvl w:ilvl="0" w:tentative="0">
      <w:start w:val="1"/>
      <w:numFmt w:val="decimal"/>
      <w:lvlText w:val="%1."/>
      <w:lvlJc w:val="left"/>
      <w:pPr>
        <w:tabs>
          <w:tab w:val="left" w:pos="312"/>
        </w:tabs>
      </w:pPr>
    </w:lvl>
  </w:abstractNum>
  <w:abstractNum w:abstractNumId="10">
    <w:nsid w:val="2F6E3FF0"/>
    <w:multiLevelType w:val="multilevel"/>
    <w:tmpl w:val="2F6E3FF0"/>
    <w:lvl w:ilvl="0" w:tentative="0">
      <w:start w:val="1"/>
      <w:numFmt w:val="decimal"/>
      <w:lvlText w:val="%1."/>
      <w:lvlJc w:val="left"/>
      <w:pPr>
        <w:ind w:left="0" w:firstLine="0"/>
      </w:pPr>
      <w:rPr>
        <w:rFonts w:hint="default" w:ascii="Times New Roman" w:hAnsi="Times New Roman" w:eastAsia="宋体"/>
        <w:b/>
        <w:i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42C33DE"/>
    <w:multiLevelType w:val="multilevel"/>
    <w:tmpl w:val="342C33DE"/>
    <w:lvl w:ilvl="0" w:tentative="0">
      <w:start w:val="1"/>
      <w:numFmt w:val="decimal"/>
      <w:lvlText w:val="2.%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0FC57B6"/>
    <w:multiLevelType w:val="multilevel"/>
    <w:tmpl w:val="40FC57B6"/>
    <w:lvl w:ilvl="0" w:tentative="0">
      <w:start w:val="1"/>
      <w:numFmt w:val="decimal"/>
      <w:lvlText w:val="2.%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FA70A6F"/>
    <w:multiLevelType w:val="multilevel"/>
    <w:tmpl w:val="4FA70A6F"/>
    <w:lvl w:ilvl="0" w:tentative="0">
      <w:start w:val="1"/>
      <w:numFmt w:val="decimal"/>
      <w:lvlText w:val="%1."/>
      <w:lvlJc w:val="left"/>
      <w:pPr>
        <w:ind w:left="0" w:firstLine="0"/>
      </w:pPr>
      <w:rPr>
        <w:rFonts w:hint="default" w:ascii="Times New Roman" w:hAnsi="Times New Roman" w:eastAsia="宋体"/>
        <w:b/>
        <w:i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5061053"/>
    <w:multiLevelType w:val="multilevel"/>
    <w:tmpl w:val="55061053"/>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8EB65DF"/>
    <w:multiLevelType w:val="multilevel"/>
    <w:tmpl w:val="58EB65DF"/>
    <w:lvl w:ilvl="0" w:tentative="0">
      <w:start w:val="1"/>
      <w:numFmt w:val="decimal"/>
      <w:lvlText w:val="4.%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E8D5464"/>
    <w:multiLevelType w:val="multilevel"/>
    <w:tmpl w:val="6E8D5464"/>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7"/>
  </w:num>
  <w:num w:numId="4">
    <w:abstractNumId w:val="2"/>
  </w:num>
  <w:num w:numId="5">
    <w:abstractNumId w:val="0"/>
  </w:num>
  <w:num w:numId="6">
    <w:abstractNumId w:val="1"/>
  </w:num>
  <w:num w:numId="7">
    <w:abstractNumId w:val="5"/>
  </w:num>
  <w:num w:numId="8">
    <w:abstractNumId w:val="14"/>
  </w:num>
  <w:num w:numId="9">
    <w:abstractNumId w:val="15"/>
  </w:num>
  <w:num w:numId="10">
    <w:abstractNumId w:val="6"/>
  </w:num>
  <w:num w:numId="11">
    <w:abstractNumId w:val="13"/>
  </w:num>
  <w:num w:numId="12">
    <w:abstractNumId w:val="8"/>
  </w:num>
  <w:num w:numId="13">
    <w:abstractNumId w:val="16"/>
  </w:num>
  <w:num w:numId="14">
    <w:abstractNumId w:val="10"/>
  </w:num>
  <w:num w:numId="15">
    <w:abstractNumId w:val="17"/>
  </w:num>
  <w:num w:numId="16">
    <w:abstractNumId w:val="12"/>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xMDJiZTE5NGQ4MzFlOGVhMzcwMmI4MGYyYzEyYjIifQ=="/>
  </w:docVars>
  <w:rsids>
    <w:rsidRoot w:val="2F1D2FC4"/>
    <w:rsid w:val="0109754B"/>
    <w:rsid w:val="02B0310F"/>
    <w:rsid w:val="02C20F4A"/>
    <w:rsid w:val="0309038A"/>
    <w:rsid w:val="032324BD"/>
    <w:rsid w:val="0408709E"/>
    <w:rsid w:val="051B7477"/>
    <w:rsid w:val="05D43DDA"/>
    <w:rsid w:val="060D3850"/>
    <w:rsid w:val="06930D7E"/>
    <w:rsid w:val="07155C37"/>
    <w:rsid w:val="074958E1"/>
    <w:rsid w:val="07532151"/>
    <w:rsid w:val="083778FA"/>
    <w:rsid w:val="086F7CF5"/>
    <w:rsid w:val="08E71EFF"/>
    <w:rsid w:val="092A62DE"/>
    <w:rsid w:val="0AB233B7"/>
    <w:rsid w:val="0B0C2B4C"/>
    <w:rsid w:val="0CD432E4"/>
    <w:rsid w:val="0D467C3A"/>
    <w:rsid w:val="0DD70033"/>
    <w:rsid w:val="0FAC4ED1"/>
    <w:rsid w:val="117619C8"/>
    <w:rsid w:val="11A12076"/>
    <w:rsid w:val="128957DC"/>
    <w:rsid w:val="147E1A4B"/>
    <w:rsid w:val="14EC236B"/>
    <w:rsid w:val="15297C65"/>
    <w:rsid w:val="15581B10"/>
    <w:rsid w:val="16690DF7"/>
    <w:rsid w:val="179B77D0"/>
    <w:rsid w:val="17B760D5"/>
    <w:rsid w:val="181732AE"/>
    <w:rsid w:val="18187335"/>
    <w:rsid w:val="18EF3B2A"/>
    <w:rsid w:val="19BE5CBA"/>
    <w:rsid w:val="1A3B776D"/>
    <w:rsid w:val="1AEF1E97"/>
    <w:rsid w:val="1C33473D"/>
    <w:rsid w:val="1E095C55"/>
    <w:rsid w:val="1E8A6E74"/>
    <w:rsid w:val="1E935967"/>
    <w:rsid w:val="1F1776D6"/>
    <w:rsid w:val="1F7B27B5"/>
    <w:rsid w:val="200654D2"/>
    <w:rsid w:val="20745C9A"/>
    <w:rsid w:val="219E1EF3"/>
    <w:rsid w:val="21C50DEE"/>
    <w:rsid w:val="21EA1D42"/>
    <w:rsid w:val="223F5EA4"/>
    <w:rsid w:val="242C736C"/>
    <w:rsid w:val="24B02F4A"/>
    <w:rsid w:val="25256FDA"/>
    <w:rsid w:val="26243D52"/>
    <w:rsid w:val="2685433A"/>
    <w:rsid w:val="28E90F62"/>
    <w:rsid w:val="291855BA"/>
    <w:rsid w:val="295D54F0"/>
    <w:rsid w:val="29A841FB"/>
    <w:rsid w:val="2AA97B06"/>
    <w:rsid w:val="2AEE1E8C"/>
    <w:rsid w:val="2AF85DD0"/>
    <w:rsid w:val="2C144A47"/>
    <w:rsid w:val="2D502C75"/>
    <w:rsid w:val="2D5737A4"/>
    <w:rsid w:val="2D8E7CEB"/>
    <w:rsid w:val="2F1D2FC4"/>
    <w:rsid w:val="30083A6D"/>
    <w:rsid w:val="3332134E"/>
    <w:rsid w:val="3353473A"/>
    <w:rsid w:val="338F1BE4"/>
    <w:rsid w:val="33D64A34"/>
    <w:rsid w:val="35602859"/>
    <w:rsid w:val="358E0337"/>
    <w:rsid w:val="35BE7316"/>
    <w:rsid w:val="35DE4F44"/>
    <w:rsid w:val="361974B2"/>
    <w:rsid w:val="373E23F6"/>
    <w:rsid w:val="37406BE8"/>
    <w:rsid w:val="37945201"/>
    <w:rsid w:val="37DD1C9C"/>
    <w:rsid w:val="380562C5"/>
    <w:rsid w:val="39D85D05"/>
    <w:rsid w:val="39E0085B"/>
    <w:rsid w:val="3A1B5677"/>
    <w:rsid w:val="3A8D375B"/>
    <w:rsid w:val="3B446D43"/>
    <w:rsid w:val="3BBA3572"/>
    <w:rsid w:val="3BEC625F"/>
    <w:rsid w:val="3CB558BC"/>
    <w:rsid w:val="3CC82DD2"/>
    <w:rsid w:val="3D454E01"/>
    <w:rsid w:val="3E0A0FF3"/>
    <w:rsid w:val="3E172F35"/>
    <w:rsid w:val="3E7E7642"/>
    <w:rsid w:val="3E943EFB"/>
    <w:rsid w:val="3F2F6B8F"/>
    <w:rsid w:val="3FBA702C"/>
    <w:rsid w:val="40B86383"/>
    <w:rsid w:val="4306473E"/>
    <w:rsid w:val="43217136"/>
    <w:rsid w:val="432F1853"/>
    <w:rsid w:val="44A824FF"/>
    <w:rsid w:val="44B93309"/>
    <w:rsid w:val="458F0387"/>
    <w:rsid w:val="4657593E"/>
    <w:rsid w:val="466A65DC"/>
    <w:rsid w:val="46727C0C"/>
    <w:rsid w:val="46CC4DBC"/>
    <w:rsid w:val="47306001"/>
    <w:rsid w:val="47D76D09"/>
    <w:rsid w:val="48BD62E3"/>
    <w:rsid w:val="49583341"/>
    <w:rsid w:val="4A393B35"/>
    <w:rsid w:val="4A5339CE"/>
    <w:rsid w:val="4A6D432E"/>
    <w:rsid w:val="4B7254BB"/>
    <w:rsid w:val="4E8D4CA0"/>
    <w:rsid w:val="4EA62B19"/>
    <w:rsid w:val="4EE71637"/>
    <w:rsid w:val="4FE32F73"/>
    <w:rsid w:val="50E91001"/>
    <w:rsid w:val="51183927"/>
    <w:rsid w:val="516374AB"/>
    <w:rsid w:val="51A82AC2"/>
    <w:rsid w:val="51FE2F28"/>
    <w:rsid w:val="54420599"/>
    <w:rsid w:val="54E526F9"/>
    <w:rsid w:val="5550678D"/>
    <w:rsid w:val="559E1CBB"/>
    <w:rsid w:val="56B4091A"/>
    <w:rsid w:val="58305301"/>
    <w:rsid w:val="58C16059"/>
    <w:rsid w:val="590A2BC4"/>
    <w:rsid w:val="59213594"/>
    <w:rsid w:val="593436F2"/>
    <w:rsid w:val="59653C0A"/>
    <w:rsid w:val="5AD453E9"/>
    <w:rsid w:val="5AF55909"/>
    <w:rsid w:val="5B1724F0"/>
    <w:rsid w:val="5B1F1D55"/>
    <w:rsid w:val="5B8572F3"/>
    <w:rsid w:val="5C4307BC"/>
    <w:rsid w:val="5C9D2F32"/>
    <w:rsid w:val="5CB53D2F"/>
    <w:rsid w:val="5CBB799B"/>
    <w:rsid w:val="5DA128A9"/>
    <w:rsid w:val="5FE231E0"/>
    <w:rsid w:val="623E6191"/>
    <w:rsid w:val="62C30430"/>
    <w:rsid w:val="62DE6052"/>
    <w:rsid w:val="643971F0"/>
    <w:rsid w:val="645E5412"/>
    <w:rsid w:val="65E74334"/>
    <w:rsid w:val="66532E13"/>
    <w:rsid w:val="666B31F4"/>
    <w:rsid w:val="669F3D36"/>
    <w:rsid w:val="67400344"/>
    <w:rsid w:val="67B70742"/>
    <w:rsid w:val="67E75B9F"/>
    <w:rsid w:val="67E95C2A"/>
    <w:rsid w:val="6A697A11"/>
    <w:rsid w:val="6C0F54CE"/>
    <w:rsid w:val="6D7B3CD5"/>
    <w:rsid w:val="6DB51D37"/>
    <w:rsid w:val="6F543924"/>
    <w:rsid w:val="702D3AB8"/>
    <w:rsid w:val="714D341B"/>
    <w:rsid w:val="72E741B5"/>
    <w:rsid w:val="73E65030"/>
    <w:rsid w:val="741E257F"/>
    <w:rsid w:val="74262954"/>
    <w:rsid w:val="754B3A30"/>
    <w:rsid w:val="75720FA8"/>
    <w:rsid w:val="763473D9"/>
    <w:rsid w:val="76AC51C1"/>
    <w:rsid w:val="790F3895"/>
    <w:rsid w:val="795F7FFE"/>
    <w:rsid w:val="7A2A247D"/>
    <w:rsid w:val="7A694186"/>
    <w:rsid w:val="7ACE4ED2"/>
    <w:rsid w:val="7BA307A7"/>
    <w:rsid w:val="7BA40185"/>
    <w:rsid w:val="7BB87930"/>
    <w:rsid w:val="7C302882"/>
    <w:rsid w:val="7C887303"/>
    <w:rsid w:val="7D344FF6"/>
    <w:rsid w:val="7D6349FD"/>
    <w:rsid w:val="7D913F95"/>
    <w:rsid w:val="7EDF2674"/>
    <w:rsid w:val="7F0E7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2"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outlineLvl w:val="0"/>
    </w:pPr>
    <w:rPr>
      <w:rFonts w:ascii="楷体_GB2312" w:hAnsi="Times New Roman" w:eastAsia="楷体_GB2312"/>
      <w:sz w:val="28"/>
      <w:szCs w:val="20"/>
    </w:rPr>
  </w:style>
  <w:style w:type="paragraph" w:styleId="3">
    <w:name w:val="heading 2"/>
    <w:basedOn w:val="1"/>
    <w:next w:val="1"/>
    <w:autoRedefine/>
    <w:unhideWhenUsed/>
    <w:qFormat/>
    <w:uiPriority w:val="2"/>
    <w:pPr>
      <w:keepNext/>
      <w:keepLines/>
      <w:numPr>
        <w:ilvl w:val="1"/>
        <w:numId w:val="1"/>
      </w:numPr>
      <w:spacing w:before="50"/>
      <w:jc w:val="left"/>
      <w:outlineLvl w:val="1"/>
    </w:pPr>
    <w:rPr>
      <w:rFonts w:ascii="Arial" w:hAnsi="Arial" w:eastAsia="黑体" w:cs="Arial"/>
      <w:sz w:val="32"/>
      <w:szCs w:val="20"/>
    </w:rPr>
  </w:style>
  <w:style w:type="paragraph" w:styleId="4">
    <w:name w:val="heading 3"/>
    <w:basedOn w:val="1"/>
    <w:next w:val="1"/>
    <w:autoRedefine/>
    <w:qFormat/>
    <w:uiPriority w:val="99"/>
    <w:pPr>
      <w:keepNext/>
      <w:keepLines/>
      <w:spacing w:before="20" w:after="20" w:line="415" w:lineRule="auto"/>
      <w:ind w:firstLine="137" w:firstLineChars="49"/>
      <w:outlineLvl w:val="2"/>
    </w:pPr>
    <w:rPr>
      <w:rFonts w:hAnsi="黑体" w:eastAsia="黑体"/>
      <w:sz w:val="24"/>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5">
    <w:name w:val="Note Heading"/>
    <w:basedOn w:val="1"/>
    <w:next w:val="1"/>
    <w:autoRedefine/>
    <w:unhideWhenUsed/>
    <w:qFormat/>
    <w:uiPriority w:val="0"/>
    <w:pPr>
      <w:jc w:val="center"/>
    </w:pPr>
    <w:rPr>
      <w:rFonts w:ascii="Times New Roman" w:hAnsi="Times New Roman"/>
      <w:szCs w:val="24"/>
    </w:rPr>
  </w:style>
  <w:style w:type="paragraph" w:styleId="6">
    <w:name w:val="Normal Indent"/>
    <w:basedOn w:val="1"/>
    <w:next w:val="1"/>
    <w:autoRedefine/>
    <w:qFormat/>
    <w:uiPriority w:val="0"/>
    <w:pPr>
      <w:ind w:firstLine="420" w:firstLineChars="200"/>
    </w:pPr>
    <w:rPr>
      <w:sz w:val="24"/>
      <w:szCs w:val="20"/>
    </w:rPr>
  </w:style>
  <w:style w:type="paragraph" w:styleId="7">
    <w:name w:val="annotation text"/>
    <w:basedOn w:val="1"/>
    <w:autoRedefine/>
    <w:unhideWhenUsed/>
    <w:qFormat/>
    <w:uiPriority w:val="99"/>
    <w:pPr>
      <w:jc w:val="left"/>
    </w:pPr>
  </w:style>
  <w:style w:type="paragraph" w:styleId="8">
    <w:name w:val="Body Text"/>
    <w:basedOn w:val="1"/>
    <w:next w:val="1"/>
    <w:autoRedefine/>
    <w:qFormat/>
    <w:uiPriority w:val="0"/>
    <w:pPr>
      <w:widowControl/>
    </w:pPr>
    <w:rPr>
      <w:rFonts w:hint="eastAsia" w:ascii="仿宋_GB2312" w:eastAsia="仿宋_GB2312"/>
      <w:sz w:val="24"/>
    </w:rPr>
  </w:style>
  <w:style w:type="paragraph" w:styleId="9">
    <w:name w:val="Body Text Indent"/>
    <w:basedOn w:val="1"/>
    <w:autoRedefine/>
    <w:unhideWhenUsed/>
    <w:qFormat/>
    <w:uiPriority w:val="99"/>
    <w:pPr>
      <w:spacing w:after="120"/>
      <w:ind w:left="420" w:leftChars="200"/>
    </w:pPr>
  </w:style>
  <w:style w:type="paragraph" w:styleId="10">
    <w:name w:val="Block Text"/>
    <w:basedOn w:val="1"/>
    <w:autoRedefine/>
    <w:qFormat/>
    <w:uiPriority w:val="0"/>
    <w:pPr>
      <w:autoSpaceDE w:val="0"/>
      <w:autoSpaceDN w:val="0"/>
      <w:adjustRightInd w:val="0"/>
      <w:ind w:left="256" w:right="6" w:firstLine="624"/>
    </w:pPr>
    <w:rPr>
      <w:rFonts w:eastAsia="仿宋_GB2312"/>
      <w:kern w:val="0"/>
      <w:sz w:val="28"/>
      <w:szCs w:val="20"/>
    </w:rPr>
  </w:style>
  <w:style w:type="paragraph" w:styleId="11">
    <w:name w:val="Plain Text"/>
    <w:basedOn w:val="1"/>
    <w:next w:val="6"/>
    <w:autoRedefine/>
    <w:qFormat/>
    <w:uiPriority w:val="0"/>
    <w:rPr>
      <w:rFonts w:ascii="宋体" w:hAnsi="Courier New"/>
    </w:rPr>
  </w:style>
  <w:style w:type="paragraph" w:styleId="12">
    <w:name w:val="footer"/>
    <w:basedOn w:val="1"/>
    <w:autoRedefine/>
    <w:unhideWhenUsed/>
    <w:qFormat/>
    <w:uiPriority w:val="0"/>
    <w:pPr>
      <w:tabs>
        <w:tab w:val="center" w:pos="4153"/>
        <w:tab w:val="right" w:pos="8306"/>
      </w:tabs>
      <w:snapToGrid w:val="0"/>
      <w:jc w:val="left"/>
    </w:pPr>
    <w:rPr>
      <w:rFonts w:ascii="Times New Roman" w:hAnsi="Times New Roman"/>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15">
    <w:name w:val="Body Text 2"/>
    <w:basedOn w:val="1"/>
    <w:qFormat/>
    <w:uiPriority w:val="0"/>
    <w:pPr>
      <w:spacing w:line="440" w:lineRule="exact"/>
    </w:pPr>
    <w:rPr>
      <w:rFonts w:ascii="Arial" w:hAnsi="Arial" w:eastAsia="仿宋_GB2312"/>
      <w:b/>
      <w:sz w:val="32"/>
    </w:rPr>
  </w:style>
  <w:style w:type="paragraph" w:styleId="16">
    <w:name w:val="HTML Preformatted"/>
    <w:basedOn w:val="1"/>
    <w:autoRedefine/>
    <w:unhideWhenUsed/>
    <w:qFormat/>
    <w:uiPriority w:val="0"/>
    <w:rPr>
      <w:rFonts w:ascii="Courier New" w:hAnsi="Courier New" w:cs="Courier New"/>
      <w:sz w:val="20"/>
      <w:szCs w:val="20"/>
    </w:rPr>
  </w:style>
  <w:style w:type="paragraph" w:styleId="17">
    <w:name w:val="Body Text First Indent"/>
    <w:basedOn w:val="8"/>
    <w:autoRedefine/>
    <w:qFormat/>
    <w:uiPriority w:val="0"/>
    <w:pPr>
      <w:ind w:firstLine="420" w:firstLineChars="100"/>
    </w:pPr>
    <w:rPr>
      <w:rFonts w:ascii="Verdana" w:hAnsi="Verdana"/>
      <w:szCs w:val="28"/>
      <w:lang w:eastAsia="en-US"/>
    </w:rPr>
  </w:style>
  <w:style w:type="paragraph" w:styleId="18">
    <w:name w:val="Body Text First Indent 2"/>
    <w:basedOn w:val="9"/>
    <w:autoRedefine/>
    <w:qFormat/>
    <w:uiPriority w:val="0"/>
    <w:pPr>
      <w:spacing w:after="0" w:line="480" w:lineRule="auto"/>
      <w:ind w:left="0" w:leftChars="0" w:right="17" w:firstLine="420" w:firstLineChars="200"/>
    </w:pPr>
    <w:rPr>
      <w:sz w:val="24"/>
    </w:rPr>
  </w:style>
  <w:style w:type="paragraph" w:customStyle="1" w:styleId="21">
    <w:name w:val="List Paragraph"/>
    <w:basedOn w:val="1"/>
    <w:autoRedefine/>
    <w:qFormat/>
    <w:uiPriority w:val="34"/>
    <w:pPr>
      <w:ind w:firstLine="420" w:firstLineChars="200"/>
    </w:pPr>
  </w:style>
  <w:style w:type="paragraph" w:customStyle="1" w:styleId="22">
    <w:name w:val="正文1"/>
    <w:basedOn w:val="1"/>
    <w:next w:val="1"/>
    <w:autoRedefine/>
    <w:qFormat/>
    <w:uiPriority w:val="99"/>
    <w:pPr>
      <w:widowControl/>
      <w:topLinePunct/>
      <w:spacing w:beforeLines="50" w:afterLines="50" w:line="300" w:lineRule="auto"/>
      <w:ind w:left="420"/>
    </w:pPr>
    <w:rPr>
      <w:szCs w:val="24"/>
    </w:rPr>
  </w:style>
  <w:style w:type="paragraph" w:customStyle="1" w:styleId="23">
    <w:name w:val="Plain Text1"/>
    <w:basedOn w:val="1"/>
    <w:autoRedefine/>
    <w:qFormat/>
    <w:uiPriority w:val="0"/>
    <w:pPr>
      <w:adjustRightInd w:val="0"/>
      <w:spacing w:line="312" w:lineRule="atLeast"/>
      <w:textAlignment w:val="baseline"/>
    </w:pPr>
    <w:rPr>
      <w:rFonts w:ascii="Arial Black" w:hAnsi="Courier New"/>
      <w:kern w:val="0"/>
      <w:szCs w:val="20"/>
    </w:rPr>
  </w:style>
  <w:style w:type="paragraph" w:customStyle="1" w:styleId="24">
    <w:name w:val="Plain Text11"/>
    <w:basedOn w:val="1"/>
    <w:autoRedefine/>
    <w:qFormat/>
    <w:uiPriority w:val="0"/>
    <w:pPr>
      <w:adjustRightInd w:val="0"/>
      <w:textAlignment w:val="baseline"/>
    </w:pPr>
    <w:rPr>
      <w:rFonts w:ascii="宋体" w:hAnsi="Courier New" w:eastAsia="楷体_GB2312"/>
      <w:sz w:val="28"/>
      <w:szCs w:val="20"/>
    </w:rPr>
  </w:style>
  <w:style w:type="paragraph" w:customStyle="1" w:styleId="25">
    <w:name w:val="二级目录"/>
    <w:next w:val="1"/>
    <w:autoRedefine/>
    <w:qFormat/>
    <w:uiPriority w:val="99"/>
    <w:pPr>
      <w:tabs>
        <w:tab w:val="left" w:pos="720"/>
      </w:tabs>
      <w:ind w:left="567" w:hanging="567"/>
    </w:pPr>
    <w:rPr>
      <w:rFonts w:ascii="Times New Roman" w:hAnsi="Times New Roman" w:eastAsia="宋体" w:cs="Times New Roman"/>
      <w:b/>
      <w:kern w:val="2"/>
      <w:sz w:val="30"/>
      <w:szCs w:val="28"/>
      <w:lang w:val="en-US" w:eastAsia="zh-CN" w:bidi="ar-SA"/>
    </w:rPr>
  </w:style>
  <w:style w:type="paragraph" w:customStyle="1" w:styleId="26">
    <w:name w:val="普通正文"/>
    <w:basedOn w:val="1"/>
    <w:autoRedefine/>
    <w:qFormat/>
    <w:uiPriority w:val="99"/>
    <w:pPr>
      <w:autoSpaceDE w:val="0"/>
      <w:spacing w:before="120" w:after="120" w:line="360" w:lineRule="auto"/>
      <w:ind w:firstLine="480"/>
      <w:jc w:val="left"/>
    </w:pPr>
    <w:rPr>
      <w:rFonts w:ascii="Arial" w:hAnsi="Arial" w:cs="Arial"/>
      <w:kern w:val="0"/>
      <w:sz w:val="24"/>
      <w:szCs w:val="24"/>
    </w:rPr>
  </w:style>
  <w:style w:type="paragraph" w:customStyle="1" w:styleId="27">
    <w:name w:val="正文（绿盟科技）"/>
    <w:autoRedefine/>
    <w:qFormat/>
    <w:uiPriority w:val="99"/>
    <w:pPr>
      <w:spacing w:line="300" w:lineRule="auto"/>
    </w:pPr>
    <w:rPr>
      <w:rFonts w:ascii="Arial" w:hAnsi="Arial" w:eastAsia="宋体" w:cs="Arial"/>
      <w:sz w:val="21"/>
      <w:szCs w:val="21"/>
      <w:lang w:val="en-US" w:eastAsia="zh-CN" w:bidi="ar-SA"/>
    </w:rPr>
  </w:style>
  <w:style w:type="paragraph" w:customStyle="1" w:styleId="28">
    <w:name w:val="DAS正文"/>
    <w:basedOn w:val="1"/>
    <w:autoRedefine/>
    <w:qFormat/>
    <w:uiPriority w:val="5"/>
    <w:pPr>
      <w:spacing w:line="360" w:lineRule="auto"/>
      <w:ind w:right="181" w:firstLine="480"/>
    </w:pPr>
    <w:rPr>
      <w:rFonts w:ascii="Verdana" w:hAnsi="Verdana"/>
      <w:szCs w:val="24"/>
    </w:rPr>
  </w:style>
  <w:style w:type="paragraph" w:customStyle="1" w:styleId="29">
    <w:name w:val="xl27"/>
    <w:basedOn w:val="1"/>
    <w:autoRedefine/>
    <w:qFormat/>
    <w:uiPriority w:val="0"/>
    <w:pPr>
      <w:widowControl/>
      <w:spacing w:before="100" w:beforeAutospacing="1" w:after="100" w:afterAutospacing="1"/>
      <w:jc w:val="center"/>
      <w:textAlignment w:val="center"/>
    </w:pPr>
    <w:rPr>
      <w:rFonts w:hint="eastAsia" w:ascii="黑体" w:hAnsi="宋体" w:eastAsia="黑体" w:cs="Times New Roman"/>
      <w:kern w:val="0"/>
      <w:sz w:val="28"/>
      <w:szCs w:val="28"/>
    </w:rPr>
  </w:style>
  <w:style w:type="character" w:customStyle="1" w:styleId="30">
    <w:name w:val="font11"/>
    <w:autoRedefine/>
    <w:qFormat/>
    <w:uiPriority w:val="0"/>
    <w:rPr>
      <w:rFonts w:hint="eastAsia" w:ascii="宋体" w:hAnsi="宋体" w:eastAsia="宋体" w:cs="宋体"/>
      <w:b/>
      <w:bCs/>
      <w:color w:val="000000"/>
      <w:sz w:val="22"/>
      <w:szCs w:val="22"/>
      <w:u w:val="none"/>
    </w:rPr>
  </w:style>
  <w:style w:type="paragraph" w:customStyle="1" w:styleId="31">
    <w:name w:val="Table Text"/>
    <w:autoRedefine/>
    <w:qFormat/>
    <w:uiPriority w:val="0"/>
    <w:pPr>
      <w:autoSpaceDE w:val="0"/>
      <w:autoSpaceDN w:val="0"/>
      <w:spacing w:after="200" w:line="276" w:lineRule="auto"/>
      <w:textAlignment w:val="bottom"/>
    </w:pPr>
    <w:rPr>
      <w:rFonts w:ascii="Arial Narrow" w:hAnsi="Arial Narrow" w:eastAsia="宋体" w:cs="Arial Narrow"/>
      <w:sz w:val="18"/>
      <w:szCs w:val="18"/>
      <w:lang w:val="en-US" w:eastAsia="zh-CN" w:bidi="ar-SA"/>
    </w:rPr>
  </w:style>
  <w:style w:type="paragraph" w:customStyle="1" w:styleId="32">
    <w:name w:val="Table Paragraph"/>
    <w:basedOn w:val="1"/>
    <w:autoRedefine/>
    <w:qFormat/>
    <w:uiPriority w:val="1"/>
    <w:rPr>
      <w:rFonts w:ascii="宋体" w:hAnsi="宋体" w:eastAsia="宋体" w:cs="宋体"/>
      <w:lang w:val="ja-JP" w:eastAsia="ja-JP" w:bidi="ja-JP"/>
    </w:rPr>
  </w:style>
  <w:style w:type="character" w:customStyle="1" w:styleId="33">
    <w:name w:val="font21"/>
    <w:basedOn w:val="20"/>
    <w:qFormat/>
    <w:uiPriority w:val="0"/>
    <w:rPr>
      <w:rFonts w:hint="eastAsia" w:ascii="方正仿宋_GBK" w:hAnsi="方正仿宋_GBK" w:eastAsia="方正仿宋_GBK" w:cs="方正仿宋_GBK"/>
      <w:b/>
      <w:bCs/>
      <w:color w:val="000000"/>
      <w:sz w:val="18"/>
      <w:szCs w:val="18"/>
      <w:u w:val="none"/>
    </w:rPr>
  </w:style>
  <w:style w:type="character" w:customStyle="1" w:styleId="34">
    <w:name w:val="font31"/>
    <w:basedOn w:val="20"/>
    <w:qFormat/>
    <w:uiPriority w:val="0"/>
    <w:rPr>
      <w:rFonts w:hint="eastAsia" w:ascii="方正仿宋_GBK" w:hAnsi="方正仿宋_GBK" w:eastAsia="方正仿宋_GBK" w:cs="方正仿宋_GBK"/>
      <w:color w:val="000000"/>
      <w:sz w:val="18"/>
      <w:szCs w:val="18"/>
      <w:u w:val="none"/>
    </w:rPr>
  </w:style>
  <w:style w:type="character" w:customStyle="1" w:styleId="35">
    <w:name w:val="font41"/>
    <w:basedOn w:val="20"/>
    <w:qFormat/>
    <w:uiPriority w:val="0"/>
    <w:rPr>
      <w:rFonts w:hint="eastAsia" w:ascii="方正仿宋_GBK" w:hAnsi="方正仿宋_GBK" w:eastAsia="方正仿宋_GBK" w:cs="方正仿宋_GBK"/>
      <w:b/>
      <w:bCs/>
      <w:color w:val="000000"/>
      <w:sz w:val="18"/>
      <w:szCs w:val="18"/>
      <w:u w:val="none"/>
    </w:rPr>
  </w:style>
  <w:style w:type="character" w:customStyle="1" w:styleId="36">
    <w:name w:val="font51"/>
    <w:basedOn w:val="20"/>
    <w:qFormat/>
    <w:uiPriority w:val="0"/>
    <w:rPr>
      <w:rFonts w:hint="eastAsia" w:ascii="方正仿宋_GBK" w:hAnsi="方正仿宋_GBK" w:eastAsia="方正仿宋_GBK" w:cs="方正仿宋_GBK"/>
      <w:color w:val="000000"/>
      <w:sz w:val="18"/>
      <w:szCs w:val="18"/>
      <w:u w:val="none"/>
    </w:rPr>
  </w:style>
  <w:style w:type="character" w:customStyle="1" w:styleId="37">
    <w:name w:val="font71"/>
    <w:basedOn w:val="20"/>
    <w:qFormat/>
    <w:uiPriority w:val="0"/>
    <w:rPr>
      <w:rFonts w:hint="default" w:ascii="Times New Roman" w:hAnsi="Times New Roman" w:cs="Times New Roman"/>
      <w:color w:val="000000"/>
      <w:sz w:val="18"/>
      <w:szCs w:val="18"/>
      <w:u w:val="none"/>
    </w:rPr>
  </w:style>
  <w:style w:type="character" w:customStyle="1" w:styleId="38">
    <w:name w:val="font81"/>
    <w:basedOn w:val="20"/>
    <w:qFormat/>
    <w:uiPriority w:val="0"/>
    <w:rPr>
      <w:rFonts w:ascii="Arial" w:hAnsi="Arial" w:cs="Arial"/>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39704</Words>
  <Characters>43205</Characters>
  <Lines>0</Lines>
  <Paragraphs>0</Paragraphs>
  <TotalTime>6</TotalTime>
  <ScaleCrop>false</ScaleCrop>
  <LinksUpToDate>false</LinksUpToDate>
  <CharactersWithSpaces>45236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2024-04-02T03:50:00Z</dcterms:created>
  <dc:creator>歪点羊子</dc:creator>
  <cp:lastModifiedBy>歪点羊子</cp:lastModifiedBy>
  <dcterms:modified xsi:type="dcterms:W3CDTF">2024-06-14T02:53:55Z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AEC51BB137474E6291AB2D239F4BAD16_11</vt:lpwstr>
  </property>
</Properties>
</file>