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44"/>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663"/>
        <w:rPr>
          <w:color w:val="000000"/>
          <w:highlight w:val="none"/>
        </w:rPr>
        <w:outlineLvl w:val="9"/>
      </w:pPr>
      <w:r>
        <w:rPr>
          <w:color w:val="000000"/>
          <w:highlight w:val="none"/>
        </w:rPr>
      </w:r>
      <w:r/>
    </w:p>
    <w:p>
      <w:pPr>
        <w:pStyle w:val="1644"/>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663"/>
        <w:rPr>
          <w:color w:val="000000"/>
          <w:highlight w:val="none"/>
        </w:rPr>
        <w:outlineLvl w:val="9"/>
      </w:pPr>
      <w:r>
        <w:rPr>
          <w:color w:val="000000"/>
          <w:highlight w:val="none"/>
        </w:rPr>
      </w:r>
      <w:r/>
    </w:p>
    <w:p>
      <w:pPr>
        <w:pStyle w:val="1644"/>
        <w:jc w:val="center"/>
        <w:rPr>
          <w:b/>
          <w:color w:val="000000"/>
          <w:sz w:val="96"/>
          <w:szCs w:val="96"/>
          <w:highlight w:val="none"/>
        </w:rPr>
        <w:outlineLvl w:val="9"/>
      </w:pPr>
      <w:r>
        <w:rPr>
          <w:sz w:val="20"/>
          <w:szCs w:val="18"/>
        </w:rPr>
      </w:r>
      <w:bookmarkStart w:id="0" w:name="_Toc20707"/>
      <w:r>
        <w:rPr>
          <w:sz w:val="20"/>
          <w:szCs w:val="18"/>
        </w:rPr>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644"/>
        <w:rPr>
          <w:rFonts w:hint="eastAsia"/>
          <w:b/>
          <w:color w:val="000000"/>
          <w:sz w:val="28"/>
          <w:szCs w:val="28"/>
          <w:highlight w:val="none"/>
        </w:rPr>
        <w:outlineLvl w:val="9"/>
      </w:pPr>
      <w:r>
        <w:rPr>
          <w:rFonts w:hint="eastAsia"/>
          <w:b/>
          <w:color w:val="000000"/>
          <w:sz w:val="28"/>
          <w:szCs w:val="28"/>
          <w:highlight w:val="none"/>
        </w:rPr>
      </w:r>
      <w:r/>
    </w:p>
    <w:p>
      <w:pPr>
        <w:pStyle w:val="1676"/>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644"/>
        <w:rPr>
          <w:rFonts w:hint="eastAsia"/>
          <w:b/>
          <w:color w:val="000000"/>
          <w:sz w:val="28"/>
          <w:szCs w:val="28"/>
          <w:highlight w:val="none"/>
        </w:rPr>
        <w:outlineLvl w:val="9"/>
      </w:pPr>
      <w:r>
        <w:rPr>
          <w:rFonts w:hint="eastAsia"/>
          <w:b/>
          <w:color w:val="000000"/>
          <w:sz w:val="28"/>
          <w:szCs w:val="28"/>
          <w:highlight w:val="none"/>
        </w:rPr>
      </w:r>
      <w:r/>
    </w:p>
    <w:p>
      <w:pPr>
        <w:pStyle w:val="1676"/>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676"/>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644"/>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644"/>
        <w:rPr>
          <w:b w:val="0"/>
          <w:bCs/>
          <w:color w:val="000000"/>
          <w:sz w:val="28"/>
          <w:szCs w:val="28"/>
          <w:highlight w:val="none"/>
        </w:rPr>
        <w:outlineLvl w:val="9"/>
      </w:pPr>
      <w:r>
        <w:rPr>
          <w:b w:val="0"/>
          <w:bCs/>
          <w:color w:val="000000"/>
          <w:sz w:val="28"/>
          <w:szCs w:val="28"/>
          <w:highlight w:val="none"/>
        </w:rPr>
      </w:r>
      <w:r/>
    </w:p>
    <w:p>
      <w:pPr>
        <w:pStyle w:val="1667"/>
        <w:ind w:left="1260"/>
        <w:rPr>
          <w:b/>
          <w:color w:val="000000"/>
          <w:sz w:val="28"/>
          <w:szCs w:val="28"/>
          <w:highlight w:val="none"/>
        </w:rPr>
        <w:outlineLvl w:val="9"/>
      </w:pPr>
      <w:r>
        <w:rPr>
          <w:b/>
          <w:color w:val="000000"/>
          <w:sz w:val="28"/>
          <w:szCs w:val="28"/>
          <w:highlight w:val="none"/>
        </w:rPr>
      </w:r>
      <w:r/>
    </w:p>
    <w:p>
      <w:pPr>
        <w:pStyle w:val="1644"/>
        <w:rPr>
          <w:b/>
          <w:color w:val="000000"/>
          <w:sz w:val="28"/>
          <w:szCs w:val="28"/>
          <w:highlight w:val="none"/>
        </w:rPr>
        <w:outlineLvl w:val="9"/>
      </w:pPr>
      <w:r>
        <w:rPr>
          <w:b/>
          <w:color w:val="000000"/>
          <w:sz w:val="28"/>
          <w:szCs w:val="28"/>
          <w:highlight w:val="none"/>
        </w:rPr>
      </w:r>
      <w:r/>
    </w:p>
    <w:p>
      <w:pPr>
        <w:pStyle w:val="1644"/>
        <w:jc w:val="center"/>
        <w:rPr>
          <w:b/>
          <w:color w:val="000000"/>
          <w:sz w:val="28"/>
          <w:szCs w:val="28"/>
          <w:highlight w:val="none"/>
        </w:rPr>
        <w:outlineLvl w:val="9"/>
      </w:pPr>
      <w:r>
        <w:rPr>
          <w:b/>
          <w:color w:val="000000"/>
          <w:sz w:val="28"/>
          <w:szCs w:val="28"/>
          <w:highlight w:val="none"/>
        </w:rPr>
      </w:r>
      <w:r/>
    </w:p>
    <w:p>
      <w:pPr>
        <w:pStyle w:val="1644"/>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715"/>
        <w:ind w:firstLine="0"/>
        <w:rPr>
          <w:color w:val="000000"/>
          <w:highlight w:val="none"/>
        </w:rPr>
        <w:outlineLvl w:val="9"/>
      </w:pPr>
      <w:r>
        <w:rPr>
          <w:color w:val="000000"/>
          <w:highlight w:val="none"/>
        </w:rPr>
      </w:r>
      <w:r/>
    </w:p>
    <w:p>
      <w:pPr>
        <w:pStyle w:val="1715"/>
        <w:ind w:firstLine="0"/>
        <w:rPr>
          <w:color w:val="000000"/>
          <w:highlight w:val="none"/>
        </w:rPr>
        <w:outlineLvl w:val="9"/>
      </w:pPr>
      <w:r>
        <w:rPr>
          <w:color w:val="000000"/>
          <w:highlight w:val="none"/>
        </w:rPr>
      </w:r>
      <w:r/>
    </w:p>
    <w:p>
      <w:pPr>
        <w:pStyle w:val="1715"/>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644"/>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644"/>
        <w:spacing w:line="360" w:lineRule="auto"/>
        <w:rPr>
          <w:rFonts w:hint="eastAsia" w:ascii="宋体" w:hAnsi="宋体" w:eastAsia="宋体" w:cs="宋体"/>
          <w:color w:val="000000"/>
          <w:sz w:val="30"/>
          <w:szCs w:val="30"/>
          <w:highlight w:val="none"/>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JSZC-320205-THGC-G2025-0015</w:t>
      </w:r>
      <w:r>
        <w:rPr>
          <w:rFonts w:hint="eastAsia" w:ascii="宋体" w:hAnsi="宋体" w:eastAsia="宋体" w:cs="宋体"/>
          <w:color w:val="000000"/>
          <w:sz w:val="30"/>
          <w:szCs w:val="30"/>
          <w:highlight w:val="none"/>
          <w:lang w:eastAsia="zh-CN"/>
        </w:rPr>
      </w:r>
      <w:r/>
    </w:p>
    <w:p>
      <w:pPr>
        <w:pStyle w:val="1644"/>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28"/>
          <w:szCs w:val="28"/>
          <w:highlight w:val="none"/>
          <w:lang w:eastAsia="zh-CN"/>
        </w:rPr>
        <w:t xml:space="preserve">走马塘河(嵩山桥两侧)租赁安装污水处理设施项目</w:t>
      </w:r>
      <w:r>
        <w:rPr>
          <w:rFonts w:hint="eastAsia" w:ascii="宋体" w:hAnsi="宋体" w:eastAsia="宋体" w:cs="Times New Roman"/>
          <w:b w:val="0"/>
          <w:bCs/>
          <w:color w:val="000000"/>
          <w:sz w:val="30"/>
          <w:szCs w:val="30"/>
          <w:highlight w:val="none"/>
          <w:lang w:eastAsia="zh-CN"/>
        </w:rPr>
      </w:r>
      <w:r/>
    </w:p>
    <w:p>
      <w:pPr>
        <w:pStyle w:val="1644"/>
        <w:jc w:val="left"/>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人：无锡市锡山区人民政府厚桥街道办事处</w:t>
      </w:r>
      <w:r>
        <w:rPr>
          <w:rFonts w:hint="eastAsia" w:ascii="宋体" w:hAnsi="宋体" w:cs="宋体"/>
          <w:color w:val="000000"/>
          <w:sz w:val="30"/>
          <w:szCs w:val="30"/>
          <w:highlight w:val="none"/>
        </w:rPr>
      </w:r>
      <w:r/>
    </w:p>
    <w:p>
      <w:pPr>
        <w:pStyle w:val="1644"/>
        <w:spacing w:line="360" w:lineRule="auto"/>
        <w:rPr>
          <w:rFonts w:hint="eastAsia" w:ascii="宋体" w:hAnsi="宋体" w:cs="宋体"/>
          <w:color w:val="000000"/>
          <w:sz w:val="30"/>
          <w:szCs w:val="30"/>
          <w:highlight w:val="none"/>
        </w:rPr>
        <w:outlineLvl w:val="9"/>
      </w:pPr>
      <w:r/>
      <w:bookmarkStart w:id="8" w:name="_Toc22627"/>
      <w:r/>
      <w:bookmarkStart w:id="9" w:name="_Toc12700"/>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644"/>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644"/>
        <w:jc w:val="center"/>
        <w:rPr>
          <w:rStyle w:val="1697"/>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三</w:t>
      </w:r>
      <w:r>
        <w:rPr>
          <w:rFonts w:hint="eastAsia" w:ascii="黑体" w:hAnsi="华文中宋" w:eastAsia="黑体"/>
          <w:bCs/>
          <w:color w:val="000000"/>
          <w:sz w:val="32"/>
          <w:szCs w:val="32"/>
          <w:highlight w:val="none"/>
        </w:rPr>
        <w:t xml:space="preserve">月</w:t>
      </w:r>
      <w:r>
        <w:rPr>
          <w:rStyle w:val="1697"/>
          <w:rFonts w:eastAsia="黑体"/>
          <w:bCs/>
          <w:color w:val="000000"/>
          <w:sz w:val="48"/>
          <w:highlight w:val="none"/>
        </w:rPr>
      </w:r>
      <w:r/>
    </w:p>
    <w:p>
      <w:pPr>
        <w:pStyle w:val="1644"/>
        <w:jc w:val="center"/>
        <w:rPr>
          <w:rStyle w:val="1697"/>
          <w:rFonts w:hint="eastAsia" w:eastAsia="黑体"/>
          <w:bCs/>
          <w:color w:val="000000"/>
          <w:sz w:val="48"/>
          <w:highlight w:val="none"/>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697"/>
          <w:rFonts w:hint="eastAsia" w:eastAsia="黑体"/>
          <w:bCs/>
          <w:color w:val="000000"/>
          <w:sz w:val="48"/>
          <w:highlight w:val="none"/>
        </w:rPr>
      </w:r>
      <w:r/>
    </w:p>
    <w:p>
      <w:pPr>
        <w:pStyle w:val="1676"/>
        <w:tabs>
          <w:tab w:val="center" w:pos="4153" w:leader="none"/>
          <w:tab w:val="right" w:pos="8306" w:leader="none"/>
        </w:tabs>
        <w:rPr>
          <w:rFonts w:hint="eastAsia"/>
          <w:color w:val="000000"/>
          <w:highlight w:val="none"/>
        </w:rPr>
      </w:pPr>
      <w:r>
        <w:rPr>
          <w:rFonts w:hint="eastAsia"/>
          <w:color w:val="000000"/>
          <w:highlight w:val="none"/>
        </w:rPr>
      </w:r>
      <w:r/>
    </w:p>
    <w:p>
      <w:pPr>
        <w:pStyle w:val="1716"/>
        <w:rPr>
          <w:rFonts w:hint="eastAsia"/>
          <w:color w:val="000000"/>
          <w:highlight w:val="none"/>
        </w:rPr>
        <w:outlineLvl w:val="9"/>
      </w:pPr>
      <w:r>
        <w:rPr>
          <w:rFonts w:hint="eastAsia"/>
          <w:color w:val="000000"/>
          <w:highlight w:val="none"/>
        </w:rPr>
      </w:r>
      <w:r/>
    </w:p>
    <w:p>
      <w:pPr>
        <w:pStyle w:val="1644"/>
        <w:jc w:val="center"/>
        <w:rPr>
          <w:rStyle w:val="1697"/>
          <w:rFonts w:hint="eastAsia" w:ascii="宋体" w:hAnsi="宋体" w:cs="宋体"/>
          <w:b/>
          <w:color w:val="000000"/>
          <w:sz w:val="44"/>
          <w:szCs w:val="44"/>
          <w:highlight w:val="none"/>
        </w:rPr>
        <w:outlineLvl w:val="9"/>
      </w:pPr>
      <w:r/>
      <w:bookmarkStart w:id="11" w:name="_Toc23032"/>
      <w:r/>
      <w:bookmarkStart w:id="12" w:name="_Toc15618"/>
      <w:r/>
      <w:bookmarkStart w:id="13" w:name="_Toc32576"/>
      <w:r>
        <w:rPr>
          <w:rStyle w:val="1697"/>
          <w:rFonts w:hint="eastAsia" w:ascii="宋体" w:hAnsi="宋体" w:cs="宋体"/>
          <w:b/>
          <w:color w:val="000000"/>
          <w:sz w:val="44"/>
          <w:szCs w:val="44"/>
          <w:highlight w:val="none"/>
        </w:rPr>
        <w:t xml:space="preserve">目     录</w:t>
      </w:r>
      <w:bookmarkEnd w:id="10"/>
      <w:r/>
      <w:bookmarkEnd w:id="11"/>
      <w:r/>
      <w:bookmarkEnd w:id="12"/>
      <w:r/>
      <w:bookmarkEnd w:id="13"/>
      <w:r>
        <w:rPr>
          <w:rStyle w:val="1697"/>
          <w:rFonts w:hint="eastAsia" w:ascii="宋体" w:hAnsi="宋体" w:cs="宋体"/>
          <w:b/>
          <w:color w:val="000000"/>
          <w:sz w:val="44"/>
          <w:szCs w:val="44"/>
          <w:highlight w:val="none"/>
        </w:rPr>
      </w:r>
      <w:r/>
    </w:p>
    <w:p>
      <w:pPr>
        <w:pStyle w:val="1644"/>
        <w:rPr>
          <w:color w:val="000000"/>
          <w:highlight w:val="none"/>
        </w:rPr>
      </w:pPr>
      <w:r>
        <w:rPr>
          <w:color w:val="000000"/>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44"/>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644"/>
        <w:spacing w:line="720" w:lineRule="auto"/>
        <w:rPr>
          <w:rFonts w:ascii="宋体"/>
          <w:bCs/>
          <w:color w:val="000000"/>
          <w:sz w:val="28"/>
          <w:szCs w:val="28"/>
          <w:highlight w:val="none"/>
        </w:rPr>
      </w:pPr>
      <w:r>
        <w:rPr>
          <w:rFonts w:ascii="宋体"/>
          <w:bCs/>
          <w:color w:val="000000"/>
          <w:sz w:val="28"/>
          <w:szCs w:val="28"/>
          <w:highlight w:val="none"/>
        </w:rPr>
      </w:r>
      <w:r/>
    </w:p>
    <w:p>
      <w:pPr>
        <w:pStyle w:val="1644"/>
        <w:spacing w:line="720" w:lineRule="auto"/>
        <w:rPr>
          <w:rFonts w:ascii="宋体"/>
          <w:bCs/>
          <w:color w:val="000000"/>
          <w:sz w:val="30"/>
          <w:highlight w:val="none"/>
        </w:rPr>
      </w:pPr>
      <w:r>
        <w:rPr>
          <w:rFonts w:ascii="宋体"/>
          <w:bCs/>
          <w:color w:val="000000"/>
          <w:sz w:val="30"/>
          <w:highlight w:val="none"/>
        </w:rPr>
      </w:r>
      <w:r/>
    </w:p>
    <w:p>
      <w:pPr>
        <w:pStyle w:val="1644"/>
        <w:spacing w:line="480" w:lineRule="auto"/>
        <w:rPr>
          <w:rFonts w:ascii="宋体"/>
          <w:bCs/>
          <w:color w:val="000000"/>
          <w:sz w:val="30"/>
          <w:highlight w:val="none"/>
        </w:rPr>
      </w:pPr>
      <w:r>
        <w:rPr>
          <w:rFonts w:ascii="宋体"/>
          <w:bCs/>
          <w:color w:val="000000"/>
          <w:sz w:val="30"/>
          <w:highlight w:val="none"/>
        </w:rPr>
      </w:r>
      <w:r/>
    </w:p>
    <w:p>
      <w:pPr>
        <w:pStyle w:val="1644"/>
        <w:rPr>
          <w:rFonts w:ascii="宋体"/>
          <w:bCs/>
          <w:color w:val="000000"/>
          <w:sz w:val="28"/>
          <w:highlight w:val="none"/>
        </w:rPr>
      </w:pPr>
      <w:r>
        <w:rPr>
          <w:rFonts w:ascii="宋体"/>
          <w:bCs/>
          <w:color w:val="000000"/>
          <w:sz w:val="28"/>
          <w:highlight w:val="none"/>
        </w:rPr>
      </w:r>
      <w:r/>
    </w:p>
    <w:p>
      <w:pPr>
        <w:pStyle w:val="1644"/>
        <w:rPr>
          <w:rFonts w:ascii="宋体"/>
          <w:bCs/>
          <w:color w:val="000000"/>
          <w:sz w:val="32"/>
          <w:highlight w:val="none"/>
        </w:rPr>
      </w:pPr>
      <w:r>
        <w:rPr>
          <w:rFonts w:ascii="宋体"/>
          <w:bCs/>
          <w:color w:val="000000"/>
          <w:sz w:val="32"/>
          <w:highlight w:val="none"/>
        </w:rPr>
      </w:r>
      <w:r/>
    </w:p>
    <w:p>
      <w:pPr>
        <w:pStyle w:val="1644"/>
        <w:rPr>
          <w:rFonts w:ascii="宋体"/>
          <w:bCs/>
          <w:color w:val="000000"/>
          <w:sz w:val="32"/>
          <w:highlight w:val="none"/>
        </w:rPr>
      </w:pPr>
      <w:r>
        <w:rPr>
          <w:rFonts w:ascii="宋体"/>
          <w:bCs/>
          <w:color w:val="000000"/>
          <w:sz w:val="32"/>
          <w:highlight w:val="none"/>
        </w:rPr>
      </w:r>
      <w:r/>
    </w:p>
    <w:p>
      <w:pPr>
        <w:pStyle w:val="1644"/>
        <w:jc w:val="center"/>
        <w:spacing w:line="360" w:lineRule="auto"/>
        <w:rPr>
          <w:rFonts w:hint="eastAsia" w:ascii="宋体" w:hAnsi="宋体" w:cs="宋体"/>
          <w:b/>
          <w:color w:val="000000"/>
          <w:sz w:val="30"/>
          <w:szCs w:val="30"/>
          <w:highlight w:val="none"/>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color w:val="000000"/>
          <w:sz w:val="30"/>
          <w:szCs w:val="30"/>
          <w:highlight w:val="none"/>
        </w:rPr>
      </w:r>
      <w:r/>
    </w:p>
    <w:p>
      <w:pPr>
        <w:pStyle w:val="1644"/>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rPr>
        <w:t xml:space="preserve">无锡市锡山区人民政府厚桥街道办事处的委托，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走马塘河(嵩山桥两侧)租赁安装污水处理设施项目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cs="宋体"/>
          <w:b/>
          <w:bCs w:val="0"/>
          <w:color w:val="000000"/>
          <w:sz w:val="24"/>
          <w:szCs w:val="24"/>
          <w:highlight w:val="none"/>
        </w:rPr>
        <w:outlineLvl w:val="1"/>
      </w:pPr>
      <w:r/>
      <w:bookmarkStart w:id="18" w:name="_Toc23923"/>
      <w:r/>
      <w:bookmarkStart w:id="19" w:name="_Toc24863"/>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64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走马塘河(嵩山桥两侧)租赁安装污水处理设施项目</w:t>
      </w:r>
      <w:r>
        <w:rPr>
          <w:rFonts w:hint="eastAsia" w:ascii="宋体" w:hAnsi="宋体" w:eastAsia="宋体" w:cs="宋体"/>
          <w:bCs/>
          <w:color w:val="000000"/>
          <w:sz w:val="24"/>
          <w:szCs w:val="24"/>
          <w:highlight w:val="none"/>
          <w:lang w:eastAsia="zh-CN"/>
        </w:rPr>
      </w:r>
      <w:r/>
    </w:p>
    <w:p>
      <w:pPr>
        <w:pStyle w:val="164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JSZC-320205-THGC-G2025-0015</w:t>
      </w:r>
      <w:r>
        <w:rPr>
          <w:rFonts w:hint="eastAsia" w:ascii="宋体" w:hAnsi="宋体" w:eastAsia="宋体" w:cs="宋体"/>
          <w:bCs/>
          <w:color w:val="000000"/>
          <w:sz w:val="24"/>
          <w:szCs w:val="24"/>
          <w:highlight w:val="none"/>
          <w:lang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190.32</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190.32</w:t>
      </w:r>
      <w:r>
        <w:rPr>
          <w:rFonts w:hint="eastAsia" w:ascii="宋体" w:hAnsi="宋体" w:cs="宋体"/>
          <w:bCs/>
          <w:color w:val="000000"/>
          <w:sz w:val="24"/>
          <w:szCs w:val="24"/>
          <w:highlight w:val="none"/>
        </w:rPr>
        <w:t xml:space="preserve">万</w:t>
      </w:r>
      <w:r>
        <w:rPr>
          <w:rFonts w:hint="eastAsia" w:ascii="宋体" w:hAnsi="宋体" w:cs="宋体"/>
          <w:bCs/>
          <w:color w:val="000000"/>
          <w:sz w:val="24"/>
          <w:szCs w:val="24"/>
          <w:highlight w:val="none"/>
        </w:rPr>
        <w:t xml:space="preserve">元；投标报价不得超过最高限价，否则作无效响应文件处理。</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供货期：设施设备在合同签订生效后</w:t>
      </w:r>
      <w:r>
        <w:rPr>
          <w:rFonts w:hint="eastAsia" w:ascii="宋体" w:hAnsi="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个日历天内完成供货、安装及调试等工作并验收通过、交付使用</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服务期：三年（服务期自设备安装到位之日起计算）</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9、本项目是否专门面向</w:t>
      </w:r>
      <w:r>
        <w:rPr>
          <w:rFonts w:hint="eastAsia" w:eastAsia="宋体" w:cs="宋体"/>
          <w:b w:val="0"/>
          <w:bCs/>
          <w:color w:val="000000"/>
          <w:sz w:val="24"/>
          <w:szCs w:val="24"/>
          <w:highlight w:val="none"/>
          <w:lang w:val="en-US" w:eastAsia="zh-CN"/>
        </w:rPr>
        <w:t xml:space="preserve">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3、落实政府采购政策需满足的资格要求：供应商为小型企业、微型企业（监狱企业、残疾人福利性单位视同小微企业）；</w:t>
      </w:r>
      <w:r>
        <w:rPr>
          <w:rFonts w:hint="eastAsia" w:ascii="宋体" w:hAnsi="宋体" w:cs="宋体"/>
          <w:bCs/>
          <w:color w:val="000000"/>
          <w:sz w:val="24"/>
          <w:szCs w:val="24"/>
          <w:highlight w:val="none"/>
        </w:rPr>
      </w:r>
      <w:r/>
    </w:p>
    <w:p>
      <w:pPr>
        <w:pStyle w:val="1644"/>
        <w:ind w:firstLine="480"/>
        <w:spacing w:line="360" w:lineRule="auto"/>
        <w:rPr>
          <w:rFonts w:hint="eastAsia" w:ascii="Times New Roman" w:hAnsi="Times New Roman" w:eastAsia="宋体" w:cs="Times New Roman"/>
          <w:bCs/>
          <w:sz w:val="24"/>
          <w:szCs w:val="24"/>
          <w:highlight w:val="none"/>
        </w:rPr>
      </w:pPr>
      <w:r>
        <w:rPr>
          <w:rFonts w:hint="eastAsia" w:ascii="宋体" w:hAnsi="宋体" w:cs="宋体"/>
          <w:bCs/>
          <w:color w:val="000000"/>
          <w:sz w:val="24"/>
          <w:szCs w:val="24"/>
          <w:highlight w:val="none"/>
        </w:rPr>
        <w:t xml:space="preserve">4、本项目的特定资格要求：</w:t>
      </w:r>
      <w:r>
        <w:rPr>
          <w:rFonts w:hint="eastAsia" w:ascii="Times New Roman" w:hAnsi="Times New Roman" w:eastAsia="宋体" w:cs="Times New Roman"/>
          <w:bCs/>
          <w:sz w:val="24"/>
          <w:szCs w:val="24"/>
          <w:highlight w:val="none"/>
          <w:lang w:val="en-US" w:eastAsia="zh-CN"/>
        </w:rPr>
        <w:t xml:space="preserve">/</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w:t>
      </w:r>
      <w:r>
        <w:rPr>
          <w:rFonts w:hint="eastAsia" w:ascii="宋体" w:hAnsi="宋体" w:cs="宋体"/>
          <w:bCs/>
          <w:color w:val="000000"/>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采购人、江苏通汇工程管理咨询有限公司将以电话咨询、邮箱（1915688621@qq.com）等方式开展线上不见面答疑服务。截止至202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lang w:eastAsia="zh-CN"/>
        </w:rPr>
        <w:t xml:space="preserve">JSZC-320205-THGC-G2025-0015</w:t>
      </w:r>
      <w:r>
        <w:rPr>
          <w:rFonts w:hint="eastAsia" w:ascii="宋体" w:hAnsi="宋体" w:cs="宋体"/>
          <w:bCs/>
          <w:color w:val="000000"/>
          <w:sz w:val="24"/>
          <w:szCs w:val="24"/>
          <w:highlight w:val="none"/>
        </w:rPr>
        <w:t xml:space="preserve">项目需澄清问题”，并于答疑截止时间前邮箱（1915688621@qq.com）给项目联系人。若未在法定时间内提出澄清，由此造成的损失及风险由供应商自行承担。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rPr>
          <w:rFonts w:hint="eastAsia" w:ascii="宋体" w:hAnsi="宋体" w:eastAsia="宋体" w:cs="宋体"/>
          <w:b/>
          <w:bCs w:val="0"/>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定标地点：无锡市锡山区东亭迎宾南路21号二楼</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644"/>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64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rPr>
          <w:rFonts w:hint="eastAsia" w:ascii="宋体" w:hAnsi="宋体" w:eastAsia="宋体" w:cs="宋体"/>
          <w:b/>
          <w:bCs w:val="0"/>
          <w:color w:val="000000"/>
          <w:sz w:val="24"/>
          <w:szCs w:val="24"/>
          <w:highlight w:val="none"/>
          <w:lang w:val="en-US" w:eastAsia="zh-CN"/>
        </w:rPr>
      </w:r>
      <w:r/>
    </w:p>
    <w:p>
      <w:pPr>
        <w:pStyle w:val="1644"/>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64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（十一）其它</w:t>
      </w:r>
      <w:r>
        <w:rPr>
          <w:rFonts w:hint="eastAsia" w:ascii="宋体" w:hAnsi="宋体" w:eastAsia="宋体" w:cs="宋体"/>
          <w:b/>
          <w:bCs w:val="0"/>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644"/>
        <w:ind w:firstLine="48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茹威</w:t>
      </w:r>
      <w:r>
        <w:rPr>
          <w:rFonts w:ascii="宋体" w:hAnsi="宋体" w:eastAsia="宋体" w:cs="宋体"/>
          <w:bCs/>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采购机构：江苏通汇工程管理咨询有限公司</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地址：无锡市锡山区万马广场59-102</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联系人：刘燕</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话：0510-88226300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eastAsia="宋体" w:cs="宋体"/>
          <w:bCs/>
          <w:color w:val="000000"/>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644"/>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71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644"/>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bookmarkEnd w:id="20"/>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中小企业声明函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644"/>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644"/>
        <w:ind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主要人员配置表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．提供第三章项目需求和有关要求需提供的相关证明材料（如有，格式自拟并自行添加）</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64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b/>
          <w:bCs w:val="0"/>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694"/>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791"/>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09"/>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659"/>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315"/>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vertAlign w:val="baseline"/>
              </w:rPr>
            </w:r>
            <w:r/>
          </w:p>
        </w:tc>
      </w:tr>
      <w:tr>
        <w:trPr>
          <w:trHeight w:val="1003"/>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1033"/>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452"/>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286"/>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小微企业划分标准(《工信部联企业[2011]300号》)规定，提供《中小企业声明函》，残疾人福利企业提供《残疾人福利性单位声明函》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532"/>
        </w:trPr>
        <w:tc>
          <w:tcPr>
            <w:tcW w:w="923" w:type="dxa"/>
            <w:vAlign w:val="center"/>
            <w:textDirection w:val="lrTb"/>
            <w:noWrap w:val="false"/>
          </w:tcPr>
          <w:p>
            <w:pPr>
              <w:pStyle w:val="164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bCs/>
                <w:color w:val="000000"/>
                <w:sz w:val="24"/>
                <w:szCs w:val="24"/>
                <w:highlight w:val="none"/>
                <w:vertAlign w:val="baseline"/>
                <w:lang w:val="en-US" w:eastAsia="zh-CN"/>
              </w:rPr>
              <w:t xml:space="preserve">/</w:t>
            </w:r>
            <w:r>
              <w:rPr>
                <w:rFonts w:hint="eastAsia" w:ascii="宋体" w:hAnsi="宋体" w:eastAsia="宋体" w:cs="宋体"/>
                <w:bCs/>
                <w:color w:val="000000"/>
                <w:sz w:val="24"/>
                <w:szCs w:val="24"/>
                <w:highlight w:val="none"/>
                <w:vertAlign w:val="baseline"/>
                <w:lang w:eastAsia="zh-CN"/>
              </w:rPr>
            </w:r>
            <w:r/>
          </w:p>
        </w:tc>
      </w:tr>
      <w:tr>
        <w:trPr>
          <w:trHeight w:val="2913"/>
        </w:trPr>
        <w:tc>
          <w:tcPr>
            <w:tcW w:w="923" w:type="dxa"/>
            <w:vAlign w:val="center"/>
            <w:textDirection w:val="lrTb"/>
            <w:noWrap w:val="false"/>
          </w:tcPr>
          <w:p>
            <w:pPr>
              <w:pStyle w:val="164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676"/>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64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64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644"/>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644"/>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644"/>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644"/>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644"/>
              <w:jc w:val="lef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644"/>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644"/>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644"/>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644"/>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644"/>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644"/>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644"/>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644"/>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644"/>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64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w:t>
      </w:r>
      <w:r>
        <w:rPr>
          <w:rFonts w:hint="eastAsia" w:ascii="宋体" w:hAnsi="宋体" w:eastAsia="宋体" w:cs="宋体"/>
          <w:bCs/>
          <w:color w:val="000000"/>
          <w:sz w:val="24"/>
          <w:szCs w:val="24"/>
          <w:highlight w:val="none"/>
        </w:rPr>
        <w:t xml:space="preserve">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财政部门指定的政府采购信息发布媒体上发布中标结果公告。江苏通汇工程管理咨询有限公司和评标委员会对未中标原因不作解释。</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w:t>
      </w:r>
      <w:r>
        <w:rPr>
          <w:rFonts w:hint="eastAsia" w:ascii="宋体" w:hAnsi="宋体" w:eastAsia="宋体" w:cs="宋体"/>
          <w:bCs/>
          <w:color w:val="000000"/>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(十五)质疑处理：</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提出质疑，上述应知其权益受到损害之日，是指：</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、采购人将只对供应商第一次质疑作出答复。</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提出，由</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负责答复。</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不接受未填写快递运单的快件）。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联系人、联系方式、通信地址见招标文件第一章。</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5.1内容不符合《政府采购质疑和投诉办法》第十二条规定的质疑。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5.2超出政府采购法定期限的质疑。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5.3以传真、电子邮件等方式递交的非原件形式的质疑。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(十六)服务（包含与服务相关的货物）的追加：</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本项目代理费由采购人支付。采购代理服务费采用差额定率累进计费方式，收费标准为：100万元以下费率为1.5%，100万元-500万元以内费率为0.8%，按以上规定的80%计取，以中标价作为计算基数。</w:t>
      </w:r>
      <w:r>
        <w:rPr>
          <w:rFonts w:hint="eastAsia" w:ascii="宋体" w:hAnsi="宋体" w:eastAsia="宋体" w:cs="宋体"/>
          <w:color w:val="000000"/>
          <w:sz w:val="24"/>
          <w:szCs w:val="24"/>
          <w:highlight w:val="none"/>
          <w:lang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644"/>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66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644"/>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644"/>
        <w:jc w:val="center"/>
        <w:spacing w:line="360" w:lineRule="auto"/>
        <w:rPr>
          <w:rFonts w:hint="eastAsia" w:ascii="Times New Roman" w:hAnsi="宋体" w:eastAsia="宋体" w:cs="宋体"/>
          <w:b/>
          <w:bCs/>
          <w:sz w:val="32"/>
          <w:szCs w:val="32"/>
          <w:highlight w:val="none"/>
          <w:lang w:val="en-US" w:eastAsia="zh-CN"/>
        </w:rPr>
        <w:outlineLvl w:val="0"/>
      </w:pPr>
      <w:r/>
      <w:bookmarkEnd w:id="21"/>
      <w:r/>
      <w:bookmarkEnd w:id="26"/>
      <w:r/>
      <w:bookmarkStart w:id="27" w:name="_Toc19762"/>
      <w:r/>
      <w:bookmarkStart w:id="28" w:name="_Toc26"/>
      <w:r>
        <w:rPr>
          <w:rFonts w:hint="eastAsia" w:ascii="Times New Roman" w:hAnsi="宋体" w:eastAsia="宋体" w:cs="宋体"/>
          <w:b/>
          <w:bCs/>
          <w:sz w:val="32"/>
          <w:szCs w:val="32"/>
          <w:highlight w:val="none"/>
          <w:lang w:val="en-US" w:eastAsia="zh-CN"/>
        </w:rPr>
        <w:t xml:space="preserve">三、项目技术要求和有关说明</w:t>
      </w:r>
      <w:bookmarkEnd w:id="27"/>
      <w:r>
        <w:rPr>
          <w:rFonts w:hint="eastAsia" w:ascii="Times New Roman" w:hAnsi="宋体" w:eastAsia="宋体" w:cs="宋体"/>
          <w:b/>
          <w:bCs/>
          <w:sz w:val="32"/>
          <w:szCs w:val="32"/>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一、总体要求：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1、项目名称：走马塘河(嵩山桥两侧)租赁安装污水处理设施项目</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2、供货期：设施设备在合同签订生效后30个日历天内完成供货、安装及调试等工作并验收通过、交付使用</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3、服务期：三年（服务期自设备安装到位之日起计算）</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项目概况：由于地表污染物会随雨水进入管网时携带混入雨水中，同时污水管网老旧后会有部分污水的渗漏进雨水管网，因此需要先将雨水收集处理达到Ⅲ类水标准后再排入河道，才能保护河道环境不受污染与破坏。故厚桥街道拟针对走马塘河嵩山桥两侧雨水井排口污水处理设备租赁服务采购</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5、服务目标：保证设备每天正常的运转，设备出水能满足采购人相关指标的要求（必须达到排水标准的Ⅲ类水）</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6、服务标准：满足采购人要求，符合国家相关规定</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7、服务地点：</w:t>
      </w:r>
      <w:r>
        <w:rPr>
          <w:rFonts w:hint="eastAsia" w:ascii="宋体" w:hAnsi="宋体"/>
          <w:sz w:val="24"/>
          <w:szCs w:val="24"/>
          <w:highlight w:val="none"/>
        </w:rPr>
        <w:t xml:space="preserve">走马塘河嵩山桥两侧雨水井排口</w:t>
      </w:r>
      <w:r>
        <w:rPr>
          <w:rFonts w:hint="eastAsia" w:ascii="宋体" w:hAnsi="宋体"/>
          <w:sz w:val="24"/>
          <w:szCs w:val="24"/>
          <w:highlight w:val="none"/>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二、相关标准规范：</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JB2880-1998《钢制焊接常压容器技术条件》</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GB/T8932-1998《水处理设备性能试验－过滤设备》</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JB/T2932-1999《中国机械行业标准－水处理设备技术条件》</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GB/T8923-1998《涂装前钢材表面锈蚀等级和除锈等级》</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ZBJ98003-87《水处理设备油漆、包装技术条件》</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GBJ14-87《室外排水设计规范》</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GB8978-98《污水综合排放标准》</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GBJ69-84《给水排水工程结构设计规范》</w:t>
      </w:r>
      <w:r>
        <w:rPr>
          <w:rFonts w:hint="eastAsia" w:ascii="宋体" w:hAnsi="宋体" w:eastAsia="宋体" w:cs="宋体"/>
          <w:b w:val="0"/>
          <w:bCs w:val="0"/>
          <w:color w:val="000000"/>
          <w:sz w:val="24"/>
          <w:szCs w:val="24"/>
          <w:highlight w:val="none"/>
          <w:lang w:val="zh-CN"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三、主要设备参数</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1、需配备的设备清单</w:t>
      </w:r>
      <w:r>
        <w:rPr>
          <w:rFonts w:hint="eastAsia" w:ascii="宋体" w:hAnsi="宋体" w:eastAsia="宋体" w:cs="宋体"/>
          <w:b w:val="0"/>
          <w:bCs w:val="0"/>
          <w:color w:val="000000"/>
          <w:sz w:val="24"/>
          <w:szCs w:val="24"/>
          <w:highlight w:val="none"/>
          <w:lang w:val="en-US" w:eastAsia="zh-CN"/>
        </w:rPr>
      </w:r>
      <w:r/>
    </w:p>
    <w:tbl>
      <w:tblPr>
        <w:tblW w:w="86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14"/>
        <w:gridCol w:w="3163"/>
        <w:gridCol w:w="840"/>
        <w:gridCol w:w="1292"/>
      </w:tblGrid>
      <w:tr>
        <w:trPr>
          <w:trHeight w:val="454"/>
          <w:tblHeader/>
        </w:trPr>
        <w:tc>
          <w:tcPr>
            <w:shd w:val="clear" w:color="000000" w:fill="ffffff"/>
            <w:tcW w:w="817"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序号</w:t>
            </w:r>
            <w:r>
              <w:rPr>
                <w:rFonts w:ascii="宋体" w:hAnsi="宋体"/>
                <w:color w:val="000000"/>
                <w:sz w:val="24"/>
                <w:szCs w:val="24"/>
              </w:rPr>
            </w:r>
            <w:r/>
          </w:p>
        </w:tc>
        <w:tc>
          <w:tcPr>
            <w:shd w:val="clear" w:color="000000" w:fill="ffffff"/>
            <w:tcW w:w="2514"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设备（部套）名称</w:t>
            </w:r>
            <w:r>
              <w:rPr>
                <w:rFonts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规格型号</w:t>
            </w:r>
            <w:r>
              <w:rPr>
                <w:rFonts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单位</w:t>
            </w:r>
            <w:r>
              <w:rPr>
                <w:rFonts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数量</w:t>
            </w:r>
            <w:r>
              <w:rPr>
                <w:rFonts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收集池</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lang w:val="en-US" w:eastAsia="zh-CN"/>
              </w:rPr>
              <w:t xml:space="preserve">Φ2</w:t>
            </w:r>
            <w:r>
              <w:rPr>
                <w:rFonts w:ascii="宋体" w:hAnsi="宋体"/>
                <w:color w:val="000000"/>
                <w:sz w:val="24"/>
                <w:szCs w:val="24"/>
              </w:rPr>
              <w:t xml:space="preserve">000</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2500</w:t>
            </w:r>
            <w:r>
              <w:rPr>
                <w:rFonts w:ascii="宋体" w:hAnsi="宋体"/>
                <w:color w:val="000000"/>
                <w:sz w:val="24"/>
                <w:szCs w:val="24"/>
              </w:rPr>
              <w:t xml:space="preserve">mm</w:t>
            </w:r>
            <w:r>
              <w:rPr>
                <w:rFonts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台</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一体化净水装置</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lang w:val="en-US" w:eastAsia="zh-CN"/>
              </w:rPr>
              <w:t xml:space="preserve">10</w:t>
            </w:r>
            <w:r>
              <w:rPr>
                <w:rFonts w:ascii="宋体" w:hAnsi="宋体"/>
                <w:color w:val="000000"/>
                <w:sz w:val="24"/>
                <w:szCs w:val="24"/>
              </w:rPr>
              <w:t xml:space="preserve">0</w:t>
            </w:r>
            <w:r>
              <w:rPr>
                <w:rFonts w:hint="eastAsia" w:ascii="宋体" w:hAnsi="宋体"/>
                <w:color w:val="000000"/>
                <w:sz w:val="24"/>
                <w:szCs w:val="24"/>
              </w:rPr>
              <w:t xml:space="preserve">00</w:t>
            </w:r>
            <w:bookmarkStart w:id="29" w:name="_Hlk118357667"/>
            <w:r>
              <w:rPr>
                <w:rFonts w:ascii="宋体" w:hAnsi="宋体"/>
                <w:color w:val="000000"/>
                <w:sz w:val="24"/>
                <w:szCs w:val="24"/>
              </w:rPr>
              <w:t xml:space="preserve">×</w:t>
            </w:r>
            <w:bookmarkEnd w:id="29"/>
            <w:r>
              <w:rPr>
                <w:rFonts w:ascii="宋体" w:hAnsi="宋体"/>
                <w:color w:val="000000"/>
                <w:sz w:val="24"/>
                <w:szCs w:val="24"/>
              </w:rPr>
              <w:t xml:space="preserve">30</w:t>
            </w:r>
            <w:r>
              <w:rPr>
                <w:rFonts w:hint="eastAsia" w:ascii="宋体" w:hAnsi="宋体"/>
                <w:color w:val="000000"/>
                <w:sz w:val="24"/>
                <w:szCs w:val="24"/>
              </w:rPr>
              <w:t xml:space="preserve">00</w:t>
            </w:r>
            <w:r>
              <w:rPr>
                <w:rFonts w:ascii="宋体" w:hAnsi="宋体"/>
                <w:color w:val="000000"/>
                <w:sz w:val="24"/>
                <w:szCs w:val="24"/>
              </w:rPr>
              <w:t xml:space="preserve">×3</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00</w:t>
            </w:r>
            <w:r>
              <w:rPr>
                <w:rFonts w:ascii="宋体" w:hAnsi="宋体"/>
                <w:color w:val="000000"/>
                <w:sz w:val="24"/>
                <w:szCs w:val="24"/>
              </w:rPr>
              <w:t xml:space="preserve">mm</w:t>
            </w: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w:t>
            </w:r>
            <w:r>
              <w:rPr>
                <w:rFonts w:hint="eastAsia" w:ascii="宋体" w:hAnsi="宋体" w:eastAsia="宋体"/>
                <w:color w:val="000000"/>
                <w:sz w:val="24"/>
                <w:szCs w:val="24"/>
                <w:lang w:eastAsia="zh-CN"/>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ascii="宋体" w:hAnsi="宋体" w:eastAsia="宋体" w:cs="Times New Roman"/>
                <w:color w:val="000000"/>
                <w:sz w:val="24"/>
                <w:szCs w:val="24"/>
                <w:lang w:val="en-US" w:eastAsia="zh-CN"/>
              </w:rPr>
              <w:t xml:space="preserve">深度处理</w:t>
            </w:r>
            <w:r>
              <w:rPr>
                <w:rFonts w:hint="eastAsia" w:ascii="宋体" w:hAnsi="宋体" w:cs="Times New Roman"/>
                <w:color w:val="000000"/>
                <w:sz w:val="24"/>
                <w:szCs w:val="24"/>
                <w:lang w:val="en-US" w:eastAsia="zh-CN"/>
              </w:rPr>
              <w:t xml:space="preserve">装置</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spacing w:line="240" w:lineRule="auto"/>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Φ8</w:t>
            </w:r>
            <w:r>
              <w:rPr>
                <w:rFonts w:ascii="宋体" w:hAnsi="宋体"/>
                <w:color w:val="000000"/>
                <w:sz w:val="24"/>
                <w:szCs w:val="24"/>
              </w:rPr>
              <w:t xml:space="preserve">00</w:t>
            </w:r>
            <w:r>
              <w:rPr>
                <w:rFonts w:hint="eastAsia" w:ascii="宋体" w:hAnsi="宋体"/>
                <w:color w:val="000000"/>
                <w:sz w:val="24"/>
                <w:szCs w:val="24"/>
                <w:lang w:val="en-US" w:eastAsia="zh-CN"/>
              </w:rPr>
              <w:t xml:space="preserve">处理能力10m³/h</w:t>
            </w:r>
            <w:r>
              <w:rPr>
                <w:rFonts w:ascii="宋体" w:hAnsi="宋体" w:eastAsia="宋体"/>
                <w:color w:val="000000"/>
                <w:sz w:val="24"/>
                <w:szCs w:val="24"/>
                <w:lang w:val="en-US" w:eastAsia="zh-CN"/>
              </w:rPr>
            </w:r>
            <w:r/>
          </w:p>
        </w:tc>
        <w:tc>
          <w:tcPr>
            <w:shd w:val="clear" w:color="000000" w:fill="ffffff"/>
            <w:tcW w:w="840" w:type="dxa"/>
            <w:vAlign w:val="center"/>
            <w:textDirection w:val="lrTb"/>
            <w:noWrap w:val="false"/>
          </w:tcPr>
          <w:p>
            <w:pPr>
              <w:pStyle w:val="1644"/>
              <w:jc w:val="center"/>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台</w:t>
            </w:r>
            <w:r>
              <w:rPr>
                <w:rFonts w:hint="eastAsia" w:ascii="宋体" w:hAnsi="宋体" w:eastAsia="宋体"/>
                <w:color w:val="000000"/>
                <w:sz w:val="24"/>
                <w:szCs w:val="24"/>
                <w:lang w:eastAsia="zh-CN"/>
              </w:rPr>
            </w:r>
            <w:r/>
          </w:p>
        </w:tc>
        <w:tc>
          <w:tcPr>
            <w:shd w:val="clear" w:color="000000" w:fill="ffffff"/>
            <w:tcW w:w="1292" w:type="dxa"/>
            <w:vAlign w:val="center"/>
            <w:textDirection w:val="lrTb"/>
            <w:noWrap w:val="false"/>
          </w:tcPr>
          <w:p>
            <w:pPr>
              <w:pStyle w:val="1644"/>
              <w:jc w:val="center"/>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ascii="宋体" w:hAnsi="宋体" w:eastAsia="宋体"/>
                <w:color w:val="000000"/>
                <w:sz w:val="24"/>
                <w:szCs w:val="24"/>
                <w:lang w:val="en-US" w:eastAsia="zh-CN"/>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曝气装置</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曝气头</w:t>
            </w:r>
            <w:r>
              <w:rPr>
                <w:rFonts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ascii="宋体" w:hAnsi="宋体"/>
                <w:color w:val="000000"/>
                <w:sz w:val="24"/>
                <w:szCs w:val="24"/>
              </w:rPr>
              <w:t xml:space="preserve">m</w:t>
            </w:r>
            <w:r>
              <w:rPr>
                <w:rFonts w:ascii="宋体" w:hAnsi="宋体"/>
                <w:color w:val="000000"/>
                <w:sz w:val="24"/>
                <w:szCs w:val="24"/>
                <w:vertAlign w:val="superscript"/>
              </w:rPr>
              <w:t xml:space="preserve">2</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60</w:t>
            </w:r>
            <w:r>
              <w:rPr>
                <w:rFonts w:ascii="宋体" w:hAnsi="宋体" w:eastAsia="宋体"/>
                <w:color w:val="000000"/>
                <w:sz w:val="24"/>
                <w:szCs w:val="24"/>
                <w:lang w:val="en-US" w:eastAsia="zh-CN"/>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填料及支架</w:t>
            </w:r>
            <w:r>
              <w:rPr>
                <w:rFonts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组合填料</w:t>
            </w: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m</w:t>
            </w:r>
            <w:r>
              <w:rPr>
                <w:rFonts w:ascii="宋体" w:hAnsi="宋体"/>
                <w:color w:val="000000"/>
                <w:sz w:val="24"/>
                <w:szCs w:val="24"/>
                <w:vertAlign w:val="superscript"/>
              </w:rPr>
              <w:t xml:space="preserve">3</w:t>
            </w:r>
            <w:r>
              <w:rPr>
                <w:rFonts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52</w:t>
            </w:r>
            <w:r>
              <w:rPr>
                <w:rFonts w:ascii="宋体" w:hAnsi="宋体" w:eastAsia="宋体"/>
                <w:color w:val="000000"/>
                <w:sz w:val="24"/>
                <w:szCs w:val="24"/>
                <w:lang w:val="en-US" w:eastAsia="zh-CN"/>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回转风机</w:t>
            </w:r>
            <w:r>
              <w:rPr>
                <w:rFonts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风量</w:t>
            </w:r>
            <w:r>
              <w:rPr>
                <w:rFonts w:ascii="宋体" w:hAnsi="宋体"/>
                <w:color w:val="000000"/>
                <w:sz w:val="24"/>
                <w:szCs w:val="24"/>
              </w:rPr>
              <w:t xml:space="preserve">2.66</w:t>
            </w:r>
            <w:r>
              <w:rPr>
                <w:rFonts w:hint="eastAsia" w:ascii="宋体" w:hAnsi="宋体"/>
                <w:color w:val="000000"/>
                <w:sz w:val="24"/>
                <w:szCs w:val="24"/>
              </w:rPr>
              <w:t xml:space="preserve">m</w:t>
            </w:r>
            <w:r>
              <w:rPr>
                <w:rFonts w:ascii="宋体" w:hAnsi="宋体"/>
                <w:color w:val="000000"/>
                <w:sz w:val="24"/>
                <w:szCs w:val="24"/>
                <w:vertAlign w:val="superscript"/>
              </w:rPr>
              <w:t xml:space="preserve">3</w:t>
            </w:r>
            <w:r>
              <w:rPr>
                <w:rFonts w:ascii="宋体" w:hAnsi="宋体"/>
                <w:color w:val="000000"/>
                <w:sz w:val="24"/>
                <w:szCs w:val="24"/>
              </w:rPr>
              <w:t xml:space="preserve">/min</w:t>
            </w:r>
            <w:r>
              <w:rPr>
                <w:rFonts w:hint="eastAsia" w:ascii="宋体" w:hAnsi="宋体"/>
                <w:color w:val="000000"/>
                <w:sz w:val="24"/>
                <w:szCs w:val="24"/>
              </w:rPr>
              <w:t xml:space="preserve">，功率</w:t>
            </w:r>
            <w:r>
              <w:rPr>
                <w:rFonts w:hint="eastAsia" w:ascii="宋体" w:hAnsi="宋体"/>
                <w:color w:val="000000"/>
                <w:sz w:val="24"/>
                <w:szCs w:val="24"/>
                <w:lang w:val="en-US" w:eastAsia="zh-CN"/>
              </w:rPr>
              <w:t xml:space="preserve">4.0</w:t>
            </w:r>
            <w:r>
              <w:rPr>
                <w:rFonts w:hint="eastAsia" w:ascii="宋体" w:hAnsi="宋体"/>
                <w:color w:val="000000"/>
                <w:sz w:val="24"/>
                <w:szCs w:val="24"/>
              </w:rPr>
              <w:t xml:space="preserve">kw</w:t>
            </w: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电控柜</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含电线电缆</w:t>
            </w: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套</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8</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管道阀门</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进出水管道</w:t>
            </w: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项</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9</w:t>
            </w:r>
            <w:r>
              <w:rPr>
                <w:rFonts w:hint="eastAsia"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运输吊装</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项</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10</w:t>
            </w:r>
            <w:r>
              <w:rPr>
                <w:rFonts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安装费</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项</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11</w:t>
            </w:r>
            <w:r>
              <w:rPr>
                <w:rFonts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调试费</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项</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r>
      <w:tr>
        <w:trPr>
          <w:trHeight w:val="454"/>
          <w:tblHeader/>
        </w:trPr>
        <w:tc>
          <w:tcPr>
            <w:shd w:val="clear" w:color="000000" w:fill="ffffff"/>
            <w:tcW w:w="817" w:type="dxa"/>
            <w:vAlign w:val="center"/>
            <w:textDirection w:val="lrTb"/>
            <w:noWrap w:val="false"/>
          </w:tcPr>
          <w:p>
            <w:pPr>
              <w:pStyle w:val="1644"/>
              <w:jc w:val="center"/>
              <w:widowControl/>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12</w:t>
            </w:r>
            <w:r>
              <w:rPr>
                <w:rFonts w:ascii="宋体" w:hAnsi="宋体" w:eastAsia="宋体"/>
                <w:color w:val="000000"/>
                <w:sz w:val="24"/>
                <w:szCs w:val="24"/>
                <w:lang w:val="en-US" w:eastAsia="zh-CN"/>
              </w:rPr>
            </w:r>
            <w:r/>
          </w:p>
        </w:tc>
        <w:tc>
          <w:tcPr>
            <w:shd w:val="clear" w:color="000000" w:fill="ffffff"/>
            <w:tcW w:w="2514"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税金</w:t>
            </w:r>
            <w:r>
              <w:rPr>
                <w:rFonts w:hint="eastAsia" w:ascii="宋体" w:hAnsi="宋体"/>
                <w:color w:val="000000"/>
                <w:sz w:val="24"/>
                <w:szCs w:val="24"/>
              </w:rPr>
            </w:r>
            <w:r/>
          </w:p>
        </w:tc>
        <w:tc>
          <w:tcPr>
            <w:shd w:val="clear" w:color="000000" w:fill="ffffff"/>
            <w:tcW w:w="3163"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项</w:t>
            </w:r>
            <w:r>
              <w:rPr>
                <w:rFonts w:hint="eastAsia" w:ascii="宋体" w:hAnsi="宋体"/>
                <w:color w:val="000000"/>
                <w:sz w:val="24"/>
                <w:szCs w:val="24"/>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2、收集池</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主要用于收集从雨水井管道排出的雨水与倾到入管道内的各类其他废水，在收集稳定水质后由提升泵送至一体化设备内统一处理，能达到更好更稳定的处理效果。</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收集池顶部封顶（留检修口），防止周边树叶等固体垃圾物飘入池内堵塞提升泵，靠河道一侧配溢流管道一根，以防止大雨天气时雨水不能及时处理后池内满出。</w:t>
      </w:r>
      <w:r>
        <w:rPr>
          <w:rFonts w:hint="eastAsia" w:ascii="宋体" w:hAnsi="宋体" w:eastAsia="宋体" w:cs="宋体"/>
          <w:b w:val="0"/>
          <w:bCs w:val="0"/>
          <w:color w:val="000000"/>
          <w:sz w:val="24"/>
          <w:szCs w:val="24"/>
          <w:highlight w:val="none"/>
          <w:lang w:val="en-US" w:eastAsia="zh-CN"/>
        </w:rPr>
      </w:r>
      <w:r/>
    </w:p>
    <w:tbl>
      <w:tblPr>
        <w:tblW w:w="85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5550"/>
      </w:tblGrid>
      <w:tr>
        <w:trPr/>
        <w:tc>
          <w:tcPr>
            <w:tcW w:w="3039"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bookmarkStart w:id="30" w:name="_Hlk75256510"/>
            <w:r>
              <w:rPr>
                <w:rFonts w:hint="eastAsia" w:ascii="宋体" w:hAnsi="宋体" w:eastAsia="宋体" w:cs="宋体"/>
                <w:b/>
                <w:sz w:val="24"/>
                <w:szCs w:val="24"/>
              </w:rPr>
              <w:t xml:space="preserve">项  目</w:t>
            </w:r>
            <w:r>
              <w:rPr>
                <w:rFonts w:hint="eastAsia" w:ascii="宋体" w:hAnsi="宋体" w:eastAsia="宋体" w:cs="宋体"/>
                <w:b/>
                <w:sz w:val="24"/>
                <w:szCs w:val="24"/>
              </w:rPr>
            </w:r>
            <w:r/>
          </w:p>
        </w:tc>
        <w:tc>
          <w:tcPr>
            <w:tcW w:w="5550"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参  数</w:t>
            </w:r>
            <w:r>
              <w:rPr>
                <w:rFonts w:hint="eastAsia" w:ascii="宋体" w:hAnsi="宋体" w:eastAsia="宋体" w:cs="宋体"/>
                <w:b/>
                <w:sz w:val="24"/>
                <w:szCs w:val="24"/>
              </w:rPr>
            </w:r>
            <w:r/>
          </w:p>
        </w:tc>
      </w:tr>
      <w:tr>
        <w:trPr/>
        <w:tc>
          <w:tcPr>
            <w:tcW w:w="303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外形尺寸</w:t>
            </w:r>
            <w:r>
              <w:rPr>
                <w:rFonts w:hint="eastAsia" w:ascii="宋体" w:hAnsi="宋体" w:eastAsia="宋体" w:cs="宋体"/>
                <w:sz w:val="24"/>
                <w:szCs w:val="24"/>
              </w:rPr>
            </w:r>
            <w:r/>
          </w:p>
        </w:tc>
        <w:tc>
          <w:tcPr>
            <w:tcW w:w="555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lang w:val="en-US" w:eastAsia="zh-CN"/>
              </w:rPr>
            </w:pPr>
            <w:r>
              <w:rPr>
                <w:rFonts w:hint="eastAsia" w:ascii="宋体" w:hAnsi="宋体" w:eastAsia="宋体" w:cs="宋体"/>
                <w:color w:val="000000"/>
                <w:sz w:val="24"/>
                <w:szCs w:val="24"/>
                <w:lang w:val="en-US" w:eastAsia="zh-CN"/>
              </w:rPr>
              <w:t xml:space="preserve">Φ2</w:t>
            </w:r>
            <w:r>
              <w:rPr>
                <w:rFonts w:hint="eastAsia" w:ascii="宋体" w:hAnsi="宋体" w:eastAsia="宋体" w:cs="宋体"/>
                <w:color w:val="000000"/>
                <w:sz w:val="24"/>
                <w:szCs w:val="24"/>
              </w:rPr>
              <w:t xml:space="preserve">000</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2500</w:t>
            </w:r>
            <w:r>
              <w:rPr>
                <w:rFonts w:hint="eastAsia" w:ascii="宋体" w:hAnsi="宋体" w:eastAsia="宋体" w:cs="宋体"/>
                <w:color w:val="000000"/>
                <w:sz w:val="24"/>
                <w:szCs w:val="24"/>
              </w:rPr>
              <w:t xml:space="preserve">mm</w:t>
            </w:r>
            <w:r>
              <w:rPr>
                <w:rFonts w:hint="eastAsia" w:ascii="宋体" w:hAnsi="宋体" w:eastAsia="宋体" w:cs="宋体"/>
                <w:sz w:val="24"/>
                <w:szCs w:val="24"/>
                <w:lang w:val="en-US" w:eastAsia="zh-CN"/>
              </w:rPr>
              <w:t xml:space="preserve">  </w:t>
            </w:r>
            <w:r>
              <w:rPr>
                <w:rFonts w:hint="eastAsia" w:ascii="宋体" w:hAnsi="宋体" w:eastAsia="宋体" w:cs="宋体"/>
                <w:color w:val="000000"/>
                <w:sz w:val="24"/>
                <w:szCs w:val="24"/>
              </w:rPr>
              <w:t xml:space="preserve">δ</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mm，Q235</w:t>
            </w:r>
            <w:r>
              <w:rPr>
                <w:rFonts w:hint="eastAsia" w:ascii="宋体" w:hAnsi="宋体" w:eastAsia="宋体" w:cs="宋体"/>
                <w:bCs/>
                <w:sz w:val="24"/>
                <w:szCs w:val="24"/>
                <w:lang w:val="en-US" w:eastAsia="zh-CN"/>
              </w:rPr>
            </w:r>
            <w:r/>
          </w:p>
        </w:tc>
      </w:tr>
      <w:tr>
        <w:trPr/>
        <w:tc>
          <w:tcPr>
            <w:tcW w:w="303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有效容积</w:t>
            </w:r>
            <w:r>
              <w:rPr>
                <w:rFonts w:hint="eastAsia" w:ascii="宋体" w:hAnsi="宋体" w:eastAsia="宋体" w:cs="宋体"/>
                <w:sz w:val="24"/>
                <w:szCs w:val="24"/>
              </w:rPr>
            </w:r>
            <w:r/>
          </w:p>
        </w:tc>
        <w:tc>
          <w:tcPr>
            <w:tcW w:w="555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m</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r>
            <w:r/>
          </w:p>
        </w:tc>
      </w:tr>
      <w:tr>
        <w:trPr/>
        <w:tc>
          <w:tcPr>
            <w:tcW w:w="303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停留时间</w:t>
            </w:r>
            <w:r>
              <w:rPr>
                <w:rFonts w:hint="eastAsia" w:ascii="宋体" w:hAnsi="宋体" w:eastAsia="宋体" w:cs="宋体"/>
                <w:sz w:val="24"/>
                <w:szCs w:val="24"/>
              </w:rPr>
            </w:r>
            <w:r/>
          </w:p>
        </w:tc>
        <w:tc>
          <w:tcPr>
            <w:tcW w:w="555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0.7</w:t>
            </w:r>
            <w:r>
              <w:rPr>
                <w:rFonts w:hint="eastAsia" w:ascii="宋体" w:hAnsi="宋体" w:eastAsia="宋体" w:cs="宋体"/>
                <w:bCs/>
                <w:sz w:val="24"/>
                <w:szCs w:val="24"/>
              </w:rPr>
              <w:t xml:space="preserve"> h</w:t>
            </w:r>
            <w:r>
              <w:rPr>
                <w:rFonts w:hint="eastAsia" w:ascii="宋体" w:hAnsi="宋体" w:eastAsia="宋体" w:cs="宋体"/>
                <w:bCs/>
                <w:sz w:val="24"/>
                <w:szCs w:val="24"/>
              </w:rPr>
            </w:r>
            <w:r/>
          </w:p>
        </w:tc>
      </w:tr>
      <w:tr>
        <w:trPr/>
        <w:tc>
          <w:tcPr>
            <w:tcW w:w="303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rPr>
                <w:rFonts w:hint="eastAsia" w:ascii="宋体" w:hAnsi="宋体" w:eastAsia="宋体" w:cs="宋体"/>
                <w:sz w:val="24"/>
                <w:szCs w:val="24"/>
              </w:rPr>
            </w:r>
            <w:r/>
          </w:p>
        </w:tc>
        <w:tc>
          <w:tcPr>
            <w:tcW w:w="555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1只</w:t>
            </w:r>
            <w:r>
              <w:rPr>
                <w:rFonts w:hint="eastAsia" w:ascii="宋体" w:hAnsi="宋体" w:eastAsia="宋体" w:cs="宋体"/>
                <w:sz w:val="24"/>
                <w:szCs w:val="24"/>
              </w:rPr>
            </w:r>
            <w:r/>
          </w:p>
        </w:tc>
      </w:tr>
      <w:tr>
        <w:trPr/>
        <w:tc>
          <w:tcPr>
            <w:tcW w:w="303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结  构</w:t>
            </w:r>
            <w:r>
              <w:rPr>
                <w:rFonts w:hint="eastAsia" w:ascii="宋体" w:hAnsi="宋体" w:eastAsia="宋体" w:cs="宋体"/>
                <w:sz w:val="24"/>
                <w:szCs w:val="24"/>
              </w:rPr>
            </w:r>
            <w:r/>
          </w:p>
        </w:tc>
        <w:tc>
          <w:tcPr>
            <w:tcW w:w="555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碳钢防腐</w:t>
            </w:r>
            <w:r>
              <w:rPr>
                <w:rFonts w:hint="eastAsia" w:ascii="宋体" w:hAnsi="宋体" w:eastAsia="宋体" w:cs="宋体"/>
                <w:sz w:val="24"/>
                <w:szCs w:val="24"/>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bookmarkEnd w:id="30"/>
      <w:r>
        <w:rPr>
          <w:rFonts w:hint="eastAsia" w:ascii="宋体" w:hAnsi="宋体" w:eastAsia="宋体" w:cs="宋体"/>
          <w:b w:val="0"/>
          <w:bCs w:val="0"/>
          <w:color w:val="000000"/>
          <w:sz w:val="24"/>
          <w:szCs w:val="24"/>
          <w:highlight w:val="none"/>
          <w:lang w:val="en-US" w:eastAsia="zh-CN"/>
        </w:rPr>
        <w:t xml:space="preserve">提升泵（带切割潜水泵）：</w:t>
      </w:r>
      <w:r>
        <w:rPr>
          <w:rFonts w:hint="eastAsia" w:ascii="宋体" w:hAnsi="宋体" w:eastAsia="宋体" w:cs="宋体"/>
          <w:b w:val="0"/>
          <w:bCs w:val="0"/>
          <w:color w:val="000000"/>
          <w:sz w:val="24"/>
          <w:szCs w:val="24"/>
          <w:highlight w:val="none"/>
          <w:lang w:val="en-US" w:eastAsia="zh-CN"/>
        </w:rPr>
      </w:r>
      <w:r/>
    </w:p>
    <w:tbl>
      <w:tblPr>
        <w:tblW w:w="86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02"/>
        <w:gridCol w:w="5550"/>
      </w:tblGrid>
      <w:tr>
        <w:trPr/>
        <w:tc>
          <w:tcPr>
            <w:tcW w:w="3102"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项  目</w:t>
            </w:r>
            <w:r>
              <w:rPr>
                <w:rFonts w:hint="eastAsia" w:ascii="宋体" w:hAnsi="宋体" w:eastAsia="宋体" w:cs="宋体"/>
                <w:b/>
                <w:sz w:val="24"/>
                <w:szCs w:val="24"/>
              </w:rPr>
            </w:r>
            <w:r/>
          </w:p>
        </w:tc>
        <w:tc>
          <w:tcPr>
            <w:tcW w:w="5550"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参  数</w:t>
            </w:r>
            <w:r>
              <w:rPr>
                <w:rFonts w:hint="eastAsia" w:ascii="宋体" w:hAnsi="宋体" w:eastAsia="宋体" w:cs="宋体"/>
                <w:b/>
                <w:sz w:val="24"/>
                <w:szCs w:val="24"/>
              </w:rPr>
            </w:r>
            <w:r/>
          </w:p>
        </w:tc>
      </w:tr>
      <w:tr>
        <w:trPr/>
        <w:tc>
          <w:tcPr>
            <w:tcW w:w="3102"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水  量</w:t>
            </w:r>
            <w:r>
              <w:rPr>
                <w:rFonts w:hint="eastAsia" w:ascii="宋体" w:hAnsi="宋体" w:eastAsia="宋体" w:cs="宋体"/>
                <w:sz w:val="24"/>
                <w:szCs w:val="24"/>
              </w:rPr>
            </w:r>
            <w:r/>
          </w:p>
        </w:tc>
        <w:tc>
          <w:tcPr>
            <w:tcW w:w="5550"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 m</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/h</w:t>
            </w:r>
            <w:r>
              <w:rPr>
                <w:rFonts w:hint="eastAsia" w:ascii="宋体" w:hAnsi="宋体" w:eastAsia="宋体" w:cs="宋体"/>
                <w:bCs/>
                <w:sz w:val="24"/>
                <w:szCs w:val="24"/>
              </w:rPr>
            </w:r>
            <w:r/>
          </w:p>
        </w:tc>
      </w:tr>
      <w:tr>
        <w:trPr/>
        <w:tc>
          <w:tcPr>
            <w:tcW w:w="3102"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扬  程</w:t>
            </w:r>
            <w:r>
              <w:rPr>
                <w:rFonts w:hint="eastAsia" w:ascii="宋体" w:hAnsi="宋体" w:eastAsia="宋体" w:cs="宋体"/>
                <w:sz w:val="24"/>
                <w:szCs w:val="24"/>
              </w:rPr>
            </w:r>
            <w:r/>
          </w:p>
        </w:tc>
        <w:tc>
          <w:tcPr>
            <w:tcW w:w="5550"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rPr>
              <w:t xml:space="preserve">10 m</w:t>
            </w:r>
            <w:r>
              <w:rPr>
                <w:rFonts w:hint="eastAsia" w:ascii="宋体" w:hAnsi="宋体" w:eastAsia="宋体" w:cs="宋体"/>
                <w:bCs/>
                <w:sz w:val="24"/>
                <w:szCs w:val="24"/>
              </w:rPr>
            </w:r>
            <w:r/>
          </w:p>
        </w:tc>
      </w:tr>
      <w:tr>
        <w:trPr/>
        <w:tc>
          <w:tcPr>
            <w:tcW w:w="3102"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额定功率</w:t>
            </w:r>
            <w:r>
              <w:rPr>
                <w:rFonts w:hint="eastAsia" w:ascii="宋体" w:hAnsi="宋体" w:eastAsia="宋体" w:cs="宋体"/>
                <w:sz w:val="24"/>
                <w:szCs w:val="24"/>
              </w:rPr>
            </w:r>
            <w:r/>
          </w:p>
        </w:tc>
        <w:tc>
          <w:tcPr>
            <w:tcW w:w="5550"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 kw</w:t>
            </w:r>
            <w:r>
              <w:rPr>
                <w:rFonts w:hint="eastAsia" w:ascii="宋体" w:hAnsi="宋体" w:eastAsia="宋体" w:cs="宋体"/>
                <w:bCs/>
                <w:sz w:val="24"/>
                <w:szCs w:val="24"/>
              </w:rPr>
            </w:r>
            <w:r/>
          </w:p>
        </w:tc>
      </w:tr>
      <w:tr>
        <w:trPr/>
        <w:tc>
          <w:tcPr>
            <w:tcW w:w="3102"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rPr>
                <w:rFonts w:hint="eastAsia" w:ascii="宋体" w:hAnsi="宋体" w:eastAsia="宋体" w:cs="宋体"/>
                <w:sz w:val="24"/>
                <w:szCs w:val="24"/>
              </w:rPr>
            </w:r>
            <w:r/>
          </w:p>
        </w:tc>
        <w:tc>
          <w:tcPr>
            <w:tcW w:w="5550"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2台，1用1备</w:t>
            </w:r>
            <w:r>
              <w:rPr>
                <w:rFonts w:hint="eastAsia" w:ascii="宋体" w:hAnsi="宋体" w:eastAsia="宋体" w:cs="宋体"/>
                <w:sz w:val="24"/>
                <w:szCs w:val="24"/>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配套液位控制器根据收集池内液位自动开关</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3、一体化净水装置</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收集池提升至一体化净水装置内，装置内分成隔油与生物曝气两段式处理。首先，废水经过隔油与沉淀部分，去除水中浮油与悬浮物，使水体澄清无杂质；一体化净水装置参数如下：</w:t>
      </w:r>
      <w:r>
        <w:rPr>
          <w:rFonts w:hint="eastAsia" w:ascii="宋体" w:hAnsi="宋体" w:eastAsia="宋体" w:cs="宋体"/>
          <w:b w:val="0"/>
          <w:bCs w:val="0"/>
          <w:color w:val="000000"/>
          <w:sz w:val="24"/>
          <w:szCs w:val="24"/>
          <w:highlight w:val="none"/>
          <w:lang w:val="en-US" w:eastAsia="zh-CN"/>
        </w:rPr>
      </w:r>
      <w:r/>
    </w:p>
    <w:tbl>
      <w:tblPr>
        <w:tblW w:w="86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1"/>
        <w:gridCol w:w="4970"/>
      </w:tblGrid>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项  目</w:t>
            </w:r>
            <w:r>
              <w:rPr>
                <w:rFonts w:hint="eastAsia" w:ascii="宋体" w:hAnsi="宋体" w:eastAsia="宋体" w:cs="宋体"/>
                <w:b/>
                <w:sz w:val="24"/>
                <w:szCs w:val="24"/>
              </w:rPr>
            </w:r>
            <w:r/>
          </w:p>
        </w:tc>
        <w:tc>
          <w:tcPr>
            <w:tcW w:w="4970"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参  数</w:t>
            </w:r>
            <w:r>
              <w:rPr>
                <w:rFonts w:hint="eastAsia" w:ascii="宋体" w:hAnsi="宋体" w:eastAsia="宋体" w:cs="宋体"/>
                <w:b/>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一体化装置外形尺寸</w:t>
            </w:r>
            <w:r>
              <w:rPr>
                <w:rFonts w:hint="eastAsia" w:ascii="宋体" w:hAnsi="宋体" w:eastAsia="宋体" w:cs="宋体"/>
                <w:sz w:val="24"/>
                <w:szCs w:val="24"/>
              </w:rPr>
            </w:r>
            <w:r/>
          </w:p>
        </w:tc>
        <w:tc>
          <w:tcPr>
            <w:tcW w:w="497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lang w:val="en-US" w:eastAsia="zh-CN"/>
              </w:rPr>
            </w:pP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000</w:t>
            </w:r>
            <w:r>
              <w:rPr>
                <w:rFonts w:hint="eastAsia" w:ascii="宋体" w:hAnsi="宋体" w:eastAsia="宋体" w:cs="宋体"/>
                <w:bCs/>
                <w:sz w:val="24"/>
                <w:szCs w:val="24"/>
                <w:u w:val="single"/>
              </w:rPr>
              <w:t xml:space="preserve">×</w:t>
            </w:r>
            <w:r>
              <w:rPr>
                <w:rFonts w:hint="eastAsia" w:ascii="宋体" w:hAnsi="宋体" w:eastAsia="宋体" w:cs="宋体"/>
                <w:sz w:val="24"/>
                <w:szCs w:val="24"/>
                <w:u w:val="single"/>
              </w:rPr>
              <w:t xml:space="preserve">3000</w:t>
            </w:r>
            <w:r>
              <w:rPr>
                <w:rFonts w:hint="eastAsia" w:ascii="宋体" w:hAnsi="宋体" w:eastAsia="宋体" w:cs="宋体"/>
                <w:bCs/>
                <w:sz w:val="24"/>
                <w:szCs w:val="24"/>
                <w:u w:val="single"/>
              </w:rPr>
              <w:t xml:space="preserve">×</w:t>
            </w:r>
            <w:r>
              <w:rPr>
                <w:rFonts w:hint="eastAsia" w:ascii="宋体" w:hAnsi="宋体" w:eastAsia="宋体" w:cs="宋体"/>
                <w:sz w:val="24"/>
                <w:szCs w:val="24"/>
                <w:u w:val="single"/>
              </w:rPr>
              <w:t xml:space="preserve">3</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rPr>
              <w:t xml:space="preserve">00 mm</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u w:val="single"/>
              </w:rPr>
              <w:t xml:space="preserve">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mm，Q235</w:t>
            </w:r>
            <w:r>
              <w:rPr>
                <w:rFonts w:hint="eastAsia" w:ascii="宋体" w:hAnsi="宋体" w:eastAsia="宋体" w:cs="宋体"/>
                <w:bCs/>
                <w:sz w:val="24"/>
                <w:szCs w:val="24"/>
                <w:lang w:val="en-US" w:eastAsia="zh-CN"/>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rPr>
                <w:rFonts w:hint="eastAsia" w:ascii="宋体" w:hAnsi="宋体" w:eastAsia="宋体" w:cs="宋体"/>
                <w:sz w:val="24"/>
                <w:szCs w:val="24"/>
              </w:rPr>
            </w:r>
            <w:r/>
          </w:p>
        </w:tc>
        <w:tc>
          <w:tcPr>
            <w:tcW w:w="497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台</w:t>
            </w:r>
            <w:r>
              <w:rPr>
                <w:rFonts w:hint="eastAsia" w:ascii="宋体" w:hAnsi="宋体" w:eastAsia="宋体" w:cs="宋体"/>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结  构</w:t>
            </w:r>
            <w:r>
              <w:rPr>
                <w:rFonts w:hint="eastAsia" w:ascii="宋体" w:hAnsi="宋体" w:eastAsia="宋体" w:cs="宋体"/>
                <w:sz w:val="24"/>
                <w:szCs w:val="24"/>
              </w:rPr>
            </w:r>
            <w:r/>
          </w:p>
        </w:tc>
        <w:tc>
          <w:tcPr>
            <w:tcW w:w="497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碳钢防腐</w:t>
            </w:r>
            <w:r>
              <w:rPr>
                <w:rFonts w:hint="eastAsia" w:ascii="宋体" w:hAnsi="宋体" w:eastAsia="宋体" w:cs="宋体"/>
                <w:sz w:val="24"/>
                <w:szCs w:val="24"/>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兼氧池（包含在一体化装置内）参数为：</w:t>
      </w:r>
      <w:r>
        <w:rPr>
          <w:rFonts w:hint="eastAsia" w:ascii="宋体" w:hAnsi="宋体" w:eastAsia="宋体" w:cs="宋体"/>
          <w:b w:val="0"/>
          <w:bCs w:val="0"/>
          <w:color w:val="000000"/>
          <w:sz w:val="24"/>
          <w:szCs w:val="24"/>
          <w:highlight w:val="none"/>
          <w:lang w:val="en-US" w:eastAsia="zh-CN"/>
        </w:rPr>
      </w:r>
      <w:r/>
    </w:p>
    <w:tbl>
      <w:tblPr>
        <w:tblW w:w="86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1"/>
        <w:gridCol w:w="5000"/>
      </w:tblGrid>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项  目</w:t>
            </w:r>
            <w:r>
              <w:rPr>
                <w:rFonts w:hint="eastAsia" w:ascii="宋体" w:hAnsi="宋体" w:eastAsia="宋体" w:cs="宋体"/>
                <w:b/>
                <w:sz w:val="24"/>
                <w:szCs w:val="24"/>
              </w:rPr>
            </w:r>
            <w:r/>
          </w:p>
        </w:tc>
        <w:tc>
          <w:tcPr>
            <w:tcW w:w="5000"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参  数</w:t>
            </w:r>
            <w:r>
              <w:rPr>
                <w:rFonts w:hint="eastAsia" w:ascii="宋体" w:hAnsi="宋体" w:eastAsia="宋体" w:cs="宋体"/>
                <w:b/>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外形尺寸</w:t>
            </w:r>
            <w:r>
              <w:rPr>
                <w:rFonts w:hint="eastAsia" w:ascii="宋体" w:hAnsi="宋体" w:eastAsia="宋体" w:cs="宋体"/>
                <w:sz w:val="24"/>
                <w:szCs w:val="24"/>
              </w:rPr>
            </w:r>
            <w:r/>
          </w:p>
        </w:tc>
        <w:tc>
          <w:tcPr>
            <w:tcW w:w="500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00</w:t>
            </w:r>
            <w:r>
              <w:rPr>
                <w:rFonts w:hint="eastAsia" w:ascii="宋体" w:hAnsi="宋体" w:eastAsia="宋体" w:cs="宋体"/>
                <w:bCs/>
                <w:sz w:val="24"/>
                <w:szCs w:val="24"/>
                <w:u w:val="single"/>
              </w:rPr>
              <w:t xml:space="preserve">×</w:t>
            </w:r>
            <w:r>
              <w:rPr>
                <w:rFonts w:hint="eastAsia" w:ascii="宋体" w:hAnsi="宋体" w:eastAsia="宋体" w:cs="宋体"/>
                <w:sz w:val="24"/>
                <w:szCs w:val="24"/>
                <w:u w:val="single"/>
                <w:lang w:val="en-US" w:eastAsia="zh-CN"/>
              </w:rPr>
              <w:t xml:space="preserve">15</w:t>
            </w:r>
            <w:r>
              <w:rPr>
                <w:rFonts w:hint="eastAsia" w:ascii="宋体" w:hAnsi="宋体" w:eastAsia="宋体" w:cs="宋体"/>
                <w:sz w:val="24"/>
                <w:szCs w:val="24"/>
                <w:u w:val="single"/>
              </w:rPr>
              <w:t xml:space="preserve">00</w:t>
            </w:r>
            <w:r>
              <w:rPr>
                <w:rFonts w:hint="eastAsia" w:ascii="宋体" w:hAnsi="宋体" w:eastAsia="宋体" w:cs="宋体"/>
                <w:bCs/>
                <w:sz w:val="24"/>
                <w:szCs w:val="24"/>
                <w:u w:val="single"/>
              </w:rPr>
              <w:t xml:space="preserve">×</w:t>
            </w:r>
            <w:r>
              <w:rPr>
                <w:rFonts w:hint="eastAsia" w:ascii="宋体" w:hAnsi="宋体" w:eastAsia="宋体" w:cs="宋体"/>
                <w:sz w:val="24"/>
                <w:szCs w:val="24"/>
                <w:u w:val="single"/>
              </w:rPr>
              <w:t xml:space="preserve">3</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rPr>
              <w:t xml:space="preserve">00 mm</w:t>
            </w:r>
            <w:r>
              <w:rPr>
                <w:rFonts w:hint="eastAsia" w:ascii="宋体" w:hAnsi="宋体" w:eastAsia="宋体" w:cs="宋体"/>
                <w:bCs/>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有效容积</w:t>
            </w:r>
            <w:r>
              <w:rPr>
                <w:rFonts w:hint="eastAsia" w:ascii="宋体" w:hAnsi="宋体" w:eastAsia="宋体" w:cs="宋体"/>
                <w:sz w:val="24"/>
                <w:szCs w:val="24"/>
              </w:rPr>
            </w:r>
            <w:r/>
          </w:p>
        </w:tc>
        <w:tc>
          <w:tcPr>
            <w:tcW w:w="500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40 </w:t>
            </w:r>
            <w:r>
              <w:rPr>
                <w:rFonts w:hint="eastAsia" w:ascii="宋体" w:hAnsi="宋体" w:eastAsia="宋体" w:cs="宋体"/>
                <w:bCs/>
                <w:sz w:val="24"/>
                <w:szCs w:val="24"/>
              </w:rPr>
              <w:t xml:space="preserve">m</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停留时间</w:t>
            </w:r>
            <w:r>
              <w:rPr>
                <w:rFonts w:hint="eastAsia" w:ascii="宋体" w:hAnsi="宋体" w:eastAsia="宋体" w:cs="宋体"/>
                <w:sz w:val="24"/>
                <w:szCs w:val="24"/>
              </w:rPr>
            </w:r>
            <w:r/>
          </w:p>
        </w:tc>
        <w:tc>
          <w:tcPr>
            <w:tcW w:w="5000"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h</w:t>
            </w:r>
            <w:r>
              <w:rPr>
                <w:rFonts w:hint="eastAsia" w:ascii="宋体" w:hAnsi="宋体" w:eastAsia="宋体" w:cs="宋体"/>
                <w:bCs/>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rPr>
                <w:rFonts w:hint="eastAsia" w:ascii="宋体" w:hAnsi="宋体" w:eastAsia="宋体" w:cs="宋体"/>
                <w:sz w:val="24"/>
                <w:szCs w:val="24"/>
              </w:rPr>
            </w:r>
            <w:r/>
          </w:p>
        </w:tc>
        <w:tc>
          <w:tcPr>
            <w:tcW w:w="500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台</w:t>
            </w:r>
            <w:r>
              <w:rPr>
                <w:rFonts w:hint="eastAsia" w:ascii="宋体" w:hAnsi="宋体" w:eastAsia="宋体" w:cs="宋体"/>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结  构</w:t>
            </w:r>
            <w:r>
              <w:rPr>
                <w:rFonts w:hint="eastAsia" w:ascii="宋体" w:hAnsi="宋体" w:eastAsia="宋体" w:cs="宋体"/>
                <w:sz w:val="24"/>
                <w:szCs w:val="24"/>
              </w:rPr>
            </w:r>
            <w:r/>
          </w:p>
        </w:tc>
        <w:tc>
          <w:tcPr>
            <w:tcW w:w="500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碳钢防腐</w:t>
            </w:r>
            <w:r>
              <w:rPr>
                <w:rFonts w:hint="eastAsia" w:ascii="宋体" w:hAnsi="宋体" w:eastAsia="宋体" w:cs="宋体"/>
                <w:sz w:val="24"/>
                <w:szCs w:val="24"/>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生物曝气段，通过生长在填料上的好氧菌群的作用，充分降废水中的COD、氨氮、总磷及高锰酸钾盐去除，同时曝气过程能大大增加废水中的溶解氧含量。生物曝气部分（包含在一体化装置内）参数为：</w:t>
      </w:r>
      <w:r>
        <w:rPr>
          <w:rFonts w:hint="eastAsia" w:ascii="宋体" w:hAnsi="宋体" w:eastAsia="宋体" w:cs="宋体"/>
          <w:b w:val="0"/>
          <w:bCs w:val="0"/>
          <w:color w:val="000000"/>
          <w:sz w:val="24"/>
          <w:szCs w:val="24"/>
          <w:highlight w:val="none"/>
          <w:lang w:val="en-US" w:eastAsia="zh-CN"/>
        </w:rPr>
      </w:r>
      <w:r/>
    </w:p>
    <w:tbl>
      <w:tblPr>
        <w:tblW w:w="86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1"/>
        <w:gridCol w:w="4915"/>
      </w:tblGrid>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b/>
                <w:strike w:val="0"/>
                <w:sz w:val="24"/>
                <w:szCs w:val="24"/>
                <w:u w:val="none"/>
              </w:rPr>
            </w:pPr>
            <w:r>
              <w:rPr>
                <w:rFonts w:hint="eastAsia" w:ascii="宋体" w:hAnsi="宋体" w:eastAsia="宋体" w:cs="宋体"/>
                <w:b/>
                <w:strike w:val="0"/>
                <w:sz w:val="24"/>
                <w:szCs w:val="24"/>
                <w:u w:val="none"/>
              </w:rPr>
              <w:t xml:space="preserve">项  目</w:t>
            </w:r>
            <w:r>
              <w:rPr>
                <w:rFonts w:hint="eastAsia" w:ascii="宋体" w:hAnsi="宋体" w:eastAsia="宋体" w:cs="宋体"/>
                <w:b/>
                <w:strike w:val="0"/>
                <w:sz w:val="24"/>
                <w:szCs w:val="24"/>
                <w:u w:val="none"/>
              </w:rPr>
            </w:r>
            <w:r/>
          </w:p>
        </w:tc>
        <w:tc>
          <w:tcPr>
            <w:tcW w:w="4915" w:type="dxa"/>
            <w:vAlign w:val="center"/>
            <w:textDirection w:val="lrTb"/>
            <w:noWrap w:val="false"/>
          </w:tcPr>
          <w:p>
            <w:pPr>
              <w:pStyle w:val="1644"/>
              <w:jc w:val="center"/>
              <w:keepLines w:val="0"/>
              <w:keepNext w:val="0"/>
              <w:pageBreakBefore w:val="0"/>
              <w:widowControl w:val="off"/>
              <w:rPr>
                <w:rFonts w:hint="eastAsia" w:ascii="宋体" w:hAnsi="宋体" w:eastAsia="宋体" w:cs="宋体"/>
                <w:b/>
                <w:strike w:val="0"/>
                <w:sz w:val="24"/>
                <w:szCs w:val="24"/>
                <w:u w:val="none"/>
              </w:rPr>
            </w:pPr>
            <w:r>
              <w:rPr>
                <w:rFonts w:hint="eastAsia" w:ascii="宋体" w:hAnsi="宋体" w:eastAsia="宋体" w:cs="宋体"/>
                <w:b/>
                <w:strike w:val="0"/>
                <w:sz w:val="24"/>
                <w:szCs w:val="24"/>
                <w:u w:val="none"/>
              </w:rPr>
              <w:t xml:space="preserve">参  数</w:t>
            </w:r>
            <w:r>
              <w:rPr>
                <w:rFonts w:hint="eastAsia" w:ascii="宋体" w:hAnsi="宋体" w:eastAsia="宋体" w:cs="宋体"/>
                <w:b/>
                <w:strike w:val="0"/>
                <w:sz w:val="24"/>
                <w:szCs w:val="24"/>
                <w:u w:val="none"/>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rPr>
              <w:t xml:space="preserve">外形尺寸</w:t>
            </w:r>
            <w:r>
              <w:rPr>
                <w:rFonts w:hint="eastAsia" w:ascii="宋体" w:hAnsi="宋体" w:eastAsia="宋体" w:cs="宋体"/>
                <w:strike w:val="0"/>
                <w:sz w:val="24"/>
                <w:szCs w:val="24"/>
                <w:u w:val="none"/>
              </w:rPr>
            </w:r>
            <w:r/>
          </w:p>
        </w:tc>
        <w:tc>
          <w:tcPr>
            <w:tcW w:w="4915"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trike w:val="0"/>
                <w:sz w:val="24"/>
                <w:szCs w:val="24"/>
                <w:u w:val="none"/>
              </w:rPr>
            </w:pPr>
            <w:r>
              <w:rPr>
                <w:rFonts w:hint="eastAsia" w:ascii="宋体" w:hAnsi="宋体" w:eastAsia="宋体" w:cs="宋体"/>
                <w:strike w:val="0"/>
                <w:sz w:val="24"/>
                <w:szCs w:val="24"/>
                <w:u w:val="single"/>
                <w:lang w:val="en-US" w:eastAsia="zh-CN"/>
              </w:rPr>
              <w:t xml:space="preserve">58</w:t>
            </w:r>
            <w:r>
              <w:rPr>
                <w:rFonts w:hint="eastAsia" w:ascii="宋体" w:hAnsi="宋体" w:eastAsia="宋体" w:cs="宋体"/>
                <w:strike w:val="0"/>
                <w:sz w:val="24"/>
                <w:szCs w:val="24"/>
                <w:u w:val="single"/>
              </w:rPr>
              <w:t xml:space="preserve">00</w:t>
            </w:r>
            <w:r>
              <w:rPr>
                <w:rFonts w:hint="eastAsia" w:ascii="宋体" w:hAnsi="宋体" w:eastAsia="宋体" w:cs="宋体"/>
                <w:bCs/>
                <w:strike w:val="0"/>
                <w:sz w:val="24"/>
                <w:szCs w:val="24"/>
                <w:u w:val="single"/>
              </w:rPr>
              <w:t xml:space="preserve">×</w:t>
            </w:r>
            <w:r>
              <w:rPr>
                <w:rFonts w:hint="eastAsia" w:ascii="宋体" w:hAnsi="宋体" w:eastAsia="宋体" w:cs="宋体"/>
                <w:strike w:val="0"/>
                <w:sz w:val="24"/>
                <w:szCs w:val="24"/>
                <w:u w:val="single"/>
                <w:lang w:val="en-US" w:eastAsia="zh-CN"/>
              </w:rPr>
              <w:t xml:space="preserve">15</w:t>
            </w:r>
            <w:r>
              <w:rPr>
                <w:rFonts w:hint="eastAsia" w:ascii="宋体" w:hAnsi="宋体" w:eastAsia="宋体" w:cs="宋体"/>
                <w:strike w:val="0"/>
                <w:sz w:val="24"/>
                <w:szCs w:val="24"/>
                <w:u w:val="single"/>
              </w:rPr>
              <w:t xml:space="preserve">00</w:t>
            </w:r>
            <w:r>
              <w:rPr>
                <w:rFonts w:hint="eastAsia" w:ascii="宋体" w:hAnsi="宋体" w:eastAsia="宋体" w:cs="宋体"/>
                <w:bCs/>
                <w:strike w:val="0"/>
                <w:sz w:val="24"/>
                <w:szCs w:val="24"/>
                <w:u w:val="single"/>
              </w:rPr>
              <w:t xml:space="preserve">×</w:t>
            </w:r>
            <w:r>
              <w:rPr>
                <w:rFonts w:hint="eastAsia" w:ascii="宋体" w:hAnsi="宋体" w:eastAsia="宋体" w:cs="宋体"/>
                <w:strike w:val="0"/>
                <w:sz w:val="24"/>
                <w:szCs w:val="24"/>
                <w:u w:val="single"/>
              </w:rPr>
              <w:t xml:space="preserve">3</w:t>
            </w:r>
            <w:r>
              <w:rPr>
                <w:rFonts w:hint="eastAsia" w:ascii="宋体" w:hAnsi="宋体" w:eastAsia="宋体" w:cs="宋体"/>
                <w:strike w:val="0"/>
                <w:sz w:val="24"/>
                <w:szCs w:val="24"/>
                <w:u w:val="single"/>
                <w:lang w:val="en-US" w:eastAsia="zh-CN"/>
              </w:rPr>
              <w:t xml:space="preserve">2</w:t>
            </w:r>
            <w:r>
              <w:rPr>
                <w:rFonts w:hint="eastAsia" w:ascii="宋体" w:hAnsi="宋体" w:eastAsia="宋体" w:cs="宋体"/>
                <w:strike w:val="0"/>
                <w:sz w:val="24"/>
                <w:szCs w:val="24"/>
                <w:u w:val="single"/>
              </w:rPr>
              <w:t xml:space="preserve">00 mm</w:t>
            </w:r>
            <w:r>
              <w:rPr>
                <w:rFonts w:hint="eastAsia" w:ascii="宋体" w:hAnsi="宋体" w:eastAsia="宋体" w:cs="宋体"/>
                <w:bCs/>
                <w:strike w:val="0"/>
                <w:sz w:val="24"/>
                <w:szCs w:val="24"/>
                <w:u w:val="none"/>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rPr>
              <w:t xml:space="preserve">有效容积</w:t>
            </w:r>
            <w:r>
              <w:rPr>
                <w:rFonts w:hint="eastAsia" w:ascii="宋体" w:hAnsi="宋体" w:eastAsia="宋体" w:cs="宋体"/>
                <w:strike w:val="0"/>
                <w:sz w:val="24"/>
                <w:szCs w:val="24"/>
                <w:u w:val="none"/>
              </w:rPr>
            </w:r>
            <w:r/>
          </w:p>
        </w:tc>
        <w:tc>
          <w:tcPr>
            <w:tcW w:w="4915"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trike w:val="0"/>
                <w:sz w:val="24"/>
                <w:szCs w:val="24"/>
                <w:u w:val="none"/>
              </w:rPr>
            </w:pPr>
            <w:r>
              <w:rPr>
                <w:rFonts w:hint="eastAsia" w:ascii="宋体" w:hAnsi="宋体" w:eastAsia="宋体" w:cs="宋体"/>
                <w:bCs/>
                <w:strike w:val="0"/>
                <w:sz w:val="24"/>
                <w:szCs w:val="24"/>
                <w:u w:val="none"/>
                <w:lang w:val="en-US" w:eastAsia="zh-CN"/>
              </w:rPr>
              <w:t xml:space="preserve">25</w:t>
            </w:r>
            <w:r>
              <w:rPr>
                <w:rFonts w:hint="eastAsia" w:ascii="宋体" w:hAnsi="宋体" w:eastAsia="宋体" w:cs="宋体"/>
                <w:bCs/>
                <w:strike w:val="0"/>
                <w:sz w:val="24"/>
                <w:szCs w:val="24"/>
                <w:u w:val="none"/>
              </w:rPr>
              <w:t xml:space="preserve"> m</w:t>
            </w:r>
            <w:r>
              <w:rPr>
                <w:rFonts w:hint="eastAsia" w:ascii="宋体" w:hAnsi="宋体" w:eastAsia="宋体" w:cs="宋体"/>
                <w:bCs/>
                <w:strike w:val="0"/>
                <w:sz w:val="24"/>
                <w:szCs w:val="24"/>
                <w:u w:val="none"/>
                <w:vertAlign w:val="superscript"/>
              </w:rPr>
              <w:t xml:space="preserve">3</w:t>
            </w:r>
            <w:r>
              <w:rPr>
                <w:rFonts w:hint="eastAsia" w:ascii="宋体" w:hAnsi="宋体" w:eastAsia="宋体" w:cs="宋体"/>
                <w:bCs/>
                <w:strike w:val="0"/>
                <w:sz w:val="24"/>
                <w:szCs w:val="24"/>
                <w:u w:val="none"/>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rPr>
              <w:t xml:space="preserve">停留时间</w:t>
            </w:r>
            <w:r>
              <w:rPr>
                <w:rFonts w:hint="eastAsia" w:ascii="宋体" w:hAnsi="宋体" w:eastAsia="宋体" w:cs="宋体"/>
                <w:strike w:val="0"/>
                <w:sz w:val="24"/>
                <w:szCs w:val="24"/>
                <w:u w:val="none"/>
              </w:rPr>
            </w:r>
            <w:r/>
          </w:p>
        </w:tc>
        <w:tc>
          <w:tcPr>
            <w:tcW w:w="4915"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trike w:val="0"/>
                <w:sz w:val="24"/>
                <w:szCs w:val="24"/>
                <w:u w:val="none"/>
              </w:rPr>
            </w:pPr>
            <w:r>
              <w:rPr>
                <w:rFonts w:hint="eastAsia" w:ascii="宋体" w:hAnsi="宋体" w:eastAsia="宋体" w:cs="宋体"/>
                <w:bCs/>
                <w:strike w:val="0"/>
                <w:sz w:val="24"/>
                <w:szCs w:val="24"/>
                <w:u w:val="none"/>
                <w:lang w:val="en-US" w:eastAsia="zh-CN"/>
              </w:rPr>
              <w:t xml:space="preserve">2.5</w:t>
            </w:r>
            <w:r>
              <w:rPr>
                <w:rFonts w:hint="eastAsia" w:ascii="宋体" w:hAnsi="宋体" w:eastAsia="宋体" w:cs="宋体"/>
                <w:bCs/>
                <w:strike w:val="0"/>
                <w:sz w:val="24"/>
                <w:szCs w:val="24"/>
                <w:u w:val="none"/>
              </w:rPr>
              <w:t xml:space="preserve"> h</w:t>
            </w:r>
            <w:r>
              <w:rPr>
                <w:rFonts w:hint="eastAsia" w:ascii="宋体" w:hAnsi="宋体" w:eastAsia="宋体" w:cs="宋体"/>
                <w:bCs/>
                <w:strike w:val="0"/>
                <w:sz w:val="24"/>
                <w:szCs w:val="24"/>
                <w:u w:val="none"/>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rPr>
              <w:t xml:space="preserve">数  量</w:t>
            </w:r>
            <w:r>
              <w:rPr>
                <w:rFonts w:hint="eastAsia" w:ascii="宋体" w:hAnsi="宋体" w:eastAsia="宋体" w:cs="宋体"/>
                <w:strike w:val="0"/>
                <w:sz w:val="24"/>
                <w:szCs w:val="24"/>
                <w:u w:val="none"/>
              </w:rPr>
            </w:r>
            <w:r/>
          </w:p>
        </w:tc>
        <w:tc>
          <w:tcPr>
            <w:tcW w:w="4915"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lang w:val="en-US" w:eastAsia="zh-CN"/>
              </w:rPr>
              <w:t xml:space="preserve">1</w:t>
            </w:r>
            <w:r>
              <w:rPr>
                <w:rFonts w:hint="eastAsia" w:ascii="宋体" w:hAnsi="宋体" w:eastAsia="宋体" w:cs="宋体"/>
                <w:strike w:val="0"/>
                <w:sz w:val="24"/>
                <w:szCs w:val="24"/>
                <w:u w:val="none"/>
              </w:rPr>
              <w:t xml:space="preserve">台</w:t>
            </w:r>
            <w:r>
              <w:rPr>
                <w:rFonts w:hint="eastAsia" w:ascii="宋体" w:hAnsi="宋体" w:eastAsia="宋体" w:cs="宋体"/>
                <w:strike w:val="0"/>
                <w:sz w:val="24"/>
                <w:szCs w:val="24"/>
                <w:u w:val="none"/>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rPr>
              <w:t xml:space="preserve">结  构</w:t>
            </w:r>
            <w:r>
              <w:rPr>
                <w:rFonts w:hint="eastAsia" w:ascii="宋体" w:hAnsi="宋体" w:eastAsia="宋体" w:cs="宋体"/>
                <w:strike w:val="0"/>
                <w:sz w:val="24"/>
                <w:szCs w:val="24"/>
                <w:u w:val="none"/>
              </w:rPr>
            </w:r>
            <w:r/>
          </w:p>
        </w:tc>
        <w:tc>
          <w:tcPr>
            <w:tcW w:w="4915" w:type="dxa"/>
            <w:vAlign w:val="center"/>
            <w:textDirection w:val="lrTb"/>
            <w:noWrap w:val="false"/>
          </w:tcPr>
          <w:p>
            <w:pPr>
              <w:pStyle w:val="1644"/>
              <w:jc w:val="center"/>
              <w:keepLines w:val="0"/>
              <w:keepNext w:val="0"/>
              <w:pageBreakBefore w:val="0"/>
              <w:widowControl w:val="off"/>
              <w:rPr>
                <w:rFonts w:hint="eastAsia" w:ascii="宋体" w:hAnsi="宋体" w:eastAsia="宋体" w:cs="宋体"/>
                <w:strike w:val="0"/>
                <w:sz w:val="24"/>
                <w:szCs w:val="24"/>
                <w:u w:val="none"/>
              </w:rPr>
            </w:pPr>
            <w:r>
              <w:rPr>
                <w:rFonts w:hint="eastAsia" w:ascii="宋体" w:hAnsi="宋体" w:eastAsia="宋体" w:cs="宋体"/>
                <w:strike w:val="0"/>
                <w:sz w:val="24"/>
                <w:szCs w:val="24"/>
                <w:u w:val="none"/>
              </w:rPr>
              <w:t xml:space="preserve">碳钢防腐</w:t>
            </w:r>
            <w:r>
              <w:rPr>
                <w:rFonts w:hint="eastAsia" w:ascii="宋体" w:hAnsi="宋体" w:eastAsia="宋体" w:cs="宋体"/>
                <w:strike w:val="0"/>
                <w:sz w:val="24"/>
                <w:szCs w:val="24"/>
                <w:u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生物曝气部分内配套曝气装置和生物填料，同时配有风机一台，其主要技术参数为：</w:t>
      </w:r>
      <w:r>
        <w:rPr>
          <w:rFonts w:hint="eastAsia" w:ascii="宋体" w:hAnsi="宋体" w:eastAsia="宋体" w:cs="宋体"/>
          <w:b w:val="0"/>
          <w:bCs w:val="0"/>
          <w:color w:val="000000"/>
          <w:sz w:val="24"/>
          <w:szCs w:val="24"/>
          <w:highlight w:val="none"/>
          <w:lang w:val="en-US" w:eastAsia="zh-CN"/>
        </w:rPr>
      </w:r>
      <w:r/>
    </w:p>
    <w:tbl>
      <w:tblPr>
        <w:tblW w:w="8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1"/>
        <w:gridCol w:w="5012"/>
      </w:tblGrid>
      <w:tr>
        <w:trPr/>
        <w:tc>
          <w:tcPr>
            <w:tcW w:w="3691"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u w:val="single"/>
              </w:rPr>
            </w:pPr>
            <w:r>
              <w:rPr>
                <w:rFonts w:hint="eastAsia" w:ascii="宋体" w:hAnsi="宋体" w:eastAsia="宋体" w:cs="宋体"/>
                <w:b/>
                <w:sz w:val="24"/>
                <w:szCs w:val="24"/>
                <w:u w:val="single"/>
              </w:rPr>
              <w:t xml:space="preserve">项  目</w:t>
            </w:r>
            <w:r>
              <w:rPr>
                <w:rFonts w:hint="eastAsia" w:ascii="宋体" w:hAnsi="宋体" w:eastAsia="宋体" w:cs="宋体"/>
                <w:b/>
                <w:sz w:val="24"/>
                <w:szCs w:val="24"/>
                <w:u w:val="single"/>
              </w:rPr>
            </w:r>
            <w:r/>
          </w:p>
        </w:tc>
        <w:tc>
          <w:tcPr>
            <w:tcW w:w="5012"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u w:val="single"/>
              </w:rPr>
            </w:pPr>
            <w:r>
              <w:rPr>
                <w:rFonts w:hint="eastAsia" w:ascii="宋体" w:hAnsi="宋体" w:eastAsia="宋体" w:cs="宋体"/>
                <w:b/>
                <w:strike w:val="0"/>
                <w:sz w:val="24"/>
                <w:szCs w:val="24"/>
                <w:u w:val="none"/>
              </w:rPr>
              <w:t xml:space="preserve">参  数</w:t>
            </w:r>
            <w:r>
              <w:rPr>
                <w:rFonts w:hint="eastAsia" w:ascii="宋体" w:hAnsi="宋体" w:eastAsia="宋体" w:cs="宋体"/>
                <w:b/>
                <w:sz w:val="24"/>
                <w:szCs w:val="24"/>
                <w:u w:val="single"/>
              </w:rPr>
            </w:r>
            <w:r/>
          </w:p>
        </w:tc>
      </w:tr>
      <w:tr>
        <w:trPr/>
        <w:tc>
          <w:tcPr>
            <w:tcW w:w="3691"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风 量</w:t>
            </w:r>
            <w:r>
              <w:rPr>
                <w:rFonts w:hint="eastAsia" w:ascii="宋体" w:hAnsi="宋体" w:eastAsia="宋体" w:cs="宋体"/>
                <w:sz w:val="24"/>
                <w:szCs w:val="24"/>
                <w:u w:val="single"/>
              </w:rPr>
            </w:r>
            <w:r/>
          </w:p>
        </w:tc>
        <w:tc>
          <w:tcPr>
            <w:tcW w:w="5012"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u w:val="single"/>
              </w:rPr>
            </w:pPr>
            <w:r>
              <w:rPr>
                <w:rFonts w:hint="eastAsia" w:ascii="宋体" w:hAnsi="宋体" w:eastAsia="宋体" w:cs="宋体"/>
                <w:strike w:val="0"/>
                <w:sz w:val="24"/>
                <w:szCs w:val="24"/>
                <w:u w:val="none"/>
                <w:lang w:val="en-US" w:eastAsia="zh-CN"/>
              </w:rPr>
              <w:t xml:space="preserve">2</w:t>
            </w:r>
            <w:r>
              <w:rPr>
                <w:rFonts w:hint="eastAsia" w:ascii="宋体" w:hAnsi="宋体" w:eastAsia="宋体" w:cs="宋体"/>
                <w:strike w:val="0"/>
                <w:sz w:val="24"/>
                <w:szCs w:val="24"/>
                <w:u w:val="none"/>
              </w:rPr>
              <w:t xml:space="preserve">.66 m</w:t>
            </w:r>
            <w:r>
              <w:rPr>
                <w:rFonts w:hint="eastAsia" w:ascii="宋体" w:hAnsi="宋体" w:eastAsia="宋体" w:cs="宋体"/>
                <w:strike w:val="0"/>
                <w:sz w:val="24"/>
                <w:szCs w:val="24"/>
                <w:u w:val="none"/>
                <w:vertAlign w:val="superscript"/>
              </w:rPr>
              <w:t xml:space="preserve">3</w:t>
            </w:r>
            <w:r>
              <w:rPr>
                <w:rFonts w:hint="eastAsia" w:ascii="宋体" w:hAnsi="宋体" w:eastAsia="宋体" w:cs="宋体"/>
                <w:strike w:val="0"/>
                <w:sz w:val="24"/>
                <w:szCs w:val="24"/>
                <w:u w:val="none"/>
              </w:rPr>
              <w:t xml:space="preserve">/min</w:t>
            </w:r>
            <w:r>
              <w:rPr>
                <w:rFonts w:hint="eastAsia" w:ascii="宋体" w:hAnsi="宋体" w:eastAsia="宋体" w:cs="宋体"/>
                <w:bCs/>
                <w:sz w:val="24"/>
                <w:szCs w:val="24"/>
                <w:u w:val="single"/>
              </w:rPr>
            </w:r>
            <w:r/>
          </w:p>
        </w:tc>
      </w:tr>
      <w:tr>
        <w:trPr/>
        <w:tc>
          <w:tcPr>
            <w:tcW w:w="3691"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风 压</w:t>
            </w:r>
            <w:r>
              <w:rPr>
                <w:rFonts w:hint="eastAsia" w:ascii="宋体" w:hAnsi="宋体" w:eastAsia="宋体" w:cs="宋体"/>
                <w:sz w:val="24"/>
                <w:szCs w:val="24"/>
              </w:rPr>
            </w:r>
            <w:r/>
          </w:p>
        </w:tc>
        <w:tc>
          <w:tcPr>
            <w:tcW w:w="5012"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bCs/>
                <w:sz w:val="24"/>
                <w:szCs w:val="24"/>
              </w:rPr>
              <w:t xml:space="preserve">0.3 kgf/cm</w:t>
            </w:r>
            <w:r>
              <w:rPr>
                <w:rFonts w:hint="eastAsia" w:ascii="宋体" w:hAnsi="宋体" w:eastAsia="宋体" w:cs="宋体"/>
                <w:bCs/>
                <w:sz w:val="24"/>
                <w:szCs w:val="24"/>
                <w:vertAlign w:val="superscript"/>
              </w:rPr>
              <w:t xml:space="preserve">2</w:t>
            </w:r>
            <w:r>
              <w:rPr>
                <w:rFonts w:hint="eastAsia" w:ascii="宋体" w:hAnsi="宋体" w:eastAsia="宋体" w:cs="宋体"/>
                <w:sz w:val="24"/>
                <w:szCs w:val="24"/>
              </w:rPr>
            </w:r>
            <w:r/>
          </w:p>
        </w:tc>
      </w:tr>
      <w:tr>
        <w:trPr/>
        <w:tc>
          <w:tcPr>
            <w:tcW w:w="3691"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电机功率</w:t>
            </w:r>
            <w:r>
              <w:rPr>
                <w:rFonts w:hint="eastAsia" w:ascii="宋体" w:hAnsi="宋体" w:eastAsia="宋体" w:cs="宋体"/>
                <w:sz w:val="24"/>
                <w:szCs w:val="24"/>
              </w:rPr>
            </w:r>
            <w:r/>
          </w:p>
        </w:tc>
        <w:tc>
          <w:tcPr>
            <w:tcW w:w="5012"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rPr>
              <w:t xml:space="preserve"> kw</w:t>
            </w:r>
            <w:r>
              <w:rPr>
                <w:rFonts w:hint="eastAsia" w:ascii="宋体" w:hAnsi="宋体" w:eastAsia="宋体" w:cs="宋体"/>
                <w:bCs/>
                <w:sz w:val="24"/>
                <w:szCs w:val="24"/>
              </w:rPr>
            </w:r>
            <w:r/>
          </w:p>
        </w:tc>
      </w:tr>
      <w:tr>
        <w:trPr/>
        <w:tc>
          <w:tcPr>
            <w:tcW w:w="3691"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rPr>
                <w:rFonts w:hint="eastAsia" w:ascii="宋体" w:hAnsi="宋体" w:eastAsia="宋体" w:cs="宋体"/>
                <w:sz w:val="24"/>
                <w:szCs w:val="24"/>
              </w:rPr>
            </w:r>
            <w:r/>
          </w:p>
        </w:tc>
        <w:tc>
          <w:tcPr>
            <w:tcW w:w="5012"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rPr>
              <w:t xml:space="preserve">1 台</w:t>
            </w:r>
            <w:r>
              <w:rPr>
                <w:rFonts w:hint="eastAsia" w:ascii="宋体" w:hAnsi="宋体" w:eastAsia="宋体" w:cs="宋体"/>
                <w:bCs/>
                <w:sz w:val="24"/>
                <w:szCs w:val="24"/>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二沉池部分内配套气提回流装置1套，其主要技术参数为：</w:t>
      </w:r>
      <w:r>
        <w:rPr>
          <w:rFonts w:hint="eastAsia" w:ascii="宋体" w:hAnsi="宋体" w:eastAsia="宋体" w:cs="宋体"/>
          <w:b w:val="0"/>
          <w:bCs w:val="0"/>
          <w:color w:val="000000"/>
          <w:sz w:val="24"/>
          <w:szCs w:val="24"/>
          <w:highlight w:val="none"/>
          <w:lang w:val="en-US" w:eastAsia="zh-CN"/>
        </w:rPr>
      </w:r>
      <w:r/>
    </w:p>
    <w:tbl>
      <w:tblPr>
        <w:tblW w:w="8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1"/>
        <w:gridCol w:w="5072"/>
      </w:tblGrid>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项  目</w:t>
            </w:r>
            <w:r>
              <w:rPr>
                <w:rFonts w:hint="eastAsia" w:ascii="宋体" w:hAnsi="宋体" w:eastAsia="宋体" w:cs="宋体"/>
                <w:b/>
                <w:sz w:val="24"/>
                <w:szCs w:val="24"/>
              </w:rPr>
            </w:r>
            <w:r/>
          </w:p>
        </w:tc>
        <w:tc>
          <w:tcPr>
            <w:tcW w:w="5072"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参  数</w:t>
            </w:r>
            <w:r>
              <w:rPr>
                <w:rFonts w:hint="eastAsia" w:ascii="宋体" w:hAnsi="宋体" w:eastAsia="宋体" w:cs="宋体"/>
                <w:b/>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外形尺寸</w:t>
            </w:r>
            <w:r>
              <w:rPr>
                <w:rFonts w:hint="eastAsia" w:ascii="宋体" w:hAnsi="宋体" w:eastAsia="宋体" w:cs="宋体"/>
                <w:sz w:val="24"/>
                <w:szCs w:val="24"/>
              </w:rPr>
            </w:r>
            <w:r/>
          </w:p>
        </w:tc>
        <w:tc>
          <w:tcPr>
            <w:tcW w:w="5072"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000</w:t>
            </w:r>
            <w:r>
              <w:rPr>
                <w:rFonts w:hint="eastAsia" w:ascii="宋体" w:hAnsi="宋体" w:eastAsia="宋体" w:cs="宋体"/>
                <w:bCs/>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00</w:t>
            </w:r>
            <w:r>
              <w:rPr>
                <w:rFonts w:hint="eastAsia" w:ascii="宋体" w:hAnsi="宋体" w:eastAsia="宋体" w:cs="宋体"/>
                <w:bCs/>
                <w:sz w:val="24"/>
                <w:szCs w:val="24"/>
              </w:rPr>
              <w:t xml:space="preserve">×</w:t>
            </w:r>
            <w:r>
              <w:rPr>
                <w:rFonts w:hint="eastAsia" w:ascii="宋体" w:hAnsi="宋体" w:eastAsia="宋体" w:cs="宋体"/>
                <w:sz w:val="24"/>
                <w:szCs w:val="24"/>
              </w:rPr>
              <w:t xml:space="preserve">3000 mm</w:t>
            </w:r>
            <w:r>
              <w:rPr>
                <w:rFonts w:hint="eastAsia" w:ascii="宋体" w:hAnsi="宋体" w:eastAsia="宋体" w:cs="宋体"/>
                <w:bCs/>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表面负荷</w:t>
            </w:r>
            <w:r>
              <w:rPr>
                <w:rFonts w:hint="eastAsia" w:ascii="宋体" w:hAnsi="宋体" w:eastAsia="宋体" w:cs="宋体"/>
                <w:sz w:val="24"/>
                <w:szCs w:val="24"/>
              </w:rPr>
            </w:r>
            <w:r/>
          </w:p>
        </w:tc>
        <w:tc>
          <w:tcPr>
            <w:tcW w:w="5072"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m</w:t>
            </w:r>
            <w:r>
              <w:rPr>
                <w:rFonts w:hint="eastAsia" w:ascii="宋体" w:hAnsi="宋体" w:eastAsia="宋体" w:cs="宋体"/>
                <w:bCs/>
                <w:sz w:val="24"/>
                <w:szCs w:val="24"/>
                <w:vertAlign w:val="superscript"/>
              </w:rPr>
              <w:t xml:space="preserve">3</w:t>
            </w:r>
            <w:r>
              <w:rPr>
                <w:rFonts w:hint="eastAsia" w:ascii="宋体" w:hAnsi="宋体" w:eastAsia="宋体" w:cs="宋体"/>
                <w:bCs/>
                <w:sz w:val="24"/>
                <w:szCs w:val="24"/>
              </w:rPr>
              <w:t xml:space="preserve">/(m</w:t>
            </w:r>
            <w:r>
              <w:rPr>
                <w:rFonts w:hint="eastAsia" w:ascii="宋体" w:hAnsi="宋体" w:eastAsia="宋体" w:cs="宋体"/>
                <w:bCs/>
                <w:sz w:val="24"/>
                <w:szCs w:val="24"/>
                <w:vertAlign w:val="superscript"/>
              </w:rPr>
              <w:t xml:space="preserve">2</w:t>
            </w:r>
            <w:r>
              <w:rPr>
                <w:rFonts w:hint="eastAsia" w:ascii="宋体" w:hAnsi="宋体" w:eastAsia="宋体" w:cs="宋体"/>
                <w:bCs/>
                <w:sz w:val="24"/>
                <w:szCs w:val="24"/>
              </w:rPr>
              <w:t xml:space="preserve">*h)</w:t>
            </w:r>
            <w:r>
              <w:rPr>
                <w:rFonts w:hint="eastAsia" w:ascii="宋体" w:hAnsi="宋体" w:eastAsia="宋体" w:cs="宋体"/>
                <w:bCs/>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rPr>
                <w:rFonts w:hint="eastAsia" w:ascii="宋体" w:hAnsi="宋体" w:eastAsia="宋体" w:cs="宋体"/>
                <w:sz w:val="24"/>
                <w:szCs w:val="24"/>
              </w:rPr>
            </w:r>
            <w:r/>
          </w:p>
        </w:tc>
        <w:tc>
          <w:tcPr>
            <w:tcW w:w="5072"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台</w:t>
            </w:r>
            <w:r>
              <w:rPr>
                <w:rFonts w:hint="eastAsia" w:ascii="宋体" w:hAnsi="宋体" w:eastAsia="宋体" w:cs="宋体"/>
                <w:sz w:val="24"/>
                <w:szCs w:val="24"/>
              </w:rPr>
            </w:r>
            <w:r/>
          </w:p>
        </w:tc>
      </w:tr>
      <w:tr>
        <w:trPr/>
        <w:tc>
          <w:tcPr>
            <w:tcW w:w="369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结  构</w:t>
            </w:r>
            <w:r>
              <w:rPr>
                <w:rFonts w:hint="eastAsia" w:ascii="宋体" w:hAnsi="宋体" w:eastAsia="宋体" w:cs="宋体"/>
                <w:sz w:val="24"/>
                <w:szCs w:val="24"/>
              </w:rPr>
            </w:r>
            <w:r/>
          </w:p>
        </w:tc>
        <w:tc>
          <w:tcPr>
            <w:tcW w:w="5072"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碳钢防腐</w:t>
            </w:r>
            <w:r>
              <w:rPr>
                <w:rFonts w:hint="eastAsia" w:ascii="宋体" w:hAnsi="宋体" w:eastAsia="宋体" w:cs="宋体"/>
                <w:sz w:val="24"/>
                <w:szCs w:val="24"/>
              </w:rPr>
            </w:r>
            <w:r/>
          </w:p>
        </w:tc>
      </w:tr>
    </w:tbl>
    <w:p>
      <w:pPr>
        <w:pStyle w:val="1644"/>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四、技术要求</w:t>
      </w:r>
      <w:r>
        <w:rPr>
          <w:rFonts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（一）工艺</w:t>
      </w:r>
      <w:r>
        <w:rPr>
          <w:rFonts w:hint="eastAsia" w:ascii="宋体" w:hAnsi="宋体" w:eastAsia="宋体" w:cs="宋体"/>
          <w:b/>
          <w:bCs/>
          <w:color w:val="000000"/>
          <w:sz w:val="24"/>
          <w:szCs w:val="24"/>
          <w:highlight w:val="none"/>
          <w:lang w:val="en-US" w:eastAsia="zh-CN"/>
        </w:rPr>
      </w:r>
      <w:r/>
    </w:p>
    <w:p>
      <w:pPr>
        <w:pStyle w:val="1644"/>
        <w:numPr>
          <w:ilvl w:val="0"/>
          <w:numId w:val="0"/>
        </w:numPr>
        <w:ind w:left="0" w:right="0" w:firstLine="0"/>
        <w:jc w:val="center"/>
        <w:spacing w:line="240" w:lineRule="atLeast"/>
        <w:rPr>
          <w:rFonts w:hint="eastAsia" w:hAnsi="宋体"/>
          <w:sz w:val="32"/>
          <w:szCs w:val="32"/>
          <w:highlight w:val="none"/>
          <w:lang w:val="zh-CN"/>
        </w:rPr>
      </w:pPr>
      <w:r>
        <w:rPr>
          <w:rFonts w:hint="eastAsia" w:hAnsi="宋体"/>
          <w:sz w:val="32"/>
          <w:szCs w:val="32"/>
          <w:highlight w:val="none"/>
          <w:lang w:val="zh-CN"/>
        </w:rPr>
        <mc:AlternateContent>
          <mc:Choice Requires="wpg">
            <w:drawing>
              <wp:inline xmlns:wp="http://schemas.openxmlformats.org/drawingml/2006/wordprocessingDrawing" distT="0" distB="0" distL="0" distR="0">
                <wp:extent cx="4562475" cy="38957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562475" cy="3895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59.2pt;height:306.8pt;mso-wrap-distance-left:0.0pt;mso-wrap-distance-top:0.0pt;mso-wrap-distance-right:0.0pt;mso-wrap-distance-bottom:0.0pt;" stroked="f">
                <v:path textboxrect="0,0,0,0"/>
                <v:imagedata r:id="rId33" o:title=""/>
              </v:shape>
            </w:pict>
          </mc:Fallback>
        </mc:AlternateContent>
      </w:r>
      <w:r>
        <w:rPr>
          <w:rFonts w:hint="eastAsia" w:hAnsi="宋体"/>
          <w:sz w:val="32"/>
          <w:szCs w:val="32"/>
          <w:highlight w:val="none"/>
          <w:lang w:val="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（二）技术指标</w:t>
      </w:r>
      <w:r>
        <w:rPr>
          <w:rFonts w:hint="eastAsia"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走马塘河嵩山桥两侧雨水井治理技术指标要求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根据现场勘察，设计水量200m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/d，估算出排口的平均排水量为10m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/h，现场采集水样后检测结果如下，经过一体化净水装置处理后废水需达到《地表水环境质量标准(GB3838-2002）》Ⅲ类水水质。</w:t>
      </w:r>
      <w:r>
        <w:rPr>
          <w:rFonts w:hint="eastAsia" w:ascii="宋体" w:hAnsi="宋体" w:eastAsia="宋体" w:cs="宋体"/>
          <w:b w:val="0"/>
          <w:bCs w:val="0"/>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8"/>
        <w:gridCol w:w="1088"/>
        <w:gridCol w:w="700"/>
        <w:gridCol w:w="998"/>
        <w:gridCol w:w="1029"/>
        <w:gridCol w:w="1365"/>
        <w:gridCol w:w="1228"/>
      </w:tblGrid>
      <w:tr>
        <w:trPr/>
        <w:tc>
          <w:tcPr>
            <w:tcW w:w="18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污染物名称</w:t>
            </w:r>
            <w:r>
              <w:rPr>
                <w:rFonts w:hint="eastAsia" w:ascii="宋体" w:hAnsi="宋体" w:eastAsia="宋体" w:cs="宋体"/>
                <w:sz w:val="24"/>
                <w:szCs w:val="24"/>
                <w:highlight w:val="none"/>
              </w:rPr>
            </w:r>
            <w:r/>
          </w:p>
        </w:tc>
        <w:tc>
          <w:tcPr>
            <w:tcW w:w="10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COD</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700"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w:t>
            </w:r>
            <w:r>
              <w:rPr>
                <w:rFonts w:hint="eastAsia" w:ascii="宋体" w:hAnsi="宋体" w:eastAsia="宋体" w:cs="宋体"/>
                <w:sz w:val="24"/>
                <w:szCs w:val="24"/>
                <w:highlight w:val="none"/>
              </w:rPr>
            </w:r>
            <w:r/>
          </w:p>
        </w:tc>
        <w:tc>
          <w:tcPr>
            <w:tcW w:w="99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NH</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-N</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1029"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TP</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1365"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COD</w:t>
            </w:r>
            <w:r>
              <w:rPr>
                <w:rFonts w:hint="eastAsia" w:ascii="宋体" w:hAnsi="宋体" w:eastAsia="宋体" w:cs="宋体"/>
                <w:sz w:val="24"/>
                <w:szCs w:val="24"/>
                <w:highlight w:val="none"/>
                <w:vertAlign w:val="subscript"/>
              </w:rPr>
              <w:t xml:space="preserve">Mn</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1228" w:type="dxa"/>
            <w:vAlign w:val="top"/>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DO</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r>
      <w:tr>
        <w:trPr/>
        <w:tc>
          <w:tcPr>
            <w:tcW w:w="18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原水</w:t>
            </w:r>
            <w:r>
              <w:rPr>
                <w:rFonts w:hint="eastAsia" w:ascii="宋体" w:hAnsi="宋体" w:eastAsia="宋体" w:cs="宋体"/>
                <w:sz w:val="24"/>
                <w:szCs w:val="24"/>
                <w:highlight w:val="none"/>
              </w:rPr>
            </w:r>
            <w:r/>
          </w:p>
        </w:tc>
        <w:tc>
          <w:tcPr>
            <w:tcW w:w="10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60-100</w:t>
            </w:r>
            <w:r>
              <w:rPr>
                <w:rFonts w:hint="eastAsia" w:ascii="宋体" w:hAnsi="宋体" w:eastAsia="宋体" w:cs="宋体"/>
                <w:sz w:val="24"/>
                <w:szCs w:val="24"/>
                <w:highlight w:val="none"/>
              </w:rPr>
            </w:r>
            <w:r/>
          </w:p>
        </w:tc>
        <w:tc>
          <w:tcPr>
            <w:tcW w:w="700"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6-9</w:t>
            </w:r>
            <w:r>
              <w:rPr>
                <w:rFonts w:hint="eastAsia" w:ascii="宋体" w:hAnsi="宋体" w:eastAsia="宋体" w:cs="宋体"/>
                <w:sz w:val="24"/>
                <w:szCs w:val="24"/>
                <w:highlight w:val="none"/>
              </w:rPr>
            </w:r>
            <w:r/>
          </w:p>
        </w:tc>
        <w:tc>
          <w:tcPr>
            <w:tcW w:w="99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029"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w:t>
            </w:r>
            <w:r>
              <w:rPr>
                <w:rFonts w:hint="eastAsia" w:ascii="宋体" w:hAnsi="宋体" w:eastAsia="宋体" w:cs="宋体"/>
                <w:sz w:val="24"/>
                <w:szCs w:val="24"/>
                <w:highlight w:val="none"/>
              </w:rPr>
            </w:r>
            <w:r/>
          </w:p>
        </w:tc>
        <w:tc>
          <w:tcPr>
            <w:tcW w:w="1365"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122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18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设备排口</w:t>
            </w:r>
            <w:r>
              <w:rPr>
                <w:rFonts w:hint="eastAsia" w:ascii="宋体" w:hAnsi="宋体" w:eastAsia="宋体" w:cs="宋体"/>
                <w:sz w:val="24"/>
                <w:szCs w:val="24"/>
                <w:highlight w:val="none"/>
              </w:rPr>
            </w:r>
            <w:r/>
          </w:p>
        </w:tc>
        <w:tc>
          <w:tcPr>
            <w:tcW w:w="10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700"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6-9</w:t>
            </w:r>
            <w:r>
              <w:rPr>
                <w:rFonts w:hint="eastAsia" w:ascii="宋体" w:hAnsi="宋体" w:eastAsia="宋体" w:cs="宋体"/>
                <w:sz w:val="24"/>
                <w:szCs w:val="24"/>
                <w:highlight w:val="none"/>
              </w:rPr>
            </w:r>
            <w:r/>
          </w:p>
        </w:tc>
        <w:tc>
          <w:tcPr>
            <w:tcW w:w="99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1029"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w:t>
            </w:r>
            <w:r>
              <w:rPr>
                <w:rFonts w:hint="eastAsia" w:ascii="宋体" w:hAnsi="宋体" w:eastAsia="宋体" w:cs="宋体"/>
                <w:sz w:val="24"/>
                <w:szCs w:val="24"/>
                <w:highlight w:val="none"/>
              </w:rPr>
            </w:r>
            <w:r/>
          </w:p>
        </w:tc>
        <w:tc>
          <w:tcPr>
            <w:tcW w:w="1365"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22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r>
    </w:tbl>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（三）设备参数表</w:t>
      </w:r>
      <w:r>
        <w:rPr>
          <w:rFonts w:hint="eastAsia"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走马塘河嵩山桥两侧雨水井排口水体治理设备参数要求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雨水处理一体机有预处理区（收集池），生物反应区（缺氧反应1、好氧反应，生物二沉池），除磷深度处理（除磷罐3台，反洗装置1套），设备操作区（水泵组、风机组、电控组），四个部分组成。</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收集井</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材质：Q235A</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厚度：δ=8mm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尺寸：</w:t>
      </w:r>
      <w:r>
        <w:rPr>
          <w:rFonts w:hint="eastAsia" w:ascii="宋体" w:hAnsi="宋体" w:eastAsia="宋体" w:cs="宋体"/>
          <w:color w:val="000000"/>
          <w:sz w:val="24"/>
          <w:szCs w:val="24"/>
          <w:lang w:val="en-US" w:eastAsia="zh-CN"/>
        </w:rPr>
        <w:t xml:space="preserve">Φ2</w:t>
      </w:r>
      <w:r>
        <w:rPr>
          <w:rFonts w:hint="eastAsia" w:ascii="宋体" w:hAnsi="宋体" w:eastAsia="宋体" w:cs="宋体"/>
          <w:color w:val="000000"/>
          <w:sz w:val="24"/>
          <w:szCs w:val="24"/>
        </w:rPr>
        <w:t xml:space="preserve">000</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2500</w:t>
      </w:r>
      <w:r>
        <w:rPr>
          <w:rFonts w:hint="eastAsia" w:ascii="宋体" w:hAnsi="宋体" w:eastAsia="宋体" w:cs="宋体"/>
          <w:color w:val="000000"/>
          <w:sz w:val="24"/>
          <w:szCs w:val="24"/>
        </w:rPr>
        <w:t xml:space="preserve">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防腐：内外防锈防腐底漆一层、环氧聚氨酯防腐两层。</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一体化雨水生物处理装置： Q=10m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  P=5.5kW </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材质：Q235A</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厚度：δ=8mm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尺寸：10000×3000×3200mm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防腐：内外防锈防腐底漆一层、环氧聚氨酯防腐两层。</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技术参数：处理水量       10m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进水泵功率     1.5kW</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硝化液回流     12m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好氧池风机     4.0kW</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深度处理</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材质：Q235A</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厚度：δ=8mm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尺寸：Φ800</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防腐：内外防锈防腐底漆一层、环氧聚氨酯防腐两层。</w:t>
      </w:r>
      <w:r>
        <w:rPr>
          <w:rFonts w:hint="eastAsia" w:ascii="宋体" w:hAnsi="宋体" w:eastAsia="宋体" w:cs="宋体"/>
          <w:b w:val="0"/>
          <w:bCs w:val="0"/>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（四）工艺要求</w:t>
      </w:r>
      <w:r>
        <w:rPr>
          <w:rFonts w:hint="eastAsia"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走马塘河嵩山桥两侧雨水井排口水体治理工艺要求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1、收集池：主要作用是将雨水管网内的雨水截流收集起来，由泵提升至一体化处理设备内进行处理反应，当雨水量过大时，由溢流口直接对河道排放。配套液位控制器，用于稳定提升处理收集好的管网内雨水。</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2、缺氧反应：在池体内安装弹性填料，依附在填料上生成的兼性菌与雨水内的污染物发生反硝化反应，能去除废水COD的同时去除总氮。配套推流器，能使水中污染物更充分的与填料上的菌群充分接触反应。</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好氧反应：在风机的作用下，生长在组合填料上的好氧菌群对水中污染物进行硝化反应，去除水中的COD、氨氮等污染物，各种地表残留物也能充分彻底的去除。配套风机用于对废水充氧帮助菌群生长同时使水体与菌群充分接触反应。</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4、操作间：用于放置风机与电控柜。</w:t>
      </w: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五、项目内容</w:t>
      </w:r>
      <w:r>
        <w:rPr>
          <w:rFonts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包括但不限于：</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1向租赁方提供供货需求一览表所列全部整机设备，提供设备租赁服务。</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2提供服务期间所需的各种药剂。</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3提供服务期间的维修所需备品、备件。</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4能达到技术参数所要求的工艺完整的设备。</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服务方负责合同成套工艺设备的安装，设备的调试安装和设备之间管道的连接工作。设备安装完成后，负责合同期内雨水处理系统设备的正常运行并满足设计的各参数要求和设计的排放标准，实时配合当地相关部门验收。</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6服务方必须严格遵守安全生产法律、法规、标准、安全生产规章制度和操作规程，熟练掌握事故防范措施和事故应急处理预案。</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7、设备租赁模式费用清单：</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投标报价包含人工、材料、管理费、利润、规费、税金，以及一定的风险费用；安装设备池体、净水、加药、曝气等装置及设备防腐、配线、配管、阀门、五金等费用；运行期间人工、维护及污泥处置、药剂、检测等服务费用；设施设备均采用地埋形式（含基础）。各投标人应认真踏勘现场，并预计可能发生的费用，凡未列的一旦发生，将视为由投标人自理。</w:t>
      </w:r>
      <w:r>
        <w:rPr>
          <w:rFonts w:hint="eastAsia" w:ascii="宋体" w:hAnsi="宋体" w:eastAsia="宋体" w:cs="宋体"/>
          <w:b w:val="0"/>
          <w:bCs w:val="0"/>
          <w:color w:val="000000"/>
          <w:sz w:val="24"/>
          <w:szCs w:val="24"/>
          <w:highlight w:val="none"/>
          <w:lang w:val="en-US" w:eastAsia="zh-CN"/>
        </w:rPr>
      </w:r>
      <w:r/>
    </w:p>
    <w:tbl>
      <w:tblPr>
        <w:tblW w:w="707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9"/>
        <w:gridCol w:w="2401"/>
        <w:gridCol w:w="3969"/>
      </w:tblGrid>
      <w:tr>
        <w:trPr>
          <w:trHeight w:val="565"/>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费用内容</w:t>
            </w:r>
            <w:r>
              <w:rPr>
                <w:rFonts w:hint="eastAsia" w:ascii="宋体" w:hAnsi="宋体" w:eastAsia="宋体" w:cs="宋体"/>
                <w:b/>
                <w:bCs/>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设备使用费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租赁形式</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人工费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包括现场定期巡视</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生物菌剂</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好氧菌</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药剂费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净水剂、营养剂</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第三方水质检测费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每月检测一次</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设备维修维护费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按设备投资估算</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污泥处置费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浮油及沉淀污泥</w:t>
            </w:r>
            <w:r>
              <w:rPr>
                <w:rFonts w:hint="eastAsia" w:ascii="宋体" w:hAnsi="宋体" w:eastAsia="宋体" w:cs="宋体"/>
                <w:sz w:val="24"/>
                <w:szCs w:val="24"/>
                <w:highlight w:val="none"/>
              </w:rPr>
            </w:r>
            <w:r/>
          </w:p>
        </w:tc>
      </w:tr>
    </w:tbl>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五、最低人员配置要求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采购人</w:t>
      </w:r>
      <w:r>
        <w:rPr>
          <w:rFonts w:ascii="宋体" w:hAnsi="宋体" w:eastAsia="宋体" w:cs="宋体"/>
          <w:b w:val="0"/>
          <w:bCs w:val="0"/>
          <w:color w:val="000000"/>
          <w:sz w:val="24"/>
          <w:szCs w:val="24"/>
          <w:highlight w:val="none"/>
          <w:lang w:val="en-US" w:eastAsia="zh-CN"/>
        </w:rPr>
        <w:t xml:space="preserve">所租赁的设备到场调试完成并通过验收后，服务人员进场，投标人承诺配置专业人员不少于6人，</w:t>
      </w:r>
      <w:r>
        <w:rPr>
          <w:rFonts w:ascii="宋体" w:hAnsi="宋体" w:eastAsia="宋体" w:cs="宋体"/>
          <w:b/>
          <w:bCs/>
          <w:color w:val="000000"/>
          <w:sz w:val="24"/>
          <w:szCs w:val="24"/>
          <w:highlight w:val="none"/>
          <w:lang w:val="en-US" w:eastAsia="zh-CN"/>
        </w:rPr>
        <w:t xml:space="preserve">投标时提供承诺书</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并加盖公章原件扫描件上传至投标文件中，否则视为未响应招标文件，作废标处理。</w:t>
      </w:r>
      <w:r>
        <w:rPr>
          <w:rFonts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六、付款方式：</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合同签订后，供应商提交预付款担保（银行保函，一年期），采购人收到银行保函后支付合同价10%预付款，设备到场调试完成并检测处理后水质连续6个月达到地表水Ⅲ类要求付至合同价的40%，剩余服务费每半年支付一次。</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2、费用支付前供应商向采购人提供对应金额的技术服务发票。</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若供应商出现连续三个月一体化雨水处理设备出水水质没达到约定标准，采购人可以扣除本项目20%服务费作为违约金。若供应商出现连续六个月一体化雨水处理设备出水水质没达到约定标准，采购人可以解除本合同，供应商并按照合同总金额承担违约金。</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雨污水处理设备出水水质一般由采购人不定期采样及送有资质的检测单位进行水质检测，也可以采用快速检测进行出水水质检测。供应商也有权对雨污水处理设备出水水质通过有资质的第三方检测单位进行水质检测。</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5、采购人在收到供应商相应金额的发票后应及时安排付款，若因供应商未及时开具发票而导致采购人迟延付款的，采购人不承担违约责任。</w:t>
      </w: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七、其他要求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1、必须落实安全生产措施，按照相应国家法规及业主方要求，配备相关安全警示标志及采取相应措施。</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2、必须认真负责，并注意安全操作，如发生任何意外，负责事故处理及一切费用，概与采购人无关。</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3、派出的巡检服务人员应具备相关的专业知识及技术水平，有为采购人提供切实可行的解决方案的能力。</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4、履约保证金：本项目收取履约保证金，具体详见合同条款。</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644"/>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644"/>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644"/>
        <w:jc w:val="center"/>
        <w:spacing w:line="360" w:lineRule="auto"/>
        <w:rPr>
          <w:rFonts w:hint="eastAsia" w:ascii="Times New Roman" w:hAnsi="宋体" w:eastAsia="宋体" w:cs="宋体"/>
          <w:b/>
          <w:bCs/>
          <w:sz w:val="32"/>
          <w:szCs w:val="32"/>
          <w:highlight w:val="none"/>
          <w:lang w:val="en-US" w:eastAsia="zh-CN"/>
        </w:rPr>
        <w:outlineLvl w:val="0"/>
      </w:pPr>
      <w:r/>
      <w:bookmarkEnd w:id="28"/>
      <w:r/>
      <w:bookmarkStart w:id="31" w:name="_Toc12214"/>
      <w:r/>
      <w:bookmarkStart w:id="32" w:name="_Toc21985"/>
      <w:r/>
      <w:bookmarkStart w:id="33" w:name="_Toc17918"/>
      <w:r/>
      <w:bookmarkStart w:id="34" w:name="_Toc4709"/>
      <w:r/>
      <w:bookmarkStart w:id="35" w:name="_Toc5730"/>
      <w:r>
        <w:rPr>
          <w:rFonts w:hint="eastAsia" w:ascii="Times New Roman" w:hAnsi="宋体" w:eastAsia="宋体" w:cs="宋体"/>
          <w:b/>
          <w:bCs/>
          <w:sz w:val="32"/>
          <w:szCs w:val="32"/>
          <w:highlight w:val="none"/>
          <w:lang w:val="en-US" w:eastAsia="zh-CN"/>
        </w:rPr>
        <w:t xml:space="preserve">四、合同书（格式文本）</w:t>
      </w:r>
      <w:bookmarkEnd w:id="31"/>
      <w:r/>
      <w:bookmarkEnd w:id="32"/>
      <w:r>
        <w:rPr>
          <w:rFonts w:hint="eastAsia" w:ascii="Times New Roman" w:hAnsi="宋体" w:eastAsia="宋体" w:cs="宋体"/>
          <w:b/>
          <w:bCs/>
          <w:sz w:val="32"/>
          <w:szCs w:val="32"/>
          <w:highlight w:val="none"/>
          <w:lang w:val="en-US" w:eastAsia="zh-CN"/>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color w:val="000000"/>
          <w:sz w:val="24"/>
          <w:highlight w:val="none"/>
        </w:rPr>
        <w:t xml:space="preserve">需方</w:t>
      </w:r>
      <w:r>
        <w:rPr>
          <w:rFonts w:hint="eastAsia" w:ascii="宋体" w:hAnsi="宋体" w:eastAsia="宋体" w:cs="Times New Roman"/>
          <w:b w:val="0"/>
          <w:bCs/>
          <w:color w:val="000000"/>
          <w:sz w:val="24"/>
          <w:szCs w:val="24"/>
          <w:highlight w:val="none"/>
          <w:u w:val="none"/>
        </w:rPr>
        <w:t xml:space="preserve">（采购人）：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eastAsia="宋体" w:cs="Times New Roman"/>
          <w:b w:val="0"/>
          <w:bCs/>
          <w:color w:val="000000"/>
          <w:sz w:val="24"/>
          <w:szCs w:val="24"/>
          <w:highlight w:val="none"/>
          <w:u w:val="none"/>
        </w:rPr>
        <w:t xml:space="preserve">（中标方）：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十一、合同不可分割部分：</w:t>
      </w:r>
      <w:r>
        <w:rPr>
          <w:rFonts w:hint="eastAsia" w:hAnsi="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w:t>
      </w: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Times New Roman" w:hAnsi="宋体" w:eastAsia="宋体" w:cs="宋体"/>
          <w:bCs/>
          <w:sz w:val="24"/>
          <w:highlight w:val="none"/>
        </w:rPr>
        <w:t xml:space="preserve">在投标、评标过程中所作其它有关承诺、声明、书面澄清等均为合同不可分割的部分，与主合同具有同等法律效力。</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十二、合同备案：</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w:t>
      </w:r>
      <w:r>
        <w:rPr>
          <w:rFonts w:hint="eastAsia" w:ascii="Times New Roman" w:hAnsi="宋体" w:eastAsia="宋体" w:cs="宋体"/>
          <w:bCs/>
          <w:sz w:val="24"/>
          <w:highlight w:val="none"/>
          <w:lang w:val="en-US" w:eastAsia="zh-CN"/>
        </w:rPr>
        <w:t xml:space="preserve">供需</w:t>
      </w:r>
      <w:r>
        <w:rPr>
          <w:rFonts w:hint="eastAsia" w:ascii="Times New Roman" w:hAnsi="宋体" w:eastAsia="宋体" w:cs="宋体"/>
          <w:bCs/>
          <w:sz w:val="24"/>
          <w:highlight w:val="none"/>
        </w:rPr>
        <w:t xml:space="preserve">双方各执贰份，采购代理机构壹份。</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十三、合同生效：</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Times New Roman" w:hAnsi="宋体" w:eastAsia="宋体" w:cs="宋体"/>
          <w:bCs/>
          <w:sz w:val="24"/>
          <w:highlight w:val="none"/>
          <w:lang w:val="en-US" w:eastAsia="zh-CN"/>
        </w:rPr>
        <w:t xml:space="preserve">供需</w:t>
      </w:r>
      <w:r>
        <w:rPr>
          <w:rFonts w:hint="eastAsia" w:ascii="Times New Roman" w:hAnsi="宋体" w:eastAsia="宋体" w:cs="宋体"/>
          <w:bCs/>
          <w:sz w:val="24"/>
          <w:highlight w:val="none"/>
        </w:rPr>
        <w:t xml:space="preserve">双方</w:t>
      </w:r>
      <w:r>
        <w:rPr>
          <w:rFonts w:hint="eastAsia" w:ascii="宋体" w:hAnsi="宋体" w:eastAsia="宋体" w:cs="Times New Roman"/>
          <w:b w:val="0"/>
          <w:bCs/>
          <w:color w:val="000000"/>
          <w:sz w:val="24"/>
          <w:szCs w:val="24"/>
          <w:highlight w:val="none"/>
          <w:u w:val="none"/>
        </w:rPr>
        <w:t xml:space="preserve">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需方</w:t>
      </w:r>
      <w:r>
        <w:rPr>
          <w:rFonts w:hint="eastAsia" w:ascii="宋体" w:hAnsi="宋体"/>
          <w:bCs/>
          <w:color w:val="000000"/>
          <w:sz w:val="24"/>
          <w:highlight w:val="none"/>
        </w:rPr>
        <w:t xml:space="preserve">（采购人）：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rPr>
        <w:t xml:space="preserve">（中标方）：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644"/>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64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rPr>
        <w:t xml:space="preserve">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rPr>
        <w:t xml:space="preserve">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见证方：江苏通汇工程管理咨询有限公司（盖章）</w:t>
      </w:r>
      <w:r>
        <w:rPr>
          <w:rFonts w:hint="eastAsia" w:ascii="宋体" w:hAnsi="宋体"/>
          <w:bCs/>
          <w:color w:val="000000"/>
          <w:sz w:val="24"/>
          <w:highlight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Times New Roman" w:hAnsi="宋体" w:eastAsia="宋体" w:cs="宋体"/>
          <w:bCs/>
          <w:sz w:val="24"/>
          <w:highlight w:val="none"/>
          <w:lang w:val="en-US" w:eastAsia="zh-CN"/>
        </w:rPr>
        <w:t xml:space="preserve">供需</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644"/>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需方（采购人）：</w:t>
      </w:r>
      <w:r>
        <w:rPr>
          <w:rFonts w:hint="eastAsia" w:ascii="宋体" w:hAnsi="宋体" w:eastAsia="宋体" w:cs="Times New Roman"/>
          <w:b w:val="0"/>
          <w:bCs/>
          <w:color w:val="000000"/>
          <w:sz w:val="24"/>
          <w:szCs w:val="24"/>
          <w:highlight w:val="none"/>
          <w:u w:val="single"/>
        </w:rPr>
        <w:t xml:space="preserve">无锡市锡山区人民政府厚桥街道办事处</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sz w:val="24"/>
          <w:highlight w:val="none"/>
          <w:lang w:eastAsia="zh-CN"/>
        </w:rPr>
        <w:t xml:space="preserve">供方</w:t>
      </w:r>
      <w:r>
        <w:rPr>
          <w:rFonts w:hint="eastAsia" w:ascii="宋体" w:hAnsi="宋体" w:eastAsia="宋体" w:cs="Times New Roman"/>
          <w:b w:val="0"/>
          <w:bCs/>
          <w:color w:val="000000"/>
          <w:sz w:val="24"/>
          <w:szCs w:val="24"/>
          <w:highlight w:val="none"/>
          <w:u w:val="none"/>
        </w:rPr>
        <w:t xml:space="preserve">（中标方）：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中华人民共和国民法典》等法律法规的规定，</w:t>
      </w:r>
      <w:r>
        <w:rPr>
          <w:rFonts w:hint="eastAsia" w:ascii="宋体" w:hAnsi="宋体" w:eastAsia="宋体" w:cs="宋体"/>
          <w:sz w:val="24"/>
          <w:szCs w:val="24"/>
          <w:highlight w:val="none"/>
          <w:lang w:val="en-US" w:eastAsia="zh-CN"/>
        </w:rPr>
        <w:t xml:space="preserve">供需</w:t>
      </w:r>
      <w:r>
        <w:rPr>
          <w:rFonts w:hint="eastAsia" w:ascii="宋体" w:hAnsi="宋体" w:eastAsia="宋体" w:cs="宋体"/>
          <w:sz w:val="24"/>
          <w:szCs w:val="24"/>
          <w:highlight w:val="none"/>
        </w:rPr>
        <w:t xml:space="preserve">双方按照公开招标采购结果签订本合同。</w:t>
      </w:r>
      <w:r>
        <w:rPr>
          <w:rFonts w:hint="eastAsia" w:ascii="宋体" w:hAnsi="宋体" w:eastAsia="宋体" w:cs="宋体"/>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项目基本情况</w:t>
      </w:r>
      <w:r>
        <w:rPr>
          <w:rFonts w:hint="eastAsia" w:ascii="宋体" w:hAnsi="宋体" w:eastAsia="宋体" w:cs="宋体"/>
          <w:b/>
          <w:bCs/>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1、项目名称（项目编号）：</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2、服务内容：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3、服务范围：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4、供货期：</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4、服务期限：</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合同总价款</w:t>
      </w:r>
      <w:r>
        <w:rPr>
          <w:rFonts w:hint="eastAsia" w:ascii="宋体" w:hAnsi="宋体" w:eastAsia="宋体" w:cs="宋体"/>
          <w:b/>
          <w:bCs/>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本合同人民币总价款为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服务内容/货物与质量标准</w:t>
      </w:r>
      <w:r>
        <w:rPr>
          <w:rFonts w:hint="eastAsia" w:ascii="宋体" w:hAnsi="宋体" w:eastAsia="宋体" w:cs="宋体"/>
          <w:b/>
          <w:bCs/>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采购标的需实现的功能或者目标：由于地表污染物会随雨水进入管网时携带混入雨水中，同时污水管网老旧后会有部分污水的渗漏进雨水管网，因此需要先将雨水收集处理达到Ⅲ类水标准后再排入河道，才能保护河道环境不受污染与破坏。故厚桥街道拟针对走马塘河嵩山桥两侧雨水井排口污水处理设备租赁服务采购，服务期三年。</w:t>
      </w:r>
      <w:r>
        <w:rPr>
          <w:rFonts w:hint="eastAsia" w:ascii="宋体" w:hAnsi="宋体" w:eastAsia="宋体" w:cs="宋体"/>
          <w:b w:val="0"/>
          <w:bCs w:val="0"/>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2、目标：保证设备每天正常的运转，设备出水能满足采购人相关指标的要求（必须达到排水标准的Ⅲ类水）。</w:t>
      </w:r>
      <w:r>
        <w:rPr>
          <w:rFonts w:hint="eastAsia" w:ascii="宋体" w:hAnsi="宋体" w:eastAsia="宋体" w:cs="宋体"/>
          <w:b w:val="0"/>
          <w:bCs w:val="0"/>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3、租赁服务期满后污水处理设备产权归</w:t>
      </w:r>
      <w:r>
        <w:rPr>
          <w:rFonts w:hint="eastAsia" w:ascii="宋体" w:hAnsi="宋体" w:eastAsia="宋体" w:cs="宋体"/>
          <w:b w:val="0"/>
          <w:bCs w:val="0"/>
          <w:sz w:val="24"/>
          <w:szCs w:val="24"/>
          <w:highlight w:val="none"/>
          <w:lang w:val="en-US" w:eastAsia="zh-CN"/>
        </w:rPr>
        <w:t xml:space="preserve">需方（采购人）</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第四条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付款</w:t>
      </w:r>
      <w:r>
        <w:rPr>
          <w:rFonts w:hint="eastAsia" w:ascii="宋体" w:hAnsi="宋体" w:eastAsia="宋体" w:cs="宋体"/>
          <w:b/>
          <w:bCs/>
          <w:sz w:val="24"/>
          <w:szCs w:val="24"/>
          <w:highlight w:val="none"/>
          <w:lang w:val="en-US" w:eastAsia="zh-CN"/>
        </w:rPr>
        <w:t xml:space="preserve">方式</w:t>
      </w:r>
      <w:r>
        <w:rPr>
          <w:rFonts w:hint="eastAsia" w:ascii="宋体" w:hAnsi="宋体" w:eastAsia="宋体" w:cs="宋体"/>
          <w:b/>
          <w:bCs/>
          <w:sz w:val="24"/>
          <w:szCs w:val="24"/>
          <w:highlight w:val="none"/>
          <w:lang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合同签订后，供应商提交预付款担保（银行保函，一年期），需方收到银行保函后支付合同价10%预付款，设备到场调试完成并检测处理后水质连续6个月达到地表水Ⅲ类要求付至合同价的40%，剩余服务费每半年支付一次。</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2、费用支付前供应商向采购人提供对应金额的技术服务发票。</w:t>
      </w:r>
      <w:r>
        <w:rPr>
          <w:rFonts w:hint="eastAsia" w:ascii="宋体" w:hAnsi="宋体" w:eastAsia="宋体" w:cs="宋体"/>
          <w:b w:val="0"/>
          <w:bCs w:val="0"/>
          <w:color w:val="000000"/>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若供应商出现连续三个月一体化雨水处理设备出水水质没达到约定标准，采购人可以扣除本项目20%服务费作为违约金。若供应商出现连续六个月一体化雨水处理设备出水水质没达到约定标准，采购人可以解除本合同，供应商并按照合同总金额承担违约金。</w:t>
      </w:r>
      <w:r>
        <w:rPr>
          <w:rFonts w:hint="eastAsia" w:ascii="宋体" w:hAnsi="宋体" w:eastAsia="宋体" w:cs="宋体"/>
          <w:b w:val="0"/>
          <w:bCs w:val="0"/>
          <w:color w:val="000000"/>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雨污水处理设备出水水质一般由需方不定期采样及送有资质的检测单位进行水质检测，也可以采用快速检测进行出水水质检测。供方也有权对雨污水处理设备出水水质通过有资质的第三方检测单位进行水质检测。</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需方在收到供方相应金额的发票后应及时安排付款，若因供方未及时开具发票而导致需方迟延付款的，需方不承担违约责任。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第五条 知识产权</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供方应保证所提供的服务或其任何一部分均不会侵犯任何第三方的专利权、商标权或著作权。</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第六条 无产权瑕疵条款</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供方保证所提供的服务的所有权完全属于供方且无任何抵押、查封等产权瑕疵。如有产权瑕疵的，视为供方违约。供方应负担由此而产生的一切损失。</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第七条 需方的权利和义务</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1、需方有权对合同规定范围内供方的服务行为进行监督和检查，拥有监管权。有权定期核对供方提供服务所配备的人员数量。对需方认为不合理的部分有权下达整改通知书，并要求供方限期整改。</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2、需方有权依据双方签订的考评办法对供方提供的服务进行定期考评。当考评结果未达到标准时，有权依据考评办法约定的数额扣除履约保证金。</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3、负责检查监督供方管理工作的实施及制度的执行情况。</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4、根据本合同规定，按时向供方支付应付服务费用。</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5、国家法律、法规所规定由需方承担的其它责任。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第八条 供方的权利和义务</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1、对本合同规定的委托服务范围内的项目享有管理权及服务义务。</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2、根据本合同的规定向需方收取相关服务费用，并有权在本项目管理范围内管理及合理使用。</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3、及时向需方通告本项目服务范围内有关服务的重大事项，及时配合处理投诉。</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4、接受项目行业管理部门及政府有关部门的指导，接受需方的监督。</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5、国家法律、法规所规定由供方承担的其它责任。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第九条 违约责任</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1、供需双方必须遵守本合同并执行合同中的各项规定，保证本合同的正常履行。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如因供方工作人员在履行职务过程中的的疏忽、失职、过错等故意或者过失原因给需方造成损失或侵害，包括但不限于需方本身的财产损失、由此而导致的需方对任何第三方的法律责任等，供方对此均应承担全部的赔偿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第十条 不可抗力事件处理</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1、在合同有效期内，任何一方因不可抗力事件导致不能履行合同，则合同履行期可延长，其延长期与不可抗力影响期相同。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2、不可抗力事件发生后，应立即通知对方，并寄送有关权威机构出具的证明。</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3、不可抗力事件延续XX天以上，双方应通过友好协商，确定是否继续履行合同。</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第十一条 解决合同纠纷的方式</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1、合同履行期间,若双方发生争议，可协商或由有关部门调解解决，协商或调解不成的，由当事人向采购人项目所在地人民法院提起诉讼。</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第十二条 合同的变更及终止</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1、有下列情形之一的，本合同自行终止。</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（1）因不可抗力因素及政策原因，造成合同无法履行的。</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（2）经双方协商一致，自愿解除的。</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2、有下列情形之一的，需方有权单方终止合同。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（1）未经需方书面同意，供方擅自分包或者转包他人的。</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（2）供方不履行义务，需方有权终止承包合同。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（1）需方内部工作安排、计划调整等自身原因；</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（2）中央、省、市、区级政策变动，以及规划、计划调整等外部原因；</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（3）其他需方原因。</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本合同对合同变更、中止或终止合同有其他特殊约定的，按该特殊约定执行。</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第十二条 合同生效及其它</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1、合同经供需双方代表签字并盖章，且在江苏通汇工程管理咨询有限公司见证后即生效。</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签订后供需双方即直接产生权利与义务的关系，合同执行过程中出现的问题应按照合同约定、法律法规的规定办理。在合同履行过程中，双方如有争议，由供需双方协商处理，若协商不成，可选择以下方式处理：</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（1）向无锡仲裁委员会申请仲裁。</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（2）向需方所在地法院提起诉讼。</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4、合同中未有约定的按照有关的法律法规以及国家行业标准或技术文件规定予以解决。</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5、供需双方确认：对本合同条款及后果均已知悉，一致确认不存在欺诈、胁迫、乘人之危、重大误解、显失公平等任何可能导致合同无效或被撤销的情形。</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合同文件组成及优先顺序为①本合同②本合同相关补充协议③本合同所有附件④招标文件⑤响应文件及其附件（含评标期间的澄清文件和补充资料）⑥中标通知书。上述文件具有同等法律效力。在执行本合同的过程中，所有经双方签署确认的文件（包括会议纪要、补充协议、往来信函）即成为本合同的有效组成部分。</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第十三条 履约保证金</w:t>
      </w:r>
      <w:r>
        <w:rPr>
          <w:rFonts w:hint="eastAsia" w:ascii="宋体" w:hAnsi="宋体" w:eastAsia="宋体" w:cs="宋体"/>
          <w:b/>
          <w:bCs/>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收取履约保证金形式：</w:t>
      </w:r>
      <w:r>
        <w:rPr>
          <w:rFonts w:hint="eastAsia" w:ascii="宋体" w:hAnsi="宋体" w:eastAsia="宋体" w:cs="宋体"/>
          <w:b w:val="0"/>
          <w:bCs w:val="0"/>
          <w:color w:val="000000"/>
          <w:sz w:val="24"/>
          <w:szCs w:val="24"/>
          <w:highlight w:val="none"/>
          <w:u w:val="single"/>
          <w:lang w:val="en-US" w:eastAsia="zh-CN"/>
        </w:rPr>
        <w:t xml:space="preserve">以保函等非现金形式缴纳或提交（三年期）</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收取履约保证金金额：</w:t>
      </w:r>
      <w:r>
        <w:rPr>
          <w:rFonts w:hint="eastAsia" w:ascii="宋体" w:hAnsi="宋体" w:eastAsia="宋体" w:cs="宋体"/>
          <w:b w:val="0"/>
          <w:bCs w:val="0"/>
          <w:color w:val="000000"/>
          <w:sz w:val="24"/>
          <w:szCs w:val="24"/>
          <w:highlight w:val="none"/>
          <w:u w:val="single"/>
          <w:lang w:val="en-US" w:eastAsia="zh-CN"/>
        </w:rPr>
        <w:t xml:space="preserve">合同价款的10%</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履约担保期限：</w:t>
      </w:r>
      <w:r>
        <w:rPr>
          <w:rFonts w:hint="eastAsia" w:ascii="宋体" w:hAnsi="宋体" w:eastAsia="宋体" w:cs="宋体"/>
          <w:b w:val="0"/>
          <w:bCs w:val="0"/>
          <w:color w:val="000000"/>
          <w:sz w:val="24"/>
          <w:szCs w:val="24"/>
          <w:highlight w:val="none"/>
          <w:u w:val="single"/>
          <w:lang w:val="en-US" w:eastAsia="zh-CN"/>
        </w:rPr>
        <w:t xml:space="preserve">履约保证金将在服务完毕并考核合格后无息退回</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履约保证金的缴纳时间：</w:t>
      </w:r>
      <w:r>
        <w:rPr>
          <w:rFonts w:hint="eastAsia" w:ascii="宋体" w:hAnsi="宋体" w:eastAsia="宋体" w:cs="宋体"/>
          <w:b w:val="0"/>
          <w:bCs w:val="0"/>
          <w:color w:val="000000"/>
          <w:sz w:val="24"/>
          <w:szCs w:val="24"/>
          <w:highlight w:val="none"/>
          <w:u w:val="single"/>
          <w:lang w:val="en-US" w:eastAsia="zh-CN"/>
        </w:rPr>
        <w:t xml:space="preserve">供方在签订合同后5个工作日内，向需方提交履约保证金</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退付办法：</w:t>
      </w:r>
      <w:r>
        <w:rPr>
          <w:rFonts w:hint="eastAsia" w:ascii="宋体" w:hAnsi="宋体" w:eastAsia="宋体" w:cs="宋体"/>
          <w:b w:val="0"/>
          <w:bCs w:val="0"/>
          <w:color w:val="000000"/>
          <w:sz w:val="24"/>
          <w:szCs w:val="24"/>
          <w:highlight w:val="none"/>
          <w:u w:val="single"/>
          <w:lang w:val="en-US" w:eastAsia="zh-CN"/>
        </w:rPr>
        <w:t xml:space="preserve">与供方提交履约保证金的方式相同</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履约保证金不予退还的情形：</w:t>
      </w:r>
      <w:r>
        <w:rPr>
          <w:rFonts w:hint="eastAsia" w:ascii="宋体" w:hAnsi="宋体" w:eastAsia="宋体" w:cs="宋体"/>
          <w:b w:val="0"/>
          <w:bCs w:val="0"/>
          <w:color w:val="000000"/>
          <w:sz w:val="24"/>
          <w:szCs w:val="24"/>
          <w:highlight w:val="none"/>
          <w:u w:val="single"/>
          <w:lang w:val="en-US" w:eastAsia="zh-CN"/>
        </w:rPr>
        <w:t xml:space="preserve">①由于中标方的原因不能履约的，②在履行合同期间发生重大安全事故，给采购人造成不良影响和严重经济损失的</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逾期退还履约保证金的违约责任：</w:t>
      </w:r>
      <w:r>
        <w:rPr>
          <w:rFonts w:hint="eastAsia" w:ascii="宋体" w:hAnsi="宋体" w:eastAsia="宋体" w:cs="宋体"/>
          <w:b w:val="0"/>
          <w:bCs w:val="0"/>
          <w:color w:val="000000"/>
          <w:sz w:val="24"/>
          <w:szCs w:val="24"/>
          <w:highlight w:val="none"/>
          <w:u w:val="single"/>
          <w:lang w:val="en-US" w:eastAsia="zh-CN"/>
        </w:rPr>
        <w:t xml:space="preserve">承担履约保证金金额千分之二/天的违约</w:t>
      </w:r>
      <w:r>
        <w:rPr>
          <w:rFonts w:ascii="宋体" w:hAnsi="宋体" w:eastAsia="宋体" w:cs="宋体"/>
          <w:b w:val="0"/>
          <w:bCs w:val="0"/>
          <w:color w:val="000000"/>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644"/>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宋体"/>
          <w:sz w:val="24"/>
          <w:szCs w:val="24"/>
          <w:highlight w:val="none"/>
          <w:lang w:val="en-US" w:eastAsia="zh-CN"/>
        </w:rPr>
      </w:r>
      <w:r/>
    </w:p>
    <w:p>
      <w:pPr>
        <w:pStyle w:val="1644"/>
        <w:jc w:val="center"/>
        <w:spacing w:line="360" w:lineRule="auto"/>
        <w:rPr>
          <w:rFonts w:hint="eastAsia" w:ascii="Times New Roman" w:hAnsi="宋体" w:eastAsia="宋体" w:cs="宋体"/>
          <w:b/>
          <w:bCs/>
          <w:color w:val="000000"/>
          <w:sz w:val="32"/>
          <w:szCs w:val="32"/>
          <w:highlight w:val="none"/>
          <w:lang w:val="en-US" w:eastAsia="zh-CN"/>
        </w:rPr>
        <w:outlineLvl w:val="0"/>
      </w:pPr>
      <w:r/>
      <w:bookmarkEnd w:id="33"/>
      <w:r/>
      <w:bookmarkEnd w:id="34"/>
      <w:r/>
      <w:bookmarkEnd w:id="35"/>
      <w:r>
        <w:rPr>
          <w:rFonts w:hint="eastAsia" w:ascii="Times New Roman" w:hAnsi="宋体" w:eastAsia="宋体" w:cs="宋体"/>
          <w:b/>
          <w:bCs/>
          <w:color w:val="000000"/>
          <w:sz w:val="32"/>
          <w:szCs w:val="32"/>
          <w:highlight w:val="none"/>
          <w:lang w:val="en-US" w:eastAsia="zh-CN"/>
        </w:rPr>
        <w:t xml:space="preserve">五、附件</w:t>
      </w:r>
      <w:r>
        <w:rPr>
          <w:rFonts w:hint="eastAsia" w:ascii="Times New Roman" w:hAnsi="宋体" w:eastAsia="宋体" w:cs="宋体"/>
          <w:b/>
          <w:bCs/>
          <w:color w:val="000000"/>
          <w:sz w:val="32"/>
          <w:szCs w:val="32"/>
          <w:highlight w:val="none"/>
          <w:lang w:val="en-US" w:eastAsia="zh-CN"/>
        </w:rPr>
      </w:r>
      <w:r/>
    </w:p>
    <w:p>
      <w:pPr>
        <w:pStyle w:val="1644"/>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644"/>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68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691"/>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644"/>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691"/>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投标供应商综合情况（</w:t>
      </w:r>
      <w:r>
        <w:rPr>
          <w:rFonts w:hint="eastAsia" w:ascii="宋体" w:hAnsi="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zh-CN" w:eastAsia="zh-CN"/>
        </w:rPr>
        <w:t xml:space="preserve">（1）企业业绩（</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zh-CN" w:eastAsia="zh-CN"/>
        </w:rPr>
        <w:t xml:space="preserve">分）</w:t>
      </w:r>
      <w:r>
        <w:rPr>
          <w:rFonts w:hint="eastAsia" w:ascii="宋体" w:hAnsi="宋体" w:eastAsia="宋体" w:cs="宋体"/>
          <w:b/>
          <w:bCs w:val="0"/>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zh-CN" w:eastAsia="zh-CN"/>
        </w:rPr>
        <w:outlineLvl w:val="9"/>
      </w:pPr>
      <w:r>
        <w:rPr>
          <w:rFonts w:hint="eastAsia" w:ascii="宋体" w:hAnsi="宋体" w:eastAsia="宋体" w:cs="宋体"/>
          <w:b w:val="0"/>
          <w:bCs/>
          <w:color w:val="000000"/>
          <w:sz w:val="24"/>
          <w:szCs w:val="24"/>
          <w:highlight w:val="none"/>
          <w:lang w:val="zh-CN" w:eastAsia="zh-CN"/>
        </w:rPr>
        <w:t xml:space="preserve">供应商自20</w:t>
      </w:r>
      <w:r>
        <w:rPr>
          <w:rFonts w:hint="eastAsia" w:ascii="宋体" w:hAnsi="宋体" w:eastAsia="宋体" w:cs="宋体"/>
          <w:b w:val="0"/>
          <w:bCs/>
          <w:color w:val="000000"/>
          <w:sz w:val="24"/>
          <w:szCs w:val="24"/>
          <w:highlight w:val="none"/>
          <w:lang w:val="en-US" w:eastAsia="zh-CN"/>
        </w:rPr>
        <w:t xml:space="preserve">20</w:t>
      </w:r>
      <w:r>
        <w:rPr>
          <w:rFonts w:hint="eastAsia" w:ascii="宋体" w:hAnsi="宋体" w:eastAsia="宋体" w:cs="宋体"/>
          <w:b w:val="0"/>
          <w:bCs/>
          <w:color w:val="000000"/>
          <w:sz w:val="24"/>
          <w:szCs w:val="24"/>
          <w:highlight w:val="none"/>
          <w:lang w:val="zh-CN" w:eastAsia="zh-CN"/>
        </w:rPr>
        <w:t xml:space="preserve">年1月1日以来承接过（以合同签订时间为准，无签订时间的以合同开始履行日期为准）与本项</w:t>
      </w:r>
      <w:r>
        <w:rPr>
          <w:rFonts w:hint="eastAsia" w:ascii="宋体" w:hAnsi="宋体" w:eastAsia="宋体" w:cs="宋体"/>
          <w:b w:val="0"/>
          <w:bCs/>
          <w:color w:val="000000"/>
          <w:sz w:val="24"/>
          <w:szCs w:val="24"/>
          <w:highlight w:val="none"/>
          <w:lang w:val="en-US" w:eastAsia="zh-CN"/>
        </w:rPr>
        <w:t xml:space="preserve">目</w:t>
      </w:r>
      <w:r>
        <w:rPr>
          <w:rFonts w:hint="eastAsia" w:ascii="宋体" w:hAnsi="宋体" w:eastAsia="宋体" w:cs="宋体"/>
          <w:b w:val="0"/>
          <w:bCs/>
          <w:color w:val="000000"/>
          <w:sz w:val="24"/>
          <w:szCs w:val="24"/>
          <w:highlight w:val="none"/>
          <w:lang w:val="zh-CN" w:eastAsia="zh-CN"/>
        </w:rPr>
        <w:t xml:space="preserve">类似的业绩的，每有1项得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lang w:val="zh-CN" w:eastAsia="zh-CN"/>
        </w:rPr>
        <w:t xml:space="preserve">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CN" w:eastAsia="zh-CN"/>
        </w:rPr>
        <w:t xml:space="preserve">分。</w:t>
      </w:r>
      <w:r>
        <w:rPr>
          <w:rFonts w:hint="eastAsia" w:ascii="宋体" w:hAnsi="宋体" w:eastAsia="宋体" w:cs="宋体"/>
          <w:b w:val="0"/>
          <w:bCs/>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lang w:val="zh-CN" w:eastAsia="zh-CN"/>
        </w:rPr>
        <w:t xml:space="preserve">多个合同中</w:t>
      </w:r>
      <w:r>
        <w:rPr>
          <w:rFonts w:hint="eastAsia" w:ascii="宋体" w:hAnsi="宋体" w:eastAsia="宋体" w:cs="宋体"/>
          <w:b/>
          <w:bCs w:val="0"/>
          <w:color w:val="000000"/>
          <w:sz w:val="24"/>
          <w:szCs w:val="24"/>
          <w:highlight w:val="none"/>
          <w:lang w:val="en-US" w:eastAsia="zh-CN"/>
        </w:rPr>
        <w:t xml:space="preserve">甲</w:t>
      </w:r>
      <w:r>
        <w:rPr>
          <w:rFonts w:hint="eastAsia" w:ascii="宋体" w:hAnsi="宋体" w:eastAsia="宋体" w:cs="宋体"/>
          <w:b/>
          <w:bCs w:val="0"/>
          <w:color w:val="000000"/>
          <w:sz w:val="24"/>
          <w:szCs w:val="24"/>
          <w:highlight w:val="none"/>
          <w:lang w:val="zh-CN" w:eastAsia="zh-CN"/>
        </w:rPr>
        <w:t xml:space="preserve">方名称为同一单位的只计为一项业绩。须提供合同原件扫描件上传至投标文件并电子签章，不提供不得分。</w:t>
      </w:r>
      <w:r>
        <w:rPr>
          <w:rFonts w:hint="eastAsia" w:ascii="宋体" w:hAnsi="宋体" w:eastAsia="宋体" w:cs="宋体"/>
          <w:b w:val="0"/>
          <w:bCs/>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zh-CN" w:eastAsia="zh-CN"/>
        </w:rPr>
        <w:t xml:space="preserve">（2）</w:t>
      </w:r>
      <w:r>
        <w:rPr>
          <w:rFonts w:hint="eastAsia" w:ascii="宋体" w:hAnsi="宋体" w:eastAsia="宋体" w:cs="宋体"/>
          <w:b/>
          <w:bCs w:val="0"/>
          <w:color w:val="000000"/>
          <w:sz w:val="24"/>
          <w:szCs w:val="24"/>
          <w:highlight w:val="none"/>
          <w:lang w:val="en-US" w:eastAsia="zh-CN"/>
        </w:rPr>
        <w:t xml:space="preserve">检测报告</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eastAsia="zh-CN"/>
        </w:rPr>
        <w:t xml:space="preserve">分）</w:t>
      </w:r>
      <w:r>
        <w:rPr>
          <w:rFonts w:hint="eastAsia" w:ascii="宋体" w:hAnsi="宋体" w:eastAsia="宋体" w:cs="宋体"/>
          <w:b/>
          <w:bCs w:val="0"/>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zh-CN" w:eastAsia="zh-CN"/>
        </w:rPr>
        <w:t xml:space="preserve">设备清单清楚详尽，主要零部件的产品鉴定证书或检测报告齐全得</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分，</w:t>
      </w:r>
      <w:r>
        <w:rPr>
          <w:rFonts w:hint="eastAsia" w:ascii="宋体" w:hAnsi="宋体" w:eastAsia="宋体" w:cs="宋体"/>
          <w:b w:val="0"/>
          <w:bCs/>
          <w:color w:val="000000"/>
          <w:sz w:val="24"/>
          <w:szCs w:val="24"/>
          <w:highlight w:val="none"/>
          <w:lang w:val="en-US" w:eastAsia="zh-CN"/>
        </w:rPr>
        <w:t xml:space="preserve">本项最高得3分。</w:t>
      </w:r>
      <w:r>
        <w:rPr>
          <w:rFonts w:ascii="宋体" w:hAnsi="宋体" w:eastAsia="宋体" w:cs="宋体"/>
          <w:b w:val="0"/>
          <w:bCs/>
          <w:color w:val="000000"/>
          <w:sz w:val="24"/>
          <w:szCs w:val="24"/>
          <w:highlight w:val="none"/>
          <w:lang w:val="en-US"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lang w:val="zh-CN" w:eastAsia="zh-CN"/>
        </w:rPr>
        <w:t xml:space="preserve">提供</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lang w:val="zh-CN" w:eastAsia="zh-CN"/>
        </w:rPr>
        <w:t xml:space="preserve">原件扫描件上传至投标文件中并电子签章，不提供或提供不全不得分。</w:t>
      </w:r>
      <w:r>
        <w:rPr>
          <w:rFonts w:hint="eastAsia" w:ascii="宋体" w:hAnsi="宋体" w:eastAsia="宋体" w:cs="宋体"/>
          <w:b/>
          <w:bCs w:val="0"/>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供货期响应时间（3分）</w:t>
      </w:r>
      <w:r>
        <w:rPr>
          <w:rFonts w:ascii="宋体" w:hAnsi="宋体" w:eastAsia="宋体" w:cs="宋体"/>
          <w:b/>
          <w:bCs w:val="0"/>
          <w:color w:val="000000"/>
          <w:sz w:val="24"/>
          <w:szCs w:val="24"/>
          <w:highlight w:val="none"/>
          <w:lang w:val="en-US" w:eastAsia="zh-CN"/>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供货期≤15个日历天的，得3分；15个日历天＜供货期≤20个日历天的，得2分；20个日历天＜供货期≤25个日历天的，得1分，25个日历天＜供货期＜30个日历天的，得0.5分，</w:t>
      </w:r>
      <w:r>
        <w:rPr>
          <w:rFonts w:hint="eastAsia" w:ascii="宋体" w:hAnsi="宋体" w:eastAsia="宋体" w:cs="宋体"/>
          <w:b w:val="0"/>
          <w:bCs/>
          <w:color w:val="000000"/>
          <w:sz w:val="24"/>
          <w:szCs w:val="24"/>
          <w:highlight w:val="none"/>
          <w:lang w:val="zh-CN" w:eastAsia="zh-CN"/>
        </w:rPr>
        <w:t xml:space="preserve">本项最高得</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分。</w:t>
      </w:r>
      <w:r>
        <w:rPr>
          <w:rFonts w:ascii="宋体" w:hAnsi="宋体" w:eastAsia="宋体" w:cs="宋体"/>
          <w:b w:val="0"/>
          <w:bCs/>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注：提供承诺书（格式自拟）</w:t>
      </w:r>
      <w:r>
        <w:rPr>
          <w:rFonts w:hint="eastAsia" w:ascii="宋体" w:hAnsi="宋体" w:cs="宋体"/>
          <w:b/>
          <w:color w:val="000000"/>
          <w:sz w:val="24"/>
          <w:highlight w:val="none"/>
          <w:lang w:val="en-US" w:eastAsia="zh-CN"/>
        </w:rPr>
        <w:t xml:space="preserve">原件</w:t>
      </w:r>
      <w:r>
        <w:rPr>
          <w:rFonts w:hint="eastAsia" w:ascii="宋体" w:hAnsi="宋体" w:eastAsia="宋体" w:cs="宋体"/>
          <w:b/>
          <w:bCs w:val="0"/>
          <w:color w:val="000000"/>
          <w:sz w:val="24"/>
          <w:szCs w:val="24"/>
          <w:highlight w:val="none"/>
          <w:lang w:val="zh-CN" w:eastAsia="zh-CN"/>
        </w:rPr>
        <w:t xml:space="preserve">扫描件上传至投标文件中并电子签章，不提供或提供不全不得分</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p>
      <w:pPr>
        <w:pStyle w:val="1691"/>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68</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（1）实施方案（</w:t>
      </w:r>
      <w:r>
        <w:rPr>
          <w:rFonts w:hint="eastAsia" w:ascii="宋体" w:hAnsi="宋体" w:eastAsia="宋体" w:cs="宋体"/>
          <w:b/>
          <w:bCs w:val="0"/>
          <w:color w:val="000000"/>
          <w:sz w:val="24"/>
          <w:szCs w:val="24"/>
          <w:highlight w:val="none"/>
          <w:lang w:val="en-US" w:eastAsia="zh-CN"/>
        </w:rPr>
        <w:t xml:space="preserve">39</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在需求的基础上针对下列各部分进行评价，要求体现科学合理性、条理性、可行性、完善性、针对性进行阐述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①总体概述：服务组织总体设想、方案针对性及施工段划分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②提供技术工艺流程描述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③提供产品技术参数与性能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④施工周期响应实施方案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⑤施工服务方案、控制及工程项目实施的重点、难点和解决方案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⑥拟投入的主要施工机械设备表及保证措施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⑦劳动力计划表及保证措施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⑧施工总平面布置及临时设施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⑨服务期间进度控制措施和施工进度表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⑩服务期间质量和各阶段质量保证措施及成品保护措施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⑪服务期间安全及保证措施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⑫文明工地与环境保护措施及雨季施工措施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⑬项目资料管理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39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（2）租赁机械设备的状况（</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投标人针对租赁机械设备的状况，提供相关照片及状况说明进行阐述。</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（3）机械设备现场维修、保养措施（</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①机械设备在施工现场维修措施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②机械设备在施工现场保养措施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（4）服务方案及承诺（</w:t>
      </w: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①服务承诺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②服务资源配置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③服务应急处置预案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④服务期间响应时间与养护时间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⑤注意事项及处置方案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设备配置情况（4分）</w:t>
      </w:r>
      <w:r>
        <w:rPr>
          <w:rFonts w:ascii="宋体" w:hAnsi="宋体" w:eastAsia="宋体" w:cs="宋体"/>
          <w:b/>
          <w:bCs w:val="0"/>
          <w:color w:val="000000"/>
          <w:sz w:val="24"/>
          <w:szCs w:val="24"/>
          <w:highlight w:val="none"/>
          <w:lang w:val="en-US"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eastAsia="zh-CN"/>
        </w:rPr>
        <w:t xml:space="preserve">备品备件清单</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lang w:eastAsia="zh-CN"/>
        </w:rPr>
        <w:t xml:space="preserve">随机备件、特种工具、随机文件资料等资料（</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lang w:val="en-US"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Cs/>
          <w:color w:val="000000"/>
          <w:sz w:val="24"/>
          <w:szCs w:val="24"/>
          <w:highlight w:val="none"/>
          <w:lang w:val="zh-CN"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644"/>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644"/>
        <w:rPr>
          <w:rFonts w:ascii="黑体" w:eastAsia="黑体"/>
          <w:bCs/>
          <w:color w:val="000000"/>
          <w:sz w:val="32"/>
          <w:highlight w:val="none"/>
        </w:rPr>
        <w:outlineLvl w:val="9"/>
      </w:pPr>
      <w:r>
        <w:rPr>
          <w:rFonts w:ascii="黑体" w:eastAsia="黑体"/>
          <w:bCs/>
          <w:color w:val="000000"/>
          <w:sz w:val="32"/>
          <w:highlight w:val="none"/>
        </w:rPr>
      </w:r>
      <w:r/>
    </w:p>
    <w:p>
      <w:pPr>
        <w:pStyle w:val="1644"/>
        <w:rPr>
          <w:rFonts w:ascii="黑体" w:eastAsia="黑体"/>
          <w:bCs/>
          <w:color w:val="000000"/>
          <w:sz w:val="32"/>
          <w:highlight w:val="none"/>
        </w:rPr>
        <w:outlineLvl w:val="9"/>
      </w:pPr>
      <w:r>
        <w:rPr>
          <w:rFonts w:ascii="黑体" w:eastAsia="黑体"/>
          <w:bCs/>
          <w:color w:val="000000"/>
          <w:sz w:val="3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644"/>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644"/>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676"/>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644"/>
        <w:rPr>
          <w:rFonts w:hint="eastAsia" w:ascii="宋体" w:hAnsi="宋体" w:cs="宋体"/>
          <w:color w:val="000000"/>
          <w:highlight w:val="none"/>
        </w:rPr>
        <w:outlineLvl w:val="9"/>
      </w:pPr>
      <w:r>
        <w:rPr>
          <w:rFonts w:hint="eastAsia" w:ascii="宋体" w:hAnsi="宋体" w:cs="宋体"/>
          <w:color w:val="000000"/>
          <w:highlight w:val="none"/>
        </w:rPr>
      </w:r>
      <w:r/>
    </w:p>
    <w:p>
      <w:pPr>
        <w:pStyle w:val="1644"/>
        <w:spacing w:line="360" w:lineRule="auto"/>
        <w:rPr>
          <w:rFonts w:hint="eastAsia" w:ascii="宋体" w:hAnsi="宋体" w:eastAsia="宋体" w:cs="宋体"/>
          <w:bCs/>
          <w:color w:val="000000"/>
          <w:sz w:val="30"/>
          <w:szCs w:val="30"/>
          <w:highlight w:val="none"/>
          <w:lang w:eastAsia="zh-CN"/>
        </w:rPr>
        <w:outlineLvl w:val="9"/>
      </w:pPr>
      <w:r/>
      <w:bookmarkStart w:id="36" w:name="_Toc31708"/>
      <w:r/>
      <w:bookmarkStart w:id="37" w:name="_Toc3725"/>
      <w:r>
        <w:rPr>
          <w:rFonts w:hint="eastAsia" w:ascii="宋体" w:hAnsi="宋体" w:cs="宋体"/>
          <w:bCs/>
          <w:color w:val="000000"/>
          <w:sz w:val="30"/>
          <w:szCs w:val="30"/>
          <w:highlight w:val="none"/>
        </w:rPr>
        <w:t xml:space="preserve">采购项目编号：</w:t>
      </w:r>
      <w:bookmarkEnd w:id="36"/>
      <w:r/>
      <w:bookmarkEnd w:id="37"/>
      <w:r>
        <w:rPr>
          <w:rFonts w:hint="eastAsia" w:ascii="宋体" w:hAnsi="宋体" w:cs="宋体"/>
          <w:color w:val="000000"/>
          <w:sz w:val="30"/>
          <w:szCs w:val="30"/>
          <w:highlight w:val="none"/>
          <w:lang w:eastAsia="zh-CN"/>
        </w:rPr>
        <w:t xml:space="preserve">JSZC-320205-THGC-G2025-0015</w:t>
      </w:r>
      <w:r>
        <w:rPr>
          <w:rFonts w:hint="eastAsia" w:ascii="宋体" w:hAnsi="宋体" w:eastAsia="宋体" w:cs="宋体"/>
          <w:bCs/>
          <w:color w:val="000000"/>
          <w:sz w:val="30"/>
          <w:szCs w:val="30"/>
          <w:highlight w:val="none"/>
          <w:lang w:eastAsia="zh-CN"/>
        </w:rPr>
      </w:r>
      <w:r/>
    </w:p>
    <w:p>
      <w:pPr>
        <w:pStyle w:val="1644"/>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走马塘河(嵩山桥两侧)租赁安装污水处理设施项目</w:t>
      </w:r>
      <w:r>
        <w:rPr>
          <w:rFonts w:hint="eastAsia" w:ascii="宋体" w:hAnsi="宋体" w:eastAsia="宋体" w:cs="Times New Roman"/>
          <w:b w:val="0"/>
          <w:bCs/>
          <w:color w:val="000000"/>
          <w:sz w:val="30"/>
          <w:szCs w:val="30"/>
          <w:highlight w:val="none"/>
          <w:lang w:eastAsia="zh-CN"/>
        </w:rPr>
      </w:r>
      <w:r/>
    </w:p>
    <w:p>
      <w:pPr>
        <w:pStyle w:val="1644"/>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644"/>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644"/>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8" w:name="一．报价函（格式）"/>
      <w:r/>
      <w:bookmarkEnd w:id="38"/>
      <w:r>
        <w:rPr>
          <w:rFonts w:hint="eastAsia" w:ascii="宋体" w:hAnsi="宋体" w:cs="宋体"/>
          <w:bCs/>
          <w:color w:val="000000"/>
          <w:sz w:val="28"/>
          <w:szCs w:val="28"/>
          <w:highlight w:val="none"/>
        </w:rPr>
      </w:r>
      <w:r/>
    </w:p>
    <w:p>
      <w:pPr>
        <w:pStyle w:val="1644"/>
        <w:jc w:val="center"/>
        <w:rPr>
          <w:rFonts w:hint="eastAsia" w:ascii="宋体" w:hAnsi="宋体" w:cs="宋体"/>
          <w:bCs/>
          <w:color w:val="000000"/>
          <w:sz w:val="28"/>
          <w:szCs w:val="28"/>
          <w:highlight w:val="none"/>
        </w:rPr>
        <w:sectPr>
          <w:headerReference w:type="default" r:id="rId13"/>
          <w:footerReference w:type="default" r:id="rId25"/>
          <w:footerReference w:type="first" r:id="rId26"/>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644"/>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644"/>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644"/>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644"/>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644"/>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698"/>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698"/>
          <w:rFonts w:hint="eastAsia"/>
          <w:bCs/>
          <w:color w:val="000000"/>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644"/>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jc w:val="center"/>
        <w:rPr>
          <w:rFonts w:hint="eastAsia" w:ascii="宋体" w:hAnsi="宋体" w:cs="宋体"/>
          <w:bCs/>
          <w:color w:val="000000"/>
          <w:sz w:val="24"/>
          <w:szCs w:val="24"/>
          <w:highlight w:val="none"/>
        </w:rPr>
        <w:outlineLvl w:val="9"/>
      </w:pPr>
      <w:r/>
      <w:bookmarkStart w:id="39" w:name="报价方关于资格的声明函（格式）"/>
      <w:r/>
      <w:bookmarkEnd w:id="39"/>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644"/>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644"/>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644"/>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67"/>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644"/>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644"/>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0" w:name="_Toc2444"/>
      <w:r/>
      <w:bookmarkStart w:id="41" w:name="_Toc32348"/>
      <w:r>
        <w:rPr>
          <w:rFonts w:hint="eastAsia" w:ascii="宋体" w:hAnsi="宋体" w:cs="宋体"/>
          <w:bCs/>
          <w:color w:val="000000"/>
          <w:sz w:val="24"/>
          <w:szCs w:val="24"/>
          <w:highlight w:val="none"/>
        </w:rPr>
      </w:r>
      <w:r/>
    </w:p>
    <w:p>
      <w:pPr>
        <w:pStyle w:val="1644"/>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0"/>
      <w:r/>
      <w:bookmarkEnd w:id="41"/>
      <w:r>
        <w:rPr>
          <w:rFonts w:hint="eastAsia" w:ascii="宋体" w:hAnsi="宋体" w:cs="宋体"/>
          <w:bCs/>
          <w:color w:val="000000"/>
          <w:sz w:val="24"/>
          <w:szCs w:val="24"/>
          <w:highlight w:val="none"/>
        </w:rPr>
      </w:r>
      <w:r/>
    </w:p>
    <w:p>
      <w:pPr>
        <w:pStyle w:val="1644"/>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644"/>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644"/>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644"/>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644"/>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3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3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3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30"/>
        <w:rPr>
          <w:rFonts w:hint="eastAsia"/>
        </w:rPr>
      </w:pPr>
      <w:r>
        <w:rPr>
          <w:rFonts w:hint="eastAsia"/>
        </w:rPr>
      </w:r>
      <w:r/>
    </w:p>
    <w:p>
      <w:pPr>
        <w:pStyle w:val="1644"/>
        <w:rPr>
          <w:rFonts w:hint="eastAsia"/>
          <w:b/>
          <w:bCs w:val="0"/>
          <w:color w:val="000000"/>
          <w:sz w:val="22"/>
          <w:szCs w:val="21"/>
          <w:highlight w:val="none"/>
        </w:rPr>
        <w:outlineLvl w:val="9"/>
      </w:pPr>
      <w:r>
        <w:rPr>
          <w:rFonts w:hint="eastAsia" w:ascii="宋体" w:hAnsi="宋体" w:cs="宋体"/>
          <w:b/>
          <w:bCs w:val="0"/>
          <w:color w:val="000000"/>
          <w:sz w:val="28"/>
          <w:szCs w:val="28"/>
          <w:highlight w:val="none"/>
        </w:rPr>
        <w:t xml:space="preserve">法定代表人授权代表身份证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扫描件：（法定代表人亲自参与投标的除外）</w:t>
      </w:r>
      <w:r>
        <w:rPr>
          <w:rFonts w:hint="eastAsia"/>
          <w:b/>
          <w:bCs w:val="0"/>
          <w:color w:val="000000"/>
          <w:sz w:val="22"/>
          <w:szCs w:val="21"/>
          <w:highlight w:val="none"/>
        </w:rPr>
      </w:r>
      <w:r/>
    </w:p>
    <w:p>
      <w:pPr>
        <w:pStyle w:val="1644"/>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730"/>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rPr>
          <w:rFonts w:hint="eastAsia"/>
        </w:rPr>
      </w:pPr>
      <w:r>
        <w:rPr>
          <w:rFonts w:hint="eastAsia"/>
        </w:rPr>
      </w:r>
      <w:r/>
    </w:p>
    <w:p>
      <w:pPr>
        <w:pStyle w:val="1644"/>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644"/>
        <w:jc w:val="center"/>
        <w:spacing w:line="360" w:lineRule="auto"/>
        <w:rPr>
          <w:rFonts w:ascii="宋体" w:hAnsi="宋体"/>
          <w:b/>
          <w:sz w:val="28"/>
          <w:szCs w:val="28"/>
          <w:highlight w:val="none"/>
        </w:rPr>
      </w:pPr>
      <w:r>
        <w:rPr>
          <w:rFonts w:ascii="宋体" w:hAnsi="宋体"/>
          <w:b/>
          <w:sz w:val="28"/>
          <w:szCs w:val="28"/>
          <w:highlight w:val="none"/>
        </w:rPr>
      </w:r>
      <w:r/>
    </w:p>
    <w:p>
      <w:pPr>
        <w:pStyle w:val="1644"/>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644"/>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644"/>
        <w:ind w:firstLine="612"/>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644"/>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644"/>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
          <w:bCs w:val="0"/>
          <w:color w:val="000000"/>
          <w:sz w:val="28"/>
          <w:szCs w:val="28"/>
          <w:highlight w:val="none"/>
        </w:rPr>
        <w:outlineLvl w:val="9"/>
      </w:pPr>
      <w:r/>
      <w:bookmarkStart w:id="42" w:name="_Toc19047"/>
      <w:r/>
      <w:bookmarkStart w:id="43" w:name="_Toc7396"/>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3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30"/>
        <w:rPr>
          <w:rFonts w:hint="eastAsia"/>
        </w:rPr>
      </w:pPr>
      <w:r>
        <w:rPr>
          <w:rFonts w:hint="eastAsia"/>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2"/>
      <w:r/>
      <w:bookmarkEnd w:id="43"/>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rPr>
          <w:rFonts w:hint="eastAsia" w:ascii="宋体" w:hAnsi="宋体"/>
          <w:b/>
          <w:bCs/>
          <w:sz w:val="24"/>
          <w:highlight w:val="none"/>
        </w:rPr>
      </w:r>
      <w:r/>
    </w:p>
    <w:p>
      <w:pPr>
        <w:pStyle w:val="1644"/>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64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rPr>
          <w:rFonts w:hint="eastAsia" w:ascii="宋体" w:hAnsi="宋体"/>
          <w:bCs/>
          <w:color w:val="000000"/>
          <w:sz w:val="24"/>
          <w:highlight w:val="none"/>
        </w:rPr>
      </w:r>
      <w:r/>
    </w:p>
    <w:p>
      <w:pPr>
        <w:pStyle w:val="164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644"/>
        <w:ind w:firstLine="480"/>
        <w:spacing w:line="480" w:lineRule="auto"/>
        <w:rPr>
          <w:rFonts w:hint="eastAsia" w:ascii="宋体" w:hAnsi="宋体" w:eastAsia="宋体" w:cs="宋体"/>
          <w:color w:val="000000"/>
          <w:sz w:val="21"/>
          <w:szCs w:val="22"/>
          <w:highlight w:val="none"/>
        </w:rPr>
        <w:sectPr>
          <w:headerReference w:type="default" r:id="rId14"/>
          <w:headerReference w:type="first" r:id="rId15"/>
          <w:footerReference w:type="default" r:id="rId27"/>
          <w:footerReference w:type="first" r:id="rId28"/>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sz w:val="21"/>
          <w:szCs w:val="22"/>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663"/>
        <w:rPr>
          <w:rFonts w:hint="eastAsia"/>
          <w:color w:val="000000"/>
          <w:highlight w:val="none"/>
        </w:rPr>
        <w:outlineLvl w:val="9"/>
      </w:pPr>
      <w:r>
        <w:rPr>
          <w:rFonts w:hint="eastAsia"/>
          <w:color w:val="000000"/>
          <w:highlight w:val="none"/>
        </w:rPr>
      </w:r>
      <w:r/>
    </w:p>
    <w:p>
      <w:pPr>
        <w:pStyle w:val="164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JSZC-320205-THGC-G2025-0015</w:t>
      </w:r>
      <w:r>
        <w:rPr>
          <w:rFonts w:hint="eastAsia" w:ascii="宋体" w:hAnsi="宋体" w:eastAsia="宋体" w:cs="宋体"/>
          <w:b w:val="0"/>
          <w:bCs/>
          <w:color w:val="000000"/>
          <w:sz w:val="24"/>
          <w:szCs w:val="24"/>
          <w:highlight w:val="none"/>
          <w:u w:val="none"/>
          <w:lang w:val="en-US" w:eastAsia="zh-CN"/>
        </w:rPr>
      </w:r>
      <w:r/>
    </w:p>
    <w:p>
      <w:pPr>
        <w:pStyle w:val="1644"/>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64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64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64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644"/>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644"/>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64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644"/>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6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64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6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644"/>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64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64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64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644"/>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644"/>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left="720" w:hanging="720"/>
        <w:spacing w:line="400" w:lineRule="exact"/>
        <w:rPr>
          <w:rFonts w:hint="eastAsia" w:ascii="宋体" w:hAnsi="宋体" w:cs="宋体"/>
          <w:bCs/>
          <w:color w:val="000000"/>
          <w:sz w:val="24"/>
          <w:szCs w:val="24"/>
          <w:highlight w:val="none"/>
        </w:rPr>
        <w:sectPr>
          <w:footerReference w:type="default" r:id="rId29"/>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644"/>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rPr>
          <w:rFonts w:hint="eastAsia" w:ascii="宋体" w:hAnsi="宋体" w:eastAsia="宋体" w:cs="宋体"/>
          <w:bCs/>
          <w:color w:val="000000"/>
          <w:sz w:val="24"/>
          <w:szCs w:val="24"/>
          <w:highlight w:val="none"/>
        </w:rPr>
      </w:r>
      <w:r/>
    </w:p>
    <w:p>
      <w:pPr>
        <w:pStyle w:val="1644"/>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bookmarkStart w:id="44" w:name="_Toc17818"/>
      <w:r/>
      <w:bookmarkStart w:id="45" w:name="_Toc11575"/>
      <w:r>
        <w:rPr>
          <w:rFonts w:hint="eastAsia" w:ascii="宋体" w:hAnsi="宋体" w:eastAsia="宋体" w:cs="宋体"/>
          <w:bCs/>
          <w:color w:val="000000"/>
          <w:sz w:val="24"/>
          <w:szCs w:val="24"/>
          <w:highlight w:val="none"/>
        </w:rPr>
      </w:r>
      <w:r/>
    </w:p>
    <w:p>
      <w:pPr>
        <w:pStyle w:val="1644"/>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p>
      <w:pPr>
        <w:pStyle w:val="1676"/>
        <w:tabs>
          <w:tab w:val="center" w:pos="4153" w:leader="none"/>
          <w:tab w:val="right" w:pos="8306" w:leader="none"/>
        </w:tabs>
        <w:rPr>
          <w:rFonts w:hint="eastAsia"/>
          <w:highlight w:val="none"/>
        </w:rPr>
      </w:pPr>
      <w:r>
        <w:rPr>
          <w:rFonts w:hint="eastAsia"/>
          <w:highlight w:val="none"/>
        </w:rPr>
      </w:r>
      <w:r/>
    </w:p>
    <w:tbl>
      <w:tblPr>
        <w:tblW w:w="893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9"/>
        <w:gridCol w:w="2401"/>
        <w:gridCol w:w="1852"/>
        <w:gridCol w:w="3969"/>
      </w:tblGrid>
      <w:tr>
        <w:trPr>
          <w:trHeight w:val="676"/>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费用内容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总费用</w:t>
            </w:r>
            <w:r>
              <w:rPr>
                <w:rFonts w:hint="eastAsia" w:ascii="宋体" w:hAnsi="宋体" w:eastAsia="宋体" w:cs="宋体"/>
                <w:sz w:val="24"/>
                <w:szCs w:val="24"/>
                <w:highlight w:val="none"/>
              </w:rPr>
            </w:r>
            <w:r/>
          </w:p>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676"/>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设备使用费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租赁形式</w:t>
            </w:r>
            <w:r>
              <w:rPr>
                <w:rFonts w:hint="eastAsia" w:ascii="宋体" w:hAnsi="宋体" w:eastAsia="宋体" w:cs="宋体"/>
                <w:sz w:val="24"/>
                <w:szCs w:val="24"/>
                <w:highlight w:val="none"/>
              </w:rPr>
            </w:r>
            <w:r/>
          </w:p>
        </w:tc>
      </w:tr>
      <w:tr>
        <w:trPr>
          <w:trHeight w:val="609"/>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人工费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包括现场定期巡视</w:t>
            </w:r>
            <w:r>
              <w:rPr>
                <w:rFonts w:hint="eastAsia" w:ascii="宋体" w:hAnsi="宋体" w:eastAsia="宋体" w:cs="宋体"/>
                <w:sz w:val="24"/>
                <w:szCs w:val="24"/>
                <w:highlight w:val="none"/>
              </w:rPr>
            </w:r>
            <w:r/>
          </w:p>
        </w:tc>
      </w:tr>
      <w:tr>
        <w:trPr>
          <w:trHeight w:val="609"/>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8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生物菌剂</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好氧菌</w:t>
            </w:r>
            <w:r>
              <w:rPr>
                <w:rFonts w:hint="eastAsia" w:ascii="宋体" w:hAnsi="宋体" w:eastAsia="宋体" w:cs="宋体"/>
                <w:sz w:val="24"/>
                <w:szCs w:val="24"/>
                <w:highlight w:val="none"/>
              </w:rPr>
            </w:r>
            <w:r/>
          </w:p>
        </w:tc>
      </w:tr>
      <w:tr>
        <w:trPr>
          <w:trHeight w:val="68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药剂费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净水剂、营养剂</w:t>
            </w:r>
            <w:r>
              <w:rPr>
                <w:rFonts w:hint="eastAsia" w:ascii="宋体" w:hAnsi="宋体" w:eastAsia="宋体" w:cs="宋体"/>
                <w:sz w:val="24"/>
                <w:szCs w:val="24"/>
                <w:highlight w:val="none"/>
              </w:rPr>
            </w:r>
            <w:r/>
          </w:p>
        </w:tc>
      </w:tr>
      <w:tr>
        <w:trPr>
          <w:trHeight w:val="676"/>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第三方水质检测费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每月检测一次</w:t>
            </w:r>
            <w:r>
              <w:rPr>
                <w:rFonts w:hint="eastAsia" w:ascii="宋体" w:hAnsi="宋体" w:eastAsia="宋体" w:cs="宋体"/>
                <w:sz w:val="24"/>
                <w:szCs w:val="24"/>
                <w:highlight w:val="none"/>
              </w:rPr>
            </w:r>
            <w:r/>
          </w:p>
        </w:tc>
      </w:tr>
      <w:tr>
        <w:trPr>
          <w:trHeight w:val="56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设备维修维护费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按设备投资估算</w:t>
            </w:r>
            <w:r>
              <w:rPr>
                <w:rFonts w:hint="eastAsia" w:ascii="宋体" w:hAnsi="宋体" w:eastAsia="宋体" w:cs="宋体"/>
                <w:sz w:val="24"/>
                <w:szCs w:val="24"/>
                <w:highlight w:val="none"/>
              </w:rPr>
            </w:r>
            <w:r/>
          </w:p>
        </w:tc>
      </w:tr>
      <w:tr>
        <w:trPr>
          <w:trHeight w:val="56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污泥处置费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浮油及沉淀污泥</w:t>
            </w:r>
            <w:r>
              <w:rPr>
                <w:rFonts w:hint="eastAsia" w:ascii="宋体" w:hAnsi="宋体" w:eastAsia="宋体" w:cs="宋体"/>
                <w:sz w:val="24"/>
                <w:szCs w:val="24"/>
                <w:highlight w:val="none"/>
              </w:rPr>
            </w:r>
            <w:r/>
          </w:p>
        </w:tc>
      </w:tr>
      <w:tr>
        <w:trPr>
          <w:trHeight w:val="566"/>
        </w:trPr>
        <w:tc>
          <w:tcPr>
            <w:gridSpan w:val="2"/>
            <w:tcMar>
              <w:left w:w="15" w:type="dxa"/>
              <w:top w:w="15" w:type="dxa"/>
              <w:right w:w="15" w:type="dxa"/>
              <w:bottom w:w="0" w:type="dxa"/>
            </w:tcMar>
            <w:tcW w:w="3110"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 计</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676"/>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644"/>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644"/>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644"/>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644"/>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r>
      <w:r/>
    </w:p>
    <w:p>
      <w:pPr>
        <w:pStyle w:val="1644"/>
        <w:spacing w:line="480" w:lineRule="auto"/>
        <w:rPr>
          <w:rFonts w:hint="eastAsia"/>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highlight w:val="none"/>
        </w:rPr>
      </w:r>
      <w:r/>
    </w:p>
    <w:p>
      <w:pPr>
        <w:pStyle w:val="1644"/>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4"/>
      <w:r/>
      <w:bookmarkEnd w:id="45"/>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644"/>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644"/>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644"/>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663"/>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644"/>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663"/>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691"/>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691"/>
        <w:ind w:firstLine="241"/>
        <w:rPr>
          <w:rFonts w:hint="eastAsia" w:ascii="宋体" w:hAnsi="宋体" w:cs="宋体"/>
          <w:b/>
          <w:color w:val="000000"/>
          <w:sz w:val="24"/>
          <w:highlight w:val="none"/>
        </w:rPr>
        <w:sectPr>
          <w:footerReference w:type="default" r:id="rId30"/>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bookmarkStart w:id="46" w:name="_Toc4377"/>
      <w:r/>
      <w:bookmarkStart w:id="47"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6"/>
      <w:r/>
      <w:bookmarkEnd w:id="47"/>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20"/>
        <w:jc w:val="center"/>
        <w:rPr>
          <w:rFonts w:hint="eastAsia" w:ascii="宋体" w:hAnsi="宋体" w:cs="宋体"/>
          <w:bCs/>
          <w:color w:val="000000"/>
          <w:sz w:val="24"/>
          <w:szCs w:val="24"/>
          <w:highlight w:val="none"/>
        </w:rPr>
        <w:outlineLvl w:val="9"/>
      </w:pPr>
      <w:r/>
      <w:bookmarkStart w:id="48" w:name="_Toc27971"/>
      <w:r/>
      <w:bookmarkStart w:id="49" w:name="_Toc25155"/>
      <w:r>
        <w:rPr>
          <w:rFonts w:hint="eastAsia" w:ascii="宋体" w:hAnsi="宋体" w:cs="宋体"/>
          <w:bCs/>
          <w:color w:val="000000"/>
          <w:sz w:val="24"/>
          <w:szCs w:val="24"/>
          <w:highlight w:val="none"/>
        </w:rPr>
        <w:t xml:space="preserve">投标偏离表</w:t>
      </w:r>
      <w:bookmarkEnd w:id="48"/>
      <w:r/>
      <w:bookmarkEnd w:id="49"/>
      <w:r>
        <w:rPr>
          <w:rFonts w:hint="eastAsia" w:ascii="宋体" w:hAnsi="宋体" w:cs="宋体"/>
          <w:bCs/>
          <w:color w:val="000000"/>
          <w:sz w:val="24"/>
          <w:szCs w:val="24"/>
          <w:highlight w:val="none"/>
        </w:rPr>
      </w:r>
      <w:r/>
    </w:p>
    <w:p>
      <w:pPr>
        <w:pStyle w:val="1644"/>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644"/>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bookmarkStart w:id="50" w:name="_Toc2067"/>
      <w:r/>
      <w:bookmarkStart w:id="51" w:name="_Toc8176"/>
      <w:r>
        <w:rPr>
          <w:rFonts w:hint="eastAsia" w:ascii="宋体" w:hAnsi="宋体" w:cs="宋体"/>
          <w:bCs/>
          <w:color w:val="000000"/>
          <w:sz w:val="24"/>
          <w:szCs w:val="24"/>
          <w:highlight w:val="none"/>
        </w:rPr>
        <w:t xml:space="preserve">注：（1）本表不得删除，可自行延长；</w:t>
      </w:r>
      <w:bookmarkEnd w:id="50"/>
      <w:r/>
      <w:bookmarkEnd w:id="51"/>
      <w:r>
        <w:rPr>
          <w:rFonts w:hint="eastAsia" w:ascii="宋体" w:hAnsi="宋体" w:cs="宋体"/>
          <w:bCs/>
          <w:color w:val="000000"/>
          <w:sz w:val="24"/>
          <w:szCs w:val="24"/>
          <w:highlight w:val="none"/>
        </w:rPr>
      </w:r>
      <w:r/>
    </w:p>
    <w:p>
      <w:pPr>
        <w:pStyle w:val="1644"/>
        <w:ind w:left="-214" w:firstLine="720"/>
        <w:rPr>
          <w:rFonts w:hint="eastAsia" w:ascii="宋体" w:hAnsi="宋体" w:cs="宋体"/>
          <w:bCs/>
          <w:color w:val="000000"/>
          <w:sz w:val="24"/>
          <w:szCs w:val="24"/>
          <w:highlight w:val="none"/>
        </w:rPr>
        <w:outlineLvl w:val="9"/>
      </w:pPr>
      <w:r/>
      <w:bookmarkStart w:id="52" w:name="_Toc22220"/>
      <w:r/>
      <w:bookmarkStart w:id="53" w:name="_Toc511"/>
      <w:r>
        <w:rPr>
          <w:rFonts w:hint="eastAsia" w:ascii="宋体" w:hAnsi="宋体" w:cs="宋体"/>
          <w:bCs/>
          <w:color w:val="000000"/>
          <w:sz w:val="24"/>
          <w:szCs w:val="24"/>
          <w:highlight w:val="none"/>
        </w:rPr>
        <w:t xml:space="preserve">（2）如无任何服务偏离，请于本表“偏离说明”中注明“无偏离”；</w:t>
      </w:r>
      <w:bookmarkEnd w:id="52"/>
      <w:r/>
      <w:bookmarkEnd w:id="53"/>
      <w:r>
        <w:rPr>
          <w:rFonts w:hint="eastAsia" w:ascii="宋体" w:hAnsi="宋体" w:cs="宋体"/>
          <w:bCs/>
          <w:color w:val="000000"/>
          <w:sz w:val="24"/>
          <w:szCs w:val="24"/>
          <w:highlight w:val="none"/>
        </w:rPr>
      </w:r>
      <w:r/>
    </w:p>
    <w:p>
      <w:pPr>
        <w:pStyle w:val="1644"/>
        <w:ind w:firstLine="480"/>
        <w:rPr>
          <w:rFonts w:hint="eastAsia" w:ascii="宋体" w:hAnsi="宋体" w:cs="宋体"/>
          <w:bCs/>
          <w:color w:val="000000"/>
          <w:sz w:val="24"/>
          <w:szCs w:val="24"/>
          <w:highlight w:val="none"/>
        </w:rPr>
        <w:outlineLvl w:val="9"/>
      </w:pPr>
      <w:r/>
      <w:bookmarkStart w:id="54" w:name="_Toc9412"/>
      <w:r/>
      <w:bookmarkStart w:id="55"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4"/>
      <w:r/>
      <w:bookmarkEnd w:id="55"/>
      <w:r>
        <w:rPr>
          <w:rFonts w:hint="eastAsia" w:ascii="宋体" w:hAnsi="宋体" w:cs="宋体"/>
          <w:bCs/>
          <w:color w:val="000000"/>
          <w:sz w:val="24"/>
          <w:szCs w:val="24"/>
          <w:highlight w:val="none"/>
        </w:rPr>
      </w:r>
      <w:r/>
    </w:p>
    <w:p>
      <w:pPr>
        <w:pStyle w:val="172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2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644"/>
        <w:spacing w:line="400" w:lineRule="exact"/>
        <w:rPr>
          <w:rFonts w:hint="eastAsia"/>
          <w:highlight w:val="none"/>
        </w:rPr>
        <w:outlineLvl w:val="9"/>
      </w:pPr>
      <w:r>
        <w:rPr>
          <w:rFonts w:hint="eastAsia" w:ascii="宋体" w:hAnsi="宋体"/>
          <w:bCs/>
          <w:sz w:val="24"/>
          <w:szCs w:val="24"/>
          <w:highlight w:val="none"/>
        </w:rPr>
        <w:t xml:space="preserve">供应商名称（盖章）                        政府采购编号：</w:t>
      </w:r>
      <w:r>
        <w:rPr>
          <w:rFonts w:hint="eastAsia"/>
          <w:highlight w:val="none"/>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644"/>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732"/>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644"/>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644"/>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644"/>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政府采购编号：</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644"/>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644"/>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644"/>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64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644"/>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644"/>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644"/>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64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44"/>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644"/>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644"/>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676"/>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64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64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64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声明函必须提供，未提供视为无效投标文件。 </w:t>
      </w:r>
      <w:r>
        <w:rPr>
          <w:rFonts w:hint="eastAsia" w:ascii="宋体" w:hAnsi="宋体" w:cs="宋体"/>
          <w:color w:val="000000"/>
          <w:sz w:val="24"/>
          <w:highlight w:val="none"/>
        </w:rPr>
      </w:r>
      <w:r/>
    </w:p>
    <w:p>
      <w:pPr>
        <w:pStyle w:val="1644"/>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t xml:space="preserve">4.供应商提供的声明函与事实不符的，依照《政府采购法》第七十七条第一款的规定追究法律责任。</w:t>
      </w:r>
      <w:r>
        <w:rPr>
          <w:rFonts w:hint="eastAsia" w:ascii="宋体" w:hAnsi="宋体" w:cs="宋体"/>
          <w:color w:val="000000"/>
          <w:sz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bookmarkStart w:id="56" w:name="OLE_LINK13"/>
      <w:r/>
      <w:bookmarkStart w:id="57" w:name="OLE_LINK14"/>
      <w:r/>
      <w:bookmarkStart w:id="58"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644"/>
        <w:spacing w:line="588" w:lineRule="exact"/>
        <w:rPr>
          <w:rFonts w:hint="eastAsia" w:ascii="宋体" w:hAnsi="宋体" w:cs="宋体"/>
          <w:b/>
          <w:color w:val="000000"/>
          <w:spacing w:val="6"/>
          <w:sz w:val="24"/>
          <w:szCs w:val="24"/>
          <w:highlight w:val="none"/>
        </w:rPr>
        <w:outlineLvl w:val="9"/>
      </w:pPr>
      <w:r/>
      <w:bookmarkEnd w:id="56"/>
      <w:r/>
      <w:bookmarkEnd w:id="57"/>
      <w:r>
        <w:rPr>
          <w:rFonts w:hint="eastAsia" w:ascii="宋体" w:hAnsi="宋体" w:cs="宋体"/>
          <w:b/>
          <w:color w:val="000000"/>
          <w:spacing w:val="6"/>
          <w:sz w:val="24"/>
          <w:szCs w:val="24"/>
          <w:highlight w:val="none"/>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644"/>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726"/>
        <w:ind w:firstLine="480"/>
        <w:rPr>
          <w:rFonts w:hint="eastAsia" w:ascii="宋体" w:hAnsi="宋体" w:cs="宋体"/>
          <w:color w:val="000000"/>
          <w:sz w:val="24"/>
          <w:szCs w:val="24"/>
          <w:highlight w:val="none"/>
        </w:rPr>
        <w:outlineLvl w:val="9"/>
      </w:pPr>
      <w:r/>
      <w:bookmarkEnd w:id="58"/>
      <w:r>
        <w:rPr>
          <w:rFonts w:hint="eastAsia" w:ascii="宋体" w:hAnsi="宋体" w:cs="宋体"/>
          <w:color w:val="000000"/>
          <w:sz w:val="24"/>
          <w:szCs w:val="24"/>
          <w:highlight w:val="none"/>
        </w:rPr>
      </w:r>
      <w:r/>
    </w:p>
    <w:p>
      <w:pPr>
        <w:pStyle w:val="172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2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26"/>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644"/>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644"/>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31"/>
      <w:footerReference w:type="even" r:id="rId32"/>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tabs>
        <w:tab w:val="center" w:pos="4153" w:leader="none"/>
        <w:tab w:val="right" w:pos="8306" w:leader="none"/>
      </w:tabs>
      <w:rPr>
        <w:rStyle w:val="1696"/>
      </w:rPr>
      <w:framePr w:wrap="around" w:vAnchor="text" w:hAnchor="margin" w:xAlign="center" w:y="1"/>
    </w:pPr>
    <w:r>
      <w:fldChar w:fldCharType="begin"/>
    </w:r>
    <w:r>
      <w:rPr>
        <w:rStyle w:val="1696"/>
      </w:rPr>
      <w:instrText xml:space="preserve">PAGE  </w:instrText>
    </w:r>
    <w:r>
      <w:fldChar w:fldCharType="separate"/>
    </w:r>
    <w:r>
      <w:rPr>
        <w:rStyle w:val="1696"/>
      </w:rPr>
      <w:t xml:space="preserve">1</w:t>
    </w:r>
    <w:r>
      <w:fldChar w:fldCharType="end"/>
    </w:r>
    <w:r>
      <w:rPr>
        <w:rStyle w:val="1696"/>
      </w:rPr>
    </w:r>
    <w:r/>
  </w:p>
  <w:p>
    <w:pPr>
      <w:pStyle w:val="1676"/>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wps:txbx>
                    <wps:bodyPr wrap="none" lIns="0" tIns="0" rIns="0" bIns="0" upright="1">
                      <a:spAutoFit/>
                    </wps:bodyPr>
                  </wps:wsp>
                </a:graphicData>
              </a:graphic>
            </wp:anchor>
          </w:drawing>
        </mc:Choice>
        <mc:Fallback>
          <w:pict>
            <v:shape id="shape 2" o:spid="_x0000_s2"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wps:txbx>
                    <wps:bodyPr wrap="none" lIns="0" tIns="0" rIns="0" bIns="0" upright="1">
                      <a:spAutoFit/>
                    </wps:bodyPr>
                  </wps:wsp>
                </a:graphicData>
              </a:graphic>
            </wp:anchor>
          </w:drawing>
        </mc:Choice>
        <mc:Fallback>
          <w:pict>
            <v:shape id="shape 3" o:spid="_x0000_s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wps:txbx>
                    <wps:bodyPr wrap="none" lIns="0" tIns="0" rIns="0" bIns="0" upright="1">
                      <a:spAutoFit/>
                    </wps:bodyPr>
                  </wps:wsp>
                </a:graphicData>
              </a:graphic>
            </wp:anchor>
          </w:drawing>
        </mc:Choice>
        <mc:Fallback>
          <w:pict>
            <v:shape id="shape 4" o:spid="_x0000_s4"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wps:txbx>
                    <wps:bodyPr wrap="none" lIns="0" tIns="0" rIns="0" bIns="0" upright="1">
                      <a:spAutoFit/>
                    </wps:bodyPr>
                  </wps:wsp>
                </a:graphicData>
              </a:graphic>
            </wp:anchor>
          </w:drawing>
        </mc:Choice>
        <mc:Fallback>
          <w:pict>
            <v:shape id="shape 5" o:spid="_x0000_s5"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6" o:spid="_x0000_s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wps:txbx>
                    <wps:bodyPr wrap="none" lIns="0" tIns="0" rIns="0" bIns="0" upright="1">
                      <a:spAutoFit/>
                    </wps:bodyPr>
                  </wps:wsp>
                </a:graphicData>
              </a:graphic>
            </wp:anchor>
          </w:drawing>
        </mc:Choice>
        <mc:Fallback>
          <w:pict>
            <v:shape id="shape 11" o:spid="_x0000_s11"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2" o:spid="_x0000_s1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5" o:spid="_x0000_s1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644"/>
                          </w:pPr>
                          <w:r/>
                          <w:r/>
                        </w:p>
                        <w:p>
                          <w:pPr>
                            <w:pStyle w:val="1644"/>
                          </w:pPr>
                          <w:r/>
                          <w:r/>
                        </w:p>
                      </w:txbxContent>
                    </wps:txbx>
                    <wps:bodyPr wrap="none" lIns="0" tIns="0" rIns="0" bIns="0" upright="1">
                      <a:spAutoFit/>
                    </wps:bodyPr>
                  </wps:wsp>
                </a:graphicData>
              </a:graphic>
            </wp:anchor>
          </w:drawing>
        </mc:Choice>
        <mc:Fallback>
          <w:pict>
            <v:shape id="shape 16" o:spid="_x0000_s1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644"/>
                    </w:pPr>
                    <w:r/>
                    <w:r/>
                  </w:p>
                  <w:p>
                    <w:pPr>
                      <w:pStyle w:val="164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644"/>
                          </w:pPr>
                          <w:r/>
                          <w:r/>
                        </w:p>
                        <w:p>
                          <w:pPr>
                            <w:pStyle w:val="1644"/>
                          </w:pPr>
                          <w:r/>
                          <w:r/>
                        </w:p>
                      </w:txbxContent>
                    </wps:txbx>
                    <wps:bodyPr wrap="none" lIns="0" tIns="0" rIns="0" bIns="0" upright="1">
                      <a:spAutoFit/>
                    </wps:bodyPr>
                  </wps:wsp>
                </a:graphicData>
              </a:graphic>
            </wp:anchor>
          </w:drawing>
        </mc:Choice>
        <mc:Fallback>
          <w:pict>
            <v:shape id="shape 17" o:spid="_x0000_s1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644"/>
                    </w:pPr>
                    <w:r/>
                    <w:r/>
                  </w:p>
                  <w:p>
                    <w:pPr>
                      <w:pStyle w:val="164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644"/>
                          </w:pPr>
                          <w:r/>
                          <w:r/>
                        </w:p>
                      </w:txbxContent>
                    </wps:txbx>
                    <wps:bodyPr wrap="none" lIns="0" tIns="0" rIns="0" bIns="0" upright="1">
                      <a:spAutoFit/>
                    </wps:bodyPr>
                  </wps:wsp>
                </a:graphicData>
              </a:graphic>
            </wp:anchor>
          </w:drawing>
        </mc:Choice>
        <mc:Fallback>
          <w:pict>
            <v:shape id="shape 19" o:spid="_x0000_s1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64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644"/>
                          </w:pPr>
                          <w:r/>
                          <w:r/>
                        </w:p>
                      </w:txbxContent>
                    </wps:txbx>
                    <wps:bodyPr wrap="none" lIns="0" tIns="0" rIns="0" bIns="0" upright="1">
                      <a:spAutoFit/>
                    </wps:bodyPr>
                  </wps:wsp>
                </a:graphicData>
              </a:graphic>
            </wp:anchor>
          </w:drawing>
        </mc:Choice>
        <mc:Fallback>
          <w:pict>
            <v:shape id="shape 20" o:spid="_x0000_s20"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644"/>
                    </w:pPr>
                    <w:r/>
                    <w:r/>
                  </w:p>
                </w:txbxContent>
              </v:textbox>
            </v:shape>
          </w:pict>
        </mc:Fallback>
      </mc:AlternateContent>
    </w:r>
    <w:r>
      <w:rPr>
        <w:rFonts w:hint="eastAsi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spacing w:after="240"/>
      <w:tabs>
        <w:tab w:val="center" w:pos="4153" w:leader="none"/>
        <w:tab w:val="right" w:pos="8306" w:leader="none"/>
      </w:tabs>
      <w:rPr>
        <w:rStyle w:val="1696"/>
      </w:rPr>
      <w:framePr w:wrap="around" w:vAnchor="text" w:hAnchor="margin" w:xAlign="center" w:y="1"/>
    </w:pPr>
    <w:r>
      <w:fldChar w:fldCharType="begin"/>
    </w:r>
    <w:r>
      <w:rPr>
        <w:rStyle w:val="1696"/>
      </w:rPr>
      <w:instrText xml:space="preserve">PAGE  </w:instrText>
    </w:r>
    <w:r>
      <w:fldChar w:fldCharType="end"/>
    </w:r>
    <w:r>
      <w:rPr>
        <w:rStyle w:val="1696"/>
      </w:rPr>
    </w:r>
    <w:r/>
  </w:p>
  <w:p>
    <w:pPr>
      <w:pStyle w:val="1676"/>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3"/>
      <w:jc w:val="both"/>
      <w:tabs>
        <w:tab w:val="center" w:pos="4153" w:leader="none"/>
        <w:tab w:val="right" w:pos="8306" w:leader="none"/>
      </w:tabs>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3"/>
      <w:jc w:val="both"/>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64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644"/>
        <w:ind w:left="840" w:hanging="420"/>
        <w:tabs>
          <w:tab w:val="num" w:pos="840" w:leader="none"/>
        </w:tabs>
      </w:pPr>
      <w:rPr>
        <w:rFonts w:cs="Times New Roman"/>
      </w:rPr>
    </w:lvl>
    <w:lvl w:ilvl="2">
      <w:start w:val="10"/>
      <w:numFmt w:val="decimal"/>
      <w:isLgl w:val="false"/>
      <w:suff w:val="tab"/>
      <w:lvlText w:val="%3."/>
      <w:lvlJc w:val="left"/>
      <w:pPr>
        <w:pStyle w:val="1644"/>
        <w:ind w:left="1200" w:hanging="360"/>
        <w:tabs>
          <w:tab w:val="num" w:pos="1200" w:leader="none"/>
        </w:tabs>
      </w:pPr>
      <w:rPr>
        <w:rFonts w:cs="Times New Roman"/>
      </w:rPr>
    </w:lvl>
    <w:lvl w:ilvl="3">
      <w:start w:val="1"/>
      <w:numFmt w:val="decimal"/>
      <w:isLgl w:val="false"/>
      <w:suff w:val="tab"/>
      <w:lvlText w:val="%4."/>
      <w:lvlJc w:val="left"/>
      <w:pPr>
        <w:pStyle w:val="1644"/>
        <w:ind w:left="1680" w:hanging="420"/>
        <w:tabs>
          <w:tab w:val="num" w:pos="1680" w:leader="none"/>
        </w:tabs>
      </w:pPr>
      <w:rPr>
        <w:rFonts w:cs="Times New Roman"/>
      </w:rPr>
    </w:lvl>
    <w:lvl w:ilvl="4">
      <w:start w:val="1"/>
      <w:numFmt w:val="lowerLetter"/>
      <w:isLgl w:val="false"/>
      <w:suff w:val="tab"/>
      <w:lvlText w:val="%5)"/>
      <w:lvlJc w:val="left"/>
      <w:pPr>
        <w:pStyle w:val="1644"/>
        <w:ind w:left="2100" w:hanging="420"/>
        <w:tabs>
          <w:tab w:val="num" w:pos="2100" w:leader="none"/>
        </w:tabs>
      </w:pPr>
      <w:rPr>
        <w:rFonts w:cs="Times New Roman"/>
      </w:rPr>
    </w:lvl>
    <w:lvl w:ilvl="5">
      <w:start w:val="1"/>
      <w:numFmt w:val="lowerRoman"/>
      <w:isLgl w:val="false"/>
      <w:suff w:val="tab"/>
      <w:lvlText w:val="%6."/>
      <w:lvlJc w:val="right"/>
      <w:pPr>
        <w:pStyle w:val="1644"/>
        <w:ind w:left="2520" w:hanging="420"/>
        <w:tabs>
          <w:tab w:val="num" w:pos="2520" w:leader="none"/>
        </w:tabs>
      </w:pPr>
      <w:rPr>
        <w:rFonts w:cs="Times New Roman"/>
      </w:rPr>
    </w:lvl>
    <w:lvl w:ilvl="6">
      <w:start w:val="1"/>
      <w:numFmt w:val="decimal"/>
      <w:isLgl w:val="false"/>
      <w:suff w:val="tab"/>
      <w:lvlText w:val="%7."/>
      <w:lvlJc w:val="left"/>
      <w:pPr>
        <w:pStyle w:val="1644"/>
        <w:ind w:left="2940" w:hanging="420"/>
        <w:tabs>
          <w:tab w:val="num" w:pos="2940" w:leader="none"/>
        </w:tabs>
      </w:pPr>
      <w:rPr>
        <w:rFonts w:cs="Times New Roman"/>
      </w:rPr>
    </w:lvl>
    <w:lvl w:ilvl="7">
      <w:start w:val="1"/>
      <w:numFmt w:val="lowerLetter"/>
      <w:isLgl w:val="false"/>
      <w:suff w:val="tab"/>
      <w:lvlText w:val="%8)"/>
      <w:lvlJc w:val="left"/>
      <w:pPr>
        <w:pStyle w:val="1644"/>
        <w:ind w:left="3360" w:hanging="420"/>
        <w:tabs>
          <w:tab w:val="num" w:pos="3360" w:leader="none"/>
        </w:tabs>
      </w:pPr>
      <w:rPr>
        <w:rFonts w:cs="Times New Roman"/>
      </w:rPr>
    </w:lvl>
    <w:lvl w:ilvl="8">
      <w:start w:val="1"/>
      <w:numFmt w:val="lowerRoman"/>
      <w:isLgl w:val="false"/>
      <w:suff w:val="tab"/>
      <w:lvlText w:val="%9."/>
      <w:lvlJc w:val="right"/>
      <w:pPr>
        <w:pStyle w:val="1644"/>
        <w:ind w:left="3780" w:hanging="420"/>
        <w:tabs>
          <w:tab w:val="num" w:pos="3780" w:leader="none"/>
        </w:tabs>
      </w:pPr>
      <w:rPr>
        <w:rFonts w:cs="Times New Roman"/>
      </w:rPr>
    </w:lvl>
  </w:abstractNum>
  <w:abstractNum w:abstractNumId="1">
    <w:multiLevelType w:val="hybridMultilevel"/>
    <w:lvl w:ilvl="0">
      <w:start w:val="1"/>
      <w:numFmt w:val="upperLetter"/>
      <w:pStyle w:val="1649"/>
      <w:isLgl w:val="false"/>
      <w:suff w:val="tab"/>
      <w:lvlText w:val="%1."/>
      <w:lvlJc w:val="left"/>
      <w:pPr>
        <w:pStyle w:val="1644"/>
        <w:ind w:left="360" w:hanging="360"/>
        <w:tabs>
          <w:tab w:val="num" w:pos="360" w:leader="none"/>
        </w:tabs>
      </w:pPr>
      <w:rPr>
        <w:rFonts w:cs="Times New Roman"/>
      </w:rPr>
    </w:lvl>
    <w:lvl w:ilvl="1">
      <w:start w:val="1"/>
      <w:numFmt w:val="lowerLetter"/>
      <w:isLgl w:val="false"/>
      <w:suff w:val="tab"/>
      <w:lvlText w:val="%2)"/>
      <w:lvlJc w:val="left"/>
      <w:pPr>
        <w:pStyle w:val="1644"/>
        <w:ind w:left="840" w:hanging="420"/>
        <w:tabs>
          <w:tab w:val="num" w:pos="840" w:leader="none"/>
        </w:tabs>
      </w:pPr>
      <w:rPr>
        <w:rFonts w:cs="Times New Roman"/>
      </w:rPr>
    </w:lvl>
    <w:lvl w:ilvl="2">
      <w:start w:val="1"/>
      <w:numFmt w:val="lowerRoman"/>
      <w:isLgl w:val="false"/>
      <w:suff w:val="tab"/>
      <w:lvlText w:val="%3."/>
      <w:lvlJc w:val="right"/>
      <w:pPr>
        <w:pStyle w:val="1644"/>
        <w:ind w:left="1260" w:hanging="420"/>
        <w:tabs>
          <w:tab w:val="num" w:pos="1260" w:leader="none"/>
        </w:tabs>
      </w:pPr>
      <w:rPr>
        <w:rFonts w:cs="Times New Roman"/>
      </w:rPr>
    </w:lvl>
    <w:lvl w:ilvl="3">
      <w:start w:val="1"/>
      <w:numFmt w:val="decimal"/>
      <w:isLgl w:val="false"/>
      <w:suff w:val="tab"/>
      <w:lvlText w:val="%4."/>
      <w:lvlJc w:val="left"/>
      <w:pPr>
        <w:pStyle w:val="1644"/>
        <w:ind w:left="1680" w:hanging="420"/>
        <w:tabs>
          <w:tab w:val="num" w:pos="1680" w:leader="none"/>
        </w:tabs>
      </w:pPr>
      <w:rPr>
        <w:rFonts w:cs="Times New Roman"/>
      </w:rPr>
    </w:lvl>
    <w:lvl w:ilvl="4">
      <w:start w:val="1"/>
      <w:numFmt w:val="lowerLetter"/>
      <w:isLgl w:val="false"/>
      <w:suff w:val="tab"/>
      <w:lvlText w:val="%5)"/>
      <w:lvlJc w:val="left"/>
      <w:pPr>
        <w:pStyle w:val="1644"/>
        <w:ind w:left="2100" w:hanging="420"/>
        <w:tabs>
          <w:tab w:val="num" w:pos="2100" w:leader="none"/>
        </w:tabs>
      </w:pPr>
      <w:rPr>
        <w:rFonts w:cs="Times New Roman"/>
      </w:rPr>
    </w:lvl>
    <w:lvl w:ilvl="5">
      <w:start w:val="1"/>
      <w:numFmt w:val="lowerRoman"/>
      <w:isLgl w:val="false"/>
      <w:suff w:val="tab"/>
      <w:lvlText w:val="%6."/>
      <w:lvlJc w:val="right"/>
      <w:pPr>
        <w:pStyle w:val="1644"/>
        <w:ind w:left="2520" w:hanging="420"/>
        <w:tabs>
          <w:tab w:val="num" w:pos="2520" w:leader="none"/>
        </w:tabs>
      </w:pPr>
      <w:rPr>
        <w:rFonts w:cs="Times New Roman"/>
      </w:rPr>
    </w:lvl>
    <w:lvl w:ilvl="6">
      <w:start w:val="1"/>
      <w:numFmt w:val="decimal"/>
      <w:isLgl w:val="false"/>
      <w:suff w:val="tab"/>
      <w:lvlText w:val="%7."/>
      <w:lvlJc w:val="left"/>
      <w:pPr>
        <w:pStyle w:val="1644"/>
        <w:ind w:left="2940" w:hanging="420"/>
        <w:tabs>
          <w:tab w:val="num" w:pos="2940" w:leader="none"/>
        </w:tabs>
      </w:pPr>
      <w:rPr>
        <w:rFonts w:cs="Times New Roman"/>
      </w:rPr>
    </w:lvl>
    <w:lvl w:ilvl="7">
      <w:start w:val="1"/>
      <w:numFmt w:val="lowerLetter"/>
      <w:isLgl w:val="false"/>
      <w:suff w:val="tab"/>
      <w:lvlText w:val="%8)"/>
      <w:lvlJc w:val="left"/>
      <w:pPr>
        <w:pStyle w:val="1644"/>
        <w:ind w:left="3360" w:hanging="420"/>
        <w:tabs>
          <w:tab w:val="num" w:pos="3360" w:leader="none"/>
        </w:tabs>
      </w:pPr>
      <w:rPr>
        <w:rFonts w:cs="Times New Roman"/>
      </w:rPr>
    </w:lvl>
    <w:lvl w:ilvl="8">
      <w:start w:val="1"/>
      <w:numFmt w:val="lowerRoman"/>
      <w:isLgl w:val="false"/>
      <w:suff w:val="tab"/>
      <w:lvlText w:val="%9."/>
      <w:lvlJc w:val="right"/>
      <w:pPr>
        <w:pStyle w:val="1644"/>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7">
    <w:name w:val="Heading 1"/>
    <w:basedOn w:val="1644"/>
    <w:next w:val="1644"/>
    <w:link w:val="1468"/>
    <w:uiPriority w:val="9"/>
    <w:qFormat/>
    <w:pPr>
      <w:keepLines/>
      <w:keepNext/>
      <w:spacing w:before="480" w:after="200"/>
      <w:outlineLvl w:val="0"/>
    </w:pPr>
    <w:rPr>
      <w:rFonts w:ascii="Arial" w:hAnsi="Arial" w:eastAsia="Arial" w:cs="Arial"/>
      <w:sz w:val="40"/>
      <w:szCs w:val="40"/>
    </w:rPr>
  </w:style>
  <w:style w:type="character" w:styleId="1468">
    <w:name w:val="Heading 1 Char"/>
    <w:link w:val="1467"/>
    <w:uiPriority w:val="9"/>
    <w:rPr>
      <w:rFonts w:ascii="Arial" w:hAnsi="Arial" w:eastAsia="Arial" w:cs="Arial"/>
      <w:sz w:val="40"/>
      <w:szCs w:val="40"/>
    </w:rPr>
  </w:style>
  <w:style w:type="paragraph" w:styleId="1469">
    <w:name w:val="Heading 2"/>
    <w:basedOn w:val="1644"/>
    <w:next w:val="1644"/>
    <w:link w:val="1470"/>
    <w:uiPriority w:val="9"/>
    <w:unhideWhenUsed/>
    <w:qFormat/>
    <w:pPr>
      <w:keepLines/>
      <w:keepNext/>
      <w:spacing w:before="360" w:after="200"/>
      <w:outlineLvl w:val="1"/>
    </w:pPr>
    <w:rPr>
      <w:rFonts w:ascii="Arial" w:hAnsi="Arial" w:eastAsia="Arial" w:cs="Arial"/>
      <w:sz w:val="34"/>
    </w:rPr>
  </w:style>
  <w:style w:type="character" w:styleId="1470">
    <w:name w:val="Heading 2 Char"/>
    <w:link w:val="1469"/>
    <w:uiPriority w:val="9"/>
    <w:rPr>
      <w:rFonts w:ascii="Arial" w:hAnsi="Arial" w:eastAsia="Arial" w:cs="Arial"/>
      <w:sz w:val="34"/>
    </w:rPr>
  </w:style>
  <w:style w:type="paragraph" w:styleId="1471">
    <w:name w:val="Heading 3"/>
    <w:basedOn w:val="1644"/>
    <w:next w:val="1644"/>
    <w:link w:val="1472"/>
    <w:uiPriority w:val="9"/>
    <w:unhideWhenUsed/>
    <w:qFormat/>
    <w:pPr>
      <w:keepLines/>
      <w:keepNext/>
      <w:spacing w:before="320" w:after="200"/>
      <w:outlineLvl w:val="2"/>
    </w:pPr>
    <w:rPr>
      <w:rFonts w:ascii="Arial" w:hAnsi="Arial" w:eastAsia="Arial" w:cs="Arial"/>
      <w:sz w:val="30"/>
      <w:szCs w:val="30"/>
    </w:rPr>
  </w:style>
  <w:style w:type="character" w:styleId="1472">
    <w:name w:val="Heading 3 Char"/>
    <w:link w:val="1471"/>
    <w:uiPriority w:val="9"/>
    <w:rPr>
      <w:rFonts w:ascii="Arial" w:hAnsi="Arial" w:eastAsia="Arial" w:cs="Arial"/>
      <w:sz w:val="30"/>
      <w:szCs w:val="30"/>
    </w:rPr>
  </w:style>
  <w:style w:type="paragraph" w:styleId="1473">
    <w:name w:val="Heading 4"/>
    <w:basedOn w:val="1644"/>
    <w:next w:val="1644"/>
    <w:link w:val="1474"/>
    <w:uiPriority w:val="9"/>
    <w:unhideWhenUsed/>
    <w:qFormat/>
    <w:pPr>
      <w:keepLines/>
      <w:keepNext/>
      <w:spacing w:before="320" w:after="200"/>
      <w:outlineLvl w:val="3"/>
    </w:pPr>
    <w:rPr>
      <w:rFonts w:ascii="Arial" w:hAnsi="Arial" w:eastAsia="Arial" w:cs="Arial"/>
      <w:b/>
      <w:bCs/>
      <w:sz w:val="26"/>
      <w:szCs w:val="26"/>
    </w:rPr>
  </w:style>
  <w:style w:type="character" w:styleId="1474">
    <w:name w:val="Heading 4 Char"/>
    <w:link w:val="1473"/>
    <w:uiPriority w:val="9"/>
    <w:rPr>
      <w:rFonts w:ascii="Arial" w:hAnsi="Arial" w:eastAsia="Arial" w:cs="Arial"/>
      <w:b/>
      <w:bCs/>
      <w:sz w:val="26"/>
      <w:szCs w:val="26"/>
    </w:rPr>
  </w:style>
  <w:style w:type="paragraph" w:styleId="1475">
    <w:name w:val="Heading 5"/>
    <w:basedOn w:val="1644"/>
    <w:next w:val="1644"/>
    <w:link w:val="1476"/>
    <w:uiPriority w:val="9"/>
    <w:unhideWhenUsed/>
    <w:qFormat/>
    <w:pPr>
      <w:keepLines/>
      <w:keepNext/>
      <w:spacing w:before="320" w:after="200"/>
      <w:outlineLvl w:val="4"/>
    </w:pPr>
    <w:rPr>
      <w:rFonts w:ascii="Arial" w:hAnsi="Arial" w:eastAsia="Arial" w:cs="Arial"/>
      <w:b/>
      <w:bCs/>
      <w:sz w:val="24"/>
      <w:szCs w:val="24"/>
    </w:rPr>
  </w:style>
  <w:style w:type="character" w:styleId="1476">
    <w:name w:val="Heading 5 Char"/>
    <w:link w:val="1475"/>
    <w:uiPriority w:val="9"/>
    <w:rPr>
      <w:rFonts w:ascii="Arial" w:hAnsi="Arial" w:eastAsia="Arial" w:cs="Arial"/>
      <w:b/>
      <w:bCs/>
      <w:sz w:val="24"/>
      <w:szCs w:val="24"/>
    </w:rPr>
  </w:style>
  <w:style w:type="paragraph" w:styleId="1477">
    <w:name w:val="Heading 6"/>
    <w:basedOn w:val="1644"/>
    <w:next w:val="1644"/>
    <w:link w:val="1478"/>
    <w:uiPriority w:val="9"/>
    <w:unhideWhenUsed/>
    <w:qFormat/>
    <w:pPr>
      <w:keepLines/>
      <w:keepNext/>
      <w:spacing w:before="320" w:after="200"/>
      <w:outlineLvl w:val="5"/>
    </w:pPr>
    <w:rPr>
      <w:rFonts w:ascii="Arial" w:hAnsi="Arial" w:eastAsia="Arial" w:cs="Arial"/>
      <w:b/>
      <w:bCs/>
      <w:sz w:val="22"/>
      <w:szCs w:val="22"/>
    </w:rPr>
  </w:style>
  <w:style w:type="character" w:styleId="1478">
    <w:name w:val="Heading 6 Char"/>
    <w:link w:val="1477"/>
    <w:uiPriority w:val="9"/>
    <w:rPr>
      <w:rFonts w:ascii="Arial" w:hAnsi="Arial" w:eastAsia="Arial" w:cs="Arial"/>
      <w:b/>
      <w:bCs/>
      <w:sz w:val="22"/>
      <w:szCs w:val="22"/>
    </w:rPr>
  </w:style>
  <w:style w:type="paragraph" w:styleId="1479">
    <w:name w:val="Heading 7"/>
    <w:basedOn w:val="1644"/>
    <w:next w:val="1644"/>
    <w:link w:val="1480"/>
    <w:uiPriority w:val="9"/>
    <w:unhideWhenUsed/>
    <w:qFormat/>
    <w:pPr>
      <w:keepLines/>
      <w:keepNext/>
      <w:spacing w:before="320" w:after="200"/>
      <w:outlineLvl w:val="6"/>
    </w:pPr>
    <w:rPr>
      <w:rFonts w:ascii="Arial" w:hAnsi="Arial" w:eastAsia="Arial" w:cs="Arial"/>
      <w:b/>
      <w:bCs/>
      <w:i/>
      <w:iCs/>
      <w:sz w:val="22"/>
      <w:szCs w:val="22"/>
    </w:rPr>
  </w:style>
  <w:style w:type="character" w:styleId="1480">
    <w:name w:val="Heading 7 Char"/>
    <w:link w:val="1479"/>
    <w:uiPriority w:val="9"/>
    <w:rPr>
      <w:rFonts w:ascii="Arial" w:hAnsi="Arial" w:eastAsia="Arial" w:cs="Arial"/>
      <w:b/>
      <w:bCs/>
      <w:i/>
      <w:iCs/>
      <w:sz w:val="22"/>
      <w:szCs w:val="22"/>
    </w:rPr>
  </w:style>
  <w:style w:type="paragraph" w:styleId="1481">
    <w:name w:val="Heading 8"/>
    <w:basedOn w:val="1644"/>
    <w:next w:val="1644"/>
    <w:link w:val="1482"/>
    <w:uiPriority w:val="9"/>
    <w:unhideWhenUsed/>
    <w:qFormat/>
    <w:pPr>
      <w:keepLines/>
      <w:keepNext/>
      <w:spacing w:before="320" w:after="200"/>
      <w:outlineLvl w:val="7"/>
    </w:pPr>
    <w:rPr>
      <w:rFonts w:ascii="Arial" w:hAnsi="Arial" w:eastAsia="Arial" w:cs="Arial"/>
      <w:i/>
      <w:iCs/>
      <w:sz w:val="22"/>
      <w:szCs w:val="22"/>
    </w:rPr>
  </w:style>
  <w:style w:type="character" w:styleId="1482">
    <w:name w:val="Heading 8 Char"/>
    <w:link w:val="1481"/>
    <w:uiPriority w:val="9"/>
    <w:rPr>
      <w:rFonts w:ascii="Arial" w:hAnsi="Arial" w:eastAsia="Arial" w:cs="Arial"/>
      <w:i/>
      <w:iCs/>
      <w:sz w:val="22"/>
      <w:szCs w:val="22"/>
    </w:rPr>
  </w:style>
  <w:style w:type="paragraph" w:styleId="1483">
    <w:name w:val="Heading 9"/>
    <w:basedOn w:val="1644"/>
    <w:next w:val="1644"/>
    <w:link w:val="1484"/>
    <w:uiPriority w:val="9"/>
    <w:unhideWhenUsed/>
    <w:qFormat/>
    <w:pPr>
      <w:keepLines/>
      <w:keepNext/>
      <w:spacing w:before="320" w:after="200"/>
      <w:outlineLvl w:val="8"/>
    </w:pPr>
    <w:rPr>
      <w:rFonts w:ascii="Arial" w:hAnsi="Arial" w:eastAsia="Arial" w:cs="Arial"/>
      <w:i/>
      <w:iCs/>
      <w:sz w:val="21"/>
      <w:szCs w:val="21"/>
    </w:rPr>
  </w:style>
  <w:style w:type="character" w:styleId="1484">
    <w:name w:val="Heading 9 Char"/>
    <w:link w:val="1483"/>
    <w:uiPriority w:val="9"/>
    <w:rPr>
      <w:rFonts w:ascii="Arial" w:hAnsi="Arial" w:eastAsia="Arial" w:cs="Arial"/>
      <w:i/>
      <w:iCs/>
      <w:sz w:val="21"/>
      <w:szCs w:val="21"/>
    </w:rPr>
  </w:style>
  <w:style w:type="paragraph" w:styleId="1485">
    <w:name w:val="No Spacing"/>
    <w:uiPriority w:val="1"/>
    <w:qFormat/>
    <w:pPr>
      <w:spacing w:before="0" w:after="0" w:line="240" w:lineRule="auto"/>
    </w:pPr>
  </w:style>
  <w:style w:type="paragraph" w:styleId="1486">
    <w:name w:val="Title"/>
    <w:basedOn w:val="1644"/>
    <w:next w:val="1644"/>
    <w:link w:val="1487"/>
    <w:uiPriority w:val="10"/>
    <w:qFormat/>
    <w:pPr>
      <w:contextualSpacing/>
      <w:spacing w:before="300" w:after="200"/>
    </w:pPr>
    <w:rPr>
      <w:sz w:val="48"/>
      <w:szCs w:val="48"/>
    </w:rPr>
  </w:style>
  <w:style w:type="character" w:styleId="1487">
    <w:name w:val="Title Char"/>
    <w:link w:val="1486"/>
    <w:uiPriority w:val="10"/>
    <w:rPr>
      <w:sz w:val="48"/>
      <w:szCs w:val="48"/>
    </w:rPr>
  </w:style>
  <w:style w:type="paragraph" w:styleId="1488">
    <w:name w:val="Subtitle"/>
    <w:basedOn w:val="1644"/>
    <w:next w:val="1644"/>
    <w:link w:val="1489"/>
    <w:uiPriority w:val="11"/>
    <w:qFormat/>
    <w:pPr>
      <w:spacing w:before="200" w:after="200"/>
    </w:pPr>
    <w:rPr>
      <w:sz w:val="24"/>
      <w:szCs w:val="24"/>
    </w:rPr>
  </w:style>
  <w:style w:type="character" w:styleId="1489">
    <w:name w:val="Subtitle Char"/>
    <w:link w:val="1488"/>
    <w:uiPriority w:val="11"/>
    <w:rPr>
      <w:sz w:val="24"/>
      <w:szCs w:val="24"/>
    </w:rPr>
  </w:style>
  <w:style w:type="paragraph" w:styleId="1490">
    <w:name w:val="Quote"/>
    <w:basedOn w:val="1644"/>
    <w:next w:val="1644"/>
    <w:link w:val="1491"/>
    <w:uiPriority w:val="29"/>
    <w:qFormat/>
    <w:pPr>
      <w:ind w:left="720" w:right="720"/>
    </w:pPr>
    <w:rPr>
      <w:i/>
    </w:rPr>
  </w:style>
  <w:style w:type="character" w:styleId="1491">
    <w:name w:val="Quote Char"/>
    <w:link w:val="1490"/>
    <w:uiPriority w:val="29"/>
    <w:rPr>
      <w:i/>
    </w:rPr>
  </w:style>
  <w:style w:type="paragraph" w:styleId="1492">
    <w:name w:val="Intense Quote"/>
    <w:basedOn w:val="1644"/>
    <w:next w:val="1644"/>
    <w:link w:val="14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93">
    <w:name w:val="Intense Quote Char"/>
    <w:link w:val="1492"/>
    <w:uiPriority w:val="30"/>
    <w:rPr>
      <w:i/>
    </w:rPr>
  </w:style>
  <w:style w:type="paragraph" w:styleId="1494">
    <w:name w:val="Header"/>
    <w:basedOn w:val="1644"/>
    <w:link w:val="1495"/>
    <w:uiPriority w:val="99"/>
    <w:unhideWhenUsed/>
    <w:pPr>
      <w:spacing w:after="0" w:line="240" w:lineRule="auto"/>
      <w:tabs>
        <w:tab w:val="center" w:pos="7143" w:leader="none"/>
        <w:tab w:val="right" w:pos="14287" w:leader="none"/>
      </w:tabs>
    </w:pPr>
  </w:style>
  <w:style w:type="character" w:styleId="1495">
    <w:name w:val="Header Char"/>
    <w:link w:val="1494"/>
    <w:uiPriority w:val="99"/>
  </w:style>
  <w:style w:type="paragraph" w:styleId="1496">
    <w:name w:val="Footer"/>
    <w:basedOn w:val="1644"/>
    <w:link w:val="1499"/>
    <w:uiPriority w:val="99"/>
    <w:unhideWhenUsed/>
    <w:pPr>
      <w:spacing w:after="0" w:line="240" w:lineRule="auto"/>
      <w:tabs>
        <w:tab w:val="center" w:pos="7143" w:leader="none"/>
        <w:tab w:val="right" w:pos="14287" w:leader="none"/>
      </w:tabs>
    </w:pPr>
  </w:style>
  <w:style w:type="character" w:styleId="1497">
    <w:name w:val="Footer Char"/>
    <w:link w:val="1496"/>
    <w:uiPriority w:val="99"/>
  </w:style>
  <w:style w:type="paragraph" w:styleId="1498">
    <w:name w:val="Caption"/>
    <w:basedOn w:val="1644"/>
    <w:next w:val="1644"/>
    <w:uiPriority w:val="35"/>
    <w:semiHidden/>
    <w:unhideWhenUsed/>
    <w:qFormat/>
    <w:pPr>
      <w:spacing w:line="276" w:lineRule="auto"/>
    </w:pPr>
    <w:rPr>
      <w:b/>
      <w:bCs/>
      <w:color w:val="4f81bd" w:themeColor="accent1"/>
      <w:sz w:val="18"/>
      <w:szCs w:val="18"/>
    </w:rPr>
  </w:style>
  <w:style w:type="character" w:styleId="1499">
    <w:name w:val="Caption Char"/>
    <w:basedOn w:val="1498"/>
    <w:link w:val="1496"/>
    <w:uiPriority w:val="99"/>
  </w:style>
  <w:style w:type="table" w:styleId="15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5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5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5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5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5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5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5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5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26">
    <w:name w:val="Hyperlink"/>
    <w:uiPriority w:val="99"/>
    <w:unhideWhenUsed/>
    <w:rPr>
      <w:color w:val="0000ff" w:themeColor="hyperlink"/>
      <w:u w:val="single"/>
    </w:rPr>
  </w:style>
  <w:style w:type="paragraph" w:styleId="1627">
    <w:name w:val="footnote text"/>
    <w:basedOn w:val="1644"/>
    <w:link w:val="1628"/>
    <w:uiPriority w:val="99"/>
    <w:semiHidden/>
    <w:unhideWhenUsed/>
    <w:pPr>
      <w:spacing w:after="40" w:line="240" w:lineRule="auto"/>
    </w:pPr>
    <w:rPr>
      <w:sz w:val="18"/>
    </w:rPr>
  </w:style>
  <w:style w:type="character" w:styleId="1628">
    <w:name w:val="Footnote Text Char"/>
    <w:link w:val="1627"/>
    <w:uiPriority w:val="99"/>
    <w:rPr>
      <w:sz w:val="18"/>
    </w:rPr>
  </w:style>
  <w:style w:type="character" w:styleId="1629">
    <w:name w:val="footnote reference"/>
    <w:uiPriority w:val="99"/>
    <w:unhideWhenUsed/>
    <w:rPr>
      <w:vertAlign w:val="superscript"/>
    </w:rPr>
  </w:style>
  <w:style w:type="paragraph" w:styleId="1630">
    <w:name w:val="endnote text"/>
    <w:basedOn w:val="1644"/>
    <w:link w:val="1631"/>
    <w:uiPriority w:val="99"/>
    <w:semiHidden/>
    <w:unhideWhenUsed/>
    <w:pPr>
      <w:spacing w:after="0" w:line="240" w:lineRule="auto"/>
    </w:pPr>
    <w:rPr>
      <w:sz w:val="20"/>
    </w:rPr>
  </w:style>
  <w:style w:type="character" w:styleId="1631">
    <w:name w:val="Endnote Text Char"/>
    <w:link w:val="1630"/>
    <w:uiPriority w:val="99"/>
    <w:rPr>
      <w:sz w:val="20"/>
    </w:rPr>
  </w:style>
  <w:style w:type="character" w:styleId="1632">
    <w:name w:val="endnote reference"/>
    <w:uiPriority w:val="99"/>
    <w:semiHidden/>
    <w:unhideWhenUsed/>
    <w:rPr>
      <w:vertAlign w:val="superscript"/>
    </w:rPr>
  </w:style>
  <w:style w:type="paragraph" w:styleId="1633">
    <w:name w:val="toc 1"/>
    <w:basedOn w:val="1644"/>
    <w:next w:val="1644"/>
    <w:uiPriority w:val="39"/>
    <w:unhideWhenUsed/>
    <w:pPr>
      <w:ind w:left="0" w:right="0" w:firstLine="0"/>
      <w:spacing w:after="57"/>
    </w:pPr>
  </w:style>
  <w:style w:type="paragraph" w:styleId="1634">
    <w:name w:val="toc 2"/>
    <w:basedOn w:val="1644"/>
    <w:next w:val="1644"/>
    <w:uiPriority w:val="39"/>
    <w:unhideWhenUsed/>
    <w:pPr>
      <w:ind w:left="283" w:right="0" w:firstLine="0"/>
      <w:spacing w:after="57"/>
    </w:pPr>
  </w:style>
  <w:style w:type="paragraph" w:styleId="1635">
    <w:name w:val="toc 3"/>
    <w:basedOn w:val="1644"/>
    <w:next w:val="1644"/>
    <w:uiPriority w:val="39"/>
    <w:unhideWhenUsed/>
    <w:pPr>
      <w:ind w:left="567" w:right="0" w:firstLine="0"/>
      <w:spacing w:after="57"/>
    </w:pPr>
  </w:style>
  <w:style w:type="paragraph" w:styleId="1636">
    <w:name w:val="toc 4"/>
    <w:basedOn w:val="1644"/>
    <w:next w:val="1644"/>
    <w:uiPriority w:val="39"/>
    <w:unhideWhenUsed/>
    <w:pPr>
      <w:ind w:left="850" w:right="0" w:firstLine="0"/>
      <w:spacing w:after="57"/>
    </w:pPr>
  </w:style>
  <w:style w:type="paragraph" w:styleId="1637">
    <w:name w:val="toc 5"/>
    <w:basedOn w:val="1644"/>
    <w:next w:val="1644"/>
    <w:uiPriority w:val="39"/>
    <w:unhideWhenUsed/>
    <w:pPr>
      <w:ind w:left="1134" w:right="0" w:firstLine="0"/>
      <w:spacing w:after="57"/>
    </w:pPr>
  </w:style>
  <w:style w:type="paragraph" w:styleId="1638">
    <w:name w:val="toc 6"/>
    <w:basedOn w:val="1644"/>
    <w:next w:val="1644"/>
    <w:uiPriority w:val="39"/>
    <w:unhideWhenUsed/>
    <w:pPr>
      <w:ind w:left="1417" w:right="0" w:firstLine="0"/>
      <w:spacing w:after="57"/>
    </w:pPr>
  </w:style>
  <w:style w:type="paragraph" w:styleId="1639">
    <w:name w:val="toc 7"/>
    <w:basedOn w:val="1644"/>
    <w:next w:val="1644"/>
    <w:uiPriority w:val="39"/>
    <w:unhideWhenUsed/>
    <w:pPr>
      <w:ind w:left="1701" w:right="0" w:firstLine="0"/>
      <w:spacing w:after="57"/>
    </w:pPr>
  </w:style>
  <w:style w:type="paragraph" w:styleId="1640">
    <w:name w:val="toc 8"/>
    <w:basedOn w:val="1644"/>
    <w:next w:val="1644"/>
    <w:uiPriority w:val="39"/>
    <w:unhideWhenUsed/>
    <w:pPr>
      <w:ind w:left="1984" w:right="0" w:firstLine="0"/>
      <w:spacing w:after="57"/>
    </w:pPr>
  </w:style>
  <w:style w:type="paragraph" w:styleId="1641">
    <w:name w:val="toc 9"/>
    <w:basedOn w:val="1644"/>
    <w:next w:val="1644"/>
    <w:uiPriority w:val="39"/>
    <w:unhideWhenUsed/>
    <w:pPr>
      <w:ind w:left="2268" w:right="0" w:firstLine="0"/>
      <w:spacing w:after="57"/>
    </w:pPr>
  </w:style>
  <w:style w:type="paragraph" w:styleId="1642">
    <w:name w:val="TOC Heading"/>
    <w:uiPriority w:val="39"/>
    <w:unhideWhenUsed/>
  </w:style>
  <w:style w:type="paragraph" w:styleId="1643">
    <w:name w:val="table of figures"/>
    <w:basedOn w:val="1644"/>
    <w:next w:val="1644"/>
    <w:uiPriority w:val="99"/>
    <w:unhideWhenUsed/>
    <w:pPr>
      <w:spacing w:after="0" w:afterAutospacing="0"/>
    </w:pPr>
  </w:style>
  <w:style w:type="paragraph" w:styleId="1644" w:default="1">
    <w:name w:val="Normal"/>
    <w:next w:val="1644"/>
    <w:link w:val="1644"/>
    <w:qFormat/>
    <w:pPr>
      <w:jc w:val="both"/>
      <w:widowControl w:val="off"/>
    </w:pPr>
    <w:rPr>
      <w:sz w:val="21"/>
      <w:lang w:val="en-US" w:eastAsia="zh-CN" w:bidi="ar-SA"/>
    </w:rPr>
  </w:style>
  <w:style w:type="paragraph" w:styleId="1645">
    <w:name w:val="标题 1"/>
    <w:basedOn w:val="1644"/>
    <w:next w:val="1644"/>
    <w:link w:val="1652"/>
    <w:qFormat/>
    <w:pPr>
      <w:jc w:val="center"/>
      <w:keepNext/>
      <w:outlineLvl w:val="0"/>
    </w:pPr>
    <w:rPr>
      <w:rFonts w:ascii="楷体_GB2312" w:hAnsi="楷体_GB2312" w:eastAsia="宋体"/>
      <w:b/>
      <w:sz w:val="28"/>
      <w:szCs w:val="32"/>
    </w:rPr>
  </w:style>
  <w:style w:type="paragraph" w:styleId="1646">
    <w:name w:val="标题 2"/>
    <w:basedOn w:val="1644"/>
    <w:next w:val="1644"/>
    <w:link w:val="1653"/>
    <w:qFormat/>
    <w:pPr>
      <w:jc w:val="center"/>
      <w:keepNext/>
      <w:outlineLvl w:val="1"/>
    </w:pPr>
    <w:rPr>
      <w:rFonts w:ascii="楷体_GB2312" w:eastAsia="楷体_GB2312"/>
      <w:b/>
      <w:bCs/>
      <w:sz w:val="18"/>
    </w:rPr>
  </w:style>
  <w:style w:type="paragraph" w:styleId="1647">
    <w:name w:val="标题 3"/>
    <w:basedOn w:val="1644"/>
    <w:next w:val="1644"/>
    <w:link w:val="1654"/>
    <w:qFormat/>
    <w:pPr>
      <w:jc w:val="center"/>
      <w:keepNext/>
      <w:outlineLvl w:val="2"/>
    </w:pPr>
    <w:rPr>
      <w:rFonts w:eastAsia="楷体_GB2312"/>
      <w:b/>
      <w:bCs/>
      <w:sz w:val="15"/>
    </w:rPr>
  </w:style>
  <w:style w:type="paragraph" w:styleId="1648">
    <w:name w:val="标题 4"/>
    <w:basedOn w:val="1644"/>
    <w:next w:val="1644"/>
    <w:link w:val="1655"/>
    <w:qFormat/>
    <w:pPr>
      <w:jc w:val="center"/>
      <w:keepNext/>
      <w:outlineLvl w:val="3"/>
    </w:pPr>
    <w:rPr>
      <w:rFonts w:eastAsia="楷体_GB2312"/>
      <w:b/>
      <w:bCs/>
      <w:sz w:val="13"/>
    </w:rPr>
  </w:style>
  <w:style w:type="paragraph" w:styleId="1649">
    <w:name w:val="标题 5"/>
    <w:basedOn w:val="1644"/>
    <w:next w:val="1644"/>
    <w:link w:val="1656"/>
    <w:qFormat/>
    <w:pPr>
      <w:numPr>
        <w:ilvl w:val="0"/>
        <w:numId w:val="1"/>
      </w:numPr>
      <w:keepNext/>
      <w:tabs>
        <w:tab w:val="left" w:pos="360" w:leader="none"/>
      </w:tabs>
      <w:outlineLvl w:val="4"/>
    </w:pPr>
    <w:rPr>
      <w:rFonts w:ascii="楷体_GB2312" w:eastAsia="楷体_GB2312"/>
      <w:bCs/>
      <w:sz w:val="28"/>
    </w:rPr>
  </w:style>
  <w:style w:type="character" w:styleId="1650">
    <w:name w:val="默认段落字体"/>
    <w:next w:val="1650"/>
    <w:link w:val="1644"/>
    <w:uiPriority w:val="1"/>
    <w:unhideWhenUsed/>
  </w:style>
  <w:style w:type="table" w:styleId="1651">
    <w:name w:val="普通表格"/>
    <w:next w:val="1651"/>
    <w:link w:val="1644"/>
    <w:uiPriority w:val="99"/>
    <w:unhideWhenUsed/>
    <w:qFormat/>
    <w:tblPr/>
  </w:style>
  <w:style w:type="character" w:styleId="1652">
    <w:name w:val="标题 1 字符"/>
    <w:next w:val="1652"/>
    <w:link w:val="1645"/>
    <w:qFormat/>
    <w:rPr>
      <w:rFonts w:ascii="楷体_GB2312" w:hAnsi="楷体_GB2312" w:eastAsia="宋体" w:cs="Times New Roman"/>
      <w:b/>
      <w:sz w:val="28"/>
      <w:szCs w:val="32"/>
    </w:rPr>
  </w:style>
  <w:style w:type="character" w:styleId="1653">
    <w:name w:val="标题 2 字符"/>
    <w:next w:val="1653"/>
    <w:link w:val="1646"/>
    <w:qFormat/>
    <w:rPr>
      <w:rFonts w:ascii="楷体_GB2312" w:hAnsi="Times New Roman" w:eastAsia="楷体_GB2312" w:cs="Times New Roman"/>
      <w:b/>
      <w:bCs/>
      <w:sz w:val="18"/>
      <w:szCs w:val="20"/>
    </w:rPr>
  </w:style>
  <w:style w:type="character" w:styleId="1654">
    <w:name w:val="标题 3 字符"/>
    <w:next w:val="1654"/>
    <w:link w:val="1647"/>
    <w:qFormat/>
    <w:rPr>
      <w:rFonts w:ascii="Times New Roman" w:hAnsi="Times New Roman" w:eastAsia="楷体_GB2312" w:cs="Times New Roman"/>
      <w:b/>
      <w:bCs/>
      <w:sz w:val="15"/>
      <w:szCs w:val="20"/>
    </w:rPr>
  </w:style>
  <w:style w:type="character" w:styleId="1655">
    <w:name w:val="标题 4 字符"/>
    <w:next w:val="1655"/>
    <w:link w:val="1648"/>
    <w:qFormat/>
    <w:rPr>
      <w:rFonts w:ascii="Times New Roman" w:hAnsi="Times New Roman" w:eastAsia="楷体_GB2312" w:cs="Times New Roman"/>
      <w:b/>
      <w:bCs/>
      <w:sz w:val="13"/>
      <w:szCs w:val="20"/>
    </w:rPr>
  </w:style>
  <w:style w:type="character" w:styleId="1656">
    <w:name w:val="标题 5 字符"/>
    <w:next w:val="1656"/>
    <w:link w:val="1649"/>
    <w:qFormat/>
    <w:rPr>
      <w:rFonts w:ascii="楷体_GB2312" w:hAnsi="Times New Roman" w:eastAsia="楷体_GB2312" w:cs="Times New Roman"/>
      <w:bCs/>
      <w:sz w:val="28"/>
      <w:szCs w:val="20"/>
    </w:rPr>
  </w:style>
  <w:style w:type="paragraph" w:styleId="1657">
    <w:name w:val="正文缩进"/>
    <w:basedOn w:val="1644"/>
    <w:next w:val="1657"/>
    <w:link w:val="1658"/>
    <w:unhideWhenUsed/>
    <w:qFormat/>
    <w:pPr>
      <w:ind w:firstLine="420"/>
    </w:pPr>
  </w:style>
  <w:style w:type="character" w:styleId="1658">
    <w:name w:val="正文缩进 字符"/>
    <w:next w:val="1658"/>
    <w:link w:val="1657"/>
    <w:semiHidden/>
    <w:qFormat/>
    <w:rPr>
      <w:rFonts w:ascii="Times New Roman" w:hAnsi="Times New Roman"/>
      <w:sz w:val="21"/>
    </w:rPr>
  </w:style>
  <w:style w:type="paragraph" w:styleId="1659">
    <w:name w:val="文档结构图"/>
    <w:basedOn w:val="1644"/>
    <w:next w:val="1659"/>
    <w:link w:val="1660"/>
    <w:semiHidden/>
    <w:qFormat/>
    <w:pPr>
      <w:shd w:val="clear" w:color="auto" w:fill="000080"/>
    </w:pPr>
    <w:rPr>
      <w:sz w:val="20"/>
    </w:rPr>
  </w:style>
  <w:style w:type="character" w:styleId="1660">
    <w:name w:val="文档结构图 字符"/>
    <w:next w:val="1660"/>
    <w:link w:val="1659"/>
    <w:semiHidden/>
    <w:qFormat/>
    <w:rPr>
      <w:rFonts w:ascii="Times New Roman" w:hAnsi="Times New Roman" w:eastAsia="宋体" w:cs="Times New Roman"/>
      <w:szCs w:val="20"/>
      <w:shd w:val="clear" w:color="auto" w:fill="000080"/>
    </w:rPr>
  </w:style>
  <w:style w:type="paragraph" w:styleId="1661">
    <w:name w:val="批注文字"/>
    <w:basedOn w:val="1644"/>
    <w:next w:val="1661"/>
    <w:link w:val="1662"/>
    <w:uiPriority w:val="99"/>
    <w:semiHidden/>
    <w:qFormat/>
    <w:pPr>
      <w:jc w:val="left"/>
    </w:pPr>
    <w:rPr>
      <w:sz w:val="20"/>
      <w:szCs w:val="24"/>
    </w:rPr>
  </w:style>
  <w:style w:type="character" w:styleId="1662">
    <w:name w:val="批注文字 字符"/>
    <w:next w:val="1662"/>
    <w:link w:val="1661"/>
    <w:uiPriority w:val="99"/>
    <w:semiHidden/>
    <w:qFormat/>
    <w:rPr>
      <w:rFonts w:ascii="Times New Roman" w:hAnsi="Times New Roman" w:eastAsia="宋体" w:cs="Times New Roman"/>
      <w:szCs w:val="24"/>
    </w:rPr>
  </w:style>
  <w:style w:type="paragraph" w:styleId="1663">
    <w:name w:val="正文文本"/>
    <w:basedOn w:val="1644"/>
    <w:next w:val="1663"/>
    <w:link w:val="1664"/>
    <w:uiPriority w:val="99"/>
    <w:qFormat/>
    <w:rPr>
      <w:rFonts w:ascii="华文中宋" w:eastAsia="华文中宋"/>
      <w:bCs/>
      <w:sz w:val="28"/>
    </w:rPr>
  </w:style>
  <w:style w:type="character" w:styleId="1664">
    <w:name w:val="正文文本 字符"/>
    <w:next w:val="1664"/>
    <w:link w:val="1663"/>
    <w:uiPriority w:val="99"/>
    <w:qFormat/>
    <w:rPr>
      <w:rFonts w:ascii="华文中宋" w:hAnsi="Times New Roman" w:eastAsia="华文中宋" w:cs="Times New Roman"/>
      <w:bCs/>
      <w:sz w:val="28"/>
      <w:szCs w:val="20"/>
    </w:rPr>
  </w:style>
  <w:style w:type="paragraph" w:styleId="1665">
    <w:name w:val="正文文本缩进"/>
    <w:basedOn w:val="1644"/>
    <w:next w:val="1644"/>
    <w:link w:val="1666"/>
    <w:qFormat/>
    <w:pPr>
      <w:ind w:firstLine="576"/>
    </w:pPr>
    <w:rPr>
      <w:b/>
      <w:sz w:val="30"/>
    </w:rPr>
  </w:style>
  <w:style w:type="character" w:styleId="1666">
    <w:name w:val="正文文本缩进 字符"/>
    <w:next w:val="1666"/>
    <w:link w:val="1665"/>
    <w:qFormat/>
    <w:rPr>
      <w:rFonts w:ascii="Times New Roman" w:hAnsi="Times New Roman" w:eastAsia="宋体" w:cs="Times New Roman"/>
      <w:b/>
      <w:sz w:val="30"/>
      <w:szCs w:val="20"/>
    </w:rPr>
  </w:style>
  <w:style w:type="paragraph" w:styleId="1667">
    <w:name w:val="索引 4"/>
    <w:basedOn w:val="1644"/>
    <w:next w:val="1644"/>
    <w:link w:val="1644"/>
    <w:uiPriority w:val="99"/>
    <w:qFormat/>
    <w:pPr>
      <w:ind w:left="600"/>
    </w:pPr>
    <w:rPr>
      <w:szCs w:val="24"/>
    </w:rPr>
  </w:style>
  <w:style w:type="paragraph" w:styleId="1668">
    <w:name w:val="纯文本"/>
    <w:basedOn w:val="1644"/>
    <w:next w:val="1668"/>
    <w:link w:val="1669"/>
    <w:qFormat/>
    <w:rPr>
      <w:rFonts w:ascii="宋体" w:hAnsi="Courier New"/>
    </w:rPr>
  </w:style>
  <w:style w:type="character" w:styleId="1669">
    <w:name w:val="纯文本 字符"/>
    <w:next w:val="1669"/>
    <w:link w:val="1668"/>
    <w:rPr>
      <w:rFonts w:ascii="宋体" w:hAnsi="Courier New"/>
      <w:sz w:val="21"/>
    </w:rPr>
  </w:style>
  <w:style w:type="paragraph" w:styleId="1670">
    <w:name w:val="日期"/>
    <w:basedOn w:val="1644"/>
    <w:next w:val="1644"/>
    <w:link w:val="1671"/>
    <w:qFormat/>
    <w:rPr>
      <w:rFonts w:eastAsia="黑体"/>
      <w:b/>
      <w:sz w:val="36"/>
    </w:rPr>
  </w:style>
  <w:style w:type="character" w:styleId="1671">
    <w:name w:val="日期 字符"/>
    <w:next w:val="1671"/>
    <w:link w:val="1670"/>
    <w:qFormat/>
    <w:rPr>
      <w:rFonts w:ascii="Times New Roman" w:hAnsi="Times New Roman" w:eastAsia="黑体" w:cs="Times New Roman"/>
      <w:b/>
      <w:sz w:val="36"/>
      <w:szCs w:val="20"/>
    </w:rPr>
  </w:style>
  <w:style w:type="paragraph" w:styleId="1672">
    <w:name w:val="正文文本缩进 2"/>
    <w:basedOn w:val="1644"/>
    <w:next w:val="1672"/>
    <w:link w:val="1673"/>
    <w:qFormat/>
    <w:pPr>
      <w:ind w:left="900"/>
    </w:pPr>
    <w:rPr>
      <w:rFonts w:ascii="楷体_GB2312" w:eastAsia="楷体_GB2312"/>
      <w:b/>
      <w:sz w:val="28"/>
    </w:rPr>
  </w:style>
  <w:style w:type="character" w:styleId="1673">
    <w:name w:val="正文文本缩进 2 字符"/>
    <w:next w:val="1673"/>
    <w:link w:val="1672"/>
    <w:qFormat/>
    <w:rPr>
      <w:rFonts w:ascii="楷体_GB2312" w:hAnsi="Times New Roman" w:eastAsia="楷体_GB2312" w:cs="Times New Roman"/>
      <w:b/>
      <w:sz w:val="28"/>
      <w:szCs w:val="20"/>
    </w:rPr>
  </w:style>
  <w:style w:type="paragraph" w:styleId="1674">
    <w:name w:val="批注框文本"/>
    <w:basedOn w:val="1644"/>
    <w:next w:val="1674"/>
    <w:link w:val="1675"/>
    <w:uiPriority w:val="99"/>
    <w:unhideWhenUsed/>
    <w:qFormat/>
    <w:rPr>
      <w:sz w:val="18"/>
      <w:szCs w:val="18"/>
    </w:rPr>
  </w:style>
  <w:style w:type="character" w:styleId="1675">
    <w:name w:val="批注框文本 字符"/>
    <w:next w:val="1675"/>
    <w:link w:val="1674"/>
    <w:uiPriority w:val="99"/>
    <w:semiHidden/>
    <w:qFormat/>
    <w:rPr>
      <w:rFonts w:ascii="Times New Roman" w:hAnsi="Times New Roman" w:eastAsia="宋体" w:cs="Times New Roman"/>
      <w:sz w:val="18"/>
      <w:szCs w:val="18"/>
    </w:rPr>
  </w:style>
  <w:style w:type="paragraph" w:styleId="1676">
    <w:name w:val="页脚"/>
    <w:basedOn w:val="1644"/>
    <w:next w:val="1676"/>
    <w:link w:val="1677"/>
    <w:unhideWhenUsed/>
    <w:qFormat/>
    <w:pPr>
      <w:jc w:val="left"/>
      <w:tabs>
        <w:tab w:val="center" w:pos="4153" w:leader="none"/>
        <w:tab w:val="right" w:pos="8306" w:leader="none"/>
      </w:tabs>
    </w:pPr>
    <w:rPr>
      <w:sz w:val="18"/>
      <w:szCs w:val="18"/>
    </w:rPr>
  </w:style>
  <w:style w:type="character" w:styleId="1677">
    <w:name w:val="页脚 字符"/>
    <w:next w:val="1677"/>
    <w:link w:val="1676"/>
    <w:qFormat/>
    <w:rPr>
      <w:sz w:val="18"/>
      <w:szCs w:val="18"/>
    </w:rPr>
  </w:style>
  <w:style w:type="paragraph" w:styleId="1678">
    <w:name w:val="寄信人地址"/>
    <w:basedOn w:val="1644"/>
    <w:next w:val="1678"/>
    <w:link w:val="1644"/>
    <w:qFormat/>
    <w:rPr>
      <w:rFonts w:ascii="Arial" w:hAnsi="Arial"/>
    </w:rPr>
  </w:style>
  <w:style w:type="paragraph" w:styleId="1679">
    <w:name w:val="页眉"/>
    <w:basedOn w:val="1644"/>
    <w:next w:val="1679"/>
    <w:link w:val="1680"/>
    <w:unhideWhenUsed/>
    <w:qFormat/>
    <w:pPr>
      <w:jc w:val="center"/>
      <w:tabs>
        <w:tab w:val="center" w:pos="4153" w:leader="none"/>
        <w:tab w:val="right" w:pos="8306" w:leader="none"/>
      </w:tabs>
      <w:pBdr>
        <w:bottom w:val="single" w:color="000000" w:sz="6" w:space="1"/>
      </w:pBdr>
    </w:pPr>
    <w:rPr>
      <w:sz w:val="18"/>
      <w:szCs w:val="18"/>
    </w:rPr>
  </w:style>
  <w:style w:type="character" w:styleId="1680">
    <w:name w:val="页眉 字符"/>
    <w:next w:val="1680"/>
    <w:link w:val="1679"/>
    <w:qFormat/>
    <w:rPr>
      <w:sz w:val="18"/>
      <w:szCs w:val="18"/>
    </w:rPr>
  </w:style>
  <w:style w:type="paragraph" w:styleId="1681">
    <w:name w:val="目录 1"/>
    <w:basedOn w:val="1644"/>
    <w:next w:val="1644"/>
    <w:link w:val="1644"/>
    <w:uiPriority w:val="39"/>
    <w:unhideWhenUsed/>
  </w:style>
  <w:style w:type="paragraph" w:styleId="1682">
    <w:name w:val="列表"/>
    <w:basedOn w:val="1644"/>
    <w:next w:val="1682"/>
    <w:link w:val="1644"/>
    <w:qFormat/>
    <w:pPr>
      <w:ind w:left="420" w:hanging="420"/>
      <w:spacing w:after="20" w:line="288" w:lineRule="auto"/>
      <w:tabs>
        <w:tab w:val="left" w:pos="420" w:leader="none"/>
      </w:tabs>
    </w:pPr>
    <w:rPr>
      <w:szCs w:val="20"/>
      <w:lang w:val="en-GB"/>
    </w:rPr>
  </w:style>
  <w:style w:type="paragraph" w:styleId="1683">
    <w:name w:val="正文文本缩进 3"/>
    <w:basedOn w:val="1644"/>
    <w:next w:val="1683"/>
    <w:link w:val="1684"/>
    <w:qFormat/>
    <w:pPr>
      <w:ind w:left="359" w:firstLine="359"/>
    </w:pPr>
    <w:rPr>
      <w:sz w:val="20"/>
    </w:rPr>
  </w:style>
  <w:style w:type="character" w:styleId="1684">
    <w:name w:val="正文文本缩进 3 字符"/>
    <w:next w:val="1684"/>
    <w:link w:val="1683"/>
    <w:qFormat/>
    <w:rPr>
      <w:rFonts w:ascii="Times New Roman" w:hAnsi="Times New Roman" w:eastAsia="宋体" w:cs="Times New Roman"/>
      <w:szCs w:val="20"/>
    </w:rPr>
  </w:style>
  <w:style w:type="paragraph" w:styleId="1685">
    <w:name w:val="目录 2"/>
    <w:basedOn w:val="1644"/>
    <w:next w:val="1644"/>
    <w:link w:val="1644"/>
    <w:uiPriority w:val="39"/>
    <w:qFormat/>
    <w:pPr>
      <w:ind w:left="210" w:firstLine="150"/>
      <w:jc w:val="left"/>
      <w:tabs>
        <w:tab w:val="right" w:pos="9170" w:leader="dot"/>
      </w:tabs>
    </w:pPr>
    <w:rPr>
      <w:smallCaps/>
      <w:sz w:val="20"/>
    </w:rPr>
  </w:style>
  <w:style w:type="paragraph" w:styleId="1686">
    <w:name w:val="正文文本 2"/>
    <w:basedOn w:val="1644"/>
    <w:next w:val="1686"/>
    <w:link w:val="1687"/>
    <w:qFormat/>
    <w:pPr>
      <w:spacing w:after="120" w:line="480" w:lineRule="auto"/>
    </w:pPr>
    <w:rPr>
      <w:sz w:val="20"/>
    </w:rPr>
  </w:style>
  <w:style w:type="character" w:styleId="1687">
    <w:name w:val="正文文本 2 字符"/>
    <w:next w:val="1687"/>
    <w:link w:val="1686"/>
    <w:qFormat/>
    <w:rPr>
      <w:rFonts w:ascii="Times New Roman" w:hAnsi="Times New Roman" w:eastAsia="宋体" w:cs="Times New Roman"/>
      <w:szCs w:val="20"/>
    </w:rPr>
  </w:style>
  <w:style w:type="paragraph" w:styleId="1688">
    <w:name w:val="普通(网站)"/>
    <w:basedOn w:val="1644"/>
    <w:next w:val="1688"/>
    <w:link w:val="1644"/>
    <w:uiPriority w:val="99"/>
    <w:qFormat/>
    <w:pPr>
      <w:jc w:val="left"/>
      <w:spacing w:before="100" w:beforeAutospacing="1" w:after="100" w:afterAutospacing="1"/>
      <w:widowControl/>
    </w:pPr>
    <w:rPr>
      <w:rFonts w:ascii="宋体" w:hAnsi="宋体" w:cs="宋体"/>
      <w:sz w:val="24"/>
      <w:szCs w:val="24"/>
    </w:rPr>
  </w:style>
  <w:style w:type="paragraph" w:styleId="1689">
    <w:name w:val="批注主题"/>
    <w:basedOn w:val="1661"/>
    <w:next w:val="1661"/>
    <w:link w:val="1690"/>
    <w:uiPriority w:val="99"/>
    <w:semiHidden/>
    <w:qFormat/>
    <w:rPr>
      <w:b/>
      <w:bCs/>
    </w:rPr>
  </w:style>
  <w:style w:type="character" w:styleId="1690">
    <w:name w:val="批注主题 字符"/>
    <w:next w:val="1690"/>
    <w:link w:val="1689"/>
    <w:uiPriority w:val="99"/>
    <w:semiHidden/>
    <w:qFormat/>
    <w:rPr>
      <w:rFonts w:ascii="Times New Roman" w:hAnsi="Times New Roman" w:eastAsia="宋体" w:cs="Times New Roman"/>
      <w:b/>
      <w:bCs/>
      <w:szCs w:val="24"/>
    </w:rPr>
  </w:style>
  <w:style w:type="paragraph" w:styleId="1691">
    <w:name w:val="正文首行缩进"/>
    <w:basedOn w:val="1663"/>
    <w:next w:val="1691"/>
    <w:link w:val="1692"/>
    <w:pPr>
      <w:ind w:firstLine="420"/>
      <w:spacing w:after="120"/>
    </w:pPr>
    <w:rPr>
      <w:rFonts w:ascii="Times New Roman" w:eastAsia="宋体"/>
      <w:sz w:val="21"/>
      <w:szCs w:val="24"/>
    </w:rPr>
  </w:style>
  <w:style w:type="character" w:styleId="1692">
    <w:name w:val="正文首行缩进 字符"/>
    <w:next w:val="1692"/>
    <w:link w:val="1691"/>
    <w:qFormat/>
    <w:rPr>
      <w:rFonts w:ascii="Times New Roman" w:eastAsia="宋体"/>
      <w:sz w:val="21"/>
      <w:szCs w:val="24"/>
    </w:rPr>
  </w:style>
  <w:style w:type="paragraph" w:styleId="1693">
    <w:name w:val="正文首行缩进 2"/>
    <w:basedOn w:val="1665"/>
    <w:next w:val="1644"/>
    <w:link w:val="164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694">
    <w:name w:val="网格型"/>
    <w:basedOn w:val="1651"/>
    <w:next w:val="1694"/>
    <w:link w:val="1644"/>
    <w:qFormat/>
    <w:pPr>
      <w:jc w:val="both"/>
      <w:widowControl w:val="off"/>
    </w:pPr>
    <w:tblPr/>
  </w:style>
  <w:style w:type="character" w:styleId="1695">
    <w:name w:val="要点"/>
    <w:next w:val="1695"/>
    <w:link w:val="1644"/>
    <w:uiPriority w:val="99"/>
    <w:qFormat/>
    <w:rPr>
      <w:rFonts w:cs="Times New Roman"/>
      <w:b/>
      <w:bCs/>
    </w:rPr>
  </w:style>
  <w:style w:type="character" w:styleId="1696">
    <w:name w:val="页码"/>
    <w:basedOn w:val="1650"/>
    <w:next w:val="1696"/>
    <w:link w:val="1644"/>
    <w:rPr>
      <w:rFonts w:cs="Times New Roman"/>
    </w:rPr>
  </w:style>
  <w:style w:type="character" w:styleId="1697">
    <w:name w:val="已访问的超链接"/>
    <w:next w:val="1697"/>
    <w:link w:val="1644"/>
    <w:uiPriority w:val="99"/>
    <w:qFormat/>
    <w:rPr>
      <w:rFonts w:cs="Times New Roman"/>
      <w:color w:val="000000"/>
      <w:u w:val="none"/>
    </w:rPr>
  </w:style>
  <w:style w:type="character" w:styleId="1698">
    <w:name w:val="HTML 打字机"/>
    <w:next w:val="1698"/>
    <w:link w:val="1644"/>
    <w:uiPriority w:val="99"/>
    <w:qFormat/>
    <w:rPr>
      <w:rFonts w:ascii="宋体" w:hAnsi="宋体" w:eastAsia="宋体" w:cs="宋体"/>
      <w:sz w:val="24"/>
      <w:szCs w:val="24"/>
    </w:rPr>
  </w:style>
  <w:style w:type="character" w:styleId="1699">
    <w:name w:val="超链接"/>
    <w:next w:val="1699"/>
    <w:link w:val="1644"/>
    <w:qFormat/>
    <w:rPr>
      <w:color w:val="000000"/>
      <w:u w:val="none"/>
    </w:rPr>
  </w:style>
  <w:style w:type="character" w:styleId="1700">
    <w:name w:val="NormalCharacter1"/>
    <w:next w:val="1700"/>
    <w:link w:val="1701"/>
    <w:uiPriority w:val="99"/>
    <w:qFormat/>
    <w:rPr>
      <w:sz w:val="20"/>
    </w:rPr>
  </w:style>
  <w:style w:type="paragraph" w:styleId="1701">
    <w:name w:val="UserStyle_4"/>
    <w:basedOn w:val="1644"/>
    <w:next w:val="1701"/>
    <w:link w:val="1700"/>
    <w:uiPriority w:val="99"/>
    <w:qFormat/>
    <w:pPr>
      <w:widowControl/>
    </w:pPr>
    <w:rPr>
      <w:sz w:val="20"/>
    </w:rPr>
  </w:style>
  <w:style w:type="character" w:styleId="1702">
    <w:name w:val="font31"/>
    <w:next w:val="1702"/>
    <w:link w:val="1644"/>
    <w:qFormat/>
    <w:rPr>
      <w:rFonts w:hint="eastAsia" w:ascii="仿宋" w:hAnsi="仿宋" w:eastAsia="仿宋" w:cs="仿宋"/>
      <w:color w:val="000000"/>
      <w:sz w:val="24"/>
      <w:szCs w:val="24"/>
      <w:u w:val="none"/>
    </w:rPr>
  </w:style>
  <w:style w:type="character" w:styleId="1703">
    <w:name w:val="正文文本缩进 Char1"/>
    <w:next w:val="1703"/>
    <w:link w:val="1644"/>
    <w:semiHidden/>
    <w:qFormat/>
    <w:rPr>
      <w:rFonts w:ascii="Times New Roman" w:hAnsi="Times New Roman" w:eastAsia="宋体" w:cs="Times New Roman"/>
      <w:szCs w:val="20"/>
    </w:rPr>
  </w:style>
  <w:style w:type="character" w:styleId="1704">
    <w:name w:val="font11"/>
    <w:next w:val="1704"/>
    <w:link w:val="1644"/>
    <w:rPr>
      <w:rFonts w:hint="eastAsia" w:ascii="宋体" w:hAnsi="宋体" w:eastAsia="宋体" w:cs="宋体"/>
      <w:color w:val="000000"/>
      <w:sz w:val="20"/>
      <w:szCs w:val="20"/>
      <w:u w:val="none"/>
    </w:rPr>
  </w:style>
  <w:style w:type="character" w:styleId="1705">
    <w:name w:val="正文首行缩进两字 Char"/>
    <w:next w:val="1705"/>
    <w:link w:val="1706"/>
    <w:qFormat/>
    <w:rPr>
      <w:sz w:val="24"/>
      <w:szCs w:val="24"/>
      <w:lang w:val="en-US" w:eastAsia="zh-CN" w:bidi="ar-SA"/>
    </w:rPr>
  </w:style>
  <w:style w:type="paragraph" w:styleId="1706">
    <w:name w:val="正文首行缩进两字"/>
    <w:next w:val="1706"/>
    <w:link w:val="1705"/>
    <w:qFormat/>
    <w:pPr>
      <w:ind w:left="240" w:right="240" w:firstLine="480"/>
      <w:spacing w:line="300" w:lineRule="auto"/>
    </w:pPr>
    <w:rPr>
      <w:sz w:val="24"/>
      <w:szCs w:val="24"/>
      <w:lang w:val="en-US" w:eastAsia="zh-CN" w:bidi="ar-SA"/>
    </w:rPr>
  </w:style>
  <w:style w:type="character" w:styleId="1707">
    <w:name w:val="日期 Char1"/>
    <w:next w:val="1707"/>
    <w:link w:val="1644"/>
    <w:semiHidden/>
    <w:qFormat/>
    <w:rPr>
      <w:rFonts w:ascii="Times New Roman" w:hAnsi="Times New Roman" w:eastAsia="宋体" w:cs="Times New Roman"/>
      <w:szCs w:val="20"/>
    </w:rPr>
  </w:style>
  <w:style w:type="character" w:styleId="1708">
    <w:name w:val="正文文本 2 Char1"/>
    <w:next w:val="1708"/>
    <w:link w:val="1644"/>
    <w:semiHidden/>
    <w:qFormat/>
    <w:rPr>
      <w:rFonts w:ascii="Times New Roman" w:hAnsi="Times New Roman" w:eastAsia="宋体" w:cs="Times New Roman"/>
      <w:szCs w:val="20"/>
    </w:rPr>
  </w:style>
  <w:style w:type="character" w:styleId="1709">
    <w:name w:val="文档结构图 Char1"/>
    <w:next w:val="1709"/>
    <w:link w:val="1644"/>
    <w:semiHidden/>
    <w:qFormat/>
    <w:rPr>
      <w:rFonts w:ascii="宋体" w:hAnsi="Times New Roman" w:eastAsia="宋体" w:cs="Times New Roman"/>
      <w:sz w:val="18"/>
      <w:szCs w:val="18"/>
    </w:rPr>
  </w:style>
  <w:style w:type="character" w:styleId="1710">
    <w:name w:val="正文文本缩进 2 Char1"/>
    <w:next w:val="1710"/>
    <w:link w:val="1644"/>
    <w:semiHidden/>
    <w:qFormat/>
    <w:rPr>
      <w:rFonts w:ascii="Times New Roman" w:hAnsi="Times New Roman" w:eastAsia="宋体" w:cs="Times New Roman"/>
      <w:szCs w:val="20"/>
    </w:rPr>
  </w:style>
  <w:style w:type="character" w:styleId="1711">
    <w:name w:val="正文文本缩进 3 Char1"/>
    <w:next w:val="1711"/>
    <w:link w:val="1644"/>
    <w:semiHidden/>
    <w:qFormat/>
    <w:rPr>
      <w:rFonts w:ascii="Times New Roman" w:hAnsi="Times New Roman" w:eastAsia="宋体" w:cs="Times New Roman"/>
      <w:sz w:val="16"/>
      <w:szCs w:val="16"/>
    </w:rPr>
  </w:style>
  <w:style w:type="character" w:styleId="1712">
    <w:name w:val="批注框文本 Char1"/>
    <w:next w:val="1712"/>
    <w:link w:val="1644"/>
    <w:uiPriority w:val="99"/>
    <w:semiHidden/>
    <w:rPr>
      <w:rFonts w:ascii="Times New Roman" w:hAnsi="Times New Roman" w:eastAsia="宋体" w:cs="Times New Roman"/>
      <w:sz w:val="18"/>
      <w:szCs w:val="18"/>
    </w:rPr>
  </w:style>
  <w:style w:type="character" w:styleId="1713">
    <w:name w:val="case31"/>
    <w:next w:val="1713"/>
    <w:link w:val="1644"/>
    <w:qFormat/>
    <w:rPr>
      <w:spacing w:val="390"/>
      <w:sz w:val="21"/>
      <w:szCs w:val="21"/>
    </w:rPr>
  </w:style>
  <w:style w:type="character" w:styleId="1714">
    <w:name w:val="font21"/>
    <w:next w:val="1714"/>
    <w:link w:val="1644"/>
    <w:qFormat/>
    <w:rPr>
      <w:rFonts w:hint="eastAsia" w:ascii="仿宋" w:hAnsi="仿宋" w:eastAsia="仿宋" w:cs="仿宋"/>
      <w:color w:val="000000"/>
      <w:sz w:val="24"/>
      <w:szCs w:val="24"/>
      <w:u w:val="none"/>
    </w:rPr>
  </w:style>
  <w:style w:type="paragraph" w:styleId="1715">
    <w:name w:val="_Style 1"/>
    <w:basedOn w:val="1644"/>
    <w:next w:val="1715"/>
    <w:link w:val="1644"/>
    <w:uiPriority w:val="99"/>
    <w:qFormat/>
    <w:pPr>
      <w:ind w:firstLine="420"/>
    </w:pPr>
    <w:rPr>
      <w:rFonts w:ascii="Calibri" w:hAnsi="Calibri" w:eastAsia="宋体" w:cs="Calibri"/>
      <w:sz w:val="34"/>
      <w:szCs w:val="34"/>
    </w:rPr>
  </w:style>
  <w:style w:type="paragraph" w:styleId="1716">
    <w:name w:val="TOC Heading1"/>
    <w:next w:val="1644"/>
    <w:link w:val="1644"/>
    <w:qFormat/>
    <w:rPr>
      <w:sz w:val="32"/>
      <w:lang w:val="en-US" w:eastAsia="zh-CN" w:bidi="ar-SA"/>
    </w:rPr>
  </w:style>
  <w:style w:type="paragraph" w:styleId="1717">
    <w:name w:val="p0 paragraphindent"/>
    <w:basedOn w:val="1644"/>
    <w:next w:val="1717"/>
    <w:link w:val="1644"/>
    <w:qFormat/>
    <w:pPr>
      <w:jc w:val="left"/>
      <w:spacing w:before="100" w:beforeAutospacing="1" w:after="100" w:afterAutospacing="1"/>
      <w:widowControl/>
    </w:pPr>
    <w:rPr>
      <w:rFonts w:ascii="宋体" w:hAnsi="宋体" w:cs="宋体"/>
      <w:sz w:val="24"/>
      <w:szCs w:val="24"/>
    </w:rPr>
  </w:style>
  <w:style w:type="paragraph" w:styleId="1718">
    <w:name w:val="二级无"/>
    <w:basedOn w:val="1644"/>
    <w:next w:val="1718"/>
    <w:link w:val="1644"/>
    <w:qFormat/>
    <w:pPr>
      <w:ind w:left="552" w:hanging="420"/>
      <w:jc w:val="left"/>
      <w:widowControl/>
      <w:tabs>
        <w:tab w:val="left" w:pos="552" w:leader="none"/>
      </w:tabs>
      <w:outlineLvl w:val="3"/>
    </w:pPr>
    <w:rPr>
      <w:rFonts w:ascii="宋体"/>
      <w:szCs w:val="21"/>
    </w:rPr>
  </w:style>
  <w:style w:type="paragraph" w:styleId="1719">
    <w:name w:val="List Paragraph"/>
    <w:basedOn w:val="1644"/>
    <w:next w:val="1719"/>
    <w:link w:val="1644"/>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720">
    <w:name w:val="正文文本1"/>
    <w:basedOn w:val="1644"/>
    <w:next w:val="1721"/>
    <w:link w:val="1644"/>
    <w:qFormat/>
    <w:rPr>
      <w:rFonts w:ascii="仿宋_GB2312" w:hAnsi="Times New Roman" w:eastAsia="仿宋_GB2312"/>
      <w:sz w:val="28"/>
      <w:szCs w:val="20"/>
    </w:rPr>
  </w:style>
  <w:style w:type="paragraph" w:styleId="1721">
    <w:name w:val="列表1"/>
    <w:basedOn w:val="1644"/>
    <w:next w:val="1721"/>
    <w:link w:val="1644"/>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722">
    <w:name w:val="标题 41"/>
    <w:basedOn w:val="1644"/>
    <w:next w:val="1644"/>
    <w:link w:val="1644"/>
    <w:qFormat/>
    <w:pPr>
      <w:jc w:val="center"/>
      <w:keepNext/>
      <w:outlineLvl w:val="3"/>
    </w:pPr>
    <w:rPr>
      <w:rFonts w:eastAsia="楷体_GB2312"/>
      <w:b/>
      <w:bCs/>
      <w:sz w:val="13"/>
    </w:rPr>
  </w:style>
  <w:style w:type="paragraph" w:styleId="1723">
    <w:name w:val="普通文字"/>
    <w:basedOn w:val="1644"/>
    <w:next w:val="1644"/>
    <w:link w:val="1644"/>
    <w:rPr>
      <w:rFonts w:ascii="宋体"/>
      <w:sz w:val="24"/>
    </w:rPr>
  </w:style>
  <w:style w:type="paragraph" w:styleId="1724">
    <w:name w:val="字母编号列项（一级）"/>
    <w:next w:val="1724"/>
    <w:link w:val="1644"/>
    <w:qFormat/>
    <w:pPr>
      <w:ind w:left="552" w:hanging="420"/>
      <w:jc w:val="both"/>
      <w:tabs>
        <w:tab w:val="left" w:pos="552" w:leader="none"/>
        <w:tab w:val="left" w:pos="840" w:leader="none"/>
      </w:tabs>
    </w:pPr>
    <w:rPr>
      <w:rFonts w:ascii="宋体"/>
      <w:sz w:val="21"/>
      <w:lang w:val="en-US" w:eastAsia="zh-CN" w:bidi="ar-SA"/>
    </w:rPr>
  </w:style>
  <w:style w:type="paragraph" w:styleId="1725">
    <w:name w:val="样式 小四 段前: 5 磅 段后: 5 磅 首行缩进:  2 字符"/>
    <w:basedOn w:val="1644"/>
    <w:next w:val="1725"/>
    <w:link w:val="1644"/>
    <w:qFormat/>
    <w:pPr>
      <w:jc w:val="center"/>
      <w:spacing w:line="360" w:lineRule="auto"/>
    </w:pPr>
    <w:rPr>
      <w:rFonts w:ascii="宋体" w:hAnsi="宋体"/>
      <w:bCs/>
      <w:color w:val="ff0000"/>
      <w:sz w:val="24"/>
      <w:szCs w:val="24"/>
    </w:rPr>
  </w:style>
  <w:style w:type="paragraph" w:styleId="1726">
    <w:name w:val="List Paragraph1"/>
    <w:basedOn w:val="1644"/>
    <w:next w:val="1726"/>
    <w:link w:val="1644"/>
    <w:qFormat/>
    <w:pPr>
      <w:ind w:firstLine="420"/>
    </w:pPr>
    <w:rPr>
      <w:szCs w:val="21"/>
    </w:rPr>
  </w:style>
  <w:style w:type="paragraph" w:styleId="1727">
    <w:name w:val="首行缩进"/>
    <w:basedOn w:val="1644"/>
    <w:next w:val="1727"/>
    <w:link w:val="1644"/>
    <w:qFormat/>
    <w:pPr>
      <w:ind w:firstLine="480"/>
    </w:pPr>
    <w:rPr>
      <w:szCs w:val="20"/>
      <w:lang w:val="zh-CN"/>
    </w:rPr>
  </w:style>
  <w:style w:type="paragraph" w:styleId="1728">
    <w:name w:val="列出段落"/>
    <w:basedOn w:val="1644"/>
    <w:next w:val="1728"/>
    <w:link w:val="1644"/>
    <w:uiPriority w:val="34"/>
    <w:qFormat/>
    <w:pPr>
      <w:ind w:firstLine="420"/>
    </w:pPr>
  </w:style>
  <w:style w:type="paragraph" w:styleId="1729">
    <w:name w:val="一级条标题"/>
    <w:next w:val="1644"/>
    <w:link w:val="1644"/>
    <w:qFormat/>
    <w:pPr>
      <w:ind w:left="552" w:hanging="420"/>
      <w:tabs>
        <w:tab w:val="left" w:pos="552" w:leader="none"/>
      </w:tabs>
      <w:outlineLvl w:val="2"/>
    </w:pPr>
    <w:rPr>
      <w:rFonts w:ascii="黑体" w:eastAsia="黑体"/>
      <w:sz w:val="21"/>
      <w:szCs w:val="21"/>
      <w:lang w:val="en-US" w:eastAsia="zh-CN" w:bidi="ar-SA"/>
    </w:rPr>
  </w:style>
  <w:style w:type="paragraph" w:styleId="1730">
    <w:name w:val="段"/>
    <w:next w:val="1644"/>
    <w:link w:val="1644"/>
    <w:qFormat/>
    <w:pPr>
      <w:ind w:firstLine="200"/>
      <w:jc w:val="both"/>
    </w:pPr>
    <w:rPr>
      <w:rFonts w:ascii="宋体" w:hAnsi="Times New Roman" w:eastAsia="宋体" w:cs="Times New Roman"/>
      <w:sz w:val="21"/>
      <w:lang w:val="en-US" w:eastAsia="zh-CN" w:bidi="ar-SA"/>
    </w:rPr>
  </w:style>
  <w:style w:type="paragraph" w:styleId="1731">
    <w:name w:val="正文缩进1"/>
    <w:basedOn w:val="1644"/>
    <w:next w:val="1644"/>
    <w:link w:val="1644"/>
    <w:qFormat/>
    <w:pPr>
      <w:ind w:firstLine="420"/>
    </w:pPr>
    <w:rPr>
      <w:rFonts w:ascii="Times New Roman" w:hAnsi="Times New Roman" w:eastAsia="宋体" w:cs="Times New Roman"/>
      <w:szCs w:val="20"/>
    </w:rPr>
  </w:style>
  <w:style w:type="paragraph" w:styleId="1732">
    <w:name w:val="正文首行缩进1"/>
    <w:basedOn w:val="1720"/>
    <w:next w:val="1732"/>
    <w:link w:val="1644"/>
    <w:uiPriority w:val="99"/>
    <w:unhideWhenUsed/>
    <w:qFormat/>
    <w:pPr>
      <w:ind w:firstLine="420"/>
      <w:spacing w:after="120"/>
    </w:pPr>
    <w:rPr>
      <w:rFonts w:ascii="等线" w:hAnsi="等线" w:eastAsia="等线" w:cs="Times New Roman"/>
      <w:bCs w:val="0"/>
      <w:sz w:val="21"/>
      <w:szCs w:val="22"/>
    </w:rPr>
  </w:style>
  <w:style w:type="paragraph" w:styleId="1733">
    <w:name w:val="页眉1"/>
    <w:basedOn w:val="1644"/>
    <w:next w:val="1733"/>
    <w:link w:val="16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734">
    <w:name w:val="页脚1"/>
    <w:basedOn w:val="1644"/>
    <w:next w:val="1716"/>
    <w:link w:val="1644"/>
    <w:uiPriority w:val="99"/>
    <w:unhideWhenUsed/>
    <w:qFormat/>
    <w:pPr>
      <w:jc w:val="left"/>
      <w:tabs>
        <w:tab w:val="center" w:pos="4153" w:leader="none"/>
        <w:tab w:val="right" w:pos="8306" w:leader="none"/>
      </w:tabs>
    </w:pPr>
    <w:rPr>
      <w:sz w:val="18"/>
      <w:szCs w:val="18"/>
    </w:rPr>
  </w:style>
  <w:style w:type="character" w:styleId="1735" w:default="1">
    <w:name w:val="Default Paragraph Font"/>
    <w:uiPriority w:val="1"/>
    <w:semiHidden/>
    <w:unhideWhenUsed/>
  </w:style>
  <w:style w:type="numbering" w:styleId="1736" w:default="1">
    <w:name w:val="No List"/>
    <w:uiPriority w:val="99"/>
    <w:semiHidden/>
    <w:unhideWhenUsed/>
  </w:style>
  <w:style w:type="table" w:styleId="17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footer" Target="footer17.xml" /><Relationship Id="rId3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5</cp:revision>
  <dcterms:created xsi:type="dcterms:W3CDTF">2023-03-28T06:55:00Z</dcterms:created>
  <dcterms:modified xsi:type="dcterms:W3CDTF">2025-03-05T07:52:10Z</dcterms:modified>
</cp:coreProperties>
</file>