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rPr>
          <w:color w:val="000000" w:themeColor="text1"/>
          <w:highlight w:val="none"/>
        </w:rPr>
      </w:r>
    </w:p>
    <w:p>
      <w:pPr>
        <w:pStyle w:val="1039"/>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1039"/>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p>
    <w:p>
      <w:pPr>
        <w:pStyle w:val="1039"/>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1039"/>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1039"/>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952"/>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rPr>
        <w:t xml:space="preserve">JSZC-320200-JZCG-G2025-0155</w:t>
      </w:r>
      <w:r>
        <w:rPr>
          <w:rFonts w:hint="eastAsia" w:ascii="黑体" w:hAnsi="华文中宋" w:eastAsia="黑体"/>
          <w:bCs/>
          <w:color w:val="000000" w:themeColor="text1"/>
          <w:sz w:val="32"/>
          <w:szCs w:val="32"/>
          <w:highlight w:val="none"/>
        </w:rPr>
      </w:r>
      <w:r>
        <w:rPr>
          <w:color w:val="000000" w:themeColor="text1"/>
          <w:highlight w:val="none"/>
        </w:rPr>
      </w:r>
    </w:p>
    <w:p>
      <w:pPr>
        <w:pStyle w:val="952"/>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rPr>
        <w:t xml:space="preserve">太湖流域水文水资源监测中心水文巡测基地设施设备改建计算存储及水情会商设备采购</w:t>
      </w:r>
      <w:r>
        <w:rPr>
          <w:rFonts w:hint="eastAsia" w:ascii="黑体" w:hAnsi="华文中宋" w:eastAsia="黑体"/>
          <w:bCs/>
          <w:color w:val="000000" w:themeColor="text1"/>
          <w:sz w:val="32"/>
          <w:szCs w:val="32"/>
          <w:highlight w:val="none"/>
        </w:rPr>
      </w:r>
      <w:r>
        <w:rPr>
          <w:color w:val="000000" w:themeColor="text1"/>
          <w:highlight w:val="none"/>
        </w:rPr>
      </w:r>
    </w:p>
    <w:p>
      <w:pPr>
        <w:pStyle w:val="952"/>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rPr>
        <w:t xml:space="preserve">太湖流域水文水资源监测中心（太湖流域水环境监测中心）</w:t>
      </w:r>
      <w:r>
        <w:rPr>
          <w:rFonts w:hint="eastAsia" w:ascii="黑体" w:hAnsi="华文中宋" w:eastAsia="黑体"/>
          <w:bCs/>
          <w:color w:val="000000" w:themeColor="text1"/>
          <w:sz w:val="32"/>
          <w:szCs w:val="32"/>
          <w:highlight w:val="none"/>
        </w:rPr>
      </w:r>
      <w:r>
        <w:rPr>
          <w:color w:val="000000" w:themeColor="text1"/>
          <w:highlight w:val="none"/>
        </w:rPr>
      </w:r>
    </w:p>
    <w:p>
      <w:pPr>
        <w:pStyle w:val="952"/>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p>
    <w:p>
      <w:pPr>
        <w:pStyle w:val="1039"/>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1039"/>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1039"/>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1039"/>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rFonts w:hint="eastAsia" w:ascii="宋体" w:hAnsi="宋体"/>
          <w:color w:val="000000" w:themeColor="text1"/>
          <w:sz w:val="32"/>
          <w:szCs w:val="32"/>
          <w:highlight w:val="none"/>
          <w:shd w:val="clear" w:color="ffffff" w:fill="d9d9d9"/>
        </w:rPr>
      </w:r>
      <w:r>
        <w:rPr>
          <w:color w:val="000000" w:themeColor="text1"/>
          <w:highlight w:val="none"/>
        </w:rPr>
      </w:r>
    </w:p>
    <w:p>
      <w:pPr>
        <w:pStyle w:val="1039"/>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二○二</w:t>
      </w:r>
      <w:r>
        <w:rPr>
          <w:rFonts w:hint="eastAsia" w:ascii="黑体" w:hAnsi="华文中宋" w:eastAsia="黑体"/>
          <w:bCs/>
          <w:color w:val="000000" w:themeColor="text1"/>
          <w:sz w:val="32"/>
          <w:szCs w:val="32"/>
          <w:highlight w:val="none"/>
        </w:rPr>
        <w:t xml:space="preserve">五</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九</w:t>
      </w:r>
      <w:r>
        <w:rPr>
          <w:rFonts w:hint="eastAsia" w:ascii="黑体" w:hAnsi="华文中宋" w:eastAsia="黑体"/>
          <w:bCs/>
          <w:color w:val="000000" w:themeColor="text1"/>
          <w:sz w:val="32"/>
          <w:szCs w:val="32"/>
          <w:highlight w:val="none"/>
        </w:rPr>
        <w:t xml:space="preserve">月</w:t>
      </w:r>
      <w:r>
        <w:rPr>
          <w:rFonts w:ascii="黑体" w:hAnsi="华文中宋" w:eastAsia="黑体"/>
          <w:bCs/>
          <w:color w:val="000000" w:themeColor="text1"/>
          <w:sz w:val="32"/>
          <w:szCs w:val="32"/>
          <w:highlight w:val="none"/>
        </w:rPr>
      </w:r>
      <w:r>
        <w:rPr>
          <w:color w:val="000000" w:themeColor="text1"/>
          <w:highlight w:val="none"/>
        </w:rPr>
      </w:r>
    </w:p>
    <w:p>
      <w:pPr>
        <w:pStyle w:val="1039"/>
        <w:ind w:firstLine="0"/>
        <w:jc w:val="center"/>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rPr>
          <w:color w:val="000000" w:themeColor="text1"/>
          <w:highlight w:val="none"/>
        </w:rPr>
      </w:r>
      <w:bookmarkStart w:id="1" w:name="_Toc523127445"/>
      <w:r>
        <w:rPr>
          <w:color w:val="000000" w:themeColor="text1"/>
          <w:highlight w:val="none"/>
        </w:rPr>
      </w:r>
      <w:bookmarkStart w:id="2" w:name="_Toc479757206"/>
      <w:r>
        <w:rPr>
          <w:color w:val="000000" w:themeColor="text1"/>
          <w:highlight w:val="none"/>
        </w:rPr>
      </w:r>
      <w:bookmarkStart w:id="3" w:name="_Toc16938516"/>
      <w:r>
        <w:rPr>
          <w:color w:val="000000" w:themeColor="text1"/>
          <w:highlight w:val="none"/>
        </w:rPr>
      </w:r>
      <w:bookmarkStart w:id="4" w:name="_Toc20823272"/>
      <w:r>
        <w:rPr>
          <w:color w:val="000000" w:themeColor="text1"/>
          <w:highlight w:val="none"/>
        </w:rPr>
      </w:r>
      <w:bookmarkStart w:id="5" w:name="_Toc513029200"/>
      <w:r>
        <w:rPr>
          <w:rFonts w:hint="eastAsia" w:ascii="黑体" w:hAnsi="黑体" w:eastAsia="黑体"/>
          <w:color w:val="000000" w:themeColor="text1"/>
          <w:sz w:val="36"/>
          <w:szCs w:val="36"/>
          <w:highlight w:val="none"/>
        </w:rPr>
        <w:t xml:space="preserve">总  目  录</w:t>
      </w:r>
      <w:r>
        <w:rPr>
          <w:rFonts w:hint="eastAsia" w:ascii="黑体" w:hAnsi="黑体" w:eastAsia="黑体"/>
          <w:color w:val="000000" w:themeColor="text1"/>
          <w:sz w:val="36"/>
          <w:szCs w:val="36"/>
          <w:highlight w:val="none"/>
        </w:rPr>
      </w:r>
      <w:r>
        <w:rPr>
          <w:color w:val="000000" w:themeColor="text1"/>
          <w:highlight w:val="none"/>
        </w:rPr>
      </w:r>
    </w:p>
    <w:p>
      <w:pPr>
        <w:pStyle w:val="952"/>
        <w:jc w:val="center"/>
        <w:spacing w:line="48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rPr>
          <w:color w:val="000000" w:themeColor="text1"/>
          <w:highlight w:val="none"/>
        </w:rPr>
      </w:r>
    </w:p>
    <w:p>
      <w:pPr>
        <w:pStyle w:val="952"/>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rPr>
          <w:rFonts w:hint="eastAsia" w:ascii="宋体" w:hAnsi="宋体"/>
          <w:color w:val="000000" w:themeColor="text1"/>
          <w:sz w:val="30"/>
          <w:szCs w:val="30"/>
          <w:highlight w:val="none"/>
        </w:rPr>
      </w:r>
      <w:r>
        <w:rPr>
          <w:color w:val="000000" w:themeColor="text1"/>
          <w:highlight w:val="none"/>
        </w:rPr>
      </w:r>
    </w:p>
    <w:p>
      <w:pPr>
        <w:pStyle w:val="952"/>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rPr>
          <w:rFonts w:hint="eastAsia" w:ascii="宋体" w:hAnsi="宋体"/>
          <w:color w:val="000000" w:themeColor="text1"/>
          <w:sz w:val="30"/>
          <w:szCs w:val="30"/>
          <w:highlight w:val="none"/>
        </w:rPr>
      </w:r>
      <w:r>
        <w:rPr>
          <w:color w:val="000000" w:themeColor="text1"/>
          <w:highlight w:val="none"/>
        </w:rPr>
      </w:r>
    </w:p>
    <w:p>
      <w:pPr>
        <w:pStyle w:val="952"/>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rPr>
          <w:rFonts w:hint="eastAsia" w:ascii="宋体" w:hAnsi="宋体"/>
          <w:color w:val="000000" w:themeColor="text1"/>
          <w:sz w:val="30"/>
          <w:szCs w:val="30"/>
          <w:highlight w:val="none"/>
        </w:rPr>
      </w:r>
      <w:r>
        <w:rPr>
          <w:color w:val="000000" w:themeColor="text1"/>
          <w:highlight w:val="none"/>
        </w:rPr>
      </w:r>
    </w:p>
    <w:p>
      <w:pPr>
        <w:pStyle w:val="952"/>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rPr>
          <w:rFonts w:hint="eastAsia" w:ascii="宋体" w:hAnsi="宋体"/>
          <w:color w:val="000000" w:themeColor="text1"/>
          <w:sz w:val="30"/>
          <w:szCs w:val="30"/>
          <w:highlight w:val="none"/>
        </w:rPr>
      </w:r>
      <w:r>
        <w:rPr>
          <w:color w:val="000000" w:themeColor="text1"/>
          <w:highlight w:val="none"/>
        </w:rPr>
      </w:r>
    </w:p>
    <w:p>
      <w:pPr>
        <w:pStyle w:val="952"/>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rPr>
          <w:rFonts w:hint="eastAsia" w:ascii="宋体" w:hAnsi="宋体"/>
          <w:color w:val="000000" w:themeColor="text1"/>
          <w:sz w:val="30"/>
          <w:szCs w:val="30"/>
          <w:highlight w:val="none"/>
        </w:rPr>
      </w:r>
      <w:r>
        <w:rPr>
          <w:color w:val="000000" w:themeColor="text1"/>
          <w:highlight w:val="none"/>
        </w:rPr>
      </w:r>
    </w:p>
    <w:p>
      <w:pPr>
        <w:pStyle w:val="952"/>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rPr>
          <w:rFonts w:hint="eastAsia" w:ascii="宋体" w:hAnsi="宋体"/>
          <w:color w:val="000000" w:themeColor="text1"/>
          <w:sz w:val="30"/>
          <w:szCs w:val="30"/>
          <w:highlight w:val="none"/>
        </w:rPr>
      </w:r>
      <w:r>
        <w:rPr>
          <w:color w:val="000000" w:themeColor="text1"/>
          <w:highlight w:val="none"/>
        </w:rPr>
      </w:r>
    </w:p>
    <w:p>
      <w:pPr>
        <w:pStyle w:val="952"/>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r>
        <w:rPr>
          <w:rFonts w:hint="eastAsia" w:ascii="黑体" w:hAnsi="黑体" w:eastAsia="黑体"/>
          <w:color w:val="000000" w:themeColor="text1"/>
          <w:sz w:val="36"/>
          <w:szCs w:val="36"/>
          <w:highlight w:val="none"/>
        </w:rPr>
      </w:r>
      <w:r>
        <w:rPr>
          <w:color w:val="000000" w:themeColor="text1"/>
          <w:highlight w:val="none"/>
        </w:rPr>
      </w:r>
    </w:p>
    <w:p>
      <w:pPr>
        <w:pStyle w:val="952"/>
        <w:ind w:firstLine="480"/>
        <w:spacing w:line="500" w:lineRule="exact"/>
        <w:rPr>
          <w:rFonts w:ascii="宋体" w:hAnsi="宋体"/>
          <w:color w:val="000000" w:themeColor="text1"/>
          <w:sz w:val="24"/>
          <w:szCs w:val="24"/>
          <w:highlight w:val="none"/>
          <w:shd w:val="clear" w:color="ffffff" w:fill="d9d9d9"/>
        </w:rPr>
      </w:pPr>
      <w:r>
        <w:rPr>
          <w:color w:val="000000" w:themeColor="text1"/>
          <w:highlight w:val="none"/>
        </w:rPr>
      </w:r>
      <w:bookmarkEnd w:id="0"/>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rPr>
        <w:t xml:space="preserve">太湖流域水文水资源监测中心（太湖流域水环境监测中心）</w:t>
      </w:r>
      <w:r>
        <w:rPr>
          <w:rFonts w:hint="eastAsia" w:ascii="宋体" w:hAnsi="宋体"/>
          <w:color w:val="000000" w:themeColor="text1"/>
          <w:sz w:val="24"/>
          <w:szCs w:val="24"/>
          <w:highlight w:val="none"/>
        </w:rPr>
        <w:t xml:space="preserve">的委托，无锡市公共资源交易中心就</w:t>
      </w:r>
      <w:r>
        <w:rPr>
          <w:rFonts w:hint="eastAsia" w:ascii="宋体" w:hAnsi="宋体"/>
          <w:color w:val="000000" w:themeColor="text1"/>
          <w:sz w:val="24"/>
          <w:szCs w:val="24"/>
          <w:highlight w:val="none"/>
        </w:rPr>
        <w:t xml:space="preserve">太湖流域水文水资源监测中心水文巡测基地设施设备改建计算存储及水情会商设备采购</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JSZC-320200-JZCG-G2025-0155</w:t>
      </w:r>
      <w:r>
        <w:rPr>
          <w:rFonts w:hint="eastAsia" w:ascii="宋体" w:hAnsi="宋体"/>
          <w:color w:val="000000" w:themeColor="text1"/>
          <w:sz w:val="24"/>
          <w:szCs w:val="24"/>
          <w:highlight w:val="none"/>
        </w:rPr>
        <w:t xml:space="preserve">）进行公开招标采购，欢迎符合条件的供应商投标。</w:t>
      </w:r>
      <w:r>
        <w:rPr>
          <w:rFonts w:ascii="宋体" w:hAnsi="宋体"/>
          <w:color w:val="000000" w:themeColor="text1"/>
          <w:sz w:val="24"/>
          <w:szCs w:val="24"/>
          <w:highlight w:val="none"/>
          <w:shd w:val="clear" w:color="ffffff" w:fill="d9d9d9"/>
        </w:rPr>
      </w:r>
      <w:r>
        <w:rPr>
          <w:color w:val="000000" w:themeColor="text1"/>
          <w:highlight w:val="none"/>
        </w:rPr>
      </w:r>
    </w:p>
    <w:p>
      <w:pPr>
        <w:pStyle w:val="952"/>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rFonts w:ascii="宋体" w:hAnsi="宋体"/>
          <w:color w:val="000000" w:themeColor="text1"/>
          <w:sz w:val="24"/>
          <w:szCs w:val="24"/>
          <w:highlight w:val="none"/>
          <w:shd w:val="clear" w:color="ffffff" w:fill="d9d9d9"/>
        </w:rPr>
      </w:r>
      <w:r>
        <w:rPr>
          <w:color w:val="000000" w:themeColor="text1"/>
          <w:highlight w:val="none"/>
        </w:rPr>
      </w:r>
    </w:p>
    <w:p>
      <w:pPr>
        <w:pStyle w:val="952"/>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太湖流域水文水资源监测中心水文巡测基地设施设备改建计算存储及水情会商设备采购</w:t>
      </w:r>
      <w:r>
        <w:rPr>
          <w:rFonts w:hint="eastAsia" w:ascii="宋体" w:hAnsi="宋体"/>
          <w:color w:val="000000" w:themeColor="text1"/>
          <w:sz w:val="24"/>
          <w:szCs w:val="24"/>
          <w:highlight w:val="none"/>
        </w:rPr>
        <w:t xml:space="preserve">目的潜在投标人应在“江苏政府采购网”自行浏览招标文件，如有投标意向须在本招标文件有效获取期内通过登录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rPr>
        <w:t xml:space="preserve">5年10月16日09点30</w:t>
      </w:r>
      <w:r>
        <w:rPr>
          <w:rFonts w:hint="eastAsia" w:ascii="宋体" w:hAnsi="宋体"/>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shd w:val="clear" w:color="ffffff" w:fill="d9d9d9"/>
        </w:rPr>
      </w:r>
      <w:r>
        <w:rPr>
          <w:color w:val="000000" w:themeColor="text1"/>
          <w:highlight w:val="none"/>
        </w:rPr>
      </w:r>
    </w:p>
    <w:p>
      <w:pPr>
        <w:pStyle w:val="955"/>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6" w:name="_Toc38985263"/>
      <w:r>
        <w:rPr>
          <w:color w:val="000000" w:themeColor="text1"/>
          <w:highlight w:val="none"/>
        </w:rPr>
      </w:r>
      <w:bookmarkStart w:id="7" w:name="_Toc35393790"/>
      <w:r>
        <w:rPr>
          <w:color w:val="000000" w:themeColor="text1"/>
          <w:highlight w:val="none"/>
        </w:rPr>
      </w:r>
      <w:bookmarkStart w:id="8" w:name="_Toc28359079"/>
      <w:r>
        <w:rPr>
          <w:color w:val="000000" w:themeColor="text1"/>
          <w:highlight w:val="none"/>
        </w:rPr>
      </w:r>
      <w:bookmarkStart w:id="9" w:name="_Toc28359002"/>
      <w:r>
        <w:rPr>
          <w:color w:val="000000" w:themeColor="text1"/>
          <w:highlight w:val="none"/>
        </w:rPr>
      </w:r>
      <w:bookmarkStart w:id="10" w:name="_Toc35393621"/>
      <w:r>
        <w:rPr>
          <w:color w:val="000000" w:themeColor="text1"/>
          <w:highlight w:val="none"/>
        </w:rPr>
      </w:r>
      <w:bookmarkStart w:id="11" w:name="_Hlk24379207"/>
      <w:r>
        <w:rPr>
          <w:rFonts w:hint="eastAsia"/>
          <w:color w:val="000000" w:themeColor="text1"/>
          <w:sz w:val="30"/>
          <w:szCs w:val="30"/>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sz w:val="30"/>
          <w:szCs w:val="30"/>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1.项目编号：</w:t>
      </w:r>
      <w:r>
        <w:rPr>
          <w:rFonts w:hint="eastAsia" w:ascii="宋体" w:hAnsi="宋体"/>
          <w:color w:val="000000" w:themeColor="text1"/>
          <w:sz w:val="24"/>
          <w:szCs w:val="24"/>
          <w:highlight w:val="none"/>
        </w:rPr>
        <w:t xml:space="preserve">JSZC-320200-JZCG-G2025-0155</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2.项目名称：</w:t>
      </w:r>
      <w:r>
        <w:rPr>
          <w:rFonts w:hint="eastAsia" w:ascii="宋体" w:hAnsi="宋体"/>
          <w:color w:val="000000" w:themeColor="text1"/>
          <w:sz w:val="24"/>
          <w:szCs w:val="24"/>
          <w:highlight w:val="none"/>
        </w:rPr>
        <w:t xml:space="preserve">太湖流域水文水资源监测中心水文巡测基地设施设备改建计算存储及水情会商设备采购</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ascii="宋体" w:hAnsi="宋体"/>
          <w:color w:val="000000" w:themeColor="text1"/>
          <w:sz w:val="24"/>
          <w:szCs w:val="24"/>
          <w:highlight w:val="none"/>
        </w:rPr>
      </w:pPr>
      <w:r>
        <w:rPr>
          <w:color w:val="000000" w:themeColor="text1"/>
          <w:highlight w:val="none"/>
        </w:rPr>
      </w:r>
      <w:bookmarkEnd w:id="11"/>
      <w:r>
        <w:rPr>
          <w:rFonts w:hint="eastAsia" w:ascii="宋体" w:hAnsi="宋体"/>
          <w:color w:val="000000" w:themeColor="text1"/>
          <w:sz w:val="24"/>
          <w:szCs w:val="24"/>
          <w:highlight w:val="none"/>
        </w:rPr>
        <w:t xml:space="preserve">3.项目预算金额：</w:t>
      </w:r>
      <w:r>
        <w:rPr>
          <w:rFonts w:hint="eastAsia" w:ascii="宋体" w:hAnsi="宋体"/>
          <w:color w:val="000000" w:themeColor="text1"/>
          <w:sz w:val="24"/>
          <w:szCs w:val="24"/>
          <w:highlight w:val="none"/>
        </w:rPr>
        <w:t xml:space="preserve">201.87万元（本项目分为两个采购包，采购包1项目预算为86.1万元，采购包2项目预算为115.77万元）</w:t>
      </w:r>
      <w:r>
        <w:rPr>
          <w:rFonts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4.项目最高限价</w:t>
      </w:r>
      <w:r>
        <w:rPr>
          <w:rFonts w:hint="eastAsia" w:ascii="宋体" w:hAnsi="宋体"/>
          <w:color w:val="000000" w:themeColor="text1"/>
          <w:sz w:val="24"/>
          <w:szCs w:val="24"/>
          <w:highlight w:val="none"/>
        </w:rPr>
        <w:t xml:space="preserve">：201.87万元（本项目分为两个采购包，采购包1项目预算为86.1万元，采购包2项目预算为115.77万元）</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w:t>
      </w:r>
      <w:r>
        <w:rPr>
          <w:rFonts w:hint="eastAsia" w:ascii="宋体" w:hAnsi="宋体" w:cs="宋体"/>
          <w:color w:val="000000" w:themeColor="text1"/>
          <w:sz w:val="24"/>
          <w:szCs w:val="24"/>
          <w:highlight w:val="none"/>
        </w:rPr>
        <w:t xml:space="preserve">不接受</w:t>
      </w:r>
      <w:r>
        <w:rPr>
          <w:rFonts w:hint="eastAsia" w:ascii="宋体" w:hAnsi="宋体" w:cs="宋体"/>
          <w:color w:val="000000" w:themeColor="text1"/>
          <w:sz w:val="24"/>
          <w:szCs w:val="24"/>
          <w:highlight w:val="none"/>
        </w:rPr>
        <w:t xml:space="preserve">联合体投标。</w:t>
      </w:r>
      <w:r>
        <w:rPr>
          <w:rFonts w:ascii="宋体" w:hAnsi="宋体" w:cs="宋体"/>
          <w:color w:val="000000" w:themeColor="text1"/>
          <w:sz w:val="24"/>
          <w:szCs w:val="24"/>
          <w:highlight w:val="none"/>
        </w:rPr>
      </w:r>
      <w:r>
        <w:rPr>
          <w:color w:val="000000" w:themeColor="text1"/>
          <w:highlight w:val="none"/>
        </w:rPr>
      </w:r>
    </w:p>
    <w:p>
      <w:pPr>
        <w:pStyle w:val="955"/>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12" w:name="_Toc35393791"/>
      <w:r>
        <w:rPr>
          <w:color w:val="000000" w:themeColor="text1"/>
          <w:highlight w:val="none"/>
        </w:rPr>
      </w:r>
      <w:bookmarkStart w:id="13" w:name="_Toc35393622"/>
      <w:r>
        <w:rPr>
          <w:color w:val="000000" w:themeColor="text1"/>
          <w:highlight w:val="none"/>
        </w:rPr>
      </w:r>
      <w:bookmarkStart w:id="14" w:name="_Toc28359003"/>
      <w:r>
        <w:rPr>
          <w:color w:val="000000" w:themeColor="text1"/>
          <w:highlight w:val="none"/>
        </w:rPr>
      </w:r>
      <w:bookmarkStart w:id="15" w:name="_Toc28359080"/>
      <w:r>
        <w:rPr>
          <w:color w:val="000000" w:themeColor="text1"/>
          <w:highlight w:val="none"/>
        </w:rPr>
      </w:r>
      <w:bookmarkStart w:id="16" w:name="_Toc38985264"/>
      <w:r>
        <w:rPr>
          <w:rFonts w:hint="eastAsia"/>
          <w:color w:val="000000" w:themeColor="text1"/>
          <w:sz w:val="30"/>
          <w:szCs w:val="30"/>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sz w:val="30"/>
          <w:szCs w:val="30"/>
          <w:highlight w:val="none"/>
        </w:rPr>
      </w:r>
      <w:r>
        <w:rPr>
          <w:color w:val="000000" w:themeColor="text1"/>
          <w:highlight w:val="none"/>
        </w:rPr>
      </w:r>
    </w:p>
    <w:p>
      <w:pPr>
        <w:pStyle w:val="952"/>
        <w:ind w:firstLine="480"/>
        <w:spacing w:line="500" w:lineRule="exact"/>
        <w:rPr>
          <w:rFonts w:ascii="宋体" w:hAnsi="宋体"/>
          <w:color w:val="000000" w:themeColor="text1"/>
          <w:sz w:val="24"/>
          <w:szCs w:val="24"/>
          <w:highlight w:val="none"/>
        </w:rPr>
      </w:pPr>
      <w:r>
        <w:rPr>
          <w:color w:val="000000" w:themeColor="text1"/>
          <w:highlight w:val="none"/>
        </w:rPr>
      </w:r>
      <w:bookmarkStart w:id="17" w:name="_Toc35393623"/>
      <w:r>
        <w:rPr>
          <w:color w:val="000000" w:themeColor="text1"/>
          <w:highlight w:val="none"/>
        </w:rPr>
      </w:r>
      <w:bookmarkStart w:id="18" w:name="_Toc28359004"/>
      <w:r>
        <w:rPr>
          <w:color w:val="000000" w:themeColor="text1"/>
          <w:highlight w:val="none"/>
        </w:rPr>
      </w:r>
      <w:bookmarkStart w:id="19" w:name="_Toc38985265"/>
      <w:r>
        <w:rPr>
          <w:color w:val="000000" w:themeColor="text1"/>
          <w:highlight w:val="none"/>
        </w:rPr>
      </w:r>
      <w:bookmarkStart w:id="20" w:name="_Toc28359081"/>
      <w:r>
        <w:rPr>
          <w:color w:val="000000" w:themeColor="text1"/>
          <w:highlight w:val="none"/>
        </w:rPr>
      </w:r>
      <w:bookmarkStart w:id="21" w:name="_Toc35393792"/>
      <w:r>
        <w:rPr>
          <w:rFonts w:hint="eastAsia" w:ascii="宋体" w:hAnsi="宋体"/>
          <w:color w:val="000000" w:themeColor="text1"/>
          <w:sz w:val="24"/>
          <w:szCs w:val="24"/>
          <w:highlight w:val="none"/>
        </w:rPr>
        <w:t xml:space="preserve">1.满足《中华人民共和国政府采购法》第二十二条规定；</w:t>
      </w:r>
      <w:r>
        <w:rPr>
          <w:rFonts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w:t>
      </w:r>
      <w:r>
        <w:rPr>
          <w:rFonts w:hint="eastAsia" w:ascii="宋体" w:hAnsi="宋体"/>
          <w:color w:val="000000" w:themeColor="text1"/>
          <w:sz w:val="24"/>
          <w:szCs w:val="24"/>
          <w:highlight w:val="none"/>
        </w:rPr>
        <w:t xml:space="preserve">无</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w:t>
      </w:r>
      <w:r>
        <w:rPr>
          <w:rFonts w:hint="eastAsia" w:ascii="宋体" w:hAnsi="宋体"/>
          <w:color w:val="000000" w:themeColor="text1"/>
          <w:sz w:val="24"/>
          <w:szCs w:val="24"/>
          <w:highlight w:val="none"/>
        </w:rPr>
        <w:t xml:space="preserve">无。</w:t>
      </w:r>
      <w:r>
        <w:rPr>
          <w:rFonts w:ascii="宋体" w:hAnsi="宋体" w:cs="宋体"/>
          <w:color w:val="000000" w:themeColor="text1"/>
          <w:sz w:val="24"/>
          <w:szCs w:val="24"/>
          <w:highlight w:val="none"/>
        </w:rPr>
      </w:r>
      <w:r>
        <w:rPr>
          <w:color w:val="000000" w:themeColor="text1"/>
          <w:highlight w:val="none"/>
        </w:rPr>
      </w:r>
    </w:p>
    <w:p>
      <w:pPr>
        <w:pStyle w:val="955"/>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sz w:val="30"/>
          <w:szCs w:val="30"/>
          <w:highlight w:val="none"/>
        </w:rPr>
      </w:r>
      <w:r>
        <w:rPr>
          <w:color w:val="000000" w:themeColor="text1"/>
          <w:highlight w:val="none"/>
        </w:rPr>
      </w:r>
    </w:p>
    <w:p>
      <w:pPr>
        <w:pStyle w:val="952"/>
        <w:ind w:firstLine="540"/>
        <w:spacing w:line="500" w:lineRule="exact"/>
        <w:rPr>
          <w:rFonts w:hint="eastAsia" w:ascii="宋体" w:hAnsi="宋体"/>
          <w:color w:val="000000" w:themeColor="text1"/>
          <w:sz w:val="24"/>
          <w:szCs w:val="24"/>
          <w:highlight w:val="none"/>
        </w:rPr>
      </w:pPr>
      <w:r>
        <w:rPr>
          <w:color w:val="000000" w:themeColor="text1"/>
          <w:highlight w:val="none"/>
        </w:rPr>
      </w:r>
      <w:bookmarkStart w:id="22" w:name="_Toc28359005"/>
      <w:r>
        <w:rPr>
          <w:color w:val="000000" w:themeColor="text1"/>
          <w:highlight w:val="none"/>
        </w:rPr>
      </w:r>
      <w:bookmarkStart w:id="23" w:name="_Toc28359082"/>
      <w:r>
        <w:rPr>
          <w:color w:val="000000" w:themeColor="text1"/>
          <w:highlight w:val="none"/>
        </w:rPr>
      </w:r>
      <w:bookmarkStart w:id="24" w:name="_Toc35393793"/>
      <w:r>
        <w:rPr>
          <w:color w:val="000000" w:themeColor="text1"/>
          <w:highlight w:val="none"/>
        </w:rPr>
      </w:r>
      <w:bookmarkStart w:id="25" w:name="_Toc38985266"/>
      <w:r>
        <w:rPr>
          <w:color w:val="000000" w:themeColor="text1"/>
          <w:highlight w:val="none"/>
        </w:rPr>
      </w:r>
      <w:bookmarkStart w:id="26" w:name="_Toc35393624"/>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rPr>
          <w:rFonts w:hint="eastAsia" w:ascii="宋体" w:hAnsi="宋体"/>
          <w:color w:val="000000" w:themeColor="text1"/>
          <w:sz w:val="24"/>
          <w:szCs w:val="24"/>
          <w:highlight w:val="none"/>
        </w:rPr>
      </w:r>
      <w:r>
        <w:rPr>
          <w:color w:val="000000" w:themeColor="text1"/>
          <w:highlight w:val="none"/>
        </w:rPr>
      </w:r>
    </w:p>
    <w:p>
      <w:pPr>
        <w:pStyle w:val="952"/>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bCs/>
          <w:color w:val="000000" w:themeColor="text1"/>
          <w:sz w:val="24"/>
          <w:szCs w:val="24"/>
          <w:highlight w:val="none"/>
        </w:rPr>
      </w:r>
      <w:r>
        <w:rPr>
          <w:color w:val="000000" w:themeColor="text1"/>
          <w:highlight w:val="none"/>
        </w:rPr>
      </w:r>
    </w:p>
    <w:p>
      <w:pPr>
        <w:pStyle w:val="952"/>
        <w:ind w:firstLine="540"/>
        <w:spacing w:line="500" w:lineRule="exact"/>
        <w:rPr>
          <w:rStyle w:val="1028"/>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“江苏省政府采购（苏采云）平台”（http://jszfcg.jscz.gov.cn/jszc/login）</w:t>
      </w:r>
      <w:r>
        <w:rPr>
          <w:rFonts w:ascii="宋体" w:hAnsi="宋体"/>
          <w:color w:val="000000" w:themeColor="text1"/>
          <w:sz w:val="24"/>
          <w:szCs w:val="24"/>
          <w:highlight w:val="none"/>
        </w:rPr>
        <w:t xml:space="preserve">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w:t>
      </w:r>
      <w:r>
        <w:rPr>
          <w:rFonts w:ascii="宋体" w:hAnsi="宋体"/>
          <w:color w:val="000000" w:themeColor="text1"/>
          <w:sz w:val="24"/>
          <w:szCs w:val="24"/>
          <w:highlight w:val="none"/>
        </w:rPr>
        <w:t xml:space="preserve">获取的</w:t>
      </w:r>
      <w:r>
        <w:rPr>
          <w:rFonts w:hint="eastAsia" w:ascii="宋体" w:hAnsi="宋体"/>
          <w:bCs/>
          <w:color w:val="000000" w:themeColor="text1"/>
          <w:sz w:val="24"/>
          <w:szCs w:val="24"/>
          <w:highlight w:val="none"/>
        </w:rPr>
        <w:t xml:space="preserve">招标文件，视为依法获取的招标文件。</w:t>
      </w:r>
      <w:r>
        <w:rPr>
          <w:rStyle w:val="1028"/>
          <w:color w:val="000000" w:themeColor="text1"/>
          <w:highlight w:val="none"/>
        </w:rPr>
      </w:r>
      <w:r>
        <w:rPr>
          <w:color w:val="000000" w:themeColor="text1"/>
          <w:highlight w:val="none"/>
        </w:rPr>
      </w:r>
    </w:p>
    <w:p>
      <w:pPr>
        <w:pStyle w:val="952"/>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rPr>
          <w:rFonts w:ascii="宋体" w:hAnsi="宋体"/>
          <w:bCs/>
          <w:color w:val="000000" w:themeColor="text1"/>
          <w:sz w:val="24"/>
          <w:szCs w:val="24"/>
          <w:highlight w:val="none"/>
        </w:rPr>
      </w:r>
      <w:r>
        <w:rPr>
          <w:color w:val="000000" w:themeColor="text1"/>
          <w:highlight w:val="none"/>
        </w:rPr>
      </w:r>
    </w:p>
    <w:p>
      <w:pPr>
        <w:pStyle w:val="955"/>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rPr>
          <w:color w:val="000000" w:themeColor="text1"/>
          <w:highlight w:val="none"/>
        </w:rPr>
      </w:r>
      <w:bookmarkEnd w:id="23"/>
      <w:r>
        <w:rPr>
          <w:rFonts w:hint="eastAsia"/>
          <w:color w:val="000000" w:themeColor="text1"/>
          <w:sz w:val="30"/>
          <w:szCs w:val="30"/>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sz w:val="30"/>
          <w:szCs w:val="30"/>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5年10月16日09点30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rPr>
          <w:rFonts w:hint="eastAsia" w:ascii="宋体" w:hAnsi="宋体"/>
          <w:bCs/>
          <w:color w:val="000000" w:themeColor="text1"/>
          <w:sz w:val="24"/>
          <w:szCs w:val="24"/>
          <w:highlight w:val="none"/>
          <w:u w:val="single"/>
        </w:rPr>
      </w:r>
      <w:r>
        <w:rPr>
          <w:color w:val="000000" w:themeColor="text1"/>
          <w:highlight w:val="none"/>
        </w:rPr>
      </w:r>
    </w:p>
    <w:p>
      <w:pPr>
        <w:pStyle w:val="955"/>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27" w:name="_Toc28359007"/>
      <w:r>
        <w:rPr>
          <w:color w:val="000000" w:themeColor="text1"/>
          <w:highlight w:val="none"/>
        </w:rPr>
      </w:r>
      <w:bookmarkStart w:id="28" w:name="_Toc38985267"/>
      <w:r>
        <w:rPr>
          <w:color w:val="000000" w:themeColor="text1"/>
          <w:highlight w:val="none"/>
        </w:rPr>
      </w:r>
      <w:bookmarkStart w:id="29" w:name="_Toc35393625"/>
      <w:r>
        <w:rPr>
          <w:color w:val="000000" w:themeColor="text1"/>
          <w:highlight w:val="none"/>
        </w:rPr>
      </w:r>
      <w:bookmarkStart w:id="30" w:name="_Toc28359084"/>
      <w:r>
        <w:rPr>
          <w:color w:val="000000" w:themeColor="text1"/>
          <w:highlight w:val="none"/>
        </w:rPr>
      </w:r>
      <w:bookmarkStart w:id="31" w:name="_Toc35393794"/>
      <w:r>
        <w:rPr>
          <w:rFonts w:hint="eastAsia"/>
          <w:color w:val="000000" w:themeColor="text1"/>
          <w:sz w:val="30"/>
          <w:szCs w:val="30"/>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sz w:val="30"/>
          <w:szCs w:val="30"/>
          <w:highlight w:val="none"/>
        </w:rPr>
      </w:r>
      <w:r>
        <w:rPr>
          <w:color w:val="000000" w:themeColor="text1"/>
          <w:highlight w:val="none"/>
        </w:rPr>
      </w:r>
    </w:p>
    <w:p>
      <w:pPr>
        <w:pStyle w:val="952"/>
        <w:ind w:firstLine="480"/>
        <w:spacing w:line="500" w:lineRule="exact"/>
        <w:rPr>
          <w:rFonts w:ascii="宋体" w:hAnsi="宋体" w:cs="宋体"/>
          <w:color w:val="000000" w:themeColor="text1"/>
          <w:sz w:val="24"/>
          <w:szCs w:val="24"/>
          <w:highlight w:val="none"/>
        </w:rPr>
      </w:pPr>
      <w:r>
        <w:rPr>
          <w:color w:val="000000" w:themeColor="text1"/>
          <w:highlight w:val="none"/>
        </w:rPr>
      </w:r>
      <w:bookmarkStart w:id="32" w:name="_Toc38985268"/>
      <w:r>
        <w:rPr>
          <w:color w:val="000000" w:themeColor="text1"/>
          <w:highlight w:val="none"/>
        </w:rPr>
      </w:r>
      <w:bookmarkStart w:id="33" w:name="_Toc35393626"/>
      <w:r>
        <w:rPr>
          <w:color w:val="000000" w:themeColor="text1"/>
          <w:highlight w:val="none"/>
        </w:rPr>
      </w:r>
      <w:bookmarkStart w:id="34" w:name="_Toc35393795"/>
      <w:r>
        <w:rPr>
          <w:rFonts w:hint="eastAsia" w:ascii="宋体" w:hAnsi="宋体" w:cs="宋体"/>
          <w:color w:val="000000" w:themeColor="text1"/>
          <w:sz w:val="24"/>
          <w:szCs w:val="24"/>
          <w:highlight w:val="none"/>
        </w:rPr>
        <w:t xml:space="preserve">（招标公告及招标文件公告期限）自本公告发布之日起5个工作日。</w:t>
      </w:r>
      <w:r>
        <w:rPr>
          <w:rFonts w:ascii="宋体" w:hAnsi="宋体" w:cs="宋体"/>
          <w:color w:val="000000" w:themeColor="text1"/>
          <w:sz w:val="24"/>
          <w:szCs w:val="24"/>
          <w:highlight w:val="none"/>
        </w:rPr>
      </w:r>
      <w:r>
        <w:rPr>
          <w:color w:val="000000" w:themeColor="text1"/>
          <w:highlight w:val="none"/>
        </w:rPr>
      </w:r>
    </w:p>
    <w:p>
      <w:pPr>
        <w:pStyle w:val="955"/>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rPr>
          <w:color w:val="000000" w:themeColor="text1"/>
          <w:highlight w:val="none"/>
        </w:rPr>
      </w:r>
      <w:bookmarkEnd w:id="33"/>
      <w:r>
        <w:rPr>
          <w:color w:val="000000" w:themeColor="text1"/>
          <w:highlight w:val="none"/>
        </w:rPr>
      </w:r>
      <w:bookmarkEnd w:id="34"/>
      <w:r>
        <w:rPr>
          <w:color w:val="000000" w:themeColor="text1"/>
          <w:sz w:val="30"/>
          <w:szCs w:val="30"/>
          <w:highlight w:val="none"/>
        </w:rPr>
      </w:r>
      <w:r>
        <w:rPr>
          <w:color w:val="000000" w:themeColor="text1"/>
          <w:highlight w:val="none"/>
        </w:rPr>
      </w:r>
    </w:p>
    <w:p>
      <w:pPr>
        <w:pStyle w:val="952"/>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rPr>
          <w:rFonts w:ascii="宋体" w:hAnsi="宋体" w:cs="宋体"/>
          <w:color w:val="000000" w:themeColor="text1"/>
          <w:sz w:val="24"/>
          <w:szCs w:val="24"/>
          <w:highlight w:val="none"/>
        </w:rPr>
      </w:r>
      <w:r>
        <w:rPr>
          <w:color w:val="000000" w:themeColor="text1"/>
          <w:highlight w:val="none"/>
        </w:rPr>
      </w:r>
    </w:p>
    <w:p>
      <w:pPr>
        <w:pStyle w:val="955"/>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35" w:name="_Toc38985269"/>
      <w:r>
        <w:rPr>
          <w:color w:val="000000" w:themeColor="text1"/>
          <w:highlight w:val="none"/>
        </w:rPr>
      </w:r>
      <w:bookmarkStart w:id="36" w:name="_Toc35393627"/>
      <w:r>
        <w:rPr>
          <w:color w:val="000000" w:themeColor="text1"/>
          <w:highlight w:val="none"/>
        </w:rPr>
      </w:r>
      <w:bookmarkStart w:id="37" w:name="_Toc28359008"/>
      <w:r>
        <w:rPr>
          <w:color w:val="000000" w:themeColor="text1"/>
          <w:highlight w:val="none"/>
        </w:rPr>
      </w:r>
      <w:bookmarkStart w:id="38" w:name="_Toc35393796"/>
      <w:r>
        <w:rPr>
          <w:color w:val="000000" w:themeColor="text1"/>
          <w:highlight w:val="none"/>
        </w:rPr>
      </w:r>
      <w:bookmarkStart w:id="39" w:name="_Toc28359085"/>
      <w:r>
        <w:rPr>
          <w:rFonts w:hint="eastAsia"/>
          <w:color w:val="000000" w:themeColor="text1"/>
          <w:sz w:val="30"/>
          <w:szCs w:val="30"/>
          <w:highlight w:val="none"/>
        </w:rPr>
        <w:t xml:space="preserve">七、本项目联系方式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sz w:val="30"/>
          <w:szCs w:val="30"/>
          <w:highlight w:val="none"/>
        </w:rPr>
      </w:r>
      <w:r>
        <w:rPr>
          <w:color w:val="000000" w:themeColor="text1"/>
          <w:highlight w:val="none"/>
        </w:rPr>
      </w:r>
    </w:p>
    <w:p>
      <w:pPr>
        <w:pStyle w:val="952"/>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rFonts w:ascii="宋体" w:hAnsi="宋体" w:cs="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rPr>
        <w:t xml:space="preserve">太湖流域水文水资源监测中心（太湖流域水环境监测中心）</w:t>
      </w:r>
      <w:r>
        <w:rPr>
          <w:rFonts w:hint="eastAsia" w:ascii="宋体" w:hAnsi="宋体" w:cs="宋体"/>
          <w:color w:val="000000" w:themeColor="text1"/>
          <w:sz w:val="24"/>
          <w:szCs w:val="24"/>
          <w:highlight w:val="none"/>
        </w:rPr>
      </w:r>
      <w:r>
        <w:rPr>
          <w:color w:val="000000" w:themeColor="text1"/>
          <w:highlight w:val="none"/>
        </w:rPr>
      </w:r>
    </w:p>
    <w:p>
      <w:pPr>
        <w:pStyle w:val="952"/>
        <w:ind w:firstLine="480"/>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rPr>
        <w:t xml:space="preserve">地    址：</w:t>
      </w:r>
      <w:r>
        <w:rPr>
          <w:rFonts w:hint="eastAsia" w:ascii="宋体" w:hAnsi="宋体" w:cs="宋体"/>
          <w:color w:val="000000" w:themeColor="text1"/>
          <w:sz w:val="24"/>
          <w:szCs w:val="24"/>
          <w:highlight w:val="none"/>
        </w:rPr>
        <w:t xml:space="preserve">无锡市金城路835号</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bookmarkStart w:id="40" w:name="_Toc28359086"/>
      <w:r>
        <w:rPr>
          <w:color w:val="000000" w:themeColor="text1"/>
          <w:highlight w:val="none"/>
        </w:rPr>
      </w:r>
      <w:bookmarkStart w:id="41" w:name="_Toc28359009"/>
      <w:r>
        <w:rPr>
          <w:rFonts w:hint="eastAsia" w:ascii="宋体" w:hAnsi="宋体" w:cs="宋体"/>
          <w:color w:val="000000" w:themeColor="text1"/>
          <w:sz w:val="24"/>
          <w:szCs w:val="24"/>
          <w:highlight w:val="none"/>
        </w:rPr>
        <w:t xml:space="preserve">见“项目联系方式”</w:t>
      </w:r>
      <w:r>
        <w:rPr>
          <w:rFonts w:ascii="宋体" w:hAnsi="宋体" w:cs="宋体"/>
          <w:color w:val="000000" w:themeColor="text1"/>
          <w:sz w:val="24"/>
          <w:szCs w:val="24"/>
          <w:highlight w:val="none"/>
        </w:rPr>
      </w:r>
      <w:r>
        <w:rPr>
          <w:color w:val="000000" w:themeColor="text1"/>
          <w:highlight w:val="none"/>
        </w:rPr>
      </w:r>
    </w:p>
    <w:p>
      <w:pPr>
        <w:pStyle w:val="952"/>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bookmarkEnd w:id="40"/>
      <w:r>
        <w:rPr>
          <w:color w:val="000000" w:themeColor="text1"/>
          <w:highlight w:val="none"/>
        </w:rPr>
      </w:r>
      <w:bookmarkEnd w:id="41"/>
      <w:r>
        <w:rPr>
          <w:rFonts w:hint="eastAsia" w:ascii="宋体" w:hAnsi="宋体" w:cs="宋体"/>
          <w:color w:val="000000" w:themeColor="text1"/>
          <w:sz w:val="24"/>
          <w:szCs w:val="24"/>
          <w:highlight w:val="none"/>
        </w:rPr>
        <w:t xml:space="preserve">采购代理机构信息</w:t>
      </w:r>
      <w:r>
        <w:rPr>
          <w:rFonts w:ascii="宋体" w:hAnsi="宋体" w:cs="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称：无锡市公共资源交易中心</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址：无锡市滨湖区观山路199号10号3楼</w:t>
      </w:r>
      <w:r>
        <w:rPr>
          <w:rFonts w:ascii="宋体" w:hAnsi="宋体" w:cs="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联系方式：见“项目联系方式”</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采购人项目咨询联系人：</w:t>
      </w:r>
      <w:r>
        <w:rPr>
          <w:rFonts w:hint="eastAsia" w:ascii="宋体" w:hAnsi="宋体" w:cs="宋体"/>
          <w:color w:val="000000" w:themeColor="text1"/>
          <w:sz w:val="24"/>
          <w:szCs w:val="24"/>
          <w:highlight w:val="none"/>
        </w:rPr>
        <w:t xml:space="preserve">联系人姓名：</w:t>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 xml:space="preserve">邹召军</w:t>
      </w:r>
      <w:r>
        <w:rPr>
          <w:rFonts w:ascii="Calibri" w:hAnsi="Calibri" w:eastAsia="Calibri" w:cs="Calibri"/>
          <w:color w:val="000000" w:themeColor="text1"/>
          <w:highlight w:val="none"/>
        </w:rPr>
        <w:tab/>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电话：0510-85442988</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采购人质疑受理联系人：</w:t>
      </w:r>
      <w:r>
        <w:rPr>
          <w:rFonts w:hint="eastAsia" w:ascii="宋体" w:hAnsi="宋体" w:cs="宋体"/>
          <w:color w:val="000000" w:themeColor="text1"/>
          <w:sz w:val="24"/>
          <w:szCs w:val="24"/>
          <w:highlight w:val="none"/>
        </w:rPr>
        <w:t xml:space="preserve">受理人姓名：</w:t>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 xml:space="preserve">邹召军</w:t>
      </w:r>
      <w:r>
        <w:rPr>
          <w:rFonts w:ascii="Calibri" w:hAnsi="Calibri" w:eastAsia="Calibri" w:cs="Calibri"/>
          <w:color w:val="000000" w:themeColor="text1"/>
          <w:highlight w:val="none"/>
        </w:rPr>
        <w:tab/>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电话：0510-85442988</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交易中心项目联系人：</w:t>
      </w:r>
      <w:r>
        <w:rPr>
          <w:rFonts w:hint="eastAsia" w:ascii="宋体" w:hAnsi="宋体" w:cs="宋体"/>
          <w:color w:val="000000" w:themeColor="text1"/>
          <w:sz w:val="24"/>
          <w:szCs w:val="24"/>
          <w:highlight w:val="none"/>
        </w:rPr>
        <w:t xml:space="preserve">中心经办人姓名：吴冰梦；电话：0510-81827747</w:t>
      </w:r>
      <w:r>
        <w:rPr>
          <w:rFonts w:ascii="宋体" w:hAnsi="宋体" w:cs="宋体"/>
          <w:color w:val="000000" w:themeColor="text1"/>
          <w:sz w:val="24"/>
          <w:szCs w:val="24"/>
          <w:highlight w:val="none"/>
        </w:rPr>
      </w:r>
      <w:r>
        <w:rPr>
          <w:color w:val="000000" w:themeColor="text1"/>
          <w:highlight w:val="none"/>
        </w:rPr>
      </w:r>
    </w:p>
    <w:p>
      <w:pPr>
        <w:pStyle w:val="955"/>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八、其他</w:t>
      </w:r>
      <w:r>
        <w:rPr>
          <w:color w:val="000000" w:themeColor="text1"/>
          <w:sz w:val="30"/>
          <w:szCs w:val="30"/>
          <w:highlight w:val="none"/>
        </w:rPr>
      </w:r>
      <w:r>
        <w:rPr>
          <w:color w:val="000000" w:themeColor="text1"/>
          <w:highlight w:val="none"/>
        </w:rPr>
      </w:r>
    </w:p>
    <w:p>
      <w:pPr>
        <w:pStyle w:val="952"/>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rPr>
          <w:rFonts w:ascii="宋体" w:hAnsi="宋体" w:cs="宋体"/>
          <w:color w:val="000000" w:themeColor="text1"/>
          <w:sz w:val="24"/>
          <w:szCs w:val="24"/>
          <w:highlight w:val="none"/>
        </w:rPr>
      </w:r>
      <w:r>
        <w:rPr>
          <w:color w:val="000000" w:themeColor="text1"/>
          <w:highlight w:val="none"/>
        </w:rPr>
      </w:r>
    </w:p>
    <w:p>
      <w:pPr>
        <w:pStyle w:val="952"/>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rPr>
          <w:rFonts w:ascii="宋体" w:hAnsi="宋体"/>
          <w:color w:val="000000" w:themeColor="text1"/>
          <w:sz w:val="24"/>
          <w:szCs w:val="24"/>
          <w:highlight w:val="none"/>
        </w:rPr>
      </w:r>
      <w:r>
        <w:rPr>
          <w:color w:val="000000" w:themeColor="text1"/>
          <w:highlight w:val="none"/>
        </w:rPr>
      </w:r>
    </w:p>
    <w:p>
      <w:pPr>
        <w:pStyle w:val="952"/>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中填写资质信息并提交。也可以直接通过http://jszfcg.jsczt.cn/进入界面。</w:t>
      </w:r>
      <w:r>
        <w:rPr>
          <w:rFonts w:ascii="宋体" w:hAnsi="宋体"/>
          <w:color w:val="000000" w:themeColor="text1"/>
          <w:sz w:val="24"/>
          <w:szCs w:val="24"/>
          <w:highlight w:val="none"/>
        </w:rPr>
      </w:r>
      <w:r>
        <w:rPr>
          <w:color w:val="000000" w:themeColor="text1"/>
          <w:highlight w:val="none"/>
        </w:rPr>
      </w:r>
    </w:p>
    <w:p>
      <w:pPr>
        <w:pStyle w:val="952"/>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号楼二楼</w:t>
      </w:r>
      <w:r>
        <w:rPr>
          <w:rFonts w:ascii="宋体" w:hAnsi="宋体"/>
          <w:color w:val="000000" w:themeColor="text1"/>
          <w:sz w:val="24"/>
          <w:szCs w:val="24"/>
          <w:highlight w:val="none"/>
        </w:rPr>
        <w:t xml:space="preserve">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10</w:t>
      </w:r>
      <w:r>
        <w:rPr>
          <w:rFonts w:hint="eastAsia" w:ascii="宋体" w:hAnsi="宋体"/>
          <w:color w:val="000000" w:themeColor="text1"/>
          <w:sz w:val="24"/>
          <w:szCs w:val="24"/>
          <w:highlight w:val="none"/>
        </w:rPr>
        <w:t xml:space="preserve">号窗口</w:t>
      </w:r>
      <w:r>
        <w:rPr>
          <w:rFonts w:ascii="宋体" w:hAnsi="宋体"/>
          <w:color w:val="000000" w:themeColor="text1"/>
          <w:sz w:val="24"/>
          <w:szCs w:val="24"/>
          <w:highlight w:val="none"/>
        </w:rPr>
        <w:t xml:space="preserve">），办理指南链接：http://jsxcmm.com/help/help.html。</w:t>
      </w:r>
      <w:r>
        <w:rPr>
          <w:rFonts w:ascii="宋体" w:hAnsi="宋体"/>
          <w:color w:val="000000" w:themeColor="text1"/>
          <w:sz w:val="24"/>
          <w:szCs w:val="24"/>
          <w:highlight w:val="none"/>
        </w:rPr>
      </w:r>
      <w:r>
        <w:rPr>
          <w:color w:val="000000" w:themeColor="text1"/>
          <w:highlight w:val="none"/>
        </w:rPr>
      </w:r>
    </w:p>
    <w:p>
      <w:pPr>
        <w:pStyle w:val="952"/>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rPr>
          <w:rFonts w:ascii="宋体" w:hAnsi="宋体"/>
          <w:color w:val="000000" w:themeColor="text1"/>
          <w:sz w:val="24"/>
          <w:szCs w:val="24"/>
          <w:highlight w:val="none"/>
        </w:rPr>
      </w:r>
      <w:r>
        <w:rPr>
          <w:color w:val="000000" w:themeColor="text1"/>
          <w:highlight w:val="none"/>
        </w:rPr>
      </w:r>
    </w:p>
    <w:p>
      <w:pPr>
        <w:pStyle w:val="952"/>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themeColor="text1"/>
          <w:sz w:val="24"/>
          <w:szCs w:val="24"/>
          <w:highlight w:val="none"/>
        </w:rPr>
      </w:r>
      <w:r>
        <w:rPr>
          <w:color w:val="000000" w:themeColor="text1"/>
          <w:highlight w:val="none"/>
        </w:rPr>
      </w:r>
    </w:p>
    <w:p>
      <w:pPr>
        <w:pStyle w:val="952"/>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952"/>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rPr>
          <w:rFonts w:ascii="宋体" w:hAnsi="宋体"/>
          <w:color w:val="000000" w:themeColor="text1"/>
          <w:sz w:val="24"/>
          <w:szCs w:val="24"/>
          <w:highlight w:val="none"/>
        </w:rPr>
      </w:r>
      <w:r>
        <w:rPr>
          <w:color w:val="000000" w:themeColor="text1"/>
          <w:highlight w:val="none"/>
        </w:rPr>
      </w:r>
    </w:p>
    <w:p>
      <w:pPr>
        <w:pStyle w:val="952"/>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themeColor="text1"/>
          <w:sz w:val="24"/>
          <w:szCs w:val="24"/>
          <w:highlight w:val="none"/>
        </w:rPr>
      </w:r>
      <w:r>
        <w:rPr>
          <w:color w:val="000000" w:themeColor="text1"/>
          <w:highlight w:val="none"/>
        </w:rPr>
      </w:r>
    </w:p>
    <w:p>
      <w:pPr>
        <w:pStyle w:val="952"/>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w:t>
      </w:r>
      <w:r>
        <w:rPr>
          <w:rFonts w:ascii="宋体" w:hAnsi="宋体"/>
          <w:color w:val="000000" w:themeColor="text1"/>
          <w:sz w:val="24"/>
          <w:szCs w:val="24"/>
          <w:highlight w:val="none"/>
        </w:rPr>
        <w:t xml:space="preserve">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w:t>
      </w:r>
      <w:r>
        <w:rPr>
          <w:rFonts w:ascii="宋体" w:hAnsi="宋体"/>
          <w:color w:val="000000" w:themeColor="text1"/>
          <w:sz w:val="24"/>
          <w:szCs w:val="24"/>
          <w:highlight w:val="none"/>
        </w:rPr>
        <w:t xml:space="preserve">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952"/>
        <w:ind w:firstLine="480"/>
        <w:spacing w:line="500" w:lineRule="exact"/>
        <w:shd w:val="clear" w:color="auto" w:fill="ffffff"/>
        <w:widowControl/>
        <w:rPr>
          <w:rFonts w:ascii="宋体" w:hAnsi="宋体"/>
          <w:color w:val="000000" w:themeColor="text1"/>
          <w:sz w:val="24"/>
          <w:szCs w:val="24"/>
          <w:highlight w:val="none"/>
        </w:rPr>
      </w:pPr>
      <w:r>
        <w:rPr>
          <w:rFonts w:ascii="宋体" w:hAnsi="宋体"/>
          <w:bCs/>
          <w:color w:val="000000" w:themeColor="text1"/>
          <w:sz w:val="24"/>
          <w:szCs w:val="24"/>
          <w:highlight w:val="none"/>
        </w:rPr>
        <w:t xml:space="preserve">技术支持QQ：孙先生：442456465；王先生：1476328133</w:t>
      </w:r>
      <w:r>
        <w:rPr>
          <w:rFonts w:hint="eastAsia" w:ascii="宋体" w:hAnsi="宋体"/>
          <w:bCs/>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952"/>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rPr>
          <w:rFonts w:ascii="宋体" w:hAnsi="宋体" w:cs="宋体"/>
          <w:color w:val="000000" w:themeColor="text1"/>
          <w:sz w:val="24"/>
          <w:szCs w:val="24"/>
          <w:highlight w:val="none"/>
        </w:rPr>
      </w:r>
      <w:r>
        <w:rPr>
          <w:color w:val="000000" w:themeColor="text1"/>
          <w:highlight w:val="none"/>
        </w:rPr>
      </w:r>
    </w:p>
    <w:p>
      <w:pPr>
        <w:pStyle w:val="952"/>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w:t>
      </w:r>
      <w:r>
        <w:rPr>
          <w:rFonts w:ascii="宋体" w:hAnsi="宋体"/>
          <w:color w:val="000000" w:themeColor="text1"/>
          <w:sz w:val="24"/>
          <w:szCs w:val="24"/>
          <w:highlight w:val="none"/>
        </w:rPr>
        <w:t xml:space="preserve">如确</w:t>
      </w:r>
      <w:r>
        <w:rPr>
          <w:rFonts w:ascii="宋体" w:hAnsi="宋体"/>
          <w:color w:val="000000" w:themeColor="text1"/>
          <w:sz w:val="24"/>
          <w:szCs w:val="24"/>
          <w:highlight w:val="none"/>
        </w:rPr>
        <w:t xml:space="preserve">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w:t>
      </w:r>
      <w:r>
        <w:rPr>
          <w:rFonts w:hint="eastAsia" w:ascii="宋体" w:hAnsi="宋体"/>
          <w:color w:val="000000" w:themeColor="text1"/>
          <w:sz w:val="24"/>
          <w:szCs w:val="24"/>
          <w:highlight w:val="none"/>
        </w:rPr>
        <w:t xml:space="preserve">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rPr>
          <w:rFonts w:ascii="宋体" w:hAnsi="宋体"/>
          <w:color w:val="000000" w:themeColor="text1"/>
          <w:sz w:val="24"/>
          <w:szCs w:val="24"/>
          <w:highlight w:val="none"/>
        </w:rPr>
      </w:r>
      <w:r>
        <w:rPr>
          <w:color w:val="000000" w:themeColor="text1"/>
          <w:highlight w:val="none"/>
        </w:rPr>
      </w:r>
    </w:p>
    <w:p>
      <w:pPr>
        <w:pStyle w:val="952"/>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（三）有关本次采购的事项若存在变动或修改，敬请及时关注无锡市公共资源交易中心在“江苏政府采购网”发布的更正公告。</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bCs/>
          <w:color w:val="000000" w:themeColor="text1"/>
          <w:sz w:val="24"/>
          <w:szCs w:val="24"/>
          <w:highlight w:val="none"/>
          <w:shd w:val="clear" w:color="ffffff" w:fill="d9d9d9"/>
        </w:rPr>
      </w:r>
      <w:r>
        <w:rPr>
          <w:color w:val="000000" w:themeColor="text1"/>
          <w:highlight w:val="none"/>
        </w:rPr>
      </w:r>
    </w:p>
    <w:p>
      <w:pPr>
        <w:pStyle w:val="952"/>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2" w:name="_Toc120614211"/>
      <w:r>
        <w:rPr>
          <w:rFonts w:hint="eastAsia" w:ascii="黑体" w:hAnsi="黑体" w:eastAsia="黑体"/>
          <w:color w:val="000000" w:themeColor="text1"/>
          <w:sz w:val="36"/>
          <w:szCs w:val="36"/>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3" w:name="_Toc513029202"/>
      <w:r>
        <w:rPr>
          <w:color w:val="000000" w:themeColor="text1"/>
          <w:highlight w:val="none"/>
        </w:rPr>
      </w:r>
      <w:bookmarkStart w:id="44" w:name="_Toc20823274"/>
      <w:r>
        <w:rPr>
          <w:color w:val="000000" w:themeColor="text1"/>
          <w:highlight w:val="none"/>
        </w:rPr>
      </w:r>
      <w:bookmarkStart w:id="45" w:name="_Toc16938518"/>
      <w:r>
        <w:rPr>
          <w:color w:val="000000" w:themeColor="text1"/>
          <w:highlight w:val="none"/>
        </w:rPr>
      </w:r>
      <w:bookmarkStart w:id="46" w:name="_Toc120614213"/>
      <w:r>
        <w:rPr>
          <w:rFonts w:hint="eastAsia" w:ascii="黑体" w:hAnsi="黑体" w:eastAsia="黑体"/>
          <w:color w:val="000000" w:themeColor="text1"/>
          <w:sz w:val="36"/>
          <w:szCs w:val="36"/>
          <w:highlight w:val="none"/>
        </w:rPr>
        <w:t xml:space="preserve">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rFonts w:hint="eastAsia" w:ascii="黑体" w:hAnsi="黑体" w:eastAsia="黑体"/>
          <w:color w:val="000000" w:themeColor="text1"/>
          <w:sz w:val="36"/>
          <w:szCs w:val="36"/>
          <w:highlight w:val="none"/>
        </w:rPr>
      </w:r>
      <w:r>
        <w:rPr>
          <w:color w:val="000000" w:themeColor="text1"/>
          <w:highlight w:val="none"/>
        </w:rPr>
      </w:r>
    </w:p>
    <w:p>
      <w:pPr>
        <w:pStyle w:val="955"/>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47" w:name="_Toc513029203"/>
      <w:r>
        <w:rPr>
          <w:color w:val="000000" w:themeColor="text1"/>
          <w:highlight w:val="none"/>
        </w:rPr>
      </w:r>
      <w:bookmarkStart w:id="48" w:name="_Toc20823275"/>
      <w:r>
        <w:rPr>
          <w:color w:val="000000" w:themeColor="text1"/>
          <w:highlight w:val="none"/>
        </w:rPr>
      </w:r>
      <w:bookmarkStart w:id="49" w:name="_Toc16938519"/>
      <w:r>
        <w:rPr>
          <w:color w:val="000000" w:themeColor="text1"/>
          <w:highlight w:val="none"/>
        </w:rPr>
      </w:r>
      <w:bookmarkStart w:id="50" w:name="_Toc120614214"/>
      <w:r>
        <w:rPr>
          <w:rFonts w:hint="eastAsia"/>
          <w:color w:val="000000" w:themeColor="text1"/>
          <w:sz w:val="30"/>
          <w:szCs w:val="30"/>
          <w:highlight w:val="none"/>
        </w:rPr>
        <w:t xml:space="preserve">一、总则</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rFonts w:hint="eastAsia"/>
          <w:color w:val="000000" w:themeColor="text1"/>
          <w:sz w:val="30"/>
          <w:szCs w:val="30"/>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1" w:name="_Hlt16619475"/>
      <w:r>
        <w:rPr>
          <w:color w:val="000000" w:themeColor="text1"/>
          <w:highlight w:val="none"/>
        </w:rPr>
      </w:r>
      <w:bookmarkEnd w:id="51"/>
      <w:r>
        <w:rPr>
          <w:color w:val="000000" w:themeColor="text1"/>
          <w:highlight w:val="none"/>
        </w:rPr>
      </w:r>
      <w:bookmarkStart w:id="52" w:name="_Toc513029204"/>
      <w:r>
        <w:rPr>
          <w:color w:val="000000" w:themeColor="text1"/>
          <w:highlight w:val="none"/>
        </w:rPr>
      </w:r>
      <w:bookmarkStart w:id="53" w:name="_Toc20823276"/>
      <w:r>
        <w:rPr>
          <w:color w:val="000000" w:themeColor="text1"/>
          <w:highlight w:val="none"/>
        </w:rPr>
      </w:r>
      <w:bookmarkStart w:id="54" w:name="_Toc16938520"/>
      <w:r>
        <w:rPr>
          <w:rFonts w:hint="eastAsia" w:ascii="宋体" w:hAnsi="宋体" w:eastAsia="宋体"/>
          <w:bCs w:val="0"/>
          <w:color w:val="000000" w:themeColor="text1"/>
          <w:highlight w:val="none"/>
        </w:rPr>
        <w:t xml:space="preserve">1.招标方式</w:t>
      </w:r>
      <w:bookmarkEnd w:id="52"/>
      <w:r>
        <w:rPr>
          <w:color w:val="000000" w:themeColor="text1"/>
          <w:highlight w:val="none"/>
        </w:rPr>
      </w:r>
      <w:bookmarkEnd w:id="53"/>
      <w:r>
        <w:rPr>
          <w:color w:val="000000" w:themeColor="text1"/>
          <w:highlight w:val="none"/>
        </w:rPr>
      </w:r>
      <w:bookmarkEnd w:id="54"/>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rPr>
          <w:rFonts w:hint="eastAsia" w:ascii="宋体" w:hAnsi="宋体"/>
          <w:color w:val="000000" w:themeColor="text1"/>
          <w:sz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5" w:name="_Toc20823277"/>
      <w:r>
        <w:rPr>
          <w:color w:val="000000" w:themeColor="text1"/>
          <w:highlight w:val="none"/>
        </w:rPr>
      </w:r>
      <w:bookmarkStart w:id="56" w:name="_Toc16938521"/>
      <w:r>
        <w:rPr>
          <w:color w:val="000000" w:themeColor="text1"/>
          <w:highlight w:val="none"/>
        </w:rPr>
      </w:r>
      <w:bookmarkStart w:id="57" w:name="_Toc513029205"/>
      <w:r>
        <w:rPr>
          <w:rFonts w:hint="eastAsia" w:ascii="宋体" w:hAnsi="宋体" w:eastAsia="宋体"/>
          <w:bCs w:val="0"/>
          <w:color w:val="000000" w:themeColor="text1"/>
          <w:highlight w:val="none"/>
        </w:rPr>
        <w:t xml:space="preserve">2.</w:t>
      </w:r>
      <w:bookmarkEnd w:id="55"/>
      <w:r>
        <w:rPr>
          <w:color w:val="000000" w:themeColor="text1"/>
          <w:highlight w:val="none"/>
        </w:rPr>
      </w:r>
      <w:bookmarkEnd w:id="56"/>
      <w:r>
        <w:rPr>
          <w:color w:val="000000" w:themeColor="text1"/>
          <w:highlight w:val="none"/>
        </w:rPr>
      </w:r>
      <w:bookmarkEnd w:id="57"/>
      <w:r>
        <w:rPr>
          <w:rFonts w:hint="eastAsia" w:ascii="宋体" w:hAnsi="宋体" w:eastAsia="宋体"/>
          <w:bCs w:val="0"/>
          <w:color w:val="000000" w:themeColor="text1"/>
          <w:highlight w:val="none"/>
        </w:rPr>
        <w:t xml:space="preserve">采购人、采购代理机构、投标人、联合体</w:t>
      </w:r>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themeColor="text1"/>
          <w:sz w:val="24"/>
          <w:szCs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8" w:name="_Toc513029206"/>
      <w:r>
        <w:rPr>
          <w:color w:val="000000" w:themeColor="text1"/>
          <w:highlight w:val="none"/>
        </w:rPr>
      </w:r>
      <w:bookmarkStart w:id="59" w:name="_Toc16938522"/>
      <w:r>
        <w:rPr>
          <w:color w:val="000000" w:themeColor="text1"/>
          <w:highlight w:val="none"/>
        </w:rPr>
      </w:r>
      <w:bookmarkStart w:id="60" w:name="_Toc20823278"/>
      <w:r>
        <w:rPr>
          <w:rFonts w:hint="eastAsia" w:ascii="宋体" w:hAnsi="宋体" w:eastAsia="宋体"/>
          <w:bCs w:val="0"/>
          <w:color w:val="000000" w:themeColor="text1"/>
          <w:highlight w:val="none"/>
        </w:rPr>
        <w:t xml:space="preserve">3.适用法律</w:t>
      </w:r>
      <w:bookmarkEnd w:id="58"/>
      <w:r>
        <w:rPr>
          <w:color w:val="000000" w:themeColor="text1"/>
          <w:highlight w:val="none"/>
        </w:rPr>
      </w:r>
      <w:bookmarkEnd w:id="59"/>
      <w:r>
        <w:rPr>
          <w:color w:val="000000" w:themeColor="text1"/>
          <w:highlight w:val="none"/>
        </w:rPr>
      </w:r>
      <w:bookmarkEnd w:id="60"/>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rPr>
          <w:rFonts w:hint="eastAsia" w:ascii="宋体" w:hAnsi="宋体"/>
          <w:color w:val="000000" w:themeColor="text1"/>
          <w:sz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1" w:name="_Toc20823279"/>
      <w:r>
        <w:rPr>
          <w:color w:val="000000" w:themeColor="text1"/>
          <w:highlight w:val="none"/>
        </w:rPr>
      </w:r>
      <w:bookmarkStart w:id="62" w:name="_Toc462564067"/>
      <w:r>
        <w:rPr>
          <w:color w:val="000000" w:themeColor="text1"/>
          <w:highlight w:val="none"/>
        </w:rPr>
      </w:r>
      <w:bookmarkStart w:id="63" w:name="_Toc16938523"/>
      <w:r>
        <w:rPr>
          <w:color w:val="000000" w:themeColor="text1"/>
          <w:highlight w:val="none"/>
        </w:rPr>
      </w:r>
      <w:bookmarkStart w:id="64" w:name="_Toc513029207"/>
      <w:r>
        <w:rPr>
          <w:rFonts w:hint="eastAsia" w:ascii="宋体" w:hAnsi="宋体" w:eastAsia="宋体"/>
          <w:bCs w:val="0"/>
          <w:color w:val="000000" w:themeColor="text1"/>
          <w:highlight w:val="none"/>
        </w:rPr>
        <w:t xml:space="preserve">4.投标费用</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color w:val="000000" w:themeColor="text1"/>
          <w:sz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rPr>
          <w:rFonts w:hint="eastAsia" w:ascii="宋体" w:hAnsi="宋体"/>
          <w:color w:val="000000" w:themeColor="text1"/>
          <w:sz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rPr>
          <w:rFonts w:hint="eastAsia" w:ascii="宋体" w:hAnsi="宋体"/>
          <w:color w:val="000000" w:themeColor="text1"/>
          <w:sz w:val="24"/>
          <w:szCs w:val="24"/>
          <w:highlight w:val="none"/>
        </w:rPr>
      </w:r>
      <w:r>
        <w:rPr>
          <w:color w:val="000000" w:themeColor="text1"/>
          <w:highlight w:val="none"/>
        </w:rPr>
      </w:r>
    </w:p>
    <w:p>
      <w:pPr>
        <w:pStyle w:val="955"/>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65" w:name="_Toc120614215"/>
      <w:r>
        <w:rPr>
          <w:color w:val="000000" w:themeColor="text1"/>
          <w:highlight w:val="none"/>
        </w:rPr>
      </w:r>
      <w:bookmarkStart w:id="66" w:name="_Toc20823281"/>
      <w:r>
        <w:rPr>
          <w:color w:val="000000" w:themeColor="text1"/>
          <w:highlight w:val="none"/>
        </w:rPr>
      </w:r>
      <w:bookmarkStart w:id="67" w:name="_Toc513029209"/>
      <w:r>
        <w:rPr>
          <w:color w:val="000000" w:themeColor="text1"/>
          <w:highlight w:val="none"/>
        </w:rPr>
      </w:r>
      <w:bookmarkStart w:id="68" w:name="_Toc16938525"/>
      <w:r>
        <w:rPr>
          <w:rFonts w:hint="eastAsia"/>
          <w:color w:val="000000" w:themeColor="text1"/>
          <w:sz w:val="30"/>
          <w:szCs w:val="30"/>
          <w:highlight w:val="none"/>
        </w:rPr>
        <w:t xml:space="preserve">二、招标文件</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rFonts w:hint="eastAsia"/>
          <w:color w:val="000000" w:themeColor="text1"/>
          <w:sz w:val="30"/>
          <w:szCs w:val="30"/>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9" w:name="_Toc16938526"/>
      <w:r>
        <w:rPr>
          <w:color w:val="000000" w:themeColor="text1"/>
          <w:highlight w:val="none"/>
        </w:rPr>
      </w:r>
      <w:bookmarkStart w:id="70" w:name="_Toc20823282"/>
      <w:r>
        <w:rPr>
          <w:color w:val="000000" w:themeColor="text1"/>
          <w:highlight w:val="none"/>
        </w:rPr>
      </w:r>
      <w:bookmarkStart w:id="71" w:name="_Toc513029210"/>
      <w:r>
        <w:rPr>
          <w:rFonts w:hint="eastAsia" w:ascii="宋体" w:hAnsi="宋体" w:eastAsia="宋体"/>
          <w:bCs w:val="0"/>
          <w:color w:val="000000" w:themeColor="text1"/>
          <w:highlight w:val="none"/>
        </w:rPr>
        <w:t xml:space="preserve">6.招标文件构成</w:t>
      </w:r>
      <w:bookmarkEnd w:id="69"/>
      <w:r>
        <w:rPr>
          <w:color w:val="000000" w:themeColor="text1"/>
          <w:highlight w:val="none"/>
        </w:rPr>
      </w:r>
      <w:bookmarkEnd w:id="70"/>
      <w:r>
        <w:rPr>
          <w:color w:val="000000" w:themeColor="text1"/>
          <w:highlight w:val="none"/>
        </w:rPr>
      </w:r>
      <w:bookmarkEnd w:id="71"/>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rPr>
          <w:rFonts w:hint="eastAsia" w:ascii="宋体" w:hAnsi="宋体"/>
          <w:color w:val="000000" w:themeColor="text1"/>
          <w:sz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rPr>
          <w:rFonts w:hint="eastAsia"/>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rPr>
          <w:rFonts w:hint="eastAsia" w:ascii="宋体" w:hAnsi="宋体"/>
          <w:color w:val="000000" w:themeColor="text1"/>
          <w:sz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themeColor="text1"/>
          <w:sz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2" w:name="_Toc20823283"/>
      <w:r>
        <w:rPr>
          <w:color w:val="000000" w:themeColor="text1"/>
          <w:highlight w:val="none"/>
        </w:rPr>
      </w:r>
      <w:bookmarkStart w:id="73" w:name="_Toc16938527"/>
      <w:r>
        <w:rPr>
          <w:color w:val="000000" w:themeColor="text1"/>
          <w:highlight w:val="none"/>
        </w:rPr>
      </w:r>
      <w:bookmarkStart w:id="74" w:name="_Toc513029211"/>
      <w:r>
        <w:rPr>
          <w:color w:val="000000" w:themeColor="text1"/>
          <w:highlight w:val="none"/>
        </w:rPr>
      </w:r>
      <w:bookmarkStart w:id="75" w:name="_Toc462564070"/>
      <w:r>
        <w:rPr>
          <w:rFonts w:hint="eastAsia" w:ascii="宋体" w:hAnsi="宋体" w:eastAsia="宋体"/>
          <w:bCs w:val="0"/>
          <w:color w:val="000000" w:themeColor="text1"/>
          <w:highlight w:val="none"/>
        </w:rPr>
        <w:t xml:space="preserve">7.招标文件的澄清</w:t>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themeColor="text1"/>
          <w:sz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6" w:name="_Toc20823284"/>
      <w:r>
        <w:rPr>
          <w:color w:val="000000" w:themeColor="text1"/>
          <w:highlight w:val="none"/>
        </w:rPr>
      </w:r>
      <w:bookmarkStart w:id="77" w:name="_Toc462564071"/>
      <w:r>
        <w:rPr>
          <w:color w:val="000000" w:themeColor="text1"/>
          <w:highlight w:val="none"/>
        </w:rPr>
      </w:r>
      <w:bookmarkStart w:id="78" w:name="_Toc16938528"/>
      <w:r>
        <w:rPr>
          <w:color w:val="000000" w:themeColor="text1"/>
          <w:highlight w:val="none"/>
        </w:rPr>
      </w:r>
      <w:bookmarkStart w:id="79" w:name="_Toc513029212"/>
      <w:r>
        <w:rPr>
          <w:rFonts w:hint="eastAsia" w:ascii="宋体" w:hAnsi="宋体" w:eastAsia="宋体"/>
          <w:bCs w:val="0"/>
          <w:color w:val="000000" w:themeColor="text1"/>
          <w:highlight w:val="none"/>
        </w:rPr>
        <w:t xml:space="preserve">8.招标文件的修改</w:t>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themeColor="text1"/>
          <w:sz w:val="24"/>
          <w:highlight w:val="none"/>
        </w:rPr>
      </w:r>
      <w:r>
        <w:rPr>
          <w:color w:val="000000" w:themeColor="text1"/>
          <w:highlight w:val="none"/>
        </w:rPr>
      </w:r>
    </w:p>
    <w:p>
      <w:pPr>
        <w:pStyle w:val="955"/>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80" w:name="_Toc120614216"/>
      <w:r>
        <w:rPr>
          <w:color w:val="000000" w:themeColor="text1"/>
          <w:highlight w:val="none"/>
        </w:rPr>
      </w:r>
      <w:bookmarkStart w:id="81" w:name="_Toc462564072"/>
      <w:r>
        <w:rPr>
          <w:color w:val="000000" w:themeColor="text1"/>
          <w:highlight w:val="none"/>
        </w:rPr>
      </w:r>
      <w:bookmarkStart w:id="82" w:name="_Toc20823285"/>
      <w:r>
        <w:rPr>
          <w:color w:val="000000" w:themeColor="text1"/>
          <w:highlight w:val="none"/>
        </w:rPr>
      </w:r>
      <w:bookmarkStart w:id="83" w:name="_Toc513029213"/>
      <w:r>
        <w:rPr>
          <w:color w:val="000000" w:themeColor="text1"/>
          <w:highlight w:val="none"/>
        </w:rPr>
      </w:r>
      <w:bookmarkStart w:id="84" w:name="_Toc16938529"/>
      <w:r>
        <w:rPr>
          <w:rFonts w:hint="eastAsia"/>
          <w:color w:val="000000" w:themeColor="text1"/>
          <w:sz w:val="30"/>
          <w:szCs w:val="30"/>
          <w:highlight w:val="none"/>
        </w:rPr>
        <w:t xml:space="preserve">三、投标文件的编制</w:t>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rFonts w:hint="eastAsia"/>
          <w:color w:val="000000" w:themeColor="text1"/>
          <w:sz w:val="30"/>
          <w:szCs w:val="30"/>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5" w:name="_Toc16938530"/>
      <w:r>
        <w:rPr>
          <w:color w:val="000000" w:themeColor="text1"/>
          <w:highlight w:val="none"/>
        </w:rPr>
      </w:r>
      <w:bookmarkStart w:id="86" w:name="_Toc462564073"/>
      <w:r>
        <w:rPr>
          <w:color w:val="000000" w:themeColor="text1"/>
          <w:highlight w:val="none"/>
        </w:rPr>
      </w:r>
      <w:bookmarkStart w:id="87" w:name="_Toc513029214"/>
      <w:r>
        <w:rPr>
          <w:color w:val="000000" w:themeColor="text1"/>
          <w:highlight w:val="none"/>
        </w:rPr>
      </w:r>
      <w:bookmarkStart w:id="88" w:name="_Toc20823286"/>
      <w:r>
        <w:rPr>
          <w:rFonts w:hint="eastAsia" w:ascii="宋体" w:hAnsi="宋体" w:eastAsia="宋体"/>
          <w:bCs w:val="0"/>
          <w:color w:val="000000" w:themeColor="text1"/>
          <w:highlight w:val="none"/>
        </w:rPr>
        <w:t xml:space="preserve">9.投标文件的语言及度量衡单位</w:t>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rPr>
          <w:rFonts w:hint="eastAsia" w:ascii="宋体" w:hAnsi="宋体"/>
          <w:color w:val="000000" w:themeColor="text1"/>
          <w:sz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9" w:name="_Toc462564074"/>
      <w:r>
        <w:rPr>
          <w:color w:val="000000" w:themeColor="text1"/>
          <w:highlight w:val="none"/>
        </w:rPr>
      </w:r>
      <w:bookmarkStart w:id="90" w:name="_Toc20823287"/>
      <w:r>
        <w:rPr>
          <w:color w:val="000000" w:themeColor="text1"/>
          <w:highlight w:val="none"/>
        </w:rPr>
      </w:r>
      <w:bookmarkStart w:id="91" w:name="_Toc513029215"/>
      <w:r>
        <w:rPr>
          <w:color w:val="000000" w:themeColor="text1"/>
          <w:highlight w:val="none"/>
        </w:rPr>
      </w:r>
      <w:bookmarkStart w:id="92" w:name="_Toc16938531"/>
      <w:r>
        <w:rPr>
          <w:rFonts w:hint="eastAsia" w:ascii="宋体" w:hAnsi="宋体" w:eastAsia="宋体"/>
          <w:bCs w:val="0"/>
          <w:color w:val="000000" w:themeColor="text1"/>
          <w:highlight w:val="none"/>
        </w:rPr>
        <w:t xml:space="preserve">10.投标文件构成</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themeColor="text1"/>
          <w:sz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rPr>
          <w:rFonts w:hint="eastAsia" w:ascii="宋体" w:hAnsi="宋体"/>
          <w:color w:val="000000" w:themeColor="text1"/>
          <w:sz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rPr>
          <w:rFonts w:hint="eastAsia" w:ascii="宋体" w:hAnsi="宋体"/>
          <w:color w:val="000000" w:themeColor="text1"/>
          <w:sz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93" w:name="_Hlt26668975"/>
      <w:r>
        <w:rPr>
          <w:color w:val="000000" w:themeColor="text1"/>
          <w:highlight w:val="none"/>
        </w:rPr>
      </w:r>
      <w:bookmarkEnd w:id="93"/>
      <w:r>
        <w:rPr>
          <w:color w:val="000000" w:themeColor="text1"/>
          <w:highlight w:val="none"/>
        </w:rPr>
      </w:r>
      <w:bookmarkStart w:id="94" w:name="_Hlt26954838"/>
      <w:r>
        <w:rPr>
          <w:color w:val="000000" w:themeColor="text1"/>
          <w:highlight w:val="none"/>
        </w:rPr>
      </w:r>
      <w:bookmarkEnd w:id="94"/>
      <w:r>
        <w:rPr>
          <w:color w:val="000000" w:themeColor="text1"/>
          <w:highlight w:val="none"/>
        </w:rPr>
      </w:r>
      <w:bookmarkStart w:id="95" w:name="_Hlt26670360"/>
      <w:r>
        <w:rPr>
          <w:color w:val="000000" w:themeColor="text1"/>
          <w:highlight w:val="none"/>
        </w:rPr>
      </w:r>
      <w:bookmarkEnd w:id="95"/>
      <w:r>
        <w:rPr>
          <w:color w:val="000000" w:themeColor="text1"/>
          <w:highlight w:val="none"/>
        </w:rPr>
      </w:r>
      <w:bookmarkStart w:id="96" w:name="_Toc49090509"/>
      <w:r>
        <w:rPr>
          <w:color w:val="000000" w:themeColor="text1"/>
          <w:highlight w:val="none"/>
        </w:rPr>
      </w:r>
      <w:bookmarkStart w:id="97" w:name="_Toc513029219"/>
      <w:r>
        <w:rPr>
          <w:color w:val="000000" w:themeColor="text1"/>
          <w:highlight w:val="none"/>
        </w:rPr>
      </w:r>
      <w:bookmarkStart w:id="98" w:name="_Toc14577357"/>
      <w:r>
        <w:rPr>
          <w:color w:val="000000" w:themeColor="text1"/>
          <w:highlight w:val="none"/>
        </w:rPr>
      </w:r>
      <w:bookmarkStart w:id="99" w:name="_Toc513029216"/>
      <w:r>
        <w:rPr>
          <w:color w:val="000000" w:themeColor="text1"/>
          <w:highlight w:val="none"/>
        </w:rPr>
      </w:r>
      <w:bookmarkStart w:id="100" w:name="_Toc14577354"/>
      <w:r>
        <w:rPr>
          <w:color w:val="000000" w:themeColor="text1"/>
          <w:highlight w:val="none"/>
        </w:rPr>
      </w:r>
      <w:bookmarkStart w:id="101" w:name="_Toc49090507"/>
      <w:r>
        <w:rPr>
          <w:rFonts w:hint="eastAsia" w:ascii="宋体" w:hAnsi="宋体" w:eastAsia="宋体"/>
          <w:bCs w:val="0"/>
          <w:color w:val="000000" w:themeColor="text1"/>
          <w:highlight w:val="none"/>
        </w:rPr>
        <w:t xml:space="preserve">11.证明投标人及投标标的符合招标文件规定的文件</w:t>
      </w:r>
      <w:bookmarkEnd w:id="96"/>
      <w:r>
        <w:rPr>
          <w:color w:val="000000" w:themeColor="text1"/>
          <w:highlight w:val="none"/>
        </w:rPr>
      </w:r>
      <w:bookmarkEnd w:id="97"/>
      <w:r>
        <w:rPr>
          <w:color w:val="000000" w:themeColor="text1"/>
          <w:highlight w:val="none"/>
        </w:rPr>
      </w:r>
      <w:bookmarkEnd w:id="98"/>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Start w:id="102" w:name="_Toc49090508"/>
      <w:r>
        <w:rPr>
          <w:color w:val="000000" w:themeColor="text1"/>
          <w:highlight w:val="none"/>
        </w:rPr>
      </w:r>
      <w:bookmarkStart w:id="103" w:name="_Toc14577355"/>
      <w:r>
        <w:rPr>
          <w:rFonts w:hint="eastAsia" w:ascii="宋体" w:hAnsi="宋体"/>
          <w:bCs/>
          <w:color w:val="000000" w:themeColor="text1"/>
          <w:sz w:val="24"/>
          <w:highlight w:val="none"/>
        </w:rPr>
        <w:t xml:space="preserve">11.1投标人应按照法律、法规、规章和规范性文件以及招标文件要求提交证明文件，证明其及投标标的符合招标文件规定。</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rPr>
          <w:rFonts w:hint="eastAsia" w:ascii="宋体" w:hAnsi="宋体"/>
          <w:color w:val="000000" w:themeColor="text1"/>
          <w:sz w:val="24"/>
          <w:szCs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4" w:name="_Toc14577359"/>
      <w:r>
        <w:rPr>
          <w:color w:val="000000" w:themeColor="text1"/>
          <w:highlight w:val="none"/>
        </w:rPr>
      </w:r>
      <w:bookmarkStart w:id="105" w:name="_Toc49090510"/>
      <w:r>
        <w:rPr>
          <w:rFonts w:hint="eastAsia" w:ascii="宋体" w:hAnsi="宋体" w:eastAsia="宋体"/>
          <w:bCs w:val="0"/>
          <w:color w:val="000000" w:themeColor="text1"/>
          <w:highlight w:val="none"/>
        </w:rPr>
        <w:t xml:space="preserve">12.投标函、承诺书和开标一览表</w:t>
      </w:r>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themeColor="text1"/>
          <w:sz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04"/>
      <w:r>
        <w:rPr>
          <w:color w:val="000000" w:themeColor="text1"/>
          <w:highlight w:val="none"/>
        </w:rPr>
      </w:r>
      <w:bookmarkEnd w:id="105"/>
      <w:r>
        <w:rPr>
          <w:rFonts w:hint="eastAsia" w:ascii="宋体" w:hAnsi="宋体" w:eastAsia="宋体"/>
          <w:bCs w:val="0"/>
          <w:color w:val="000000" w:themeColor="text1"/>
          <w:highlight w:val="none"/>
        </w:rPr>
        <w:t xml:space="preserve">13.</w:t>
      </w:r>
      <w:bookmarkEnd w:id="102"/>
      <w:r>
        <w:rPr>
          <w:color w:val="000000" w:themeColor="text1"/>
          <w:highlight w:val="none"/>
        </w:rPr>
      </w:r>
      <w:bookmarkEnd w:id="103"/>
      <w:r>
        <w:rPr>
          <w:rFonts w:hint="eastAsia" w:ascii="宋体" w:hAnsi="宋体" w:eastAsia="宋体"/>
          <w:bCs w:val="0"/>
          <w:color w:val="000000" w:themeColor="text1"/>
          <w:highlight w:val="none"/>
        </w:rPr>
        <w:t xml:space="preserve">分项报价表</w:t>
      </w:r>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6" w:name="_Hlt26954840"/>
      <w:r>
        <w:rPr>
          <w:color w:val="000000" w:themeColor="text1"/>
          <w:highlight w:val="none"/>
        </w:rPr>
      </w:r>
      <w:bookmarkEnd w:id="106"/>
      <w:r>
        <w:rPr>
          <w:rFonts w:hint="eastAsia" w:ascii="宋体" w:hAnsi="宋体"/>
          <w:color w:val="000000" w:themeColor="text1"/>
          <w:sz w:val="24"/>
          <w:highlight w:val="none"/>
        </w:rPr>
        <w:t xml:space="preserve">标人应按照招标文件规定格式填报</w:t>
      </w:r>
      <w:bookmarkStart w:id="107" w:name="_Hlt26670399"/>
      <w:r>
        <w:rPr>
          <w:color w:val="000000" w:themeColor="text1"/>
          <w:highlight w:val="none"/>
        </w:rPr>
      </w:r>
      <w:bookmarkEnd w:id="107"/>
      <w:r>
        <w:rPr>
          <w:rFonts w:hint="eastAsia" w:ascii="宋体" w:hAnsi="宋体"/>
          <w:color w:val="000000" w:themeColor="text1"/>
          <w:sz w:val="24"/>
          <w:highlight w:val="none"/>
        </w:rPr>
        <w:t xml:space="preserve">分项报价表。</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rPr>
          <w:rFonts w:hint="eastAsia" w:ascii="宋体" w:hAnsi="宋体"/>
          <w:bCs/>
          <w:color w:val="000000" w:themeColor="text1"/>
          <w:sz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8" w:name="_Hlt26670482"/>
      <w:r>
        <w:rPr>
          <w:color w:val="000000" w:themeColor="text1"/>
          <w:highlight w:val="none"/>
        </w:rPr>
      </w:r>
      <w:bookmarkEnd w:id="108"/>
      <w:r>
        <w:rPr>
          <w:color w:val="000000" w:themeColor="text1"/>
          <w:highlight w:val="none"/>
        </w:rPr>
      </w:r>
      <w:bookmarkStart w:id="109" w:name="_Hlt26954731"/>
      <w:r>
        <w:rPr>
          <w:color w:val="000000" w:themeColor="text1"/>
          <w:highlight w:val="none"/>
        </w:rPr>
      </w:r>
      <w:bookmarkEnd w:id="109"/>
      <w:r>
        <w:rPr>
          <w:color w:val="000000" w:themeColor="text1"/>
          <w:highlight w:val="none"/>
        </w:rPr>
      </w:r>
      <w:bookmarkStart w:id="110" w:name="_Hlt26670403"/>
      <w:r>
        <w:rPr>
          <w:color w:val="000000" w:themeColor="text1"/>
          <w:highlight w:val="none"/>
        </w:rPr>
      </w:r>
      <w:bookmarkEnd w:id="110"/>
      <w:r>
        <w:rPr>
          <w:color w:val="000000" w:themeColor="text1"/>
          <w:highlight w:val="none"/>
        </w:rPr>
      </w:r>
      <w:bookmarkStart w:id="111" w:name="_Hlt26954844"/>
      <w:r>
        <w:rPr>
          <w:color w:val="000000" w:themeColor="text1"/>
          <w:highlight w:val="none"/>
        </w:rPr>
      </w:r>
      <w:bookmarkEnd w:id="111"/>
      <w:r>
        <w:rPr>
          <w:color w:val="000000" w:themeColor="text1"/>
          <w:highlight w:val="none"/>
        </w:rPr>
      </w:r>
      <w:bookmarkStart w:id="112" w:name="_Hlt26670486"/>
      <w:r>
        <w:rPr>
          <w:color w:val="000000" w:themeColor="text1"/>
          <w:highlight w:val="none"/>
        </w:rPr>
      </w:r>
      <w:bookmarkEnd w:id="112"/>
      <w:r>
        <w:rPr>
          <w:color w:val="000000" w:themeColor="text1"/>
          <w:highlight w:val="none"/>
        </w:rPr>
      </w:r>
      <w:bookmarkStart w:id="113" w:name="_Hlt26670425"/>
      <w:r>
        <w:rPr>
          <w:color w:val="000000" w:themeColor="text1"/>
          <w:highlight w:val="none"/>
        </w:rPr>
      </w:r>
      <w:bookmarkEnd w:id="113"/>
      <w:r>
        <w:rPr>
          <w:color w:val="000000" w:themeColor="text1"/>
          <w:highlight w:val="none"/>
        </w:rPr>
      </w:r>
      <w:bookmarkStart w:id="114" w:name="_Hlt26954842"/>
      <w:r>
        <w:rPr>
          <w:color w:val="000000" w:themeColor="text1"/>
          <w:highlight w:val="none"/>
        </w:rPr>
      </w:r>
      <w:bookmarkEnd w:id="114"/>
      <w:r>
        <w:rPr>
          <w:color w:val="000000" w:themeColor="text1"/>
          <w:highlight w:val="none"/>
        </w:rPr>
      </w:r>
      <w:bookmarkStart w:id="115" w:name="_Hlt26954846"/>
      <w:r>
        <w:rPr>
          <w:color w:val="000000" w:themeColor="text1"/>
          <w:highlight w:val="none"/>
        </w:rPr>
      </w:r>
      <w:bookmarkEnd w:id="115"/>
      <w:r>
        <w:rPr>
          <w:color w:val="000000" w:themeColor="text1"/>
          <w:highlight w:val="none"/>
        </w:rPr>
      </w:r>
      <w:bookmarkStart w:id="116" w:name="_Hlt26668983"/>
      <w:r>
        <w:rPr>
          <w:color w:val="000000" w:themeColor="text1"/>
          <w:highlight w:val="none"/>
        </w:rPr>
      </w:r>
      <w:bookmarkEnd w:id="116"/>
      <w:r>
        <w:rPr>
          <w:color w:val="000000" w:themeColor="text1"/>
          <w:highlight w:val="none"/>
        </w:rPr>
      </w:r>
      <w:bookmarkStart w:id="117" w:name="_Hlt26954848"/>
      <w:r>
        <w:rPr>
          <w:color w:val="000000" w:themeColor="text1"/>
          <w:highlight w:val="none"/>
        </w:rPr>
      </w:r>
      <w:bookmarkEnd w:id="117"/>
      <w:r>
        <w:rPr>
          <w:rFonts w:hint="eastAsia" w:ascii="宋体" w:hAnsi="宋体" w:eastAsia="宋体"/>
          <w:bCs w:val="0"/>
          <w:color w:val="000000" w:themeColor="text1"/>
          <w:highlight w:val="none"/>
        </w:rPr>
        <w:t xml:space="preserve">14.投标偏离表</w:t>
      </w:r>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rPr>
          <w:rFonts w:ascii="宋体" w:hAnsi="Arial" w:cs="宋体"/>
          <w:color w:val="000000" w:themeColor="text1"/>
          <w:sz w:val="24"/>
          <w:highlight w:val="none"/>
          <w:lang w:val="zh-CN"/>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18" w:name="_Hlt26954734"/>
      <w:r>
        <w:rPr>
          <w:color w:val="000000" w:themeColor="text1"/>
          <w:highlight w:val="none"/>
        </w:rPr>
      </w:r>
      <w:bookmarkEnd w:id="118"/>
      <w:r>
        <w:rPr>
          <w:color w:val="000000" w:themeColor="text1"/>
          <w:highlight w:val="none"/>
        </w:rPr>
      </w:r>
      <w:bookmarkStart w:id="119" w:name="_Hlt26954850"/>
      <w:r>
        <w:rPr>
          <w:color w:val="000000" w:themeColor="text1"/>
          <w:highlight w:val="none"/>
        </w:rPr>
      </w:r>
      <w:bookmarkEnd w:id="119"/>
      <w:r>
        <w:rPr>
          <w:color w:val="000000" w:themeColor="text1"/>
          <w:highlight w:val="none"/>
        </w:rPr>
      </w:r>
      <w:bookmarkStart w:id="120" w:name="_Hlt26670489"/>
      <w:r>
        <w:rPr>
          <w:color w:val="000000" w:themeColor="text1"/>
          <w:highlight w:val="none"/>
        </w:rPr>
      </w:r>
      <w:bookmarkEnd w:id="120"/>
      <w:r>
        <w:rPr>
          <w:color w:val="000000" w:themeColor="text1"/>
          <w:highlight w:val="none"/>
        </w:rPr>
      </w:r>
      <w:bookmarkStart w:id="121" w:name="_Toc14577360"/>
      <w:r>
        <w:rPr>
          <w:color w:val="000000" w:themeColor="text1"/>
          <w:highlight w:val="none"/>
        </w:rPr>
      </w:r>
      <w:bookmarkStart w:id="122" w:name="_Toc49090511"/>
      <w:r>
        <w:rPr>
          <w:rFonts w:hint="eastAsia" w:ascii="宋体" w:hAnsi="宋体" w:eastAsia="宋体"/>
          <w:bCs w:val="0"/>
          <w:color w:val="000000" w:themeColor="text1"/>
          <w:highlight w:val="none"/>
        </w:rPr>
        <w:t xml:space="preserve">15.投标有效期</w:t>
      </w:r>
      <w:bookmarkEnd w:id="121"/>
      <w:r>
        <w:rPr>
          <w:color w:val="000000" w:themeColor="text1"/>
          <w:highlight w:val="none"/>
        </w:rPr>
      </w:r>
      <w:bookmarkEnd w:id="122"/>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rPr>
          <w:rFonts w:hint="eastAsia" w:ascii="宋体" w:hAnsi="宋体"/>
          <w:bCs/>
          <w:color w:val="000000" w:themeColor="text1"/>
          <w:sz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rPr>
      </w:r>
      <w:r>
        <w:rPr>
          <w:color w:val="000000" w:themeColor="text1"/>
          <w:highlight w:val="none"/>
        </w:rPr>
      </w:r>
    </w:p>
    <w:p>
      <w:pPr>
        <w:pStyle w:val="955"/>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23" w:name="_Hlt26954739"/>
      <w:r>
        <w:rPr>
          <w:color w:val="000000" w:themeColor="text1"/>
          <w:highlight w:val="none"/>
        </w:rPr>
      </w:r>
      <w:bookmarkEnd w:id="123"/>
      <w:r>
        <w:rPr>
          <w:color w:val="000000" w:themeColor="text1"/>
          <w:highlight w:val="none"/>
        </w:rPr>
      </w:r>
      <w:bookmarkStart w:id="124" w:name="_Hlt26954852"/>
      <w:r>
        <w:rPr>
          <w:color w:val="000000" w:themeColor="text1"/>
          <w:highlight w:val="none"/>
        </w:rPr>
      </w:r>
      <w:bookmarkEnd w:id="124"/>
      <w:r>
        <w:rPr>
          <w:color w:val="000000" w:themeColor="text1"/>
          <w:highlight w:val="none"/>
        </w:rPr>
      </w:r>
      <w:bookmarkStart w:id="125" w:name="_Toc120614217"/>
      <w:r>
        <w:rPr>
          <w:color w:val="000000" w:themeColor="text1"/>
          <w:highlight w:val="none"/>
        </w:rPr>
      </w:r>
      <w:bookmarkStart w:id="126" w:name="_Toc513029224"/>
      <w:r>
        <w:rPr>
          <w:color w:val="000000" w:themeColor="text1"/>
          <w:highlight w:val="none"/>
        </w:rPr>
      </w:r>
      <w:bookmarkStart w:id="127" w:name="_Toc16938540"/>
      <w:r>
        <w:rPr>
          <w:color w:val="000000" w:themeColor="text1"/>
          <w:highlight w:val="none"/>
        </w:rPr>
      </w:r>
      <w:bookmarkStart w:id="128" w:name="_Toc20823296"/>
      <w:r>
        <w:rPr>
          <w:rFonts w:hint="eastAsia"/>
          <w:color w:val="000000" w:themeColor="text1"/>
          <w:sz w:val="30"/>
          <w:szCs w:val="30"/>
          <w:highlight w:val="none"/>
        </w:rPr>
        <w:t xml:space="preserve">四、投标文件的递交</w:t>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rFonts w:hint="eastAsia"/>
          <w:color w:val="000000" w:themeColor="text1"/>
          <w:sz w:val="30"/>
          <w:szCs w:val="30"/>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29" w:name="_Toc513029225"/>
      <w:r>
        <w:rPr>
          <w:color w:val="000000" w:themeColor="text1"/>
          <w:highlight w:val="none"/>
        </w:rPr>
      </w:r>
      <w:bookmarkStart w:id="130" w:name="_Toc20823297"/>
      <w:r>
        <w:rPr>
          <w:color w:val="000000" w:themeColor="text1"/>
          <w:highlight w:val="none"/>
        </w:rPr>
      </w:r>
      <w:bookmarkStart w:id="131" w:name="_Toc16938541"/>
      <w:r>
        <w:rPr>
          <w:color w:val="000000" w:themeColor="text1"/>
          <w:highlight w:val="none"/>
        </w:rPr>
      </w:r>
      <w:bookmarkStart w:id="132" w:name="_Toc462564084"/>
      <w:r>
        <w:rPr>
          <w:rFonts w:hint="eastAsia" w:ascii="宋体" w:hAnsi="宋体" w:eastAsia="宋体"/>
          <w:bCs w:val="0"/>
          <w:color w:val="000000" w:themeColor="text1"/>
          <w:highlight w:val="none"/>
        </w:rPr>
        <w:t xml:space="preserve">17.投标文件</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rFonts w:hint="eastAsia" w:ascii="宋体" w:hAnsi="宋体" w:eastAsia="宋体"/>
          <w:bCs w:val="0"/>
          <w:color w:val="000000" w:themeColor="text1"/>
          <w:highlight w:val="none"/>
        </w:rPr>
        <w:t xml:space="preserve">的递交</w:t>
      </w:r>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rPr>
          <w:rFonts w:hint="eastAsia" w:ascii="宋体" w:hAnsi="宋体"/>
          <w:bCs/>
          <w:color w:val="000000" w:themeColor="text1"/>
          <w:sz w:val="24"/>
          <w:highlight w:val="none"/>
        </w:rPr>
      </w:r>
      <w:r>
        <w:rPr>
          <w:color w:val="000000" w:themeColor="text1"/>
          <w:highlight w:val="none"/>
        </w:rPr>
      </w:r>
    </w:p>
    <w:p>
      <w:pPr>
        <w:pStyle w:val="1064"/>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3" w:name="_Toc20823298"/>
      <w:r>
        <w:rPr>
          <w:color w:val="000000" w:themeColor="text1"/>
          <w:highlight w:val="none"/>
        </w:rPr>
      </w:r>
      <w:bookmarkStart w:id="134" w:name="_Toc513029226"/>
      <w:r>
        <w:rPr>
          <w:color w:val="000000" w:themeColor="text1"/>
          <w:highlight w:val="none"/>
        </w:rPr>
      </w:r>
      <w:bookmarkStart w:id="135" w:name="_Toc16938542"/>
      <w:r>
        <w:rPr>
          <w:rFonts w:hint="eastAsia" w:ascii="宋体" w:hAnsi="宋体"/>
          <w:bCs/>
          <w:color w:val="000000" w:themeColor="text1"/>
          <w:sz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3"/>
      <w:r>
        <w:rPr>
          <w:color w:val="000000" w:themeColor="text1"/>
          <w:highlight w:val="none"/>
        </w:rPr>
      </w:r>
      <w:bookmarkEnd w:id="134"/>
      <w:r>
        <w:rPr>
          <w:color w:val="000000" w:themeColor="text1"/>
          <w:highlight w:val="none"/>
        </w:rPr>
      </w:r>
      <w:bookmarkEnd w:id="135"/>
      <w:r>
        <w:rPr>
          <w:rFonts w:hint="eastAsia" w:ascii="宋体" w:hAnsi="宋体" w:eastAsia="宋体"/>
          <w:bCs w:val="0"/>
          <w:color w:val="000000" w:themeColor="text1"/>
          <w:highlight w:val="none"/>
        </w:rPr>
        <w:t xml:space="preserve">时间</w:t>
      </w:r>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themeColor="text1"/>
          <w:sz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6" w:name="_Toc20823299"/>
      <w:r>
        <w:rPr>
          <w:color w:val="000000" w:themeColor="text1"/>
          <w:highlight w:val="none"/>
        </w:rPr>
      </w:r>
      <w:bookmarkStart w:id="137" w:name="_Toc513029227"/>
      <w:r>
        <w:rPr>
          <w:color w:val="000000" w:themeColor="text1"/>
          <w:highlight w:val="none"/>
        </w:rPr>
      </w:r>
      <w:bookmarkStart w:id="138" w:name="_Toc16938543"/>
      <w:r>
        <w:rPr>
          <w:rFonts w:hint="eastAsia" w:ascii="宋体" w:hAnsi="宋体" w:eastAsia="宋体"/>
          <w:bCs w:val="0"/>
          <w:color w:val="000000" w:themeColor="text1"/>
          <w:highlight w:val="none"/>
        </w:rPr>
        <w:t xml:space="preserve">19.投标文件</w:t>
      </w:r>
      <w:bookmarkEnd w:id="136"/>
      <w:r>
        <w:rPr>
          <w:color w:val="000000" w:themeColor="text1"/>
          <w:highlight w:val="none"/>
        </w:rPr>
      </w:r>
      <w:bookmarkEnd w:id="137"/>
      <w:r>
        <w:rPr>
          <w:color w:val="000000" w:themeColor="text1"/>
          <w:highlight w:val="none"/>
        </w:rPr>
      </w:r>
      <w:bookmarkEnd w:id="138"/>
      <w:r>
        <w:rPr>
          <w:rFonts w:hint="eastAsia" w:ascii="宋体" w:hAnsi="宋体" w:eastAsia="宋体"/>
          <w:bCs w:val="0"/>
          <w:color w:val="000000" w:themeColor="text1"/>
          <w:highlight w:val="none"/>
        </w:rPr>
        <w:t xml:space="preserve">的拒收</w:t>
      </w:r>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rPr>
          <w:rFonts w:hint="eastAsia" w:ascii="宋体" w:hAnsi="宋体"/>
          <w:bCs/>
          <w:color w:val="000000" w:themeColor="text1"/>
          <w:sz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9" w:name="_Toc16938544"/>
      <w:r>
        <w:rPr>
          <w:color w:val="000000" w:themeColor="text1"/>
          <w:highlight w:val="none"/>
        </w:rPr>
      </w:r>
      <w:bookmarkStart w:id="140" w:name="_Toc20823300"/>
      <w:r>
        <w:rPr>
          <w:color w:val="000000" w:themeColor="text1"/>
          <w:highlight w:val="none"/>
        </w:rPr>
      </w:r>
      <w:bookmarkStart w:id="141" w:name="_Toc513029228"/>
      <w:r>
        <w:rPr>
          <w:rFonts w:hint="eastAsia" w:ascii="宋体" w:hAnsi="宋体" w:eastAsia="宋体"/>
          <w:bCs w:val="0"/>
          <w:color w:val="000000" w:themeColor="text1"/>
          <w:highlight w:val="none"/>
        </w:rPr>
        <w:t xml:space="preserve">20.投标文件的撤回和修改</w:t>
      </w:r>
      <w:bookmarkEnd w:id="139"/>
      <w:r>
        <w:rPr>
          <w:color w:val="000000" w:themeColor="text1"/>
          <w:highlight w:val="none"/>
        </w:rPr>
      </w:r>
      <w:bookmarkEnd w:id="140"/>
      <w:r>
        <w:rPr>
          <w:color w:val="000000" w:themeColor="text1"/>
          <w:highlight w:val="none"/>
        </w:rPr>
      </w:r>
      <w:bookmarkEnd w:id="141"/>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rPr>
          <w:rFonts w:hint="eastAsia" w:ascii="宋体" w:hAnsi="宋体"/>
          <w:color w:val="000000" w:themeColor="text1"/>
          <w:sz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rPr>
          <w:rFonts w:hint="eastAsia" w:ascii="宋体" w:hAnsi="宋体"/>
          <w:color w:val="000000" w:themeColor="text1"/>
          <w:sz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rPr>
          <w:rFonts w:hint="eastAsia" w:ascii="宋体" w:hAnsi="宋体"/>
          <w:color w:val="000000" w:themeColor="text1"/>
          <w:sz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rPr>
          <w:rFonts w:hint="eastAsia" w:ascii="宋体" w:hAnsi="宋体"/>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rPr>
          <w:rFonts w:hint="eastAsia" w:ascii="宋体" w:hAnsi="宋体"/>
          <w:bCs/>
          <w:color w:val="000000" w:themeColor="text1"/>
          <w:sz w:val="24"/>
          <w:highlight w:val="none"/>
        </w:rPr>
      </w:r>
      <w:r>
        <w:rPr>
          <w:color w:val="000000" w:themeColor="text1"/>
          <w:highlight w:val="none"/>
        </w:rPr>
      </w:r>
    </w:p>
    <w:p>
      <w:pPr>
        <w:pStyle w:val="955"/>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42" w:name="_Toc16938545"/>
      <w:r>
        <w:rPr>
          <w:color w:val="000000" w:themeColor="text1"/>
          <w:highlight w:val="none"/>
        </w:rPr>
      </w:r>
      <w:bookmarkStart w:id="143" w:name="_Toc120614218"/>
      <w:r>
        <w:rPr>
          <w:color w:val="000000" w:themeColor="text1"/>
          <w:highlight w:val="none"/>
        </w:rPr>
      </w:r>
      <w:bookmarkStart w:id="144" w:name="_Toc20823301"/>
      <w:r>
        <w:rPr>
          <w:color w:val="000000" w:themeColor="text1"/>
          <w:highlight w:val="none"/>
        </w:rPr>
      </w:r>
      <w:bookmarkStart w:id="145" w:name="_Toc513029229"/>
      <w:r>
        <w:rPr>
          <w:rFonts w:hint="eastAsia"/>
          <w:color w:val="000000" w:themeColor="text1"/>
          <w:sz w:val="30"/>
          <w:szCs w:val="30"/>
          <w:highlight w:val="none"/>
        </w:rPr>
        <w:t xml:space="preserve">五、开标与评标</w:t>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rFonts w:hint="eastAsia"/>
          <w:color w:val="000000" w:themeColor="text1"/>
          <w:sz w:val="30"/>
          <w:szCs w:val="30"/>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6" w:name="_Toc513029230"/>
      <w:r>
        <w:rPr>
          <w:color w:val="000000" w:themeColor="text1"/>
          <w:highlight w:val="none"/>
        </w:rPr>
      </w:r>
      <w:bookmarkStart w:id="147" w:name="_Toc16938546"/>
      <w:r>
        <w:rPr>
          <w:color w:val="000000" w:themeColor="text1"/>
          <w:highlight w:val="none"/>
        </w:rPr>
      </w:r>
      <w:bookmarkStart w:id="148" w:name="_Toc20823302"/>
      <w:r>
        <w:rPr>
          <w:rFonts w:hint="eastAsia" w:ascii="宋体" w:hAnsi="宋体" w:eastAsia="宋体"/>
          <w:bCs w:val="0"/>
          <w:color w:val="000000" w:themeColor="text1"/>
          <w:highlight w:val="none"/>
        </w:rPr>
        <w:t xml:space="preserve">21.开标</w:t>
      </w:r>
      <w:bookmarkEnd w:id="146"/>
      <w:r>
        <w:rPr>
          <w:color w:val="000000" w:themeColor="text1"/>
          <w:highlight w:val="none"/>
        </w:rPr>
      </w:r>
      <w:bookmarkEnd w:id="147"/>
      <w:r>
        <w:rPr>
          <w:color w:val="000000" w:themeColor="text1"/>
          <w:highlight w:val="none"/>
        </w:rPr>
      </w:r>
      <w:bookmarkEnd w:id="148"/>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rPr>
          <w:rFonts w:hint="eastAsia"/>
          <w:color w:val="000000" w:themeColor="text1"/>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rPr>
          <w:rFonts w:hint="eastAsia" w:ascii="宋体" w:hAnsi="宋体"/>
          <w:color w:val="000000" w:themeColor="text1"/>
          <w:sz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rPr>
          <w:rFonts w:hint="eastAsia" w:ascii="宋体" w:hAnsi="宋体"/>
          <w:color w:val="000000" w:themeColor="text1"/>
          <w:sz w:val="24"/>
          <w:highlight w:val="none"/>
        </w:rPr>
      </w:r>
      <w:r>
        <w:rPr>
          <w:color w:val="000000" w:themeColor="text1"/>
          <w:highlight w:val="none"/>
        </w:rPr>
      </w:r>
    </w:p>
    <w:p>
      <w:pPr>
        <w:pStyle w:val="952"/>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rPr>
          <w:rFonts w:ascii="宋体" w:hAnsi="宋体"/>
          <w:color w:val="000000" w:themeColor="text1"/>
          <w:sz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9" w:name="_Toc16938547"/>
      <w:r>
        <w:rPr>
          <w:color w:val="000000" w:themeColor="text1"/>
          <w:highlight w:val="none"/>
        </w:rPr>
      </w:r>
      <w:bookmarkStart w:id="150" w:name="_Toc20823303"/>
      <w:r>
        <w:rPr>
          <w:color w:val="000000" w:themeColor="text1"/>
          <w:highlight w:val="none"/>
        </w:rPr>
      </w:r>
      <w:bookmarkStart w:id="151" w:name="_Toc513029231"/>
      <w:r>
        <w:rPr>
          <w:rFonts w:hint="eastAsia" w:ascii="宋体" w:hAnsi="宋体" w:eastAsia="宋体"/>
          <w:bCs w:val="0"/>
          <w:color w:val="000000" w:themeColor="text1"/>
          <w:highlight w:val="none"/>
        </w:rPr>
        <w:t xml:space="preserve">22.评标委员会</w:t>
      </w:r>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rPr>
          <w:rFonts w:hint="eastAsia" w:ascii="宋体" w:hAnsi="宋体"/>
          <w:b/>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rPr>
          <w:rFonts w:hint="eastAsia" w:ascii="宋体" w:hAnsi="宋体"/>
          <w:color w:val="000000" w:themeColor="text1"/>
          <w:sz w:val="24"/>
          <w:szCs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rPr>
          <w:rFonts w:hint="eastAsia" w:ascii="宋体" w:hAnsi="宋体"/>
          <w:color w:val="000000" w:themeColor="text1"/>
          <w:sz w:val="24"/>
          <w:szCs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2" w:name="_Toc20823304"/>
      <w:r>
        <w:rPr>
          <w:color w:val="000000" w:themeColor="text1"/>
          <w:highlight w:val="none"/>
        </w:rPr>
      </w:r>
      <w:bookmarkStart w:id="153" w:name="_Toc513029232"/>
      <w:r>
        <w:rPr>
          <w:color w:val="000000" w:themeColor="text1"/>
          <w:highlight w:val="none"/>
        </w:rPr>
      </w:r>
      <w:bookmarkStart w:id="154" w:name="_Toc16938548"/>
      <w:r>
        <w:rPr>
          <w:rFonts w:hint="eastAsia" w:ascii="宋体" w:hAnsi="宋体" w:eastAsia="宋体"/>
          <w:bCs w:val="0"/>
          <w:color w:val="000000" w:themeColor="text1"/>
          <w:highlight w:val="none"/>
        </w:rPr>
        <w:t xml:space="preserve">24.投标文件的澄清</w:t>
      </w:r>
      <w:bookmarkEnd w:id="152"/>
      <w:r>
        <w:rPr>
          <w:color w:val="000000" w:themeColor="text1"/>
          <w:highlight w:val="none"/>
        </w:rPr>
      </w:r>
      <w:bookmarkEnd w:id="153"/>
      <w:r>
        <w:rPr>
          <w:color w:val="000000" w:themeColor="text1"/>
          <w:highlight w:val="none"/>
        </w:rPr>
      </w:r>
      <w:bookmarkEnd w:id="154"/>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themeColor="text1"/>
          <w:sz w:val="24"/>
          <w:szCs w:val="24"/>
          <w:highlight w:val="none"/>
        </w:rPr>
      </w:r>
      <w:r>
        <w:rPr>
          <w:color w:val="000000" w:themeColor="text1"/>
          <w:highlight w:val="none"/>
        </w:rPr>
      </w:r>
    </w:p>
    <w:p>
      <w:pPr>
        <w:pStyle w:val="952"/>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rPr>
          <w:rFonts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themeColor="text1"/>
          <w:sz w:val="24"/>
          <w:szCs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5" w:name="_Toc20823305"/>
      <w:r>
        <w:rPr>
          <w:color w:val="000000" w:themeColor="text1"/>
          <w:highlight w:val="none"/>
        </w:rPr>
      </w:r>
      <w:bookmarkStart w:id="156" w:name="_Toc16938549"/>
      <w:r>
        <w:rPr>
          <w:color w:val="000000" w:themeColor="text1"/>
          <w:highlight w:val="none"/>
        </w:rPr>
      </w:r>
      <w:bookmarkStart w:id="157" w:name="_Toc513029233"/>
      <w:r>
        <w:rPr>
          <w:rFonts w:hint="eastAsia" w:ascii="宋体" w:hAnsi="宋体" w:eastAsia="宋体"/>
          <w:bCs w:val="0"/>
          <w:color w:val="000000" w:themeColor="text1"/>
          <w:highlight w:val="none"/>
        </w:rPr>
        <w:t xml:space="preserve">25.对投标文件的初审</w:t>
      </w:r>
      <w:bookmarkEnd w:id="155"/>
      <w:r>
        <w:rPr>
          <w:color w:val="000000" w:themeColor="text1"/>
          <w:highlight w:val="none"/>
        </w:rPr>
      </w:r>
      <w:bookmarkEnd w:id="156"/>
      <w:r>
        <w:rPr>
          <w:color w:val="000000" w:themeColor="text1"/>
          <w:highlight w:val="none"/>
        </w:rPr>
      </w:r>
      <w:bookmarkEnd w:id="157"/>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rPr>
          <w:rFonts w:hint="eastAsia" w:ascii="宋体" w:hAnsi="宋体" w:cs="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themeColor="text1"/>
          <w:sz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themeColor="text1"/>
          <w:sz w:val="24"/>
          <w:highlight w:val="none"/>
        </w:rPr>
      </w:r>
      <w:r>
        <w:rPr>
          <w:color w:val="000000" w:themeColor="text1"/>
          <w:highlight w:val="none"/>
        </w:rPr>
      </w:r>
    </w:p>
    <w:p>
      <w:pPr>
        <w:pStyle w:val="952"/>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rPr>
          <w:rFonts w:ascii="宋体" w:hAnsi="宋体"/>
          <w:bCs/>
          <w:color w:val="000000" w:themeColor="text1"/>
          <w:sz w:val="24"/>
          <w:highlight w:val="none"/>
        </w:rPr>
      </w:r>
      <w:r>
        <w:rPr>
          <w:color w:val="000000" w:themeColor="text1"/>
          <w:highlight w:val="none"/>
        </w:rPr>
      </w:r>
    </w:p>
    <w:p>
      <w:pPr>
        <w:pStyle w:val="952"/>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rPr>
          <w:rFonts w:ascii="宋体" w:hAnsi="宋体"/>
          <w:bCs/>
          <w:color w:val="000000" w:themeColor="text1"/>
          <w:sz w:val="24"/>
          <w:highlight w:val="none"/>
        </w:rPr>
      </w:r>
      <w:r>
        <w:rPr>
          <w:color w:val="000000" w:themeColor="text1"/>
          <w:highlight w:val="none"/>
        </w:rPr>
      </w:r>
    </w:p>
    <w:p>
      <w:pPr>
        <w:pStyle w:val="952"/>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rPr>
          <w:rFonts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rPr>
          <w:rFonts w:ascii="宋体" w:hAnsi="宋体"/>
          <w:bCs/>
          <w:color w:val="000000" w:themeColor="text1"/>
          <w:sz w:val="24"/>
          <w:highlight w:val="none"/>
        </w:rPr>
      </w:r>
      <w:r>
        <w:rPr>
          <w:color w:val="000000" w:themeColor="text1"/>
          <w:highlight w:val="none"/>
        </w:rPr>
      </w:r>
    </w:p>
    <w:p>
      <w:pPr>
        <w:pStyle w:val="952"/>
        <w:ind w:firstLine="420"/>
        <w:spacing w:line="500" w:lineRule="exact"/>
        <w:rPr>
          <w:rFonts w:hint="eastAsia" w:ascii="宋体" w:hAnsi="宋体"/>
          <w:color w:val="000000" w:themeColor="text1"/>
          <w:sz w:val="24"/>
          <w:highlight w:val="none"/>
        </w:rPr>
      </w:pPr>
      <w:r>
        <w:rPr>
          <w:color w:val="000000" w:themeColor="text1"/>
          <w:highlight w:val="none"/>
        </w:rPr>
      </w:r>
      <w:bookmarkStart w:id="158" w:name="_Toc16938550"/>
      <w:r>
        <w:rPr>
          <w:color w:val="000000" w:themeColor="text1"/>
          <w:highlight w:val="none"/>
        </w:rPr>
      </w:r>
      <w:bookmarkStart w:id="159" w:name="_Toc513029234"/>
      <w:r>
        <w:rPr>
          <w:color w:val="000000" w:themeColor="text1"/>
          <w:highlight w:val="none"/>
        </w:rPr>
      </w:r>
      <w:bookmarkStart w:id="160" w:name="_Toc20823306"/>
      <w:r>
        <w:rPr>
          <w:rFonts w:hint="eastAsia" w:ascii="宋体" w:hAnsi="宋体"/>
          <w:color w:val="000000" w:themeColor="text1"/>
          <w:sz w:val="24"/>
          <w:highlight w:val="none"/>
        </w:rPr>
        <w:t xml:space="preserve">25.6投标人在开、评标全过程中应保持通讯畅通，及时登录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rPr>
          <w:rFonts w:hint="eastAsia" w:ascii="宋体" w:hAnsi="宋体"/>
          <w:color w:val="000000" w:themeColor="text1"/>
          <w:sz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8"/>
      <w:r>
        <w:rPr>
          <w:color w:val="000000" w:themeColor="text1"/>
          <w:highlight w:val="none"/>
        </w:rPr>
      </w:r>
      <w:bookmarkEnd w:id="159"/>
      <w:r>
        <w:rPr>
          <w:color w:val="000000" w:themeColor="text1"/>
          <w:highlight w:val="none"/>
        </w:rPr>
      </w:r>
      <w:bookmarkEnd w:id="160"/>
      <w:r>
        <w:rPr>
          <w:rFonts w:hint="eastAsia" w:ascii="宋体" w:hAnsi="宋体" w:eastAsia="宋体"/>
          <w:bCs w:val="0"/>
          <w:color w:val="000000" w:themeColor="text1"/>
          <w:highlight w:val="none"/>
        </w:rPr>
        <w:t xml:space="preserve">.无效投标条款和废标条款</w:t>
      </w:r>
      <w:r>
        <w:rPr>
          <w:rFonts w:hint="eastAsia" w:ascii="宋体" w:hAnsi="宋体" w:eastAsia="宋体"/>
          <w:bCs w:val="0"/>
          <w:color w:val="000000" w:themeColor="text1"/>
          <w:highlight w:val="none"/>
        </w:rPr>
      </w:r>
      <w:r>
        <w:rPr>
          <w:color w:val="000000" w:themeColor="text1"/>
          <w:highlight w:val="none"/>
        </w:rPr>
      </w:r>
    </w:p>
    <w:p>
      <w:pPr>
        <w:pStyle w:val="952"/>
        <w:ind w:left="479"/>
        <w:spacing w:line="500" w:lineRule="exact"/>
        <w:rPr>
          <w:rFonts w:hint="eastAsia" w:ascii="宋体" w:hAnsi="宋体"/>
          <w:bCs/>
          <w:color w:val="000000" w:themeColor="text1"/>
          <w:sz w:val="24"/>
          <w:highlight w:val="none"/>
        </w:rPr>
      </w:pPr>
      <w:r>
        <w:rPr>
          <w:color w:val="000000" w:themeColor="text1"/>
          <w:highlight w:val="none"/>
        </w:rPr>
      </w:r>
      <w:bookmarkStart w:id="161" w:name="_Toc513029235"/>
      <w:r>
        <w:rPr>
          <w:color w:val="000000" w:themeColor="text1"/>
          <w:highlight w:val="none"/>
        </w:rPr>
      </w:r>
      <w:bookmarkStart w:id="162" w:name="_Toc16938551"/>
      <w:r>
        <w:rPr>
          <w:color w:val="000000" w:themeColor="text1"/>
          <w:highlight w:val="none"/>
        </w:rPr>
      </w:r>
      <w:bookmarkStart w:id="163" w:name="_Toc20823307"/>
      <w:r>
        <w:rPr>
          <w:rFonts w:hint="eastAsia" w:ascii="宋体" w:hAnsi="宋体"/>
          <w:bCs/>
          <w:color w:val="000000" w:themeColor="text1"/>
          <w:sz w:val="24"/>
          <w:highlight w:val="none"/>
        </w:rPr>
        <w:t xml:space="preserve">26.1无效投标条款</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color w:val="000000" w:themeColor="text1"/>
          <w:sz w:val="24"/>
          <w:highlight w:val="none"/>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评标</w:t>
      </w:r>
      <w:r>
        <w:rPr>
          <w:rFonts w:hint="eastAsia" w:ascii="宋体" w:hAnsi="宋体"/>
          <w:bCs/>
          <w:color w:val="000000" w:themeColor="text1"/>
          <w:sz w:val="24"/>
          <w:szCs w:val="24"/>
          <w:highlight w:val="none"/>
        </w:rPr>
        <w:t xml:space="preserve">委员会启动异常低价投标（响应）审查的情形和具体要求，包括：</w:t>
      </w:r>
      <w:r>
        <w:rPr>
          <w:rFonts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（1）评审过程中出现下列情形之一的，</w:t>
      </w:r>
      <w:r>
        <w:rPr>
          <w:rFonts w:hint="eastAsia" w:ascii="宋体" w:hAnsi="宋体"/>
          <w:bCs/>
          <w:color w:val="000000" w:themeColor="text1"/>
          <w:sz w:val="24"/>
          <w:highlight w:val="none"/>
        </w:rPr>
        <w:t xml:space="preserve">评标委员会</w:t>
      </w:r>
      <w:r>
        <w:rPr>
          <w:rFonts w:hint="eastAsia" w:ascii="宋体" w:hAnsi="宋体"/>
          <w:bCs/>
          <w:color w:val="000000" w:themeColor="text1"/>
          <w:sz w:val="24"/>
          <w:szCs w:val="24"/>
          <w:highlight w:val="none"/>
        </w:rPr>
        <w:t xml:space="preserve">应当启动异常低价投标（响应）审查程序：</w:t>
      </w:r>
      <w:r>
        <w:rPr>
          <w:rFonts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①投标（响应）报价低于采购项目预算50%的，即投标（响应）报价&lt;采购项目预算×50%；</w:t>
      </w:r>
      <w:r>
        <w:rPr>
          <w:rFonts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②投标（响应）报价低于采购项目最高限价45%的，即投标（响应）报价&lt;采购项目最高限价×45%；</w:t>
      </w:r>
      <w:r>
        <w:rPr>
          <w:rFonts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③</w:t>
      </w:r>
      <w:r>
        <w:rPr>
          <w:rFonts w:hint="eastAsia" w:ascii="宋体" w:hAnsi="宋体"/>
          <w:bCs/>
          <w:color w:val="000000" w:themeColor="text1"/>
          <w:sz w:val="24"/>
          <w:highlight w:val="none"/>
        </w:rPr>
        <w:t xml:space="preserve">评标委员会</w:t>
      </w:r>
      <w:r>
        <w:rPr>
          <w:rFonts w:hint="eastAsia" w:ascii="宋体" w:hAnsi="宋体"/>
          <w:bCs/>
          <w:color w:val="000000" w:themeColor="text1"/>
          <w:sz w:val="24"/>
          <w:szCs w:val="24"/>
          <w:highlight w:val="none"/>
        </w:rPr>
        <w:t xml:space="preserve">认定的供应商报价过低、有可能影响产品质量或者不能诚信履约的其他情形。</w:t>
      </w:r>
      <w:r>
        <w:rPr>
          <w:rFonts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（2）启动异常低价投标（响应）审查后，</w:t>
      </w:r>
      <w:r>
        <w:rPr>
          <w:rFonts w:hint="eastAsia" w:ascii="宋体" w:hAnsi="宋体"/>
          <w:bCs/>
          <w:color w:val="000000" w:themeColor="text1"/>
          <w:sz w:val="24"/>
          <w:highlight w:val="none"/>
        </w:rPr>
        <w:t xml:space="preserve">评标委员会</w:t>
      </w:r>
      <w:r>
        <w:rPr>
          <w:rFonts w:hint="eastAsia" w:ascii="宋体" w:hAnsi="宋体"/>
          <w:bCs/>
          <w:color w:val="000000" w:themeColor="text1"/>
          <w:sz w:val="24"/>
          <w:szCs w:val="24"/>
          <w:highlight w:val="none"/>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color w:val="000000" w:themeColor="text1"/>
          <w:sz w:val="24"/>
          <w:highlight w:val="none"/>
        </w:rPr>
        <w:t xml:space="preserve">评标委员会</w:t>
      </w:r>
      <w:r>
        <w:rPr>
          <w:rFonts w:hint="eastAsia" w:ascii="宋体" w:hAnsi="宋体"/>
          <w:bCs/>
          <w:color w:val="000000" w:themeColor="text1"/>
          <w:sz w:val="24"/>
          <w:szCs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color w:val="000000" w:themeColor="text1"/>
          <w:sz w:val="24"/>
          <w:highlight w:val="none"/>
        </w:rPr>
        <w:t xml:space="preserve">评标委员会</w:t>
      </w:r>
      <w:r>
        <w:rPr>
          <w:rFonts w:hint="eastAsia" w:ascii="宋体" w:hAnsi="宋体"/>
          <w:bCs/>
          <w:color w:val="000000" w:themeColor="text1"/>
          <w:sz w:val="24"/>
          <w:szCs w:val="24"/>
          <w:highlight w:val="none"/>
        </w:rPr>
        <w:t xml:space="preserve">应当将其作为无效投标（响应）处理。审查相关情况应当在评标报告中进行记录。</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26.1.24其他法律、法规及本招标文件规定的属无效投标的情形。</w:t>
      </w:r>
      <w:r>
        <w:rPr>
          <w:rFonts w:hint="eastAsia" w:ascii="宋体" w:hAnsi="宋体"/>
          <w:bCs/>
          <w:color w:val="000000" w:themeColor="text1"/>
          <w:sz w:val="24"/>
          <w:highlight w:val="none"/>
        </w:rPr>
      </w:r>
      <w:r>
        <w:rPr>
          <w:color w:val="000000" w:themeColor="text1"/>
          <w:highlight w:val="none"/>
        </w:rPr>
      </w:r>
    </w:p>
    <w:p>
      <w:pPr>
        <w:pStyle w:val="952"/>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rPr>
          <w:rFonts w:hint="eastAsia" w:ascii="宋体" w:hAnsi="宋体"/>
          <w:bCs/>
          <w:color w:val="000000" w:themeColor="text1"/>
          <w:sz w:val="24"/>
          <w:highlight w:val="none"/>
        </w:rPr>
      </w:r>
      <w:r>
        <w:rPr>
          <w:color w:val="000000" w:themeColor="text1"/>
          <w:highlight w:val="none"/>
        </w:rPr>
      </w:r>
    </w:p>
    <w:p>
      <w:pPr>
        <w:pStyle w:val="952"/>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themeColor="text1"/>
          <w:sz w:val="24"/>
          <w:highlight w:val="none"/>
        </w:rPr>
      </w:r>
      <w:r>
        <w:rPr>
          <w:color w:val="000000" w:themeColor="text1"/>
          <w:highlight w:val="none"/>
        </w:rPr>
      </w:r>
    </w:p>
    <w:p>
      <w:pPr>
        <w:pStyle w:val="952"/>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rPr>
          <w:rFonts w:hint="eastAsia" w:ascii="宋体" w:hAnsi="宋体"/>
          <w:bCs/>
          <w:color w:val="000000" w:themeColor="text1"/>
          <w:sz w:val="24"/>
          <w:highlight w:val="none"/>
        </w:rPr>
      </w:r>
      <w:r>
        <w:rPr>
          <w:color w:val="000000" w:themeColor="text1"/>
          <w:highlight w:val="none"/>
        </w:rPr>
      </w:r>
    </w:p>
    <w:p>
      <w:pPr>
        <w:pStyle w:val="952"/>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rPr>
          <w:rFonts w:ascii="宋体" w:hAnsi="宋体"/>
          <w:bCs/>
          <w:color w:val="000000" w:themeColor="text1"/>
          <w:sz w:val="24"/>
          <w:highlight w:val="none"/>
        </w:rPr>
      </w:r>
      <w:r>
        <w:rPr>
          <w:color w:val="000000" w:themeColor="text1"/>
          <w:highlight w:val="none"/>
        </w:rPr>
      </w:r>
    </w:p>
    <w:p>
      <w:pPr>
        <w:pStyle w:val="952"/>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rPr>
          <w:rFonts w:hint="eastAsia" w:ascii="宋体" w:hAnsi="宋体"/>
          <w:bCs/>
          <w:color w:val="000000" w:themeColor="text1"/>
          <w:sz w:val="24"/>
          <w:highlight w:val="none"/>
        </w:rPr>
      </w:r>
      <w:r>
        <w:rPr>
          <w:color w:val="000000" w:themeColor="text1"/>
          <w:highlight w:val="none"/>
        </w:rPr>
      </w:r>
    </w:p>
    <w:p>
      <w:pPr>
        <w:pStyle w:val="952"/>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rPr>
          <w:rFonts w:hint="eastAsia" w:ascii="宋体" w:hAnsi="宋体"/>
          <w:bCs/>
          <w:color w:val="000000" w:themeColor="text1"/>
          <w:sz w:val="24"/>
          <w:highlight w:val="none"/>
        </w:rPr>
      </w:r>
      <w:r>
        <w:rPr>
          <w:color w:val="000000" w:themeColor="text1"/>
          <w:highlight w:val="none"/>
        </w:rPr>
      </w:r>
    </w:p>
    <w:p>
      <w:pPr>
        <w:pStyle w:val="952"/>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themeColor="text1"/>
          <w:sz w:val="24"/>
          <w:highlight w:val="none"/>
        </w:rPr>
      </w:r>
      <w:r>
        <w:rPr>
          <w:color w:val="000000" w:themeColor="text1"/>
          <w:highlight w:val="none"/>
        </w:rPr>
      </w:r>
    </w:p>
    <w:p>
      <w:pPr>
        <w:pStyle w:val="955"/>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4" w:name="_Toc120614219"/>
      <w:r>
        <w:rPr>
          <w:rFonts w:hint="eastAsia"/>
          <w:color w:val="000000" w:themeColor="text1"/>
          <w:sz w:val="30"/>
          <w:szCs w:val="30"/>
          <w:highlight w:val="none"/>
        </w:rPr>
        <w:t xml:space="preserve">六、</w:t>
      </w:r>
      <w:bookmarkEnd w:id="161"/>
      <w:r>
        <w:rPr>
          <w:color w:val="000000" w:themeColor="text1"/>
          <w:highlight w:val="none"/>
        </w:rPr>
      </w:r>
      <w:bookmarkEnd w:id="162"/>
      <w:r>
        <w:rPr>
          <w:color w:val="000000" w:themeColor="text1"/>
          <w:highlight w:val="none"/>
        </w:rPr>
      </w:r>
      <w:bookmarkEnd w:id="163"/>
      <w:r>
        <w:rPr>
          <w:rFonts w:hint="eastAsia"/>
          <w:color w:val="000000" w:themeColor="text1"/>
          <w:sz w:val="30"/>
          <w:szCs w:val="30"/>
          <w:highlight w:val="none"/>
        </w:rPr>
        <w:t xml:space="preserve">定标</w:t>
      </w:r>
      <w:bookmarkEnd w:id="164"/>
      <w:r>
        <w:rPr>
          <w:rFonts w:hint="eastAsia"/>
          <w:color w:val="000000" w:themeColor="text1"/>
          <w:sz w:val="30"/>
          <w:szCs w:val="30"/>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65" w:name="_Toc513029238"/>
      <w:r>
        <w:rPr>
          <w:color w:val="000000" w:themeColor="text1"/>
          <w:highlight w:val="none"/>
        </w:rPr>
      </w:r>
      <w:bookmarkStart w:id="166" w:name="_Toc20823310"/>
      <w:r>
        <w:rPr>
          <w:color w:val="000000" w:themeColor="text1"/>
          <w:highlight w:val="none"/>
        </w:rPr>
      </w:r>
      <w:bookmarkStart w:id="167" w:name="_Toc16938554"/>
      <w:r>
        <w:rPr>
          <w:rFonts w:hint="eastAsia" w:ascii="宋体" w:hAnsi="宋体" w:eastAsia="宋体"/>
          <w:bCs w:val="0"/>
          <w:color w:val="000000" w:themeColor="text1"/>
          <w:highlight w:val="none"/>
        </w:rPr>
        <w:t xml:space="preserve">27</w:t>
      </w:r>
      <w:bookmarkEnd w:id="165"/>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6"/>
      <w:r>
        <w:rPr>
          <w:color w:val="000000" w:themeColor="text1"/>
          <w:highlight w:val="none"/>
        </w:rPr>
      </w:r>
      <w:bookmarkEnd w:id="167"/>
      <w:r>
        <w:rPr>
          <w:rFonts w:hint="eastAsia" w:ascii="宋体" w:hAnsi="宋体" w:eastAsia="宋体"/>
          <w:bCs w:val="0"/>
          <w:color w:val="000000" w:themeColor="text1"/>
          <w:highlight w:val="none"/>
        </w:rPr>
        <w:t xml:space="preserve">中标单位</w:t>
      </w:r>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themeColor="text1"/>
          <w:sz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color w:val="000000" w:themeColor="text1"/>
          <w:highlight w:val="none"/>
        </w:rPr>
      </w:r>
      <w:bookmarkStart w:id="168"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rPr>
          <w:rFonts w:ascii="宋体" w:hAnsi="宋体"/>
          <w:color w:val="000000" w:themeColor="text1"/>
          <w:sz w:val="24"/>
          <w:szCs w:val="24"/>
          <w:highlight w:val="none"/>
        </w:rPr>
      </w:r>
      <w:r>
        <w:rPr>
          <w:color w:val="000000" w:themeColor="text1"/>
          <w:highlight w:val="none"/>
        </w:rPr>
      </w:r>
    </w:p>
    <w:p>
      <w:pPr>
        <w:pStyle w:val="952"/>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rPr>
          <w:rFonts w:ascii="宋体" w:hAnsi="宋体"/>
          <w:color w:val="000000" w:themeColor="text1"/>
          <w:sz w:val="24"/>
          <w:szCs w:val="24"/>
          <w:highlight w:val="none"/>
        </w:rPr>
      </w:r>
      <w:r>
        <w:rPr>
          <w:color w:val="000000" w:themeColor="text1"/>
          <w:highlight w:val="none"/>
        </w:rPr>
      </w:r>
    </w:p>
    <w:p>
      <w:pPr>
        <w:pStyle w:val="952"/>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rPr>
          <w:rFonts w:ascii="宋体" w:hAnsi="宋体"/>
          <w:color w:val="000000" w:themeColor="text1"/>
          <w:sz w:val="24"/>
          <w:szCs w:val="24"/>
          <w:highlight w:val="none"/>
        </w:rPr>
      </w:r>
      <w:r>
        <w:rPr>
          <w:color w:val="000000" w:themeColor="text1"/>
          <w:highlight w:val="none"/>
        </w:rPr>
      </w:r>
    </w:p>
    <w:p>
      <w:pPr>
        <w:pStyle w:val="952"/>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rPr>
          <w:rFonts w:ascii="宋体" w:hAnsi="宋体"/>
          <w:color w:val="000000" w:themeColor="text1"/>
          <w:sz w:val="24"/>
          <w:szCs w:val="24"/>
          <w:highlight w:val="none"/>
        </w:rPr>
      </w:r>
      <w:r>
        <w:rPr>
          <w:color w:val="000000" w:themeColor="text1"/>
          <w:highlight w:val="none"/>
        </w:rPr>
      </w:r>
    </w:p>
    <w:p>
      <w:pPr>
        <w:pStyle w:val="952"/>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rPr>
          <w:rFonts w:ascii="宋体" w:hAnsi="宋体"/>
          <w:color w:val="000000" w:themeColor="text1"/>
          <w:sz w:val="24"/>
          <w:szCs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8"/>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themeColor="text1"/>
          <w:sz w:val="24"/>
          <w:szCs w:val="24"/>
          <w:highlight w:val="none"/>
          <w:shd w:val="clear" w:color="ffffff" w:fill="d9d9d9"/>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rPr>
          <w:rFonts w:hint="eastAsia" w:ascii="宋体" w:hAnsi="宋体"/>
          <w:color w:val="000000" w:themeColor="text1"/>
          <w:sz w:val="24"/>
          <w:szCs w:val="24"/>
          <w:highlight w:val="none"/>
        </w:rPr>
      </w:r>
      <w:r>
        <w:rPr>
          <w:color w:val="000000" w:themeColor="text1"/>
          <w:highlight w:val="none"/>
        </w:rPr>
      </w:r>
    </w:p>
    <w:p>
      <w:pPr>
        <w:pStyle w:val="952"/>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themeColor="text1"/>
          <w:sz w:val="24"/>
          <w:szCs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themeColor="text1"/>
          <w:sz w:val="24"/>
          <w:szCs w:val="24"/>
          <w:highlight w:val="none"/>
        </w:rPr>
      </w:r>
      <w:r>
        <w:rPr>
          <w:color w:val="000000" w:themeColor="text1"/>
          <w:highlight w:val="none"/>
        </w:rPr>
      </w:r>
    </w:p>
    <w:p>
      <w:pPr>
        <w:pStyle w:val="955"/>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9" w:name="_Toc120614220"/>
      <w:r>
        <w:rPr>
          <w:color w:val="000000" w:themeColor="text1"/>
          <w:highlight w:val="none"/>
        </w:rPr>
      </w:r>
      <w:bookmarkStart w:id="170" w:name="_Toc16938552"/>
      <w:r>
        <w:rPr>
          <w:color w:val="000000" w:themeColor="text1"/>
          <w:highlight w:val="none"/>
        </w:rPr>
      </w:r>
      <w:bookmarkStart w:id="171" w:name="_Toc20823308"/>
      <w:r>
        <w:rPr>
          <w:color w:val="000000" w:themeColor="text1"/>
          <w:highlight w:val="none"/>
        </w:rPr>
      </w:r>
      <w:bookmarkStart w:id="172" w:name="_Toc513029236"/>
      <w:r>
        <w:rPr>
          <w:rFonts w:hint="eastAsia"/>
          <w:color w:val="000000" w:themeColor="text1"/>
          <w:sz w:val="30"/>
          <w:szCs w:val="30"/>
          <w:highlight w:val="none"/>
        </w:rPr>
        <w:t xml:space="preserve">七、授予合同</w:t>
      </w:r>
      <w:bookmarkEnd w:id="169"/>
      <w:r>
        <w:rPr>
          <w:rFonts w:hint="eastAsia"/>
          <w:color w:val="000000" w:themeColor="text1"/>
          <w:sz w:val="30"/>
          <w:szCs w:val="30"/>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Start w:id="173" w:name="_Toc16938553"/>
      <w:r>
        <w:rPr>
          <w:color w:val="000000" w:themeColor="text1"/>
          <w:highlight w:val="none"/>
        </w:rPr>
      </w:r>
      <w:bookmarkStart w:id="174" w:name="_Toc513029237"/>
      <w:r>
        <w:rPr>
          <w:color w:val="000000" w:themeColor="text1"/>
          <w:highlight w:val="none"/>
        </w:rPr>
      </w:r>
      <w:bookmarkStart w:id="175" w:name="_Toc20823309"/>
      <w:r>
        <w:rPr>
          <w:rFonts w:hint="eastAsia" w:ascii="宋体" w:hAnsi="宋体" w:eastAsia="宋体"/>
          <w:bCs w:val="0"/>
          <w:color w:val="000000" w:themeColor="text1"/>
          <w:highlight w:val="none"/>
        </w:rPr>
        <w:t xml:space="preserve">30.签订合同</w:t>
      </w:r>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themeColor="text1"/>
          <w:sz w:val="24"/>
          <w:szCs w:val="24"/>
          <w:highlight w:val="none"/>
        </w:rPr>
      </w:r>
      <w:r>
        <w:rPr>
          <w:color w:val="000000" w:themeColor="text1"/>
          <w:highlight w:val="none"/>
        </w:rPr>
      </w:r>
    </w:p>
    <w:p>
      <w:pPr>
        <w:pStyle w:val="956"/>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rPr>
          <w:rFonts w:hint="eastAsia" w:ascii="宋体" w:hAnsi="宋体" w:eastAsia="宋体"/>
          <w:bCs w:val="0"/>
          <w:color w:val="000000" w:themeColor="text1"/>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themeColor="text1"/>
          <w:sz w:val="24"/>
          <w:szCs w:val="24"/>
          <w:highlight w:val="none"/>
        </w:rPr>
      </w:r>
      <w:r>
        <w:rPr>
          <w:color w:val="000000" w:themeColor="text1"/>
          <w:highlight w:val="none"/>
        </w:rPr>
      </w:r>
    </w:p>
    <w:p>
      <w:pPr>
        <w:pStyle w:val="952"/>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Start w:id="176" w:name="_Toc20823314"/>
      <w:r>
        <w:rPr>
          <w:color w:val="000000" w:themeColor="text1"/>
          <w:highlight w:val="none"/>
        </w:rPr>
      </w:r>
      <w:bookmarkStart w:id="177" w:name="_Toc513029242"/>
      <w:r>
        <w:rPr>
          <w:color w:val="000000" w:themeColor="text1"/>
          <w:highlight w:val="none"/>
        </w:rPr>
      </w:r>
      <w:bookmarkStart w:id="178" w:name="_Toc479757207"/>
      <w:r>
        <w:rPr>
          <w:color w:val="000000" w:themeColor="text1"/>
          <w:highlight w:val="none"/>
        </w:rPr>
      </w:r>
      <w:bookmarkStart w:id="179" w:name="_Toc16938558"/>
      <w:r>
        <w:rPr>
          <w:color w:val="000000" w:themeColor="text1"/>
          <w:highlight w:val="none"/>
        </w:rPr>
      </w:r>
      <w:bookmarkStart w:id="180" w:name="_Toc120614221"/>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rFonts w:hint="eastAsia" w:ascii="黑体" w:hAnsi="黑体" w:eastAsia="黑体"/>
          <w:color w:val="000000" w:themeColor="text1"/>
          <w:sz w:val="36"/>
          <w:szCs w:val="36"/>
          <w:highlight w:val="none"/>
        </w:rPr>
        <w:t xml:space="preserve">文本</w:t>
      </w:r>
      <w:r>
        <w:rPr>
          <w:rFonts w:hint="eastAsia" w:ascii="黑体" w:hAnsi="黑体" w:eastAsia="黑体"/>
          <w:color w:val="000000" w:themeColor="text1"/>
          <w:sz w:val="36"/>
          <w:szCs w:val="36"/>
          <w:highlight w:val="none"/>
        </w:rPr>
      </w:r>
      <w:r>
        <w:rPr>
          <w:color w:val="000000" w:themeColor="text1"/>
          <w:highlight w:val="none"/>
        </w:rPr>
      </w:r>
    </w:p>
    <w:p>
      <w:pPr>
        <w:pStyle w:val="952"/>
        <w:ind w:firstLine="480"/>
        <w:spacing w:line="400" w:lineRule="exact"/>
        <w:rPr>
          <w:rFonts w:hint="eastAsia" w:ascii="宋体" w:hAnsi="宋体"/>
          <w:bCs/>
          <w:color w:val="000000" w:themeColor="text1"/>
          <w:sz w:val="24"/>
          <w:highlight w:val="none"/>
        </w:rPr>
      </w:pPr>
      <w:r>
        <w:rPr>
          <w:color w:val="000000" w:themeColor="text1"/>
          <w:highlight w:val="none"/>
        </w:rPr>
      </w:r>
      <w:bookmarkStart w:id="181" w:name="_Toc20823315"/>
      <w:r>
        <w:rPr>
          <w:color w:val="000000" w:themeColor="text1"/>
          <w:highlight w:val="none"/>
        </w:rPr>
      </w:r>
      <w:bookmarkStart w:id="182" w:name="_Toc513029243"/>
      <w:r>
        <w:rPr>
          <w:color w:val="000000" w:themeColor="text1"/>
          <w:highlight w:val="none"/>
        </w:rPr>
      </w:r>
      <w:bookmarkStart w:id="183" w:name="_Toc16938559"/>
      <w:r>
        <w:rPr>
          <w:rFonts w:hint="eastAsia" w:ascii="宋体" w:hAnsi="宋体"/>
          <w:bCs/>
          <w:color w:val="000000" w:themeColor="text1"/>
          <w:sz w:val="24"/>
          <w:highlight w:val="none"/>
        </w:rPr>
        <w:t xml:space="preserve">以下为中标后签订本项目合同的通用条款，中标人不得提出实质性的修改。</w:t>
      </w:r>
      <w:r>
        <w:rPr>
          <w:rFonts w:hint="eastAsia" w:ascii="宋体" w:hAnsi="宋体"/>
          <w:bCs/>
          <w:color w:val="000000" w:themeColor="text1"/>
          <w:sz w:val="24"/>
          <w:highlight w:val="none"/>
        </w:rPr>
      </w:r>
      <w:r>
        <w:rPr>
          <w:color w:val="000000" w:themeColor="text1"/>
          <w:highlight w:val="none"/>
        </w:rPr>
      </w:r>
    </w:p>
    <w:p>
      <w:pPr>
        <w:pStyle w:val="952"/>
        <w:ind w:firstLine="602"/>
        <w:jc w:val="center"/>
        <w:spacing w:line="400" w:lineRule="exact"/>
        <w:rPr>
          <w:rFonts w:ascii="宋体" w:hAnsi="宋体"/>
          <w:b/>
          <w:bCs/>
          <w:color w:val="000000" w:themeColor="text1"/>
          <w:sz w:val="30"/>
          <w:szCs w:val="20"/>
          <w:highlight w:val="none"/>
        </w:rPr>
      </w:pPr>
      <w:r>
        <w:rPr>
          <w:rFonts w:hint="eastAsia" w:ascii="宋体" w:hAnsi="宋体"/>
          <w:b/>
          <w:color w:val="000000" w:themeColor="text1"/>
          <w:sz w:val="30"/>
          <w:highlight w:val="none"/>
        </w:rPr>
        <w:t xml:space="preserve">江苏省政府采购合同（货物）（合同编号）</w:t>
      </w:r>
      <w:r>
        <w:rPr>
          <w:rFonts w:ascii="宋体" w:hAnsi="宋体"/>
          <w:b/>
          <w:bCs/>
          <w:color w:val="000000" w:themeColor="text1"/>
          <w:sz w:val="30"/>
          <w:szCs w:val="20"/>
          <w:highlight w:val="none"/>
        </w:rPr>
      </w:r>
      <w:r>
        <w:rPr>
          <w:color w:val="000000" w:themeColor="text1"/>
          <w:highlight w:val="none"/>
        </w:rPr>
      </w:r>
    </w:p>
    <w:p>
      <w:pPr>
        <w:pStyle w:val="952"/>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项目名称：                                       项目编号：</w:t>
      </w:r>
      <w:r>
        <w:rPr>
          <w:rFonts w:ascii="宋体" w:hAnsi="宋体" w:cs="Courier New"/>
          <w:color w:val="000000" w:themeColor="text1"/>
          <w:sz w:val="24"/>
          <w:szCs w:val="24"/>
          <w:highlight w:val="none"/>
        </w:rPr>
      </w:r>
      <w:r>
        <w:rPr>
          <w:color w:val="000000" w:themeColor="text1"/>
          <w:highlight w:val="none"/>
        </w:rPr>
      </w:r>
    </w:p>
    <w:p>
      <w:pPr>
        <w:pStyle w:val="952"/>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甲方：（买方、需方、采购人）_________</w:t>
      </w:r>
      <w:r>
        <w:rPr>
          <w:rFonts w:ascii="宋体" w:hAnsi="宋体" w:cs="Courier New"/>
          <w:color w:val="000000" w:themeColor="text1"/>
          <w:sz w:val="24"/>
          <w:szCs w:val="24"/>
          <w:highlight w:val="none"/>
        </w:rPr>
      </w:r>
      <w:r>
        <w:rPr>
          <w:color w:val="000000" w:themeColor="text1"/>
          <w:highlight w:val="none"/>
        </w:rPr>
      </w:r>
    </w:p>
    <w:p>
      <w:pPr>
        <w:pStyle w:val="952"/>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乙方：（卖方、供方、供应商）_________</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b/>
          <w:color w:val="000000" w:themeColor="text1"/>
          <w:sz w:val="24"/>
          <w:szCs w:val="24"/>
          <w:highlight w:val="none"/>
        </w:rPr>
      </w:pP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rPr>
        <w:t xml:space="preserve">无锡市公共资源交易中心</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项目公开招标的结果，签署本合同。</w:t>
      </w:r>
      <w:r>
        <w:rPr>
          <w:rFonts w:ascii="宋体" w:hAnsi="宋体" w:cs="Courier New"/>
          <w:b/>
          <w:color w:val="000000" w:themeColor="text1"/>
          <w:sz w:val="24"/>
          <w:szCs w:val="24"/>
          <w:highlight w:val="none"/>
        </w:rPr>
      </w:r>
      <w:r>
        <w:rPr>
          <w:color w:val="000000" w:themeColor="text1"/>
          <w:highlight w:val="none"/>
        </w:rPr>
      </w:r>
    </w:p>
    <w:p>
      <w:pPr>
        <w:pStyle w:val="952"/>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一、</w:t>
      </w:r>
      <w:r>
        <w:rPr>
          <w:rFonts w:hint="eastAsia" w:ascii="宋体" w:hAnsi="宋体" w:cs="Courier New"/>
          <w:b/>
          <w:color w:val="000000" w:themeColor="text1"/>
          <w:sz w:val="24"/>
          <w:szCs w:val="24"/>
          <w:highlight w:val="none"/>
        </w:rPr>
        <w:t xml:space="preserve">合同</w:t>
      </w:r>
      <w:r>
        <w:rPr>
          <w:rFonts w:ascii="宋体" w:hAnsi="宋体" w:cs="Courier New"/>
          <w:b/>
          <w:color w:val="000000" w:themeColor="text1"/>
          <w:sz w:val="24"/>
          <w:szCs w:val="24"/>
          <w:highlight w:val="none"/>
        </w:rPr>
        <w:t xml:space="preserve">内容</w:t>
      </w:r>
      <w:r>
        <w:rPr>
          <w:rFonts w:ascii="宋体" w:hAnsi="宋体" w:cs="Courier New"/>
          <w:b/>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1.1 </w:t>
      </w:r>
      <w:r>
        <w:rPr>
          <w:rFonts w:hint="eastAsia" w:ascii="宋体" w:hAnsi="宋体" w:cs="Courier New"/>
          <w:color w:val="000000" w:themeColor="text1"/>
          <w:sz w:val="24"/>
          <w:szCs w:val="24"/>
          <w:highlight w:val="none"/>
        </w:rPr>
        <w:t xml:space="preserve">标的</w:t>
      </w:r>
      <w:r>
        <w:rPr>
          <w:rFonts w:ascii="宋体" w:hAnsi="宋体" w:cs="Courier New"/>
          <w:color w:val="000000" w:themeColor="text1"/>
          <w:sz w:val="24"/>
          <w:szCs w:val="24"/>
          <w:highlight w:val="none"/>
        </w:rPr>
        <w:t xml:space="preserve">名称：</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 标的质量：</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 标的数量（规模）：</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 履行时间（期限）：</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1.5 履行地点：</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 履行方式：</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1.7 包装方式：</w:t>
      </w:r>
      <w:r>
        <w:rPr>
          <w:rFonts w:ascii="宋体" w:hAnsi="宋体" w:cs="Courier New"/>
          <w:color w:val="000000" w:themeColor="text1"/>
          <w:sz w:val="24"/>
          <w:szCs w:val="24"/>
          <w:highlight w:val="none"/>
        </w:rPr>
      </w:r>
      <w:r>
        <w:rPr>
          <w:color w:val="000000" w:themeColor="text1"/>
          <w:highlight w:val="none"/>
        </w:rPr>
      </w:r>
    </w:p>
    <w:p>
      <w:pPr>
        <w:pStyle w:val="952"/>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二、合同金额</w:t>
      </w:r>
      <w:r>
        <w:rPr>
          <w:rFonts w:ascii="宋体" w:hAnsi="宋体" w:cs="Courier New"/>
          <w:b/>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2.1</w:t>
      </w:r>
      <w:r>
        <w:rPr>
          <w:rFonts w:hAnsi="宋体"/>
          <w:color w:val="000000" w:themeColor="text1"/>
          <w:sz w:val="24"/>
          <w:szCs w:val="24"/>
          <w:highlight w:val="none"/>
        </w:rPr>
        <w:t xml:space="preserve">本合同金额为（大写）： _____________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rPr>
          <w:rFonts w:ascii="宋体" w:hAnsi="宋体" w:cs="Courier New"/>
          <w:color w:val="000000" w:themeColor="text1"/>
          <w:sz w:val="24"/>
          <w:szCs w:val="24"/>
          <w:highlight w:val="none"/>
        </w:rPr>
      </w:r>
      <w:r>
        <w:rPr>
          <w:color w:val="000000" w:themeColor="text1"/>
          <w:highlight w:val="none"/>
        </w:rPr>
      </w:r>
    </w:p>
    <w:p>
      <w:pPr>
        <w:pStyle w:val="952"/>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三、技术资料</w:t>
      </w:r>
      <w:r>
        <w:rPr>
          <w:rFonts w:ascii="宋体" w:hAnsi="宋体" w:cs="Courier New"/>
          <w:b/>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3.1乙方应按招标文件规定的时间向甲方提供使用货物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的有关技术资料。</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themeColor="text1"/>
          <w:sz w:val="24"/>
          <w:szCs w:val="24"/>
          <w:highlight w:val="none"/>
        </w:rPr>
      </w:r>
      <w:r>
        <w:rPr>
          <w:color w:val="000000" w:themeColor="text1"/>
          <w:highlight w:val="none"/>
        </w:rPr>
      </w:r>
    </w:p>
    <w:p>
      <w:pPr>
        <w:pStyle w:val="952"/>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四、知识产权</w:t>
      </w:r>
      <w:r>
        <w:rPr>
          <w:rFonts w:ascii="宋体" w:hAnsi="宋体" w:cs="Courier New"/>
          <w:b/>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olor w:val="000000" w:themeColor="text1"/>
          <w:sz w:val="24"/>
          <w:highlight w:val="none"/>
        </w:rPr>
      </w:pPr>
      <w:r>
        <w:rPr>
          <w:rFonts w:hAnsi="宋体"/>
          <w:color w:val="000000" w:themeColor="text1"/>
          <w:sz w:val="24"/>
          <w:szCs w:val="24"/>
          <w:highlight w:val="none"/>
        </w:rPr>
        <w:t xml:space="preserve">4.1乙</w:t>
      </w:r>
      <w:r>
        <w:rPr>
          <w:rFonts w:hint="eastAsia" w:ascii="宋体" w:hAnsi="宋体"/>
          <w:color w:val="000000" w:themeColor="text1"/>
          <w:sz w:val="24"/>
          <w:highlight w:val="none"/>
        </w:rPr>
        <w:t xml:space="preserve">方应保证甲方在使用、接受本合同货物</w:t>
      </w:r>
      <w:r>
        <w:rPr>
          <w:rFonts w:hint="eastAsia" w:hAnsi="宋体"/>
          <w:color w:val="000000" w:themeColor="text1"/>
          <w:sz w:val="24"/>
          <w:szCs w:val="24"/>
          <w:highlight w:val="none"/>
        </w:rPr>
        <w:t xml:space="preserve">（包含与货物相关的服务）</w:t>
      </w:r>
      <w:r>
        <w:rPr>
          <w:rFonts w:hint="eastAsia" w:ascii="宋体" w:hAnsi="宋体"/>
          <w:color w:val="000000" w:themeColor="text1"/>
          <w:sz w:val="24"/>
          <w:highlight w:val="none"/>
        </w:rPr>
        <w:t xml:space="preserve">或其任何一部分时不受第三方提出侵犯其专利权、版权、商标权和工业设计权等知识产权的起诉。一旦出现侵权，由乙方负全部责任。</w:t>
      </w:r>
      <w:r>
        <w:rPr>
          <w:rFonts w:hint="eastAsia" w:ascii="宋体" w:hAnsi="宋体"/>
          <w:color w:val="000000" w:themeColor="text1"/>
          <w:sz w:val="24"/>
          <w:highlight w:val="none"/>
        </w:rPr>
      </w:r>
      <w:r>
        <w:rPr>
          <w:color w:val="000000" w:themeColor="text1"/>
          <w:highlight w:val="none"/>
        </w:rPr>
      </w:r>
    </w:p>
    <w:p>
      <w:pPr>
        <w:pStyle w:val="952"/>
        <w:spacing w:line="400" w:lineRule="exact"/>
        <w:rPr>
          <w:rFonts w:hint="eastAsia" w:ascii="宋体" w:hAnsi="宋体" w:cs="Courier New"/>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themeColor="text1"/>
          <w:sz w:val="24"/>
          <w:szCs w:val="24"/>
          <w:highlight w:val="none"/>
        </w:rPr>
      </w:r>
      <w:r>
        <w:rPr>
          <w:color w:val="000000" w:themeColor="text1"/>
          <w:highlight w:val="none"/>
        </w:rPr>
      </w:r>
    </w:p>
    <w:p>
      <w:pPr>
        <w:pStyle w:val="952"/>
        <w:ind w:firstLine="482"/>
        <w:spacing w:line="400" w:lineRule="exact"/>
        <w:rPr>
          <w:rFonts w:ascii="宋体" w:hAnsi="宋体" w:cs="Courier New"/>
          <w:color w:val="000000" w:themeColor="text1"/>
          <w:sz w:val="24"/>
          <w:szCs w:val="24"/>
          <w:highlight w:val="none"/>
          <w:u w:val="single"/>
        </w:rPr>
      </w:pPr>
      <w:r>
        <w:rPr>
          <w:rFonts w:ascii="宋体" w:hAnsi="宋体" w:cs="Courier New"/>
          <w:b/>
          <w:color w:val="000000" w:themeColor="text1"/>
          <w:sz w:val="24"/>
          <w:szCs w:val="24"/>
          <w:highlight w:val="none"/>
        </w:rPr>
        <w:t xml:space="preserve">五、产权担保</w:t>
      </w:r>
      <w:r>
        <w:rPr>
          <w:rFonts w:ascii="宋体" w:hAnsi="宋体" w:cs="Courier New"/>
          <w:color w:val="000000" w:themeColor="text1"/>
          <w:sz w:val="24"/>
          <w:szCs w:val="24"/>
          <w:highlight w:val="none"/>
          <w:u w:val="singl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u w:val="single"/>
        </w:rPr>
      </w:pPr>
      <w:r>
        <w:rPr>
          <w:rFonts w:ascii="宋体" w:hAnsi="宋体" w:cs="Courier New"/>
          <w:color w:val="000000" w:themeColor="text1"/>
          <w:sz w:val="24"/>
          <w:szCs w:val="24"/>
          <w:highlight w:val="none"/>
        </w:rPr>
        <w:t xml:space="preserve">5.1 乙方保证所交付的货物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的所有权完全属于乙方且无任何抵押、查封等产权瑕疵。</w:t>
      </w:r>
      <w:r>
        <w:rPr>
          <w:rFonts w:ascii="宋体" w:hAnsi="宋体" w:cs="Courier New"/>
          <w:color w:val="000000" w:themeColor="text1"/>
          <w:sz w:val="24"/>
          <w:szCs w:val="24"/>
          <w:highlight w:val="none"/>
          <w:u w:val="single"/>
        </w:rPr>
      </w:r>
      <w:r>
        <w:rPr>
          <w:color w:val="000000" w:themeColor="text1"/>
          <w:highlight w:val="none"/>
        </w:rPr>
      </w:r>
    </w:p>
    <w:p>
      <w:pPr>
        <w:pStyle w:val="952"/>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六、履约保证金</w:t>
      </w:r>
      <w:r>
        <w:rPr>
          <w:rFonts w:ascii="宋体" w:hAnsi="宋体" w:cs="Courier New"/>
          <w:b/>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6.1 乙方交纳人民币__元作为本合同的履约保证金。</w:t>
      </w:r>
      <w:r>
        <w:rPr>
          <w:rFonts w:hint="eastAsia" w:ascii="宋体" w:hAnsi="宋体" w:cs="Courier New"/>
          <w:color w:val="000000" w:themeColor="text1"/>
          <w:sz w:val="24"/>
          <w:szCs w:val="24"/>
          <w:highlight w:val="none"/>
        </w:rPr>
        <w:t xml:space="preserve">（不得超过合同金额的10%）</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6.2合同履行结束后，甲方应及时退还交纳的履约保证金。</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6.2.1履约保证金退还方式：</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6.2.2履约保证金退还时间：</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6.2.3履约保证金退还条件：</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6.2.4履约保证金不予退还的情形：</w:t>
      </w:r>
      <w:r>
        <w:rPr>
          <w:rFonts w:ascii="宋体" w:hAnsi="宋体" w:cs="Courier New"/>
          <w:color w:val="000000" w:themeColor="text1"/>
          <w:sz w:val="24"/>
          <w:szCs w:val="24"/>
          <w:highlight w:val="none"/>
        </w:rPr>
      </w:r>
      <w:r>
        <w:rPr>
          <w:color w:val="000000" w:themeColor="text1"/>
          <w:highlight w:val="none"/>
        </w:rPr>
      </w:r>
    </w:p>
    <w:p>
      <w:pPr>
        <w:pStyle w:val="952"/>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rPr>
          <w:rFonts w:ascii="宋体" w:hAnsi="宋体" w:eastAsia="仿宋_GB2312"/>
          <w:b/>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400" w:lineRule="exact"/>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乙方如有转包或未经甲方同意的分包行为，甲方有权给予终止合同。</w:t>
      </w:r>
      <w:r>
        <w:rPr>
          <w:rFonts w:ascii="宋体" w:hAnsi="宋体" w:eastAsia="仿宋_GB2312"/>
          <w:color w:val="000000" w:themeColor="text1"/>
          <w:sz w:val="24"/>
          <w:szCs w:val="24"/>
          <w:highlight w:val="none"/>
        </w:rPr>
      </w:r>
      <w:r>
        <w:rPr>
          <w:color w:val="000000" w:themeColor="text1"/>
          <w:highlight w:val="none"/>
        </w:rPr>
      </w:r>
    </w:p>
    <w:p>
      <w:pPr>
        <w:pStyle w:val="952"/>
        <w:ind w:firstLine="482"/>
        <w:spacing w:line="400" w:lineRule="exact"/>
        <w:rPr>
          <w:rFonts w:ascii="宋体" w:hAnsi="宋体" w:cs="Courier New"/>
          <w:b/>
          <w:color w:val="000000" w:themeColor="text1"/>
          <w:sz w:val="24"/>
          <w:szCs w:val="24"/>
          <w:highlight w:val="none"/>
        </w:rPr>
      </w:pPr>
      <w:r>
        <w:rPr>
          <w:rFonts w:hint="eastAsia" w:ascii="宋体" w:hAnsi="宋体" w:cs="Courier New"/>
          <w:b/>
          <w:color w:val="000000" w:themeColor="text1"/>
          <w:sz w:val="24"/>
          <w:szCs w:val="24"/>
          <w:highlight w:val="none"/>
        </w:rPr>
        <w:t xml:space="preserve">八</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合同款项</w:t>
      </w:r>
      <w:r>
        <w:rPr>
          <w:rFonts w:ascii="宋体" w:hAnsi="宋体" w:cs="Courier New"/>
          <w:b/>
          <w:color w:val="000000" w:themeColor="text1"/>
          <w:sz w:val="24"/>
          <w:szCs w:val="24"/>
          <w:highlight w:val="none"/>
        </w:rPr>
        <w:t xml:space="preserve">支付</w:t>
      </w:r>
      <w:r>
        <w:rPr>
          <w:rFonts w:ascii="宋体" w:hAnsi="宋体" w:cs="Courier New"/>
          <w:b/>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.1</w:t>
      </w:r>
      <w:r>
        <w:rPr>
          <w:rFonts w:hint="eastAsia" w:ascii="宋体" w:hAnsi="宋体" w:cs="Courier New"/>
          <w:bCs/>
          <w:color w:val="000000" w:themeColor="text1"/>
          <w:sz w:val="24"/>
          <w:szCs w:val="24"/>
          <w:highlight w:val="none"/>
        </w:rPr>
        <w:t xml:space="preserve">合同款项的支付方式及进度安排</w:t>
      </w:r>
      <w:r>
        <w:rPr>
          <w:rFonts w:hint="eastAsia" w:ascii="宋体" w:hAnsi="宋体" w:cs="Courier New"/>
          <w:bCs/>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8．1.1预付款支付时间：合同签订后</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日内，预付款支付比例：合同金额的</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bCs/>
          <w:color w:val="000000" w:themeColor="text1"/>
          <w:sz w:val="24"/>
          <w:szCs w:val="24"/>
          <w:highlight w:val="none"/>
        </w:rPr>
        <w:t xml:space="preserve">8.1.2尾款支付时间：产品验收通过,采购人收到发票后10个工作日内，尾款支付比例：合同金额的</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rPr>
          <w:rFonts w:hint="eastAsia" w:ascii="宋体" w:hAnsi="宋体" w:cs="Courier New"/>
          <w:color w:val="000000" w:themeColor="text1"/>
          <w:sz w:val="24"/>
          <w:szCs w:val="24"/>
          <w:highlight w:val="none"/>
        </w:rPr>
      </w:r>
      <w:r>
        <w:rPr>
          <w:color w:val="000000" w:themeColor="text1"/>
          <w:highlight w:val="none"/>
        </w:rPr>
      </w:r>
    </w:p>
    <w:p>
      <w:pPr>
        <w:pStyle w:val="952"/>
        <w:spacing w:line="400" w:lineRule="exact"/>
        <w:rPr>
          <w:rFonts w:ascii="宋体" w:hAnsi="宋体" w:cs="Courier New"/>
          <w:bCs/>
          <w:color w:val="000000" w:themeColor="text1"/>
          <w:sz w:val="24"/>
          <w:szCs w:val="24"/>
          <w:highlight w:val="none"/>
        </w:rPr>
      </w:pPr>
      <w:r>
        <w:rPr>
          <w:rFonts w:hint="eastAsia" w:hAnsi="宋体"/>
          <w:bCs/>
          <w:color w:val="000000" w:themeColor="text1"/>
          <w:sz w:val="24"/>
          <w:szCs w:val="24"/>
          <w:highlight w:val="none"/>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ascii="宋体" w:hAnsi="宋体" w:cs="Courier New"/>
          <w:bCs/>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.2</w:t>
      </w:r>
      <w:r>
        <w:rPr>
          <w:rFonts w:ascii="宋体" w:hAnsi="宋体" w:cs="Courier New"/>
          <w:color w:val="000000" w:themeColor="text1"/>
          <w:sz w:val="24"/>
          <w:szCs w:val="24"/>
          <w:highlight w:val="none"/>
        </w:rPr>
        <w:t xml:space="preserve">当采购数量与实际使用数量不一致时，</w:t>
      </w:r>
      <w:r>
        <w:rPr>
          <w:rFonts w:hint="eastAsia" w:ascii="宋体" w:hAnsi="宋体" w:cs="Courier New"/>
          <w:color w:val="000000" w:themeColor="text1"/>
          <w:sz w:val="24"/>
          <w:szCs w:val="24"/>
          <w:highlight w:val="none"/>
        </w:rPr>
        <w:t xml:space="preserve">乙方</w:t>
      </w:r>
      <w:r>
        <w:rPr>
          <w:rFonts w:ascii="宋体" w:hAnsi="宋体" w:cs="Courier New"/>
          <w:color w:val="000000" w:themeColor="text1"/>
          <w:sz w:val="24"/>
          <w:szCs w:val="24"/>
          <w:highlight w:val="none"/>
        </w:rPr>
        <w:t xml:space="preserve">应根据实际使用量供货，合同的最终结算金额按实际使用量乘以成交单价进行计算。</w:t>
      </w:r>
      <w:r>
        <w:rPr>
          <w:rFonts w:ascii="宋体" w:hAnsi="宋体" w:cs="Courier New"/>
          <w:bCs/>
          <w:color w:val="000000" w:themeColor="text1"/>
          <w:sz w:val="24"/>
          <w:szCs w:val="24"/>
          <w:highlight w:val="none"/>
        </w:rPr>
      </w:r>
      <w:r>
        <w:rPr>
          <w:color w:val="000000" w:themeColor="text1"/>
          <w:highlight w:val="none"/>
        </w:rPr>
      </w:r>
    </w:p>
    <w:p>
      <w:pPr>
        <w:pStyle w:val="952"/>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rPr>
          <w:rFonts w:ascii="宋体" w:hAnsi="宋体" w:eastAsia="仿宋_GB2312"/>
          <w:b/>
          <w:color w:val="000000" w:themeColor="text1"/>
          <w:sz w:val="24"/>
          <w:szCs w:val="24"/>
          <w:highlight w:val="none"/>
        </w:rPr>
      </w:r>
      <w:r>
        <w:rPr>
          <w:color w:val="000000" w:themeColor="text1"/>
          <w:highlight w:val="none"/>
        </w:rPr>
      </w:r>
    </w:p>
    <w:p>
      <w:pPr>
        <w:pStyle w:val="952"/>
        <w:ind w:firstLine="480"/>
        <w:spacing w:line="400" w:lineRule="exact"/>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rPr>
          <w:rFonts w:ascii="宋体" w:hAnsi="宋体" w:eastAsia="仿宋_GB2312"/>
          <w:color w:val="000000" w:themeColor="text1"/>
          <w:sz w:val="24"/>
          <w:szCs w:val="24"/>
          <w:highlight w:val="none"/>
        </w:rPr>
      </w:r>
      <w:r>
        <w:rPr>
          <w:color w:val="000000" w:themeColor="text1"/>
          <w:highlight w:val="none"/>
        </w:rPr>
      </w:r>
    </w:p>
    <w:p>
      <w:pPr>
        <w:pStyle w:val="952"/>
        <w:ind w:firstLine="482"/>
        <w:spacing w:line="400" w:lineRule="exact"/>
        <w:rPr>
          <w:rFonts w:ascii="宋体" w:hAnsi="宋体" w:cs="Courier New"/>
          <w:color w:val="000000" w:themeColor="text1"/>
          <w:sz w:val="24"/>
          <w:szCs w:val="24"/>
          <w:highlight w:val="none"/>
        </w:rPr>
      </w:pPr>
      <w:r>
        <w:rPr>
          <w:rFonts w:ascii="宋体" w:hAnsi="宋体" w:cs="Courier New"/>
          <w:b/>
          <w:color w:val="000000" w:themeColor="text1"/>
          <w:sz w:val="24"/>
          <w:szCs w:val="24"/>
          <w:highlight w:val="none"/>
        </w:rPr>
        <w:t xml:space="preserve">十、质量</w:t>
      </w:r>
      <w:r>
        <w:rPr>
          <w:rFonts w:hint="eastAsia" w:ascii="宋体" w:hAnsi="宋体" w:cs="Courier New"/>
          <w:b/>
          <w:color w:val="000000" w:themeColor="text1"/>
          <w:sz w:val="24"/>
          <w:szCs w:val="24"/>
          <w:highlight w:val="none"/>
        </w:rPr>
        <w:t xml:space="preserve">保修范围和保修期</w:t>
      </w:r>
      <w:r>
        <w:rPr>
          <w:rFonts w:ascii="宋体" w:hAnsi="宋体" w:cs="Courier New"/>
          <w:b/>
          <w:color w:val="000000" w:themeColor="text1"/>
          <w:sz w:val="24"/>
          <w:szCs w:val="24"/>
          <w:highlight w:val="none"/>
        </w:rPr>
        <w:t xml:space="preserve">及售后服务</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.1 乙方应按招标文件规定的货物性能、技术要求、质量标准向甲方提供未经使用的全新产品。</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⑴更换：由乙方承担所发生的全部费用。</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⑵贬值处理：由甲乙双方合议定价。</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⑶退货处理：乙方应退还甲方支付的合同款，同时应承担该货物的直接费用（运输、保险、检验、货款利息及银行手续费等）。</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.3 如在使用过程中发生质量问题，乙方在接到甲方通知后在_________小时内到达甲方现场。</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.4 在质保期内，乙方应对货物出现的质量及安全问题负责处理解决并承担一切费用。</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.5上述的货物免费保修期为</w:t>
      </w:r>
      <w:r>
        <w:rPr>
          <w:rFonts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000000" w:themeColor="text1"/>
          <w:sz w:val="24"/>
          <w:szCs w:val="24"/>
          <w:highlight w:val="none"/>
        </w:rPr>
        <w:t xml:space="preserve">身</w:t>
      </w:r>
      <w:r>
        <w:rPr>
          <w:rFonts w:ascii="宋体" w:hAnsi="宋体" w:cs="Courier New"/>
          <w:color w:val="000000" w:themeColor="text1"/>
          <w:sz w:val="24"/>
          <w:szCs w:val="24"/>
          <w:highlight w:val="none"/>
        </w:rPr>
        <w:t xml:space="preserve">维修，维修时只收部件成本费。</w:t>
      </w:r>
      <w:r>
        <w:rPr>
          <w:rFonts w:ascii="宋体" w:hAnsi="宋体" w:cs="Courier New"/>
          <w:color w:val="000000" w:themeColor="text1"/>
          <w:sz w:val="24"/>
          <w:szCs w:val="24"/>
          <w:highlight w:val="none"/>
        </w:rPr>
      </w:r>
      <w:r>
        <w:rPr>
          <w:color w:val="000000" w:themeColor="text1"/>
          <w:highlight w:val="none"/>
        </w:rPr>
      </w:r>
    </w:p>
    <w:p>
      <w:pPr>
        <w:pStyle w:val="952"/>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一</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项目</w:t>
      </w:r>
      <w:r>
        <w:rPr>
          <w:rFonts w:ascii="宋体" w:hAnsi="宋体" w:cs="Courier New"/>
          <w:b/>
          <w:color w:val="000000" w:themeColor="text1"/>
          <w:sz w:val="24"/>
          <w:szCs w:val="24"/>
          <w:highlight w:val="none"/>
        </w:rPr>
        <w:t xml:space="preserve">验收</w:t>
      </w:r>
      <w:r>
        <w:rPr>
          <w:rFonts w:ascii="宋体" w:hAnsi="宋体" w:cs="Courier New"/>
          <w:b/>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11.1 甲方依法组织履约验收工作。</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11.3 对于实际使用人和甲方分离的项目，甲方邀请实际使用人参与验收。</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11.4 如有必要，甲方邀请参加本项目的其他供应商或第三方专业机构及专家参与验收，相关意见将作为验收书的参考资料。</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themeColor="text1"/>
          <w:sz w:val="24"/>
          <w:szCs w:val="24"/>
          <w:highlight w:val="none"/>
        </w:rPr>
      </w:r>
      <w:r>
        <w:rPr>
          <w:color w:val="000000" w:themeColor="text1"/>
          <w:highlight w:val="none"/>
        </w:rPr>
      </w:r>
    </w:p>
    <w:p>
      <w:pPr>
        <w:pStyle w:val="952"/>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二</w:t>
      </w:r>
      <w:r>
        <w:rPr>
          <w:rFonts w:ascii="宋体" w:hAnsi="宋体" w:cs="Courier New"/>
          <w:b/>
          <w:color w:val="000000" w:themeColor="text1"/>
          <w:sz w:val="24"/>
          <w:szCs w:val="24"/>
          <w:highlight w:val="none"/>
        </w:rPr>
        <w:t xml:space="preserve">、货物</w:t>
      </w:r>
      <w:r>
        <w:rPr>
          <w:rFonts w:hint="eastAsia" w:ascii="宋体" w:hAnsi="宋体" w:cs="Courier New"/>
          <w:b/>
          <w:color w:val="000000" w:themeColor="text1"/>
          <w:sz w:val="24"/>
          <w:szCs w:val="24"/>
          <w:highlight w:val="none"/>
        </w:rPr>
        <w:t xml:space="preserve">的</w:t>
      </w:r>
      <w:r>
        <w:rPr>
          <w:rFonts w:ascii="宋体" w:hAnsi="宋体" w:cs="Courier New"/>
          <w:b/>
          <w:color w:val="000000" w:themeColor="text1"/>
          <w:sz w:val="24"/>
          <w:szCs w:val="24"/>
          <w:highlight w:val="none"/>
        </w:rPr>
        <w:t xml:space="preserve">包装、发运及运输</w:t>
      </w:r>
      <w:r>
        <w:rPr>
          <w:rFonts w:ascii="宋体" w:hAnsi="宋体" w:cs="Courier New"/>
          <w:b/>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.1 乙方应在货物发运前对其进行满足运输距离、防潮、防震、防锈和防破损装卸等</w:t>
      </w:r>
      <w:r>
        <w:rPr>
          <w:rFonts w:ascii="宋体" w:hAnsi="宋体" w:cs="Courier New"/>
          <w:color w:val="000000" w:themeColor="text1"/>
          <w:sz w:val="24"/>
          <w:szCs w:val="24"/>
          <w:highlight w:val="none"/>
        </w:rPr>
        <w:t xml:space="preserve">要求包装，以保证货物安全运达甲方指定地点。</w:t>
      </w:r>
      <w:r>
        <w:rPr>
          <w:rFonts w:hint="eastAsia" w:ascii="宋体" w:hAnsi="宋体"/>
          <w:color w:val="000000" w:themeColor="text1"/>
          <w:sz w:val="24"/>
          <w:szCs w:val="24"/>
          <w:highlight w:val="none"/>
        </w:rPr>
        <w:t xml:space="preserve">乙方对货物的包装应符合《商品包装政府采购需求标准（试行）》、《快递包装政府采购需求标准（试行）》的规定。</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.2 使用说明书、质量检验证明书、随配附件和工具以及清单一并附于货物内。</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.3 乙方在货物发运手续办理完毕后24小时内或货到甲方48小时前通知甲方，以准备接货。</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.4 货物在交付甲方前发生的风险均由乙方负责。</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.5 货物在规定的交付期限内由乙方送达甲方指定的地点视为交付，乙方同时需通知甲方货物已送达。</w:t>
      </w:r>
      <w:r>
        <w:rPr>
          <w:rFonts w:ascii="宋体" w:hAnsi="宋体" w:cs="Courier New"/>
          <w:color w:val="000000" w:themeColor="text1"/>
          <w:sz w:val="24"/>
          <w:szCs w:val="24"/>
          <w:highlight w:val="none"/>
        </w:rPr>
      </w:r>
      <w:r>
        <w:rPr>
          <w:color w:val="000000" w:themeColor="text1"/>
          <w:highlight w:val="none"/>
        </w:rPr>
      </w:r>
    </w:p>
    <w:p>
      <w:pPr>
        <w:pStyle w:val="952"/>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三</w:t>
      </w:r>
      <w:r>
        <w:rPr>
          <w:rFonts w:ascii="宋体" w:hAnsi="宋体" w:cs="Courier New"/>
          <w:b/>
          <w:color w:val="000000" w:themeColor="text1"/>
          <w:sz w:val="24"/>
          <w:szCs w:val="24"/>
          <w:highlight w:val="none"/>
        </w:rPr>
        <w:t xml:space="preserve">、违约责任</w:t>
      </w:r>
      <w:r>
        <w:rPr>
          <w:rFonts w:ascii="宋体" w:hAnsi="宋体" w:cs="Courier New"/>
          <w:b/>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.1 甲方无正当理由拒收货物的，甲方向乙方偿付拒收货款总值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.2 甲方无故逾期验收和办理货款支付手续的,甲方应按逾期付款总额每日</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向乙方支付违约金。</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的违约金，如造成甲方损失超过违约金的，超出部分由乙方继续承担赔偿责任。 </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themeColor="text1"/>
          <w:sz w:val="24"/>
          <w:szCs w:val="24"/>
          <w:highlight w:val="none"/>
        </w:rPr>
      </w:r>
      <w:r>
        <w:rPr>
          <w:color w:val="000000" w:themeColor="text1"/>
          <w:highlight w:val="none"/>
        </w:rPr>
      </w:r>
    </w:p>
    <w:p>
      <w:pPr>
        <w:pStyle w:val="952"/>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四</w:t>
      </w:r>
      <w:r>
        <w:rPr>
          <w:rFonts w:ascii="宋体" w:hAnsi="宋体" w:cs="Courier New"/>
          <w:b/>
          <w:color w:val="000000" w:themeColor="text1"/>
          <w:sz w:val="24"/>
          <w:szCs w:val="24"/>
          <w:highlight w:val="none"/>
        </w:rPr>
        <w:t xml:space="preserve">、不可抗力事件处理</w:t>
      </w:r>
      <w:r>
        <w:rPr>
          <w:rFonts w:ascii="宋体" w:hAnsi="宋体" w:cs="Courier New"/>
          <w:b/>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.1 在合同有效期内，任何一方因不可抗力事件导致不能履行合同，则合同履行期可延长，其延长期与不可抗力影响期相同。</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.2 不可抗力事件发生后，应立即通知对方，并寄送有关权威机构出具的证明。</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.3 不可抗力事件延续120天以上，双方应通过友好协商，确定是否继续履行合同。</w:t>
      </w:r>
      <w:r>
        <w:rPr>
          <w:rFonts w:ascii="宋体" w:hAnsi="宋体" w:cs="Courier New"/>
          <w:color w:val="000000" w:themeColor="text1"/>
          <w:sz w:val="24"/>
          <w:szCs w:val="24"/>
          <w:highlight w:val="none"/>
        </w:rPr>
      </w:r>
      <w:r>
        <w:rPr>
          <w:color w:val="000000" w:themeColor="text1"/>
          <w:highlight w:val="none"/>
        </w:rPr>
      </w:r>
    </w:p>
    <w:p>
      <w:pPr>
        <w:pStyle w:val="952"/>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五</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解决争议的方法</w:t>
      </w:r>
      <w:r>
        <w:rPr>
          <w:rFonts w:ascii="宋体" w:hAnsi="宋体" w:cs="Courier New"/>
          <w:b/>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5</w:t>
      </w: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甲乙</w:t>
      </w:r>
      <w:r>
        <w:rPr>
          <w:rFonts w:ascii="宋体" w:hAnsi="宋体" w:cs="Courier New"/>
          <w:color w:val="000000" w:themeColor="text1"/>
          <w:sz w:val="24"/>
          <w:szCs w:val="24"/>
          <w:highlight w:val="none"/>
        </w:rPr>
        <w:t xml:space="preserve">双方</w:t>
      </w:r>
      <w:r>
        <w:rPr>
          <w:rFonts w:hint="eastAsia" w:ascii="宋体" w:hAnsi="宋体" w:cs="Courier New"/>
          <w:color w:val="000000" w:themeColor="text1"/>
          <w:sz w:val="24"/>
          <w:szCs w:val="24"/>
          <w:highlight w:val="none"/>
        </w:rPr>
        <w:t xml:space="preserve">因</w:t>
      </w:r>
      <w:r>
        <w:rPr>
          <w:rFonts w:ascii="宋体" w:hAnsi="宋体" w:cs="Courier New"/>
          <w:color w:val="000000" w:themeColor="text1"/>
          <w:sz w:val="24"/>
          <w:szCs w:val="24"/>
          <w:highlight w:val="none"/>
        </w:rPr>
        <w:t xml:space="preserve">合同</w:t>
      </w:r>
      <w:r>
        <w:rPr>
          <w:rFonts w:hint="eastAsia" w:ascii="宋体" w:hAnsi="宋体" w:cs="Courier New"/>
          <w:color w:val="000000" w:themeColor="text1"/>
          <w:sz w:val="24"/>
          <w:szCs w:val="24"/>
          <w:highlight w:val="none"/>
        </w:rPr>
        <w:t xml:space="preserve">签订、履行而</w:t>
      </w:r>
      <w:r>
        <w:rPr>
          <w:rFonts w:ascii="宋体" w:hAnsi="宋体" w:cs="Courier New"/>
          <w:color w:val="000000" w:themeColor="text1"/>
          <w:sz w:val="24"/>
          <w:szCs w:val="24"/>
          <w:highlight w:val="none"/>
        </w:rPr>
        <w:t xml:space="preserve">发生的一切争议，应通过</w:t>
      </w:r>
      <w:r>
        <w:rPr>
          <w:rFonts w:hint="eastAsia" w:ascii="宋体" w:hAnsi="宋体" w:cs="Courier New"/>
          <w:color w:val="000000" w:themeColor="text1"/>
          <w:sz w:val="24"/>
          <w:szCs w:val="24"/>
          <w:highlight w:val="none"/>
        </w:rPr>
        <w:t xml:space="preserve">友好</w:t>
      </w:r>
      <w:r>
        <w:rPr>
          <w:rFonts w:ascii="宋体" w:hAnsi="宋体" w:cs="Courier New"/>
          <w:color w:val="000000" w:themeColor="text1"/>
          <w:sz w:val="24"/>
          <w:szCs w:val="24"/>
          <w:highlight w:val="none"/>
        </w:rPr>
        <w:t xml:space="preserve">协商解决。如协商不成</w:t>
      </w:r>
      <w:r>
        <w:rPr>
          <w:rFonts w:hint="eastAsia" w:ascii="宋体" w:hAnsi="宋体" w:cs="Courier New"/>
          <w:color w:val="000000" w:themeColor="text1"/>
          <w:sz w:val="24"/>
          <w:szCs w:val="24"/>
          <w:highlight w:val="none"/>
        </w:rPr>
        <w:t xml:space="preserve">由甲方住所地人民</w:t>
      </w:r>
      <w:r>
        <w:rPr>
          <w:rFonts w:ascii="宋体" w:hAnsi="宋体" w:cs="Courier New"/>
          <w:color w:val="000000" w:themeColor="text1"/>
          <w:sz w:val="24"/>
          <w:szCs w:val="24"/>
          <w:highlight w:val="none"/>
        </w:rPr>
        <w:t xml:space="preserve">法院</w:t>
      </w:r>
      <w:r>
        <w:rPr>
          <w:rFonts w:hint="eastAsia" w:ascii="宋体" w:hAnsi="宋体" w:cs="Courier New"/>
          <w:color w:val="000000" w:themeColor="text1"/>
          <w:sz w:val="24"/>
          <w:szCs w:val="24"/>
          <w:highlight w:val="none"/>
        </w:rPr>
        <w:t xml:space="preserve">管辖。</w:t>
      </w:r>
      <w:r>
        <w:rPr>
          <w:rFonts w:hint="eastAsia" w:ascii="宋体" w:hAnsi="宋体" w:cs="Courier New"/>
          <w:color w:val="000000" w:themeColor="text1"/>
          <w:sz w:val="24"/>
          <w:szCs w:val="24"/>
          <w:highlight w:val="none"/>
        </w:rPr>
      </w:r>
      <w:r>
        <w:rPr>
          <w:color w:val="000000" w:themeColor="text1"/>
          <w:highlight w:val="none"/>
        </w:rPr>
      </w:r>
    </w:p>
    <w:p>
      <w:pPr>
        <w:pStyle w:val="952"/>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六</w:t>
      </w:r>
      <w:r>
        <w:rPr>
          <w:rFonts w:ascii="宋体" w:hAnsi="宋体" w:cs="Courier New"/>
          <w:b/>
          <w:color w:val="000000" w:themeColor="text1"/>
          <w:sz w:val="24"/>
          <w:szCs w:val="24"/>
          <w:highlight w:val="none"/>
        </w:rPr>
        <w:t xml:space="preserve">、合同生效及其他</w:t>
      </w:r>
      <w:r>
        <w:rPr>
          <w:rFonts w:ascii="宋体" w:hAnsi="宋体" w:cs="Courier New"/>
          <w:b/>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.1 合同经双方法定代表人或授权委托代</w:t>
      </w:r>
      <w:r>
        <w:rPr>
          <w:rFonts w:hint="eastAsia" w:ascii="宋体" w:hAnsi="宋体" w:cs="Courier New"/>
          <w:color w:val="000000" w:themeColor="text1"/>
          <w:sz w:val="24"/>
          <w:szCs w:val="24"/>
          <w:highlight w:val="none"/>
        </w:rPr>
        <w:t xml:space="preserve">表</w:t>
      </w:r>
      <w:r>
        <w:rPr>
          <w:rFonts w:ascii="宋体" w:hAnsi="宋体" w:cs="Courier New"/>
          <w:color w:val="000000" w:themeColor="text1"/>
          <w:sz w:val="24"/>
          <w:szCs w:val="24"/>
          <w:highlight w:val="none"/>
        </w:rPr>
        <w:t xml:space="preserve">人签字并加盖单位公章后生效。</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.2本合同未尽事宜，遵照</w:t>
      </w:r>
      <w:r>
        <w:rPr>
          <w:rFonts w:hint="eastAsia" w:ascii="宋体" w:hAnsi="宋体" w:cs="Courier New"/>
          <w:color w:val="000000" w:themeColor="text1"/>
          <w:sz w:val="24"/>
          <w:szCs w:val="24"/>
          <w:highlight w:val="none"/>
        </w:rPr>
        <w:t xml:space="preserve">《中华人民共和国民法典》、《中华人民共和国政府采购法》</w:t>
      </w:r>
      <w:r>
        <w:rPr>
          <w:rFonts w:ascii="宋体" w:hAnsi="宋体" w:cs="Courier New"/>
          <w:color w:val="000000" w:themeColor="text1"/>
          <w:sz w:val="24"/>
          <w:szCs w:val="24"/>
          <w:highlight w:val="none"/>
        </w:rPr>
        <w:t xml:space="preserve">有关条文执行。</w:t>
      </w:r>
      <w:r>
        <w:rPr>
          <w:rFonts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 本合同正本一式</w:t>
      </w:r>
      <w:r>
        <w:rPr>
          <w:rFonts w:hint="eastAsia" w:ascii="宋体" w:hAnsi="宋体" w:cs="Courier New"/>
          <w:color w:val="000000" w:themeColor="text1"/>
          <w:sz w:val="24"/>
          <w:szCs w:val="24"/>
          <w:highlight w:val="none"/>
        </w:rPr>
        <w:t xml:space="preserve">两</w:t>
      </w:r>
      <w:r>
        <w:rPr>
          <w:rFonts w:ascii="宋体" w:hAnsi="宋体" w:cs="Courier New"/>
          <w:color w:val="000000" w:themeColor="text1"/>
          <w:sz w:val="24"/>
          <w:szCs w:val="24"/>
          <w:highlight w:val="none"/>
        </w:rPr>
        <w:t xml:space="preserve">份，具有同等法律效力，甲</w:t>
      </w:r>
      <w:r>
        <w:rPr>
          <w:rFonts w:hint="eastAsia" w:ascii="宋体" w:hAnsi="宋体" w:cs="Courier New"/>
          <w:color w:val="000000" w:themeColor="text1"/>
          <w:sz w:val="24"/>
          <w:szCs w:val="24"/>
          <w:highlight w:val="none"/>
        </w:rPr>
        <w:t xml:space="preserve">方、</w:t>
      </w:r>
      <w:r>
        <w:rPr>
          <w:rFonts w:ascii="宋体" w:hAnsi="宋体" w:cs="Courier New"/>
          <w:color w:val="000000" w:themeColor="text1"/>
          <w:sz w:val="24"/>
          <w:szCs w:val="24"/>
          <w:highlight w:val="none"/>
        </w:rPr>
        <w:t xml:space="preserve">乙方各执一份。</w:t>
      </w:r>
      <w:r>
        <w:rPr>
          <w:rFonts w:ascii="宋体" w:hAnsi="宋体" w:cs="Courier New"/>
          <w:color w:val="000000" w:themeColor="text1"/>
          <w:sz w:val="24"/>
          <w:szCs w:val="24"/>
          <w:highlight w:val="none"/>
        </w:rPr>
      </w:r>
      <w:r>
        <w:rPr>
          <w:color w:val="000000" w:themeColor="text1"/>
          <w:highlight w:val="none"/>
        </w:rPr>
      </w:r>
    </w:p>
    <w:p>
      <w:pPr>
        <w:pStyle w:val="952"/>
        <w:ind w:left="480" w:hanging="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甲方：                        乙方： </w:t>
      </w:r>
      <w:r>
        <w:rPr>
          <w:rFonts w:ascii="宋体" w:hAnsi="宋体" w:cs="Courier New"/>
          <w:color w:val="000000" w:themeColor="text1"/>
          <w:sz w:val="24"/>
          <w:szCs w:val="24"/>
          <w:highlight w:val="none"/>
        </w:rPr>
      </w:r>
      <w:r>
        <w:rPr>
          <w:color w:val="000000" w:themeColor="text1"/>
          <w:highlight w:val="none"/>
        </w:rPr>
      </w:r>
    </w:p>
    <w:p>
      <w:pPr>
        <w:pStyle w:val="952"/>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地址：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地址： </w:t>
      </w:r>
      <w:r>
        <w:rPr>
          <w:rFonts w:ascii="宋体" w:hAnsi="宋体" w:cs="Courier New"/>
          <w:color w:val="000000" w:themeColor="text1"/>
          <w:sz w:val="24"/>
          <w:szCs w:val="24"/>
          <w:highlight w:val="none"/>
        </w:rPr>
      </w:r>
      <w:r>
        <w:rPr>
          <w:color w:val="000000" w:themeColor="text1"/>
          <w:highlight w:val="none"/>
        </w:rPr>
      </w:r>
    </w:p>
    <w:p>
      <w:pPr>
        <w:pStyle w:val="952"/>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r>
      <w:r>
        <w:rPr>
          <w:color w:val="000000" w:themeColor="text1"/>
          <w:highlight w:val="none"/>
        </w:rPr>
      </w:r>
    </w:p>
    <w:p>
      <w:pPr>
        <w:pStyle w:val="952"/>
        <w:ind w:firstLine="240"/>
        <w:spacing w:line="400" w:lineRule="exact"/>
        <w:rPr>
          <w:rFonts w:hint="eastAsia" w:ascii="宋体" w:hAnsi="Courier New" w:cs="Courier New"/>
          <w:color w:val="000000" w:themeColor="text1"/>
          <w:highlight w:val="none"/>
        </w:rPr>
      </w:pPr>
      <w:r>
        <w:rPr>
          <w:rFonts w:hint="eastAsia" w:ascii="宋体" w:hAnsi="宋体" w:cs="Courier New"/>
          <w:color w:val="000000" w:themeColor="text1"/>
          <w:sz w:val="24"/>
          <w:szCs w:val="24"/>
          <w:highlight w:val="none"/>
        </w:rPr>
        <w:t xml:space="preserve">联系电话：                    联系电话：          </w:t>
      </w:r>
      <w:r>
        <w:rPr>
          <w:rFonts w:hint="eastAsia" w:ascii="宋体" w:hAnsi="Courier New" w:cs="Courier New"/>
          <w:color w:val="000000" w:themeColor="text1"/>
          <w:highlight w:val="none"/>
        </w:rPr>
      </w:r>
      <w:r>
        <w:rPr>
          <w:color w:val="000000" w:themeColor="text1"/>
          <w:highlight w:val="none"/>
        </w:rPr>
      </w:r>
    </w:p>
    <w:p>
      <w:pPr>
        <w:pStyle w:val="952"/>
        <w:jc w:val="center"/>
        <w:spacing w:line="400" w:lineRule="exact"/>
        <w:rPr>
          <w:rFonts w:hint="eastAsia" w:ascii="宋体" w:hAnsi="宋体" w:cs="Courier New"/>
          <w:color w:val="000000" w:themeColor="text1"/>
          <w:sz w:val="24"/>
          <w:szCs w:val="24"/>
          <w:highlight w:val="none"/>
        </w:rPr>
      </w:pPr>
      <w:r>
        <w:rPr>
          <w:rFonts w:hint="eastAsia" w:ascii="宋体" w:hAnsi="Courier New" w:cs="Courier New"/>
          <w:color w:val="000000" w:themeColor="text1"/>
          <w:highlight w:val="none"/>
        </w:rPr>
        <w:t xml:space="preserve">                 </w:t>
      </w:r>
      <w:r>
        <w:rPr>
          <w:rFonts w:hint="eastAsia" w:ascii="宋体" w:hAnsi="宋体" w:cs="Courier New"/>
          <w:color w:val="000000" w:themeColor="text1"/>
          <w:sz w:val="24"/>
          <w:szCs w:val="24"/>
          <w:highlight w:val="none"/>
        </w:rPr>
        <w:t xml:space="preserve">   </w:t>
      </w:r>
      <w:r>
        <w:rPr>
          <w:rFonts w:hint="eastAsia" w:ascii="宋体" w:hAnsi="宋体" w:cs="Courier New"/>
          <w:color w:val="000000" w:themeColor="text1"/>
          <w:sz w:val="24"/>
          <w:szCs w:val="24"/>
          <w:highlight w:val="none"/>
        </w:rPr>
      </w:r>
      <w:r>
        <w:rPr>
          <w:color w:val="000000" w:themeColor="text1"/>
          <w:highlight w:val="none"/>
        </w:rPr>
      </w:r>
    </w:p>
    <w:p>
      <w:pPr>
        <w:pStyle w:val="952"/>
        <w:jc w:val="center"/>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签订日期：      年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月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日</w:t>
      </w: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rPr>
          <w:color w:val="000000" w:themeColor="text1"/>
          <w:highlight w:val="none"/>
        </w:rPr>
      </w:r>
    </w:p>
    <w:p>
      <w:pPr>
        <w:pStyle w:val="952"/>
        <w:ind w:firstLine="480"/>
        <w:spacing w:line="400" w:lineRule="exact"/>
        <w:rPr>
          <w:rFonts w:ascii="宋体" w:hAnsi="宋体"/>
          <w:bCs/>
          <w:color w:val="000000" w:themeColor="text1"/>
          <w:sz w:val="24"/>
          <w:szCs w:val="24"/>
          <w:highlight w:val="none"/>
        </w:rPr>
      </w:pPr>
      <w:r>
        <w:rPr>
          <w:rFonts w:hint="eastAsia" w:ascii="宋体" w:hAnsi="宋体" w:cs="Courier New"/>
          <w:color w:val="000000" w:themeColor="text1"/>
          <w:sz w:val="24"/>
          <w:szCs w:val="24"/>
          <w:highlight w:val="none"/>
        </w:rPr>
        <w:t xml:space="preserve">注：采购人也可参考财政部制定的《政府采购货物买卖合同（试行）》使用，《政府采购货物买卖合同（试行）》电子版请登录中国政府采购网（www.ccgp.gov.cn）下载。</w:t>
      </w:r>
      <w:r>
        <w:rPr>
          <w:rFonts w:ascii="宋体" w:hAnsi="宋体"/>
          <w:bCs/>
          <w:color w:val="000000" w:themeColor="text1"/>
          <w:sz w:val="24"/>
          <w:szCs w:val="24"/>
          <w:highlight w:val="none"/>
        </w:rPr>
      </w:r>
      <w:r>
        <w:rPr>
          <w:color w:val="000000" w:themeColor="text1"/>
          <w:highlight w:val="none"/>
        </w:rPr>
      </w:r>
    </w:p>
    <w:p>
      <w:pPr>
        <w:pStyle w:val="952"/>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rPr>
        <w:br w:type="page" w:clear="all"/>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Start w:id="184" w:name="_Hlt16619369"/>
      <w:r>
        <w:rPr>
          <w:color w:val="000000" w:themeColor="text1"/>
          <w:highlight w:val="none"/>
        </w:rPr>
      </w:r>
      <w:bookmarkEnd w:id="184"/>
      <w:r>
        <w:rPr>
          <w:color w:val="000000" w:themeColor="text1"/>
          <w:highlight w:val="none"/>
        </w:rPr>
      </w:r>
      <w:bookmarkStart w:id="185" w:name="_Hlt16619350"/>
      <w:r>
        <w:rPr>
          <w:color w:val="000000" w:themeColor="text1"/>
          <w:highlight w:val="none"/>
        </w:rPr>
      </w:r>
      <w:bookmarkStart w:id="186" w:name="_Toc120614244"/>
      <w:r>
        <w:rPr>
          <w:color w:val="000000" w:themeColor="text1"/>
          <w:highlight w:val="none"/>
        </w:rPr>
      </w:r>
      <w:bookmarkStart w:id="187" w:name="_Toc16938590"/>
      <w:r>
        <w:rPr>
          <w:color w:val="000000" w:themeColor="text1"/>
          <w:highlight w:val="none"/>
        </w:rPr>
      </w:r>
      <w:bookmarkStart w:id="188" w:name="_Toc20823346"/>
      <w:r>
        <w:rPr>
          <w:color w:val="000000" w:themeColor="text1"/>
          <w:highlight w:val="none"/>
        </w:rPr>
      </w:r>
      <w:bookmarkStart w:id="189" w:name="_Toc462564139"/>
      <w:r>
        <w:rPr>
          <w:color w:val="000000" w:themeColor="text1"/>
          <w:highlight w:val="none"/>
        </w:rPr>
      </w:r>
      <w:bookmarkStart w:id="190" w:name="_Toc479757211"/>
      <w:r>
        <w:rPr>
          <w:rFonts w:hint="eastAsia" w:ascii="黑体" w:hAnsi="黑体" w:eastAsia="黑体"/>
          <w:color w:val="000000" w:themeColor="text1"/>
          <w:sz w:val="36"/>
          <w:szCs w:val="36"/>
          <w:highlight w:val="none"/>
        </w:rPr>
        <w:t xml:space="preserve">第</w:t>
      </w:r>
      <w:bookmarkEnd w:id="185"/>
      <w:r>
        <w:rPr>
          <w:rFonts w:hint="eastAsia" w:ascii="黑体" w:hAnsi="黑体" w:eastAsia="黑体"/>
          <w:color w:val="000000" w:themeColor="text1"/>
          <w:sz w:val="36"/>
          <w:szCs w:val="36"/>
          <w:highlight w:val="none"/>
        </w:rPr>
        <w:t xml:space="preserve">四章 采购需求</w:t>
      </w:r>
      <w:bookmarkEnd w:id="186"/>
      <w:r>
        <w:rPr>
          <w:color w:val="000000" w:themeColor="text1"/>
          <w:highlight w:val="none"/>
        </w:rPr>
      </w:r>
      <w:bookmarkEnd w:id="187"/>
      <w:r>
        <w:rPr>
          <w:color w:val="000000" w:themeColor="text1"/>
          <w:highlight w:val="none"/>
        </w:rPr>
      </w:r>
      <w:bookmarkEnd w:id="188"/>
      <w:r>
        <w:rPr>
          <w:rFonts w:hint="eastAsia" w:ascii="黑体" w:hAnsi="黑体" w:eastAsia="黑体"/>
          <w:color w:val="000000" w:themeColor="text1"/>
          <w:sz w:val="36"/>
          <w:szCs w:val="36"/>
          <w:highlight w:val="none"/>
        </w:rPr>
      </w:r>
      <w:r>
        <w:rPr>
          <w:color w:val="000000" w:themeColor="text1"/>
          <w:highlight w:val="none"/>
        </w:rPr>
      </w:r>
    </w:p>
    <w:p>
      <w:pPr>
        <w:pStyle w:val="952"/>
        <w:ind w:firstLine="600"/>
        <w:jc w:val="left"/>
        <w:spacing w:line="360" w:lineRule="auto"/>
        <w:rPr>
          <w:rFonts w:hint="eastAsia" w:ascii="黑体" w:hAnsi="黑体" w:eastAsia="黑体"/>
          <w:color w:val="000000" w:themeColor="text1"/>
          <w:sz w:val="30"/>
          <w:szCs w:val="30"/>
          <w:highlight w:val="none"/>
        </w:rPr>
      </w:pPr>
      <w:r>
        <w:rPr>
          <w:color w:val="000000" w:themeColor="text1"/>
          <w:highlight w:val="none"/>
        </w:rPr>
      </w:r>
      <w:bookmarkStart w:id="191" w:name="_Toc49090575"/>
      <w:r>
        <w:rPr>
          <w:color w:val="000000" w:themeColor="text1"/>
          <w:highlight w:val="none"/>
        </w:rPr>
      </w:r>
      <w:bookmarkStart w:id="192" w:name="_Toc26554093"/>
      <w:r>
        <w:rPr>
          <w:rFonts w:hint="eastAsia" w:ascii="黑体" w:hAnsi="黑体" w:eastAsia="黑体"/>
          <w:color w:val="000000" w:themeColor="text1"/>
          <w:sz w:val="30"/>
          <w:szCs w:val="30"/>
          <w:highlight w:val="none"/>
        </w:rPr>
        <w:t xml:space="preserve">本项目属性：</w:t>
      </w:r>
      <w:r>
        <w:rPr>
          <w:rFonts w:hint="eastAsia" w:ascii="黑体" w:hAnsi="黑体" w:eastAsia="黑体"/>
          <w:color w:val="000000" w:themeColor="text1"/>
          <w:sz w:val="30"/>
          <w:szCs w:val="30"/>
          <w:highlight w:val="none"/>
        </w:rPr>
        <w:t xml:space="preserve">货物类项目</w:t>
      </w:r>
      <w:r>
        <w:rPr>
          <w:rFonts w:hint="eastAsia" w:ascii="黑体" w:hAnsi="黑体" w:eastAsia="黑体"/>
          <w:color w:val="000000" w:themeColor="text1"/>
          <w:sz w:val="30"/>
          <w:szCs w:val="30"/>
          <w:highlight w:val="none"/>
        </w:rPr>
      </w:r>
      <w:r>
        <w:rPr>
          <w:color w:val="000000" w:themeColor="text1"/>
          <w:highlight w:val="none"/>
        </w:rPr>
      </w:r>
    </w:p>
    <w:p>
      <w:pPr>
        <w:pStyle w:val="952"/>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投标人所投内容必须满足以下要求，不得有负偏离。</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本项目标的物所属行业：工业</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本项目中采购包1的服务器</w:t>
      </w:r>
      <w:r>
        <w:rPr>
          <w:rFonts w:hint="eastAsia" w:ascii="宋体" w:hAnsi="宋体"/>
          <w:color w:val="000000" w:themeColor="text1"/>
          <w:sz w:val="24"/>
          <w:szCs w:val="24"/>
          <w:highlight w:val="none"/>
          <w:lang w:val="en-US" w:eastAsia="zh-CN"/>
        </w:rPr>
        <w:t xml:space="preserve">2型</w:t>
      </w:r>
      <w:r>
        <w:rPr>
          <w:rFonts w:hint="eastAsia" w:ascii="宋体" w:hAnsi="宋体"/>
          <w:color w:val="000000" w:themeColor="text1"/>
          <w:sz w:val="24"/>
          <w:szCs w:val="24"/>
          <w:highlight w:val="none"/>
        </w:rPr>
        <w:t xml:space="preserve">为核心产品，采购包2的LED屏为核心产品。</w:t>
      </w:r>
      <w:r>
        <w:rPr>
          <w:rFonts w:ascii="宋体" w:hAnsi="宋体"/>
          <w:color w:val="000000" w:themeColor="text1"/>
          <w:sz w:val="24"/>
          <w:szCs w:val="24"/>
          <w:highlight w:val="none"/>
        </w:rPr>
      </w:r>
      <w:r>
        <w:rPr>
          <w:color w:val="000000" w:themeColor="text1"/>
          <w:highlight w:val="none"/>
        </w:rPr>
      </w:r>
    </w:p>
    <w:p>
      <w:pPr>
        <w:pStyle w:val="952"/>
        <w:ind w:firstLine="602"/>
        <w:spacing w:line="360" w:lineRule="auto"/>
        <w:rPr>
          <w:rFonts w:hint="eastAsia"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第一部分  项目技术要求</w:t>
      </w:r>
      <w:r>
        <w:rPr>
          <w:rFonts w:hint="eastAsia" w:ascii="宋体" w:hAnsi="宋体"/>
          <w:b/>
          <w:color w:val="000000" w:themeColor="text1"/>
          <w:sz w:val="30"/>
          <w:szCs w:val="30"/>
          <w:highlight w:val="none"/>
        </w:rPr>
      </w:r>
      <w:r>
        <w:rPr>
          <w:color w:val="000000" w:themeColor="text1"/>
          <w:highlight w:val="none"/>
        </w:rPr>
      </w:r>
    </w:p>
    <w:p>
      <w:pPr>
        <w:pStyle w:val="952"/>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本项目分为</w:t>
      </w:r>
      <w:r>
        <w:rPr>
          <w:rFonts w:hint="eastAsia" w:ascii="宋体" w:hAnsi="宋体"/>
          <w:bCs/>
          <w:color w:val="000000" w:themeColor="text1"/>
          <w:sz w:val="24"/>
          <w:szCs w:val="24"/>
          <w:highlight w:val="none"/>
        </w:rPr>
        <w:t xml:space="preserve">两</w:t>
      </w:r>
      <w:r>
        <w:rPr>
          <w:rFonts w:hint="eastAsia" w:ascii="宋体" w:hAnsi="宋体"/>
          <w:bCs/>
          <w:color w:val="000000" w:themeColor="text1"/>
          <w:sz w:val="24"/>
          <w:szCs w:val="24"/>
          <w:highlight w:val="none"/>
        </w:rPr>
        <w:t xml:space="preserve">个采购包，分别为：采购包1、采购包2。投标人可以根据自身能力及条件选择一个或几个采购包进行投标，按各采购包分别中标，可兼投兼中。具体规则详见第五章。</w:t>
      </w:r>
      <w:r>
        <w:rPr>
          <w:rFonts w:hint="eastAsia" w:ascii="宋体" w:hAnsi="宋体"/>
          <w:bCs/>
          <w:color w:val="000000" w:themeColor="text1"/>
          <w:sz w:val="24"/>
          <w:szCs w:val="24"/>
          <w:highlight w:val="none"/>
        </w:rPr>
      </w:r>
      <w:r>
        <w:rPr>
          <w:color w:val="000000" w:themeColor="text1"/>
          <w:highlight w:val="none"/>
        </w:rPr>
      </w:r>
    </w:p>
    <w:p>
      <w:pPr>
        <w:pStyle w:val="952"/>
        <w:ind w:firstLine="645"/>
        <w:jc w:val="left"/>
        <w:spacing w:line="380" w:lineRule="exact"/>
        <w:rPr>
          <w:rFonts w:hint="eastAsia"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采购包1：</w:t>
      </w:r>
      <w:r>
        <w:rPr>
          <w:rFonts w:hint="eastAsia" w:ascii="宋体" w:hAnsi="宋体"/>
          <w:b/>
          <w:color w:val="000000" w:themeColor="text1"/>
          <w:sz w:val="30"/>
          <w:szCs w:val="30"/>
          <w:highlight w:val="none"/>
        </w:rPr>
      </w:r>
      <w:r>
        <w:rPr>
          <w:color w:val="000000" w:themeColor="text1"/>
          <w:highlight w:val="none"/>
        </w:rPr>
      </w:r>
    </w:p>
    <w:p>
      <w:pPr>
        <w:pStyle w:val="952"/>
        <w:ind w:firstLine="645"/>
        <w:jc w:val="left"/>
        <w:spacing w:line="3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投标人须提供满足以下要求的设备和服务，不得有负偏离。</w:t>
      </w:r>
      <w:r>
        <w:rPr>
          <w:rFonts w:ascii="宋体" w:hAnsi="宋体"/>
          <w:color w:val="000000" w:themeColor="text1"/>
          <w:sz w:val="24"/>
          <w:szCs w:val="24"/>
          <w:highlight w:val="none"/>
        </w:rPr>
      </w:r>
      <w:r>
        <w:rPr>
          <w:color w:val="000000" w:themeColor="text1"/>
          <w:highlight w:val="none"/>
        </w:rPr>
      </w:r>
    </w:p>
    <w:p>
      <w:pPr>
        <w:pStyle w:val="952"/>
        <w:ind w:firstLine="645"/>
        <w:jc w:val="left"/>
        <w:spacing w:line="380" w:lineRule="exact"/>
        <w:rPr>
          <w:rFonts w:hint="eastAsia" w:ascii="宋体" w:hAnsi="Calibri"/>
          <w:bCs/>
          <w:color w:val="000000" w:themeColor="text1"/>
          <w:sz w:val="24"/>
          <w:szCs w:val="24"/>
          <w:highlight w:val="none"/>
        </w:rPr>
      </w:pPr>
      <w:r>
        <w:rPr>
          <w:rFonts w:hint="eastAsia" w:ascii="宋体" w:hAnsi="Calibri"/>
          <w:bCs/>
          <w:color w:val="000000" w:themeColor="text1"/>
          <w:sz w:val="24"/>
          <w:szCs w:val="24"/>
          <w:highlight w:val="none"/>
        </w:rPr>
        <w:t xml:space="preserve">本项目中的</w:t>
      </w:r>
      <w:r>
        <w:rPr>
          <w:rFonts w:hint="eastAsia" w:ascii="宋体" w:hAnsi="宋体"/>
          <w:b/>
          <w:color w:val="000000" w:themeColor="text1"/>
          <w:sz w:val="24"/>
          <w:szCs w:val="24"/>
          <w:highlight w:val="none"/>
          <w:u w:val="single"/>
        </w:rPr>
        <w:t xml:space="preserve">服务器2型</w:t>
      </w:r>
      <w:r>
        <w:rPr>
          <w:rFonts w:hint="eastAsia" w:ascii="宋体" w:hAnsi="Calibri"/>
          <w:bCs/>
          <w:color w:val="000000" w:themeColor="text1"/>
          <w:sz w:val="24"/>
          <w:szCs w:val="24"/>
          <w:highlight w:val="none"/>
        </w:rPr>
        <w:t xml:space="preserve">为核心产品。</w:t>
      </w:r>
      <w:r>
        <w:rPr>
          <w:rFonts w:hint="eastAsia" w:ascii="宋体" w:hAnsi="Calibri"/>
          <w:bCs/>
          <w:color w:val="000000" w:themeColor="text1"/>
          <w:sz w:val="24"/>
          <w:szCs w:val="24"/>
          <w:highlight w:val="none"/>
        </w:rPr>
      </w:r>
      <w:r>
        <w:rPr>
          <w:color w:val="000000" w:themeColor="text1"/>
          <w:highlight w:val="none"/>
        </w:rPr>
      </w:r>
    </w:p>
    <w:p>
      <w:pPr>
        <w:pStyle w:val="952"/>
        <w:numPr>
          <w:ilvl w:val="0"/>
          <w:numId w:val="5"/>
        </w:numPr>
        <w:keepLines/>
        <w:keepNext/>
        <w:spacing w:before="260" w:after="260" w:line="360" w:lineRule="auto"/>
        <w:rPr>
          <w:rFonts w:ascii="宋体" w:hAnsi="宋体"/>
          <w:b/>
          <w:bCs/>
          <w:color w:val="000000" w:themeColor="text1"/>
          <w:sz w:val="24"/>
          <w:szCs w:val="24"/>
          <w:highlight w:val="none"/>
        </w:rPr>
        <w:outlineLvl w:val="1"/>
      </w:pPr>
      <w:r>
        <w:rPr>
          <w:rFonts w:hint="eastAsia" w:ascii="宋体" w:hAnsi="宋体"/>
          <w:b/>
          <w:bCs/>
          <w:color w:val="000000" w:themeColor="text1"/>
          <w:sz w:val="24"/>
          <w:szCs w:val="24"/>
          <w:highlight w:val="none"/>
        </w:rPr>
        <w:t xml:space="preserve">项目概述</w:t>
      </w:r>
      <w:r>
        <w:rPr>
          <w:rFonts w:ascii="宋体" w:hAnsi="宋体"/>
          <w:b/>
          <w:bCs/>
          <w:color w:val="000000" w:themeColor="text1"/>
          <w:sz w:val="24"/>
          <w:szCs w:val="24"/>
          <w:highlight w:val="none"/>
        </w:rPr>
      </w:r>
      <w:r>
        <w:rPr>
          <w:color w:val="000000" w:themeColor="text1"/>
          <w:highlight w:val="none"/>
        </w:rPr>
      </w:r>
    </w:p>
    <w:p>
      <w:pPr>
        <w:pStyle w:val="952"/>
        <w:ind w:firstLine="480"/>
        <w:spacing w:line="360" w:lineRule="auto"/>
        <w:tabs>
          <w:tab w:val="left" w:pos="210" w:leader="none"/>
          <w:tab w:val="left" w:pos="420"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基地水文数据处理存储使用的是太湖流域水资源监控与保护预警系统项目购置1套计算与存储设备，2016年投入使用，主要设备包括刀片服务器6台、存储1台，资源使用率已达到85%，且IT设备老旧导致日常故障率逐年升高，考虑今后水文数据动态计算评价、蓝藻集合预报等业务数据计算、存储与备份要求，计算存储能力明显无法满足需求。</w:t>
      </w:r>
      <w:r>
        <w:rPr>
          <w:rFonts w:hint="eastAsia" w:ascii="宋体" w:hAnsi="宋体"/>
          <w:color w:val="000000" w:themeColor="text1"/>
          <w:sz w:val="24"/>
          <w:szCs w:val="24"/>
          <w:highlight w:val="none"/>
        </w:rPr>
      </w:r>
      <w:r>
        <w:rPr>
          <w:color w:val="000000" w:themeColor="text1"/>
          <w:highlight w:val="none"/>
        </w:rPr>
      </w:r>
    </w:p>
    <w:p>
      <w:pPr>
        <w:pStyle w:val="952"/>
        <w:numPr>
          <w:ilvl w:val="0"/>
          <w:numId w:val="0"/>
        </w:numPr>
        <w:ind w:firstLine="480"/>
        <w:keepLines w:val="0"/>
        <w:keepNext w:val="0"/>
        <w:spacing w:before="0" w:after="0" w:line="360" w:lineRule="auto"/>
        <w:tabs>
          <w:tab w:val="left" w:pos="210" w:leader="none"/>
          <w:tab w:val="left" w:pos="420" w:leader="none"/>
          <w:tab w:val="left" w:pos="1155" w:leader="none"/>
        </w:tabs>
        <w:rPr>
          <w:rFonts w:hint="eastAsia" w:ascii="宋体" w:hAnsi="宋体" w:eastAsia="宋体" w:cs="Times New Roman"/>
          <w:b w:val="0"/>
          <w:bCs w:val="0"/>
          <w:color w:val="000000" w:themeColor="text1"/>
          <w:sz w:val="24"/>
          <w:szCs w:val="24"/>
          <w:highlight w:val="none"/>
        </w:rPr>
        <w:outlineLvl w:val="9"/>
      </w:pPr>
      <w:r>
        <w:rPr>
          <w:rFonts w:hint="eastAsia" w:ascii="宋体" w:hAnsi="宋体" w:eastAsia="宋体" w:cs="Times New Roman"/>
          <w:color w:val="000000" w:themeColor="text1"/>
          <w:sz w:val="24"/>
          <w:szCs w:val="24"/>
          <w:highlight w:val="none"/>
        </w:rPr>
        <w:t xml:space="preserve">基于上述系统现状和风险问题，遵循安全自主可控选型原则，本次拟开展对基地的机架式服务器、虚拟化软件更新，能够更好的满足基地业务系统的稳定、安全运行，为各业务提供基础支撑。</w:t>
      </w:r>
      <w:r>
        <w:rPr>
          <w:rFonts w:hint="eastAsia" w:ascii="宋体" w:hAnsi="宋体" w:eastAsia="宋体" w:cs="Times New Roman"/>
          <w:b w:val="0"/>
          <w:bCs w:val="0"/>
          <w:color w:val="000000" w:themeColor="text1"/>
          <w:sz w:val="24"/>
          <w:szCs w:val="24"/>
          <w:highlight w:val="none"/>
        </w:rPr>
      </w:r>
      <w:r>
        <w:rPr>
          <w:color w:val="000000" w:themeColor="text1"/>
          <w:highlight w:val="none"/>
        </w:rPr>
      </w:r>
    </w:p>
    <w:p>
      <w:pPr>
        <w:pStyle w:val="952"/>
        <w:spacing w:line="360" w:lineRule="auto"/>
        <w:tabs>
          <w:tab w:val="left" w:pos="210" w:leader="none"/>
          <w:tab w:val="left" w:pos="420" w:leader="none"/>
          <w:tab w:val="left" w:pos="1155"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lang w:val="en-US" w:eastAsia="zh-CN"/>
        </w:rPr>
      </w:r>
      <w:r>
        <w:rPr>
          <w:color w:val="000000" w:themeColor="text1"/>
          <w:highlight w:val="none"/>
        </w:rPr>
      </w:r>
    </w:p>
    <w:p>
      <w:pPr>
        <w:pStyle w:val="952"/>
        <w:spacing w:line="360" w:lineRule="auto"/>
        <w:tabs>
          <w:tab w:val="left" w:pos="210" w:leader="none"/>
          <w:tab w:val="left" w:pos="420" w:leader="none"/>
          <w:tab w:val="left" w:pos="1155"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lang w:val="en-US" w:eastAsia="zh-CN"/>
        </w:rPr>
        <w:t xml:space="preserve">2.</w:t>
      </w:r>
      <w:r>
        <w:rPr>
          <w:rFonts w:hint="eastAsia" w:ascii="宋体" w:hAnsi="宋体"/>
          <w:b/>
          <w:bCs/>
          <w:color w:val="000000" w:themeColor="text1"/>
          <w:sz w:val="24"/>
          <w:szCs w:val="24"/>
          <w:highlight w:val="none"/>
        </w:rPr>
        <w:t xml:space="preserve">项目采购清单</w:t>
      </w:r>
      <w:r>
        <w:rPr>
          <w:rFonts w:ascii="宋体" w:hAnsi="宋体"/>
          <w:b/>
          <w:bCs/>
          <w:color w:val="000000" w:themeColor="text1"/>
          <w:sz w:val="24"/>
          <w:szCs w:val="24"/>
          <w:highlight w:val="none"/>
        </w:rPr>
      </w:r>
      <w:r>
        <w:rPr>
          <w:color w:val="000000" w:themeColor="text1"/>
          <w:highlight w:val="none"/>
        </w:rP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2456"/>
        <w:gridCol w:w="4313"/>
        <w:gridCol w:w="881"/>
        <w:gridCol w:w="1016"/>
      </w:tblGrid>
      <w:tr>
        <w:trPr>
          <w:trHeight w:val="499"/>
        </w:trPr>
        <w:tc>
          <w:tcPr>
            <w:tcW w:w="471" w:type="dxa"/>
            <w:vAlign w:val="center"/>
            <w:textDirection w:val="lrTb"/>
            <w:noWrap w:val="false"/>
          </w:tcPr>
          <w:p>
            <w:pPr>
              <w:pStyle w:val="952"/>
              <w:jc w:val="center"/>
              <w:widowControl/>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序号</w:t>
            </w:r>
            <w:r>
              <w:rPr>
                <w:rFonts w:ascii="宋体" w:hAnsi="宋体" w:cs="宋体"/>
                <w:b/>
                <w:bCs/>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项目名称</w:t>
            </w:r>
            <w:r>
              <w:rPr>
                <w:rFonts w:hint="eastAsia" w:ascii="宋体" w:hAnsi="宋体" w:cs="宋体"/>
                <w:b/>
                <w:bCs/>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技术参数</w:t>
            </w:r>
            <w:r>
              <w:rPr>
                <w:rFonts w:hint="eastAsia" w:ascii="宋体" w:hAnsi="宋体" w:cs="宋体"/>
                <w:b/>
                <w:bCs/>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数量</w:t>
            </w:r>
            <w:r>
              <w:rPr>
                <w:rFonts w:hint="eastAsia" w:ascii="宋体" w:hAnsi="宋体" w:cs="宋体"/>
                <w:b/>
                <w:bCs/>
                <w:color w:val="000000" w:themeColor="text1"/>
                <w:sz w:val="24"/>
                <w:szCs w:val="24"/>
                <w:highlight w:val="none"/>
              </w:rPr>
            </w:r>
            <w:r>
              <w:rPr>
                <w:color w:val="000000" w:themeColor="text1"/>
                <w:highlight w:val="none"/>
              </w:rPr>
            </w:r>
          </w:p>
        </w:tc>
        <w:tc>
          <w:tcPr>
            <w:tcW w:w="531" w:type="dxa"/>
            <w:vAlign w:val="center"/>
            <w:textDirection w:val="lrTb"/>
            <w:noWrap w:val="false"/>
          </w:tcPr>
          <w:p>
            <w:pPr>
              <w:pStyle w:val="952"/>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单位</w:t>
            </w:r>
            <w:r>
              <w:rPr>
                <w:rFonts w:hint="eastAsia" w:ascii="宋体" w:hAnsi="宋体" w:cs="宋体"/>
                <w:b/>
                <w:bCs/>
                <w:color w:val="000000" w:themeColor="text1"/>
                <w:sz w:val="24"/>
                <w:szCs w:val="24"/>
                <w:highlight w:val="none"/>
              </w:rPr>
            </w:r>
            <w:r>
              <w:rPr>
                <w:color w:val="000000" w:themeColor="text1"/>
                <w:highlight w:val="none"/>
              </w:rPr>
            </w:r>
          </w:p>
        </w:tc>
      </w:tr>
      <w:tr>
        <w:trPr>
          <w:trHeight w:val="499"/>
        </w:trPr>
        <w:tc>
          <w:tcPr>
            <w:tcW w:w="471"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服务器</w:t>
            </w:r>
            <w:r>
              <w:rPr>
                <w:rFonts w:hint="eastAsia" w:ascii="宋体" w:hAnsi="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r>
            <w:r>
              <w:rPr>
                <w:color w:val="000000" w:themeColor="text1"/>
                <w:highlight w:val="none"/>
              </w:rPr>
            </w:r>
          </w:p>
        </w:tc>
        <w:tc>
          <w:tcPr>
            <w:tcW w:w="531" w:type="dxa"/>
            <w:vAlign w:val="center"/>
            <w:textDirection w:val="lrTb"/>
            <w:noWrap w:val="false"/>
          </w:tcPr>
          <w:p>
            <w:pPr>
              <w:pStyle w:val="952"/>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r>
            <w:r>
              <w:rPr>
                <w:color w:val="000000" w:themeColor="text1"/>
                <w:highlight w:val="none"/>
              </w:rPr>
            </w:r>
          </w:p>
        </w:tc>
      </w:tr>
      <w:tr>
        <w:trPr>
          <w:trHeight w:val="499"/>
        </w:trPr>
        <w:tc>
          <w:tcPr>
            <w:tcW w:w="471"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1.1</w:t>
            </w:r>
            <w:r>
              <w:rPr>
                <w:rFonts w:hint="eastAsia"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服务器1型</w:t>
            </w:r>
            <w:r>
              <w:rPr>
                <w:rFonts w:hint="eastAsia" w:ascii="宋体" w:hAnsi="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hint="eastAsia" w:ascii="宋体" w:hAnsi="宋体" w:cs="宋体"/>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 </w:t>
            </w:r>
            <w:r>
              <w:rPr>
                <w:rFonts w:hint="eastAsia" w:ascii="宋体" w:hAnsi="宋体"/>
                <w:color w:val="000000" w:themeColor="text1"/>
                <w:sz w:val="24"/>
                <w:szCs w:val="24"/>
                <w:highlight w:val="none"/>
              </w:rPr>
            </w:r>
            <w:r>
              <w:rPr>
                <w:color w:val="000000" w:themeColor="text1"/>
                <w:highlight w:val="none"/>
              </w:rPr>
            </w:r>
          </w:p>
        </w:tc>
        <w:tc>
          <w:tcPr>
            <w:tcW w:w="531"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rFonts w:hint="eastAsia" w:ascii="宋体" w:hAnsi="宋体" w:cs="宋体"/>
                <w:color w:val="000000" w:themeColor="text1"/>
                <w:sz w:val="24"/>
                <w:szCs w:val="24"/>
                <w:highlight w:val="none"/>
              </w:rPr>
            </w:r>
            <w:r>
              <w:rPr>
                <w:color w:val="000000" w:themeColor="text1"/>
                <w:highlight w:val="none"/>
              </w:rPr>
            </w:r>
          </w:p>
        </w:tc>
      </w:tr>
      <w:tr>
        <w:trPr>
          <w:trHeight w:val="499"/>
        </w:trPr>
        <w:tc>
          <w:tcPr>
            <w:tcW w:w="471"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1.2</w:t>
            </w:r>
            <w:r>
              <w:rPr>
                <w:rFonts w:hint="eastAsia"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服务器2型</w:t>
            </w:r>
            <w:r>
              <w:rPr>
                <w:rFonts w:hint="eastAsia" w:ascii="宋体" w:hAnsi="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hint="eastAsia" w:ascii="宋体" w:hAnsi="宋体" w:cs="宋体"/>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r>
            <w:r>
              <w:rPr>
                <w:color w:val="000000" w:themeColor="text1"/>
                <w:highlight w:val="none"/>
              </w:rPr>
            </w:r>
          </w:p>
        </w:tc>
        <w:tc>
          <w:tcPr>
            <w:tcW w:w="531"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rFonts w:hint="eastAsia" w:ascii="宋体" w:hAnsi="宋体" w:cs="宋体"/>
                <w:color w:val="000000" w:themeColor="text1"/>
                <w:sz w:val="24"/>
                <w:szCs w:val="24"/>
                <w:highlight w:val="none"/>
              </w:rPr>
            </w:r>
            <w:r>
              <w:rPr>
                <w:color w:val="000000" w:themeColor="text1"/>
                <w:highlight w:val="none"/>
              </w:rPr>
            </w:r>
          </w:p>
        </w:tc>
      </w:tr>
      <w:tr>
        <w:trPr>
          <w:trHeight w:val="499"/>
        </w:trPr>
        <w:tc>
          <w:tcPr>
            <w:tcW w:w="471"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虚拟化软件</w:t>
            </w:r>
            <w:r>
              <w:rPr>
                <w:rFonts w:ascii="宋体" w:hAnsi="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ascii="宋体" w:hAnsi="宋体" w:cs="宋体"/>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 </w:t>
            </w:r>
            <w:r>
              <w:rPr>
                <w:rFonts w:hint="eastAsia" w:ascii="宋体" w:hAnsi="宋体"/>
                <w:color w:val="000000" w:themeColor="text1"/>
                <w:sz w:val="24"/>
                <w:szCs w:val="24"/>
                <w:highlight w:val="none"/>
              </w:rPr>
            </w:r>
            <w:r>
              <w:rPr>
                <w:color w:val="000000" w:themeColor="text1"/>
                <w:highlight w:val="none"/>
              </w:rPr>
            </w:r>
          </w:p>
        </w:tc>
        <w:tc>
          <w:tcPr>
            <w:tcW w:w="531" w:type="dxa"/>
            <w:vAlign w:val="center"/>
            <w:textDirection w:val="lrTb"/>
            <w:noWrap w:val="false"/>
          </w:tcPr>
          <w:p>
            <w:pPr>
              <w:pStyle w:val="952"/>
              <w:jc w:val="center"/>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套</w:t>
            </w:r>
            <w:r>
              <w:rPr>
                <w:rFonts w:ascii="宋体" w:hAnsi="宋体"/>
                <w:color w:val="000000" w:themeColor="text1"/>
                <w:sz w:val="24"/>
                <w:szCs w:val="24"/>
                <w:highlight w:val="none"/>
              </w:rPr>
            </w:r>
            <w:r>
              <w:rPr>
                <w:color w:val="000000" w:themeColor="text1"/>
                <w:highlight w:val="none"/>
              </w:rPr>
            </w:r>
          </w:p>
        </w:tc>
      </w:tr>
    </w:tbl>
    <w:p>
      <w:pPr>
        <w:pStyle w:val="952"/>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952"/>
        <w:numPr>
          <w:ilvl w:val="0"/>
          <w:numId w:val="0"/>
        </w:numPr>
        <w:keepLines/>
        <w:keepNext/>
        <w:spacing w:before="120" w:after="120" w:line="360" w:lineRule="auto"/>
        <w:rPr>
          <w:rFonts w:ascii="宋体" w:hAnsi="宋体"/>
          <w:b/>
          <w:bCs/>
          <w:color w:val="000000" w:themeColor="text1"/>
          <w:sz w:val="24"/>
          <w:szCs w:val="24"/>
          <w:highlight w:val="none"/>
        </w:rPr>
        <w:outlineLvl w:val="1"/>
      </w:pPr>
      <w:r>
        <w:rPr>
          <w:rFonts w:hint="eastAsia" w:ascii="宋体" w:hAnsi="宋体"/>
          <w:b/>
          <w:bCs/>
          <w:color w:val="000000" w:themeColor="text1"/>
          <w:sz w:val="24"/>
          <w:szCs w:val="24"/>
          <w:highlight w:val="none"/>
          <w:lang w:val="en-US" w:eastAsia="zh-CN"/>
        </w:rPr>
        <w:t xml:space="preserve">3.</w:t>
      </w:r>
      <w:r>
        <w:rPr>
          <w:rFonts w:hint="eastAsia" w:ascii="宋体" w:hAnsi="宋体"/>
          <w:b/>
          <w:bCs/>
          <w:color w:val="000000" w:themeColor="text1"/>
          <w:sz w:val="24"/>
          <w:szCs w:val="24"/>
          <w:highlight w:val="none"/>
        </w:rPr>
        <w:t xml:space="preserve">技术指标要求</w:t>
      </w:r>
      <w:r>
        <w:rPr>
          <w:rFonts w:ascii="宋体" w:hAnsi="宋体"/>
          <w:b/>
          <w:bCs/>
          <w:color w:val="000000" w:themeColor="text1"/>
          <w:sz w:val="24"/>
          <w:szCs w:val="24"/>
          <w:highlight w:val="none"/>
        </w:rPr>
      </w:r>
      <w:r>
        <w:rPr>
          <w:color w:val="000000" w:themeColor="text1"/>
          <w:highlight w:val="none"/>
        </w:rPr>
      </w:r>
    </w:p>
    <w:p>
      <w:pPr>
        <w:pStyle w:val="952"/>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3.1 服务器1型</w:t>
      </w:r>
      <w:r>
        <w:rPr>
          <w:rFonts w:hint="eastAsia" w:ascii="宋体" w:hAnsi="宋体"/>
          <w:b/>
          <w:bCs/>
          <w:color w:val="000000" w:themeColor="text1"/>
          <w:sz w:val="24"/>
          <w:szCs w:val="24"/>
          <w:highlight w:val="none"/>
        </w:rPr>
      </w:r>
      <w:r>
        <w:rPr>
          <w:color w:val="000000" w:themeColor="text1"/>
          <w:highlight w:val="none"/>
        </w:rPr>
      </w:r>
    </w:p>
    <w:tbl>
      <w:tblPr>
        <w:tblW w:w="4995" w:type="pct"/>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7" w:type="dxa"/>
          <w:top w:w="42" w:type="dxa"/>
          <w:right w:w="108" w:type="dxa"/>
          <w:bottom w:w="0" w:type="dxa"/>
        </w:tblCellMar>
        <w:tblLook w:val="04A0" w:firstRow="1" w:lastRow="0" w:firstColumn="1" w:lastColumn="0" w:noHBand="0" w:noVBand="1"/>
      </w:tblPr>
      <w:tblGrid>
        <w:gridCol w:w="575"/>
        <w:gridCol w:w="803"/>
        <w:gridCol w:w="1384"/>
        <w:gridCol w:w="5451"/>
        <w:gridCol w:w="1347"/>
      </w:tblGrid>
      <w:tr>
        <w:trPr>
          <w:trHeight w:val="23"/>
        </w:trPr>
        <w:tc>
          <w:tcPr>
            <w:tcW w:w="300" w:type="dxa"/>
            <w:vAlign w:val="center"/>
            <w:textDirection w:val="lrTb"/>
            <w:noWrap w:val="false"/>
          </w:tcPr>
          <w:p>
            <w:pPr>
              <w:pStyle w:val="952"/>
              <w:jc w:val="cente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序号</w:t>
            </w:r>
            <w:r>
              <w:rPr>
                <w:rFonts w:hint="eastAsia" w:ascii="宋体" w:hAnsi="宋体" w:cs="宋体"/>
                <w:b/>
                <w:color w:val="000000" w:themeColor="text1"/>
                <w:sz w:val="24"/>
                <w:szCs w:val="24"/>
                <w:highlight w:val="none"/>
              </w:rPr>
            </w:r>
            <w:r>
              <w:rPr>
                <w:color w:val="000000" w:themeColor="text1"/>
                <w:highlight w:val="none"/>
              </w:rPr>
            </w:r>
          </w:p>
        </w:tc>
        <w:tc>
          <w:tcPr>
            <w:tcW w:w="420" w:type="dxa"/>
            <w:vAlign w:val="center"/>
            <w:textDirection w:val="lrTb"/>
            <w:noWrap w:val="false"/>
          </w:tcPr>
          <w:p>
            <w:pPr>
              <w:pStyle w:val="952"/>
              <w:jc w:val="center"/>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一级指标</w:t>
            </w:r>
            <w:r>
              <w:rPr>
                <w:rFonts w:ascii="宋体" w:hAnsi="宋体" w:cs="宋体"/>
                <w:b/>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jc w:val="cente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二级指标</w:t>
            </w:r>
            <w:r>
              <w:rPr>
                <w:rFonts w:hint="eastAsia" w:ascii="宋体" w:hAnsi="宋体" w:cs="宋体"/>
                <w:b/>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jc w:val="cente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指标要求</w:t>
            </w:r>
            <w:r>
              <w:rPr>
                <w:rFonts w:hint="eastAsia" w:ascii="宋体" w:hAnsi="宋体" w:cs="宋体"/>
                <w:b/>
                <w:color w:val="000000" w:themeColor="text1"/>
                <w:sz w:val="24"/>
                <w:szCs w:val="24"/>
                <w:highlight w:val="none"/>
              </w:rPr>
            </w:r>
            <w:r>
              <w:rPr>
                <w:color w:val="000000" w:themeColor="text1"/>
                <w:highlight w:val="none"/>
              </w:rPr>
            </w:r>
          </w:p>
        </w:tc>
        <w:tc>
          <w:tcPr>
            <w:tcW w:w="704" w:type="dxa"/>
            <w:vAlign w:val="center"/>
            <w:textDirection w:val="lrTb"/>
            <w:noWrap w:val="false"/>
          </w:tcPr>
          <w:p>
            <w:pPr>
              <w:pStyle w:val="952"/>
              <w:jc w:val="center"/>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备注</w:t>
            </w:r>
            <w:r>
              <w:rPr>
                <w:rFonts w:ascii="宋体" w:hAnsi="宋体" w:cs="宋体"/>
                <w:b/>
                <w:color w:val="000000" w:themeColor="text1"/>
                <w:sz w:val="24"/>
                <w:szCs w:val="24"/>
                <w:highlight w:val="none"/>
              </w:rPr>
            </w:r>
            <w:r>
              <w:rPr>
                <w:color w:val="000000" w:themeColor="text1"/>
                <w:highlight w:val="none"/>
              </w:rP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CPU</w:t>
            </w:r>
            <w:r>
              <w:rPr>
                <w:rFonts w:hint="eastAsia" w:ascii="宋体" w:hAnsi="宋体" w:cs="宋体"/>
                <w:color w:val="000000" w:themeColor="text1"/>
                <w:sz w:val="24"/>
                <w:szCs w:val="24"/>
                <w:highlight w:val="none"/>
              </w:rPr>
              <w:t xml:space="preserve">规格</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CPU信息</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配置2颗C86架构处理器，核数≥32个物理核/颗，线程数≥64，主频≥2.5GHz（基准频率），缓存容量≥64MB，支持内存最高速率≥5600MHz，内存通道数≥4</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restart"/>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产品属于财政部、工业和信息化部共同发布的便携式计算机、操作系统、工作站、数据库、台式计算机、通用服务器、一体式计算机七种IT软硬件，详见财库〔2023〕29号、30号、31号、32号、33号、34号、35号文。采购人已根据《需求标准》将加“*”的指标纳入了采购需求并根据采购需求制定了相应参数。</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表中参数指标如有涉及要求给出或提供材料、清单等要求的，投标时无需提供相应证明材料，投标人按招标文件格式要求提供《承诺书》的（格式见招标文件第六章第二部分），即视为能够提供相关符合要求的产品并视作具备了相应能力。</w:t>
            </w:r>
            <w:r>
              <w:rPr>
                <w:color w:val="000000" w:themeColor="text1"/>
                <w:highlight w:val="none"/>
              </w:rP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主板规格</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主板支持的CPU和内存情况</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支持CPU 2颗，主板最大支持DDR5内存≥16根</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主板内存槽数量</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可扩展插槽数量≥16个</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主板存储接口</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支持SATA、SAS、NVMe（M.2、U.2）等存储接口中的一种</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PCIe插槽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接口</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符合PCIe4.0高速串行计算机扩展总线标准，PCIe的接口速率与位宽向下兼容</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主板PCIe 插槽数量及规格</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≥5个PCIe 4.0 </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特殊孔位及接口</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支持USB2.0及3.0</w:t>
            </w:r>
            <w:r>
              <w:rPr>
                <w:rFonts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板载网络接口</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板载网络接口≥4个1GE网口</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主板OCP插槽数量</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支持OCP2.0及以上插槽的数量≥1个</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内存规格</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内存数量</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≥8根</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内存规格</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DDR5 64GB</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内存通道</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支持4个内存接口通道，每个通道可支持2DPC，印制电路板上应具备插槽的序号标识</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存储规格</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硬盘类型</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支持SATA、SAS、SSD等硬盘</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14</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硬磁盘实配容量</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配置不低于1.92T SSD硬盘</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硬盘接口类型</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 SAS 3.0或 SATA 3.0 及以上接口；提供 SATA类型固态盘接口</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16</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硬盘实配数量</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实配1.92T SSD磁盘数量≥3块</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17</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硬盘插槽数量及规格</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配置的硬盘尺寸为3.5英寸硬磁盘；</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服务器可支持的硬盘数量应不少于12块。</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18</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硬盘其他参数要求</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固定螺丝孔数量可为 4 孔或 6孔；工作状态环境温度应满足 5℃~55℃，其它参数应符合 GB/T 12628的相关规定；固态盘符合 SJ/T 11654 相关规定</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19</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RAID卡规格</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RAID卡支持的SAS接口数</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20</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SAS直通卡规格</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color w:val="000000" w:themeColor="text1"/>
                <w:highlight w:val="none"/>
              </w:rPr>
              <w:t xml:space="preserve">SAS 直通卡 SAS 接口数量</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21</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HBA卡规格</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HBA卡端口数量</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≥1块两端口HBA接口卡(带两个SFP+ 模块)</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网络规格</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网口速率和数量</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配备网口数量不少于4个，且网口速率不少于1GE</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存储型服务器网口速率和数量</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配置万兆网口数量不少于2个，且网口速率不少于10G（含2个多模光模块）</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24</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独立网卡网口数量</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25</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独立网卡网口类型</w:t>
            </w:r>
            <w:r>
              <w:rPr>
                <w:rFonts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 RJ45/QSFP/SFP 等</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26</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板载网卡接口类型</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支持RJ45</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27</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外部接口规格</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显示接口</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显示接口类型为VGA</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28</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USB接口</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配备≥6*USB接口USB3.0</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29</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特殊接口及孔位</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前面板预留 1 个专用 USB 母座接口孔位</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30</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其他接口</w:t>
            </w:r>
            <w:r>
              <w:rPr>
                <w:rFonts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串口数量不少于 1 个</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31</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电源规格</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电源冗余模式</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整机电源模块按1+1冗余配置</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32</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电源模块数量</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2个</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33</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电源功率</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电源模块功率应有一定冗余，满足处理器满载时的需求，配置≥2个1300W交流</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34</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电源指示灯</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配备电源指示灯，指示待机、工作异常等状态</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35</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整机规格</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外观和结构</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numPr>
                <w:ilvl w:val="0"/>
                <w:numId w:val="6"/>
              </w:numPr>
              <w:spacing w:line="360" w:lineRule="auto"/>
              <w:tabs>
                <w:tab w:val="left" w:pos="312"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服务器的零部件应紧固无松动，可插拔部件应可靠连接，开关、按钮和其他控制部件应灵活可靠，布局应方便使用；</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6"/>
              </w:numPr>
              <w:spacing w:line="360" w:lineRule="auto"/>
              <w:tabs>
                <w:tab w:val="left" w:pos="312"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产品表面不应有明显的凹痕、划伤、裂缝、变形和污染等。表面涂层均匀，不应起泡、龟裂、脱落和磨损，金属零部件无锈蚀及其他机械损伤；</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6"/>
              </w:numPr>
              <w:spacing w:line="360" w:lineRule="auto"/>
              <w:tabs>
                <w:tab w:val="left" w:pos="312"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产品表面说明功能的文字、符号和标志应清晰、端正且牢固；</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6"/>
              </w:numPr>
              <w:spacing w:line="360" w:lineRule="auto"/>
              <w:tabs>
                <w:tab w:val="left" w:pos="312"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应在服务器的显著位置提供运行状态的指示功能，并在随机文件中明确具体含义；</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6"/>
              </w:numPr>
              <w:spacing w:line="360" w:lineRule="auto"/>
              <w:tabs>
                <w:tab w:val="left" w:pos="312"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6"/>
              </w:numPr>
              <w:spacing w:line="360" w:lineRule="auto"/>
              <w:tabs>
                <w:tab w:val="left" w:pos="312"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高密度服务器应给出CPU个数与机柜高度；</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6"/>
              </w:numPr>
              <w:spacing w:line="360" w:lineRule="auto"/>
              <w:tabs>
                <w:tab w:val="left" w:pos="312"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服务器尺寸具体要求在随机文件中明确；</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tabs>
                <w:tab w:val="left" w:pos="312" w:leader="none"/>
              </w:tabs>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36</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尺寸（高×宽×深）</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设计应遵循标准化、系列化的要求；机箱的内部结构符合通用部件的安装需要</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37</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服务器导轨</w:t>
            </w:r>
            <w:r>
              <w:rPr>
                <w:rFonts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机架式</w:t>
            </w:r>
            <w:r>
              <w:rPr>
                <w:rFonts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38</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CPU个数与机柜高度单位(U)比</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2颗，2U</w:t>
            </w:r>
            <w:r>
              <w:rPr>
                <w:rFonts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39</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环境适应性</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气候环境适应性应符合GB/T</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9813.3的有关规定，工作温度10～ 35℃，贮存运输温度-40～55℃；工作相对湿度35%～80%，贮存运输相对湿度20％～93%（40℃）；大气压</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86~106kPa</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40</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特殊机型环境适应性</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边缘应用服务器，工作环境温度宜为 0～45℃，短期工作可承受环境温度宜为-5～55℃，液冷服务器贮存运输温度宜为-30～55℃</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41</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机械环境适应性</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机械环境适应性应符合GB/T</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9813.3的有关规定</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42</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噪声</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符合GB/T 9813.3的有关规定，在产品说明中给出具体测试值</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43</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AI计算单元规格</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AI 计算单元</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不配备AI计算单元</w:t>
            </w:r>
            <w:r>
              <w:rPr>
                <w:rFonts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44</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一键式迁移</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不配备AI计算单元</w:t>
            </w:r>
            <w:r>
              <w:rPr>
                <w:rFonts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45</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机柜规格</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机柜尺寸</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长度600*高度2000*深度1100</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46</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机柜管理板</w:t>
            </w:r>
            <w:r>
              <w:rPr>
                <w:rFonts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配备机柜管理板</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47</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机柜电源规格</w:t>
            </w:r>
            <w:r>
              <w:rPr>
                <w:rFonts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机柜电源支持集中供电</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48</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主板功能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主板外部接口种类</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支持USB、显示、管理等接口，如：VGA、USB3.0、BMC管理端口</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49</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主板防烧板设计</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支持主板防烧板设计，保证电源故障后不扩散</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50</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扩展功能</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支持扩展显示功能卡</w:t>
            </w:r>
            <w:r>
              <w:rPr>
                <w:rFonts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51</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网络功能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网络功能</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支持网络连接、网络访问、数据交换和网络管控功能</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52</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CPU功能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计算处理</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支持通用计算及虚拟化功能。处理器需集成整型计算单元、浮点计算单元、内存控制器、I/O模块等，处理器与存储部件、网络部件、I/O 部件等组成计算系统，提供数据处理、网络接入等计算相关功能</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53</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密码算法实现</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CPU芯片应符合GM/T0008的相关规定，或芯片密码模块应符合GB/T37092或GM/T 0028的相关规定</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54</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存储功能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内存校验</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支持内存校验或内存增强型纠错功能</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55</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SATA SSDNAND 健康状态上报</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支持关键外部存储器 （硬磁盘、SSD等）的健康状态上报并进行故障诊断</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56</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SATA SSD单 die 故障隔离</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 SSD 关键外部存储器中单存储晶元故障隔离</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57</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RAID卡功能</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 卡RAID 级别支持</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 RAID 0/1/10/5，存储型支持 RAID 0/1/5/6/10/50/60</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58</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 卡BBU 单元</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 卡支持电池或电容备份单元</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59</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光驱功能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光驱类型</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不配置光驱</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60</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电源功能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电源热插拔</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整机电源模块应具备热插拔功能</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61</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电源过流保护</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支持过流及短路保护的功能</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62</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整机功能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散热方式</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支持风冷或液冷等散热方式</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63</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其他功能</w:t>
            </w:r>
            <w:r>
              <w:rPr>
                <w:rFonts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支持关键部件冗余（电源、风扇）</w:t>
            </w:r>
            <w:r>
              <w:rPr>
                <w:rFonts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64</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管理系统功能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BMC固件基础功能</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1)支持DHCP设置网络功能；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2)支持静态IP设置网络功能；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3)支持设备日志记录，包括但不限于登录日志、操作日志和报警日志等功能；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4)支持日志信息导出和记录删除功能；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5)支持通过管理接口向外输出准确的报警信息功能；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6)设备的BMC管理软件应能够按报</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警的严重程度进行区分；</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7)支持IPMI2.0、SNMP或Redfish 等接口功能；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8)支持键盘、鼠标和视频的重定向、文本控制台的重定向、远程虚拟媒体、高可靠的硬件监控和管理功能；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9)支持基于网络开启、关闭和重启设备的功能，并查询当前设备开机运行状态；</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10)支持故障提示功能，并可通过接口读取服务器故障信息；</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11)支持基于网络的固件更新功能，包括BMC和BIOS等；</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12)支持基于网络安装操作系统的功能，并可通过网络控制台访问设备；</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13)支持通过本地的硬盘或光驱等存储设备，基于网络完成设备的操作系统安装功能；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14)支持通过浏览器打开管理界面并登录功能；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15)支持设置口令策略功能；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16)支持访问权限设置功能，并通过日志记录访问事件；</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17)支持对出厂默认的用户名及口令进行安全保护功能，并提供默认口令修改提示；</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18)支持读取设备主板的工作环境温度功能；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19)支持读取服务器CPU等核心器件的温度功能；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20)支持通过外部管理工具进行BMC参数设置的功能，并可基于网络通过外部管理工具对BMC进行管理；</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21)应支持固件版本查询、固件升级</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22)支持基于网络实现开关机和复位控制的功能；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23)BMC启动时间应不超过180s，实现功能包括网络、IPMI、散热、传感器服务可用；</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24)支持BMC固件设置的恢复出厂功能</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65</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BMC固件增强功能</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不涉及</w:t>
            </w:r>
            <w:r>
              <w:rPr>
                <w:rFonts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66</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BIOS固件基础功能</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支持查看固件版本、内存信息、主板信息、处理器信息和系统时间信息功能；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支持上电初始化界面显示CPU信息、内存信息、固件版本和部分快捷键信息功能；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支持设置界面中英文显示切换功能；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支持查看PCIe设备信息，SATA 设备信息功能；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支持操作系统安装和引导功能，应并向操作系统提供计算机主板信息和服务接口；</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支持设置启动顺序，并按照设置的启动顺序启动功能；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支持安全启动功能；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支持设置口令、修改口令、验证口令功能；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支持板载显示控制或独立显卡的显示控制功能；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支持RAID识别和启动功能；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支持串口重定向功能；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支持固件更新功能；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支持BIOS固件设置的恢复出厂功能；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支持网络引导启用和关闭功能</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67</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远程控制</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支持远程关机和重新启动功能</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68</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操作系统及驱动功能</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操作系统及驱动的升级</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支持通过网络、闪存盘对操作系统、驱动进行升级</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69</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操作系统及驱动的备份还原</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支持操作系统备份及还原功能</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70</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操作系统功能</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numPr>
                <w:ilvl w:val="0"/>
                <w:numId w:val="8"/>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支持访问控制、安全审计、网络接入鉴别等功能；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8"/>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操作系统其他功能满足操作系统政府采购需求</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71</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中文信息处理</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中文信息处理</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符合GB 18030的有关规定</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72</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机柜功能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机柜管理功能</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不涉及</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73</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机柜通信方式</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不涉及</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74</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多集群作业管理</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不涉及</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75</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关键部件安全要求</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关键部件安全要求</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CPU和操作系统等关键部件应当符合安全可靠测评要求</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76</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hint="eastAsia"/>
                <w:color w:val="000000" w:themeColor="text1"/>
                <w:highlight w:val="none"/>
              </w:rPr>
            </w:pPr>
            <w:r>
              <w:rPr>
                <w:rFonts w:hint="eastAsia" w:ascii="宋体" w:hAnsi="宋体" w:cs="宋体"/>
                <w:color w:val="000000" w:themeColor="text1"/>
                <w:sz w:val="24"/>
                <w:szCs w:val="24"/>
                <w:highlight w:val="none"/>
              </w:rPr>
              <w:t xml:space="preserve">固件安全要求</w:t>
            </w:r>
            <w:r>
              <w:rPr>
                <w:rFonts w:hint="eastAsia"/>
                <w:color w:val="000000" w:themeColor="text1"/>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故障检测</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支持故障检测功能，可以检测到具体的 FRU（内存、硬盘等）的故障并发出告警</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77</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内存故障</w:t>
            </w:r>
            <w:r>
              <w:rPr>
                <w:rFonts w:hint="eastAsia" w:ascii="宋体" w:hAnsi="宋体" w:cs="宋体"/>
                <w:color w:val="000000" w:themeColor="text1"/>
                <w:sz w:val="24"/>
                <w:szCs w:val="24"/>
                <w:highlight w:val="none"/>
              </w:rPr>
              <w:t xml:space="preserve">智能预测和自愈修复</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支持内存故障智能预测和自愈修复，提前自动硬隔离，避免内存故障引起的非预期宕机以及内存寿命的降低</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78</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硬盘故障</w:t>
            </w:r>
            <w:r>
              <w:rPr>
                <w:rFonts w:hint="eastAsia" w:ascii="宋体" w:hAnsi="宋体" w:cs="宋体"/>
                <w:color w:val="000000" w:themeColor="text1"/>
                <w:sz w:val="24"/>
                <w:szCs w:val="24"/>
                <w:highlight w:val="none"/>
              </w:rPr>
              <w:t xml:space="preserve">智能预测</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支持硬盘故障智能预测，基于故障模型预测出硬盘的故障</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79</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PCIe 链路</w:t>
            </w:r>
            <w:r>
              <w:rPr>
                <w:rFonts w:hint="eastAsia" w:ascii="宋体" w:hAnsi="宋体" w:cs="宋体"/>
                <w:color w:val="000000" w:themeColor="text1"/>
                <w:sz w:val="24"/>
                <w:szCs w:val="24"/>
                <w:highlight w:val="none"/>
              </w:rPr>
              <w:t xml:space="preserve">故障智能诊断</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 PCIe 链路故障智能诊断，判断出现故障的 PCIe 链路</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80</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内存故障</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支持内存故障隔离，在内存产生 CE故障时，内存地址被隔离成功，服务器正常运行，业务系统不中断</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81</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内存、PCI</w:t>
            </w:r>
            <w:r>
              <w:rPr>
                <w:rFonts w:hint="eastAsia" w:ascii="宋体" w:hAnsi="宋体" w:cs="宋体"/>
                <w:color w:val="000000" w:themeColor="text1"/>
                <w:sz w:val="24"/>
                <w:szCs w:val="24"/>
                <w:highlight w:val="none"/>
              </w:rPr>
              <w:t xml:space="preserve">卡的故障精准告警功能</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支持内存、PCIe 卡的故障精准告警功能，触发告警并明确指示具体的故障位置</w:t>
            </w:r>
            <w:r>
              <w:rPr>
                <w:rFonts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82</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异常下电</w:t>
            </w:r>
            <w:r>
              <w:rPr>
                <w:rFonts w:hint="eastAsia" w:ascii="宋体" w:hAnsi="宋体" w:cs="宋体"/>
                <w:color w:val="000000" w:themeColor="text1"/>
                <w:sz w:val="24"/>
                <w:szCs w:val="24"/>
                <w:highlight w:val="none"/>
              </w:rPr>
              <w:t xml:space="preserve">关键数据保护</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支持异常下电关键数据保护，支持数据备份恢复机制，防止系统异常掉电导致的数据文件丢失</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83</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BMC/BIOS</w:t>
            </w:r>
            <w:r>
              <w:rPr>
                <w:rFonts w:hint="eastAsia" w:ascii="宋体" w:hAnsi="宋体" w:cs="宋体"/>
                <w:color w:val="000000" w:themeColor="text1"/>
                <w:sz w:val="24"/>
                <w:szCs w:val="24"/>
                <w:highlight w:val="none"/>
              </w:rPr>
              <w:t xml:space="preserve">固件双镜保护</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持 BMC/BIOS 固件双镜像保护，运行异常时自动切换到备份镜像运行，提升系统稳定性</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84</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CPU 核重</w:t>
            </w:r>
            <w:r>
              <w:rPr>
                <w:rFonts w:hint="eastAsia" w:ascii="宋体" w:hAnsi="宋体" w:cs="宋体"/>
                <w:color w:val="000000" w:themeColor="text1"/>
                <w:sz w:val="24"/>
                <w:szCs w:val="24"/>
                <w:highlight w:val="none"/>
              </w:rPr>
              <w:t xml:space="preserve">启隔离</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 CPU 核发生不可纠正故障后，重启后由 BIOS 隔离该故障核，OS不可见，防止 OS 再次使用导致系统异常，核 0 除外</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85</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内存地址</w:t>
            </w:r>
            <w:r>
              <w:rPr>
                <w:rFonts w:hint="eastAsia" w:ascii="宋体" w:hAnsi="宋体" w:cs="宋体"/>
                <w:color w:val="000000" w:themeColor="text1"/>
                <w:sz w:val="24"/>
                <w:szCs w:val="24"/>
                <w:highlight w:val="none"/>
              </w:rPr>
              <w:t xml:space="preserve">隔离</w:t>
            </w:r>
            <w:r>
              <w:rPr>
                <w:rFonts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在硬件支持的情况下，支持故障内存地址重启后隔离</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86</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内存存储</w:t>
            </w:r>
            <w:r>
              <w:rPr>
                <w:rFonts w:hint="eastAsia" w:ascii="宋体" w:hAnsi="宋体" w:cs="宋体"/>
                <w:color w:val="000000" w:themeColor="text1"/>
                <w:sz w:val="24"/>
                <w:szCs w:val="24"/>
                <w:highlight w:val="none"/>
              </w:rPr>
              <w:t xml:space="preserve">阵列替换</w:t>
            </w:r>
            <w:r>
              <w:rPr>
                <w:rFonts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在硬件支持的情况下，支持故障内存存储阵列替换</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87</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安全启动</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支持执行环境要求在整个系统启动的过程中，系统应提供一个机制来保护平台的完整性</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88</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restart"/>
            <w:textDirection w:val="lrTb"/>
            <w:noWrap w:val="false"/>
          </w:tcPr>
          <w:p>
            <w:pPr>
              <w:pStyle w:val="952"/>
              <w:spacing w:line="360" w:lineRule="auto"/>
              <w:rPr>
                <w:color w:val="000000" w:themeColor="text1"/>
                <w:highlight w:val="none"/>
              </w:rPr>
            </w:pPr>
            <w:r>
              <w:rPr>
                <w:rFonts w:hint="eastAsia" w:ascii="宋体" w:hAnsi="宋体" w:cs="宋体"/>
                <w:color w:val="000000" w:themeColor="text1"/>
                <w:sz w:val="24"/>
                <w:szCs w:val="24"/>
                <w:highlight w:val="none"/>
              </w:rPr>
              <w:t xml:space="preserve">系统安全要求</w:t>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syslog 双</w:t>
            </w:r>
            <w:r>
              <w:rPr>
                <w:rFonts w:hint="eastAsia" w:ascii="宋体" w:hAnsi="宋体" w:cs="宋体"/>
                <w:color w:val="000000" w:themeColor="text1"/>
                <w:sz w:val="24"/>
                <w:szCs w:val="24"/>
                <w:highlight w:val="none"/>
              </w:rPr>
              <w:t xml:space="preserve">向鉴别</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支持系统日志双向鉴别，对服务器根证书和客户端根证书进行鉴别</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89</w:t>
            </w:r>
            <w:r>
              <w:rPr>
                <w:rFonts w:hint="eastAsia" w:ascii="宋体" w:hAnsi="宋体" w:cs="宋体"/>
                <w:color w:val="000000" w:themeColor="text1"/>
                <w:sz w:val="24"/>
                <w:szCs w:val="24"/>
                <w:highlight w:val="none"/>
              </w:rPr>
            </w:r>
            <w:r>
              <w:rPr>
                <w:color w:val="000000" w:themeColor="text1"/>
                <w:highlight w:val="none"/>
              </w:rPr>
            </w:r>
          </w:p>
        </w:tc>
        <w:tc>
          <w:tcPr>
            <w:tcW w:w="420"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弱口令字</w:t>
            </w:r>
            <w:r>
              <w:rPr>
                <w:rFonts w:hint="eastAsia" w:ascii="宋体" w:hAnsi="宋体" w:cs="宋体"/>
                <w:color w:val="000000" w:themeColor="text1"/>
                <w:sz w:val="24"/>
                <w:szCs w:val="24"/>
                <w:highlight w:val="none"/>
              </w:rPr>
              <w:t xml:space="preserve">典检查</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支持弱口令字典检查功能，出现在弱口令字典中的字符串不能被设置为用户口令</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90</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白名单访</w:t>
            </w:r>
            <w:r>
              <w:rPr>
                <w:rFonts w:hint="eastAsia" w:ascii="宋体" w:hAnsi="宋体" w:cs="宋体"/>
                <w:color w:val="000000" w:themeColor="text1"/>
                <w:sz w:val="24"/>
                <w:szCs w:val="24"/>
                <w:highlight w:val="none"/>
              </w:rPr>
              <w:t xml:space="preserve">问控制</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支持基于时间、IP 或 MAC 白名单访问控制</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91</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双因素鉴</w:t>
            </w:r>
            <w:r>
              <w:rPr>
                <w:rFonts w:hint="eastAsia" w:ascii="宋体" w:hAnsi="宋体" w:cs="宋体"/>
                <w:color w:val="000000" w:themeColor="text1"/>
                <w:sz w:val="24"/>
                <w:szCs w:val="24"/>
                <w:highlight w:val="none"/>
              </w:rPr>
              <w:t xml:space="preserve">别</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支持使用客户端证书和证书密码的双因素鉴别方式登录管理系统</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92</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二次鉴别</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支持二次鉴别功能。对于用户配置、权限配置、公钥导入等重要的管理操作，已登录用户应通过二次鉴别后，才能执行操作</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93</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匿名化用</w:t>
            </w:r>
            <w:r>
              <w:rPr>
                <w:rFonts w:hint="eastAsia" w:ascii="宋体" w:hAnsi="宋体" w:cs="宋体"/>
                <w:color w:val="000000" w:themeColor="text1"/>
                <w:sz w:val="24"/>
                <w:szCs w:val="24"/>
                <w:highlight w:val="none"/>
              </w:rPr>
              <w:t xml:space="preserve">户告警接收邮箱</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支持带外管理系统中的用户告警接收邮箱进行匿名化处理</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94</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密码证书</w:t>
            </w:r>
            <w:r>
              <w:rPr>
                <w:rFonts w:hint="eastAsia" w:ascii="宋体" w:hAnsi="宋体" w:cs="宋体"/>
                <w:color w:val="000000" w:themeColor="text1"/>
                <w:sz w:val="24"/>
                <w:szCs w:val="24"/>
                <w:highlight w:val="none"/>
              </w:rPr>
              <w:t xml:space="preserve">安全加密存储</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支持对带外管理系统中的用户口令和证书等敏感信息进行加密存储，禁止使用私有的和业界已知不安全的密码算法</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95</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敏感信息</w:t>
            </w:r>
            <w:r>
              <w:rPr>
                <w:rFonts w:hint="eastAsia" w:ascii="宋体" w:hAnsi="宋体" w:cs="宋体"/>
                <w:color w:val="000000" w:themeColor="text1"/>
                <w:sz w:val="24"/>
                <w:szCs w:val="24"/>
                <w:highlight w:val="none"/>
              </w:rPr>
              <w:t xml:space="preserve">安全加密传输</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支持使用安全的传输加密协议（如SSH 或 HTTPS 等）传输用户的敏感信息</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96</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restart"/>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信息安全要求</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研发过程安全</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供应商应确保生产商已建立从需求、设计、开发、测试、维护端到端的开发流程管理机制，输出和保存开发流程中每个阶段的产品需求清单、设计文档、开发文档、测试记录等材料，保证各个流程可追溯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97</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漏洞管理</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生产商已建立漏洞全</w:t>
            </w:r>
            <w:r>
              <w:rPr>
                <w:rFonts w:hint="eastAsia" w:ascii="宋体" w:hAnsi="宋体" w:cs="宋体"/>
                <w:color w:val="000000" w:themeColor="text1"/>
                <w:sz w:val="24"/>
                <w:szCs w:val="24"/>
                <w:highlight w:val="none"/>
              </w:rPr>
              <w:t xml:space="preserve">量视图，保证产品版本涉及到的所有漏洞(如驱动程序、BMC 软件等)都可以查看</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ascii="宋体" w:hAnsi="宋体" w:cs="宋体"/>
                <w:sz w:val="24"/>
                <w:szCs w:val="24"/>
              </w:rPr>
            </w:pPr>
            <w:r>
              <w:rPr>
                <w:rFonts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98</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网络关键</w:t>
            </w:r>
            <w:r>
              <w:rPr>
                <w:rFonts w:hint="eastAsia" w:ascii="宋体" w:hAnsi="宋体" w:cs="宋体"/>
                <w:color w:val="000000" w:themeColor="text1"/>
                <w:sz w:val="24"/>
                <w:szCs w:val="24"/>
                <w:highlight w:val="none"/>
              </w:rPr>
              <w:t xml:space="preserve">设备服务器要求</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作为网络关键设备的服务器应符合</w:t>
            </w:r>
            <w:r>
              <w:rPr>
                <w:rFonts w:hint="eastAsia" w:ascii="宋体" w:hAnsi="宋体" w:cs="宋体"/>
                <w:color w:val="000000" w:themeColor="text1"/>
                <w:sz w:val="24"/>
                <w:szCs w:val="24"/>
                <w:highlight w:val="none"/>
              </w:rPr>
              <w:t xml:space="preserve">GB 40050 的相关规定</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ascii="宋体" w:hAnsi="宋体" w:cs="宋体"/>
                <w:sz w:val="24"/>
                <w:szCs w:val="24"/>
              </w:rPr>
            </w:pPr>
            <w:r>
              <w:rPr>
                <w:rFonts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99</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增强要求</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支持在固件系统（BMC、BIOS）</w:t>
            </w:r>
            <w:r>
              <w:rPr>
                <w:rFonts w:hint="eastAsia" w:ascii="宋体" w:hAnsi="宋体" w:cs="宋体"/>
                <w:color w:val="000000" w:themeColor="text1"/>
                <w:sz w:val="24"/>
                <w:szCs w:val="24"/>
                <w:highlight w:val="none"/>
              </w:rPr>
              <w:t xml:space="preserve">启动前实现对固件度量的功能，支持物理可信根对 BMC 固件或 BIOS 固件进行完整性检测、更新和恢复</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ascii="宋体" w:hAnsi="宋体" w:cs="宋体"/>
                <w:sz w:val="24"/>
                <w:szCs w:val="24"/>
              </w:rPr>
            </w:pPr>
            <w:r>
              <w:rPr>
                <w:rFonts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100</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物理安全</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物理安全</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安全要求应符合GB 4943.1的规定</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101</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限用物质的限量要求</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限用物质的限量要求</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限用物质的限量应符合GB/T 26572 的要求</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90"/>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102</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CPU性能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CPU主频</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≥2.5GHz</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103</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单CPU核数</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w:t>
            </w:r>
            <w:r>
              <w:rPr>
                <w:rFonts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104</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单CPU末级缓存容量</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≥64MB</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105</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内存性能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单内存模块容量</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≥64GB</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106</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内存速率</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≥5600MT/s</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107</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存储性能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硬盘转速</w:t>
            </w:r>
            <w:r>
              <w:rPr>
                <w:rFonts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SSD</w:t>
            </w:r>
            <w:r>
              <w:rPr>
                <w:rFonts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108</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RAID卡性能</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 卡缓存容量大小</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≥1G</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109</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FC HBA卡性能</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FC HBA卡速率</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16G</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110</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网络性能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独立网卡速率</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10G</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111</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板载网卡速率</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≥1GE</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112</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电源能耗</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电源能耗</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符合GB/T 9813.3的有关规定</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113</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部件兼容性要求</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内存兼容性</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适配3种及以上厂商的内存产品，且均不低于产品支持的内存规格</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114</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固态存储兼容性</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适配3种或以上厂商的固态存储产品，且均不低于产品支持的固态存储设备规格</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115</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FC HBA卡</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兼容性</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FC HBA应适配两种或以上厂商产品</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116</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RAID卡兼容性</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RAID卡应适配两种或以上厂商产品</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117</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网卡兼容性</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网卡应适配两种或以上厂商产品</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118</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功能卡兼容性</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内置或适配符合PCIe的功能卡，如：网络功能卡、存储功能卡及图形显示功能卡</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119</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外设兼容性</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外设兼容性</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兼容多种主流生产商的外部设备，包括显示器、键盘、鼠标、闪存盘、移动硬盘、USB光驱及KVM等，要求使用不同厂商的外部设备时，系统均能正常识别和安装驱动</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120</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软件兼容性</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数据库兼容</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兼容3个及以上厂商的数据库产品</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121</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中间件兼容</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兼容3个及以上厂商的中间件产品</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122</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平台软件兼容</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兼容3个及以上厂商的大数据平台</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123</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虚拟化软件兼容</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兼容2款及以上虚拟化软件</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124</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存储可靠性要求</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SATA SSD可靠性</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SSD 的 m1 值（MTBF 的不可接受值）不低于 200000h</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125</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整机可靠性要求</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整机可靠性</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m1值（MTBF的不可接受值）不得低于30000h</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126</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风扇可靠性</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风扇寿命应不低于40000h</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127</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部件可靠性</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支持硬盘、电源、风扇热插拔(内置风扇除外)</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128</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包装及运输要求</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标志、包装、运输和贮存</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符合GB/T 9813.3和商品包装政府采购需求标准的相关规定</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129</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服务响应</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服务响应</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a) 提供电话、电子邮件、远程连接等多种形式服务；</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b) 提供同城4h、异地12h技术响应服务，2个工作日解决问题，对于未能解决的问题和故障应提供可行的升级方案，并提供周转设备；</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 建立全国技术服务体系和服务团体，符合专业服务体系标准要求，提供原厂中文服务；</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d) 服务周期内提供产品的维修、换件和升级服务</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130</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培训服务</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供应商成交后应向采购人提供培训材料、产品手册、培训视频等培训相关内容</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131</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服务周期</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服务周期</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a) 产品免费服务周期（含换件和维修）应不小于3年；</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b) 设备停产后继续提供质量保障服务（含备品备件），服务终止时间与最后一批设备交付时间间隔不低于3年；</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 产品停止服务时间应提前1年告知客户；</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d) 产品发布日期需在随机文件中明确</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132</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服务工具要求</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工具要求</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供应商提供设置服务器硬件、辅助操作系统安装等功能的辅助工具和管理软件。且随附软件应具有合法授权或版权</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133</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辅助工具</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支持如下功能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a) 本地的数据备份和还原功能；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b) 网络的数据备份和还原功能；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 服务器操作系统的自动安装功能；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d) 服务器所配硬件需要的驱动程序和系统补丁</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134</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驱动安装升级指引</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供应商提供出厂安装的配件所需的驱动程序，形式包括但不限于驱动光盘、驱动下载链接等。其他配件应提供指引</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135</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随机附开盖工具</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随服务器打包提供开机箱工具</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136</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代码迁移工具</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供应商提供从其他 CPU 架构到当前服务器 CPU 架构的软件迁移工具产品，支持软件包迁移评估，对满足产品重构要求的软件包，能重构为当前服务器 CPU 架构的软件包。提供源码迁移功能，检查分析C/C++/Fortran/Go/解释型语言/汇编等源码文件，基于产品功能给出迁移指导</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137</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性能分析工具</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供应商提供支持当前服务器 CPU 架构的性能分析工具产品，支持系统性能分析、Java 性能分析和系统诊断，可分析系统或应用在 CPU、内存、IO、网络等方面的性能，并给出优化建议</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138</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跨架构平台应用兼容</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跨 CPU 架构平台应用兼容工具，可兼容一种或者一种以上不同架构平台的应用</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139</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管理软件</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具备资源管理、系统管理、性能监控、健康监控、基于网络控制、报警设置功能</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140</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增值服务</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厂家升级产品软件与扩容服务</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供应商提供原厂级的部件/软件产品升级和扩容能力</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141</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服务保障升级</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供应商有偿提供远程技术支持、软件授权服务、备件更换服务、现场支承服务</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699"/>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142</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提供上门服务</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供应商具备提供上门服务的能力(免费)</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699"/>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143</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业务场景性能优化服务及整体架构升级服务</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供应商提供针对特定业务场景性能优化服务及整体架构升级服务</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144</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restart"/>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供应链质量</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抗干扰性</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当产品部件出现供应风险时，应通知客户并提供风险应对方案确保产品的服务保障，必要时应停止相关受影响产品的销售</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145</w:t>
            </w:r>
            <w:r>
              <w:rPr>
                <w:rFonts w:hint="eastAsia" w:ascii="宋体" w:hAnsi="宋体" w:cs="宋体"/>
                <w:color w:val="000000" w:themeColor="text1"/>
                <w:sz w:val="24"/>
                <w:szCs w:val="24"/>
                <w:highlight w:val="none"/>
                <w:lang w:bidi="ar"/>
              </w:rPr>
            </w:r>
            <w:r>
              <w:rPr>
                <w:color w:val="000000" w:themeColor="text1"/>
                <w:highlight w:val="none"/>
              </w:rPr>
            </w:r>
          </w:p>
        </w:tc>
        <w:tc>
          <w:tcPr>
            <w:tcW w:w="420"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供应能力证明</w:t>
            </w:r>
            <w:r>
              <w:rPr>
                <w:rFonts w:hint="eastAsia" w:ascii="宋体" w:hAnsi="宋体" w:cs="宋体"/>
                <w:color w:val="000000" w:themeColor="text1"/>
                <w:sz w:val="24"/>
                <w:szCs w:val="24"/>
                <w:highlight w:val="none"/>
              </w:rPr>
            </w:r>
            <w:r>
              <w:rPr>
                <w:color w:val="000000" w:themeColor="text1"/>
                <w:highlight w:val="none"/>
              </w:rPr>
            </w:r>
          </w:p>
        </w:tc>
        <w:tc>
          <w:tcPr>
            <w:tcW w:w="2849"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确保产品的部件在产品服务周期内稳定供货</w:t>
            </w:r>
            <w:r>
              <w:rPr>
                <w:rFonts w:hint="eastAsia" w:ascii="宋体" w:hAnsi="宋体" w:cs="宋体"/>
                <w:color w:val="000000" w:themeColor="text1"/>
                <w:sz w:val="24"/>
                <w:szCs w:val="24"/>
                <w:highlight w:val="none"/>
              </w:rPr>
            </w:r>
            <w:r>
              <w:rPr>
                <w:color w:val="000000" w:themeColor="text1"/>
                <w:highlight w:val="none"/>
              </w:rPr>
            </w:r>
          </w:p>
        </w:tc>
        <w:tc>
          <w:tcPr>
            <w:tcW w:w="704"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bl>
    <w:p>
      <w:pPr>
        <w:pStyle w:val="952"/>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3.2 服务器2型</w:t>
      </w:r>
      <w:r>
        <w:rPr>
          <w:rFonts w:hint="eastAsia" w:ascii="宋体" w:hAnsi="宋体"/>
          <w:b/>
          <w:bCs/>
          <w:color w:val="000000" w:themeColor="text1"/>
          <w:sz w:val="24"/>
          <w:szCs w:val="24"/>
          <w:highlight w:val="none"/>
        </w:rPr>
      </w:r>
      <w:r>
        <w:rPr>
          <w:color w:val="000000" w:themeColor="text1"/>
          <w:highlight w:val="none"/>
        </w:rPr>
      </w:r>
    </w:p>
    <w:tbl>
      <w:tblPr>
        <w:tblW w:w="4996" w:type="pct"/>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7" w:type="dxa"/>
          <w:top w:w="42" w:type="dxa"/>
          <w:right w:w="108" w:type="dxa"/>
          <w:bottom w:w="0" w:type="dxa"/>
        </w:tblCellMar>
        <w:tblLook w:val="04A0" w:firstRow="1" w:lastRow="0" w:firstColumn="1" w:lastColumn="0" w:noHBand="0" w:noVBand="1"/>
      </w:tblPr>
      <w:tblGrid>
        <w:gridCol w:w="575"/>
        <w:gridCol w:w="805"/>
        <w:gridCol w:w="1385"/>
        <w:gridCol w:w="5465"/>
        <w:gridCol w:w="1332"/>
      </w:tblGrid>
      <w:tr>
        <w:trPr>
          <w:trHeight w:val="23"/>
        </w:trPr>
        <w:tc>
          <w:tcPr>
            <w:tcW w:w="300" w:type="dxa"/>
            <w:vAlign w:val="center"/>
            <w:textDirection w:val="lrTb"/>
            <w:noWrap w:val="false"/>
          </w:tcPr>
          <w:p>
            <w:pPr>
              <w:pStyle w:val="952"/>
              <w:jc w:val="cente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序号</w:t>
            </w:r>
            <w:r>
              <w:rPr>
                <w:rFonts w:hint="eastAsia" w:ascii="宋体" w:hAnsi="宋体" w:cs="宋体"/>
                <w:b/>
                <w:color w:val="000000" w:themeColor="text1"/>
                <w:sz w:val="24"/>
                <w:szCs w:val="24"/>
                <w:highlight w:val="none"/>
              </w:rPr>
            </w:r>
            <w:r>
              <w:rPr>
                <w:color w:val="000000" w:themeColor="text1"/>
                <w:highlight w:val="none"/>
              </w:rPr>
            </w:r>
          </w:p>
        </w:tc>
        <w:tc>
          <w:tcPr>
            <w:tcW w:w="421" w:type="dxa"/>
            <w:vAlign w:val="center"/>
            <w:textDirection w:val="lrTb"/>
            <w:noWrap w:val="false"/>
          </w:tcPr>
          <w:p>
            <w:pPr>
              <w:pStyle w:val="952"/>
              <w:jc w:val="center"/>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一级指标</w:t>
            </w:r>
            <w:r>
              <w:rPr>
                <w:rFonts w:ascii="宋体" w:hAnsi="宋体" w:cs="宋体"/>
                <w:b/>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jc w:val="cente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二级指标</w:t>
            </w:r>
            <w:r>
              <w:rPr>
                <w:rFonts w:hint="eastAsia" w:ascii="宋体" w:hAnsi="宋体" w:cs="宋体"/>
                <w:b/>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jc w:val="cente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指标要求</w:t>
            </w:r>
            <w:r>
              <w:rPr>
                <w:rFonts w:hint="eastAsia" w:ascii="宋体" w:hAnsi="宋体" w:cs="宋体"/>
                <w:b/>
                <w:color w:val="000000" w:themeColor="text1"/>
                <w:sz w:val="24"/>
                <w:szCs w:val="24"/>
                <w:highlight w:val="none"/>
              </w:rPr>
            </w:r>
            <w:r>
              <w:rPr>
                <w:color w:val="000000" w:themeColor="text1"/>
                <w:highlight w:val="none"/>
              </w:rPr>
            </w:r>
          </w:p>
        </w:tc>
        <w:tc>
          <w:tcPr>
            <w:tcW w:w="696" w:type="dxa"/>
            <w:vAlign w:val="center"/>
            <w:textDirection w:val="lrTb"/>
            <w:noWrap w:val="false"/>
          </w:tcPr>
          <w:p>
            <w:pPr>
              <w:pStyle w:val="952"/>
              <w:jc w:val="center"/>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备注</w:t>
            </w:r>
            <w:r>
              <w:rPr>
                <w:rFonts w:ascii="宋体" w:hAnsi="宋体" w:cs="宋体"/>
                <w:b/>
                <w:color w:val="000000" w:themeColor="text1"/>
                <w:sz w:val="24"/>
                <w:szCs w:val="24"/>
                <w:highlight w:val="none"/>
              </w:rPr>
            </w:r>
            <w:r>
              <w:rPr>
                <w:color w:val="000000" w:themeColor="text1"/>
                <w:highlight w:val="none"/>
              </w:rP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CPU</w:t>
            </w:r>
            <w:r>
              <w:rPr>
                <w:rFonts w:hint="eastAsia" w:ascii="宋体" w:hAnsi="宋体" w:cs="宋体"/>
                <w:color w:val="000000" w:themeColor="text1"/>
                <w:sz w:val="24"/>
                <w:szCs w:val="24"/>
                <w:highlight w:val="none"/>
              </w:rPr>
              <w:t xml:space="preserve">规格</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CPU信息</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配置2颗C86架构处理器，核数≥32个物理核/颗，线程数≥64，主频≥2.5GHz（基准频率），缓存容量≥64MB，支持内存最高速率≥5600MHz，内存通道数≥4</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restart"/>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产品属于财政部、工业和信息化部共同发布的便携式计算机、操作系统、工作站、数据库、台式计算机、通用服务器、一体式计算机七种IT软硬件，详见财库〔2023〕29号、30号、31号、32号、33号、34号、35号文。采购人已根据《需求标准》将加“*”的指标纳入了采购需求并根据采购需求制定了相应参数。</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表中参数指标如有涉及要求给出或提供材料、清单等要求的，投标时无需提供相应证明材料，投标人按招标文件格式要求提供《承诺书》的（格式见招标文件第六章第二部分），即视为能够提供相关符合要求的产品并视作具备了相应能力。</w:t>
            </w:r>
            <w:r>
              <w:rPr>
                <w:rFonts w:hint="eastAsia" w:ascii="宋体" w:hAnsi="宋体" w:cs="宋体"/>
                <w:color w:val="000000" w:themeColor="text1"/>
                <w:sz w:val="24"/>
                <w:szCs w:val="24"/>
                <w:highlight w:val="none"/>
              </w:rPr>
            </w:r>
            <w:r>
              <w:rPr>
                <w:color w:val="000000" w:themeColor="text1"/>
                <w:highlight w:val="none"/>
              </w:rP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主板规格</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主板支持的CPU和内存情况</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支持CPU 2颗，主板最大支持DDR5内存≥16根</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主板内存槽数量</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可扩展插槽数量≥16个</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主板存储接口</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支持SATA、SAS、NVMe（M.2、U.2）等存储接口中的一种</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PCIe插槽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接口</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符合PCIe4.0高速串行计算机扩展总线标准，PCIe的接口速率与位宽向下兼容</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主板PCIe 插槽数量及规格</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≥5个PCIe 4.0 </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特殊孔位及接口</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支持USB2.0及3.0</w:t>
            </w:r>
            <w:r>
              <w:rPr>
                <w:rFonts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板载网络接口</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板载网络接口≥4个1GE网口</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主板OCP插槽数量</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支持OCP2.0及以上插槽的数量≥1个</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内存规格</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内存数量</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≥8根</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内存规格</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DDR5 64GB</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内存通道</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支持4个内存接口通道，每个通道可支持2DPC，印制电路板上应具备插槽的序号标识</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存储规格</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硬盘类型</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支持SATA、SAS、SSD等硬盘</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14</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硬磁盘实配容量</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配置不低于1.92T SSD硬盘</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15</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硬盘接口类型</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 SAS 3.0或 SATA 3.0 及以上接口；提供 SATA类型固态盘接口</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16</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硬盘实配数量</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实配1.92T SSD磁盘数量≥3块</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17</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硬盘插槽数量及规格</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配置的硬盘尺寸为3.5英寸硬磁盘；</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服务器可支持的硬盘数量应不少于12块。</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18</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硬盘其他参数要求</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固定螺丝孔数量可为 4 孔或 6孔；工作状态环境温度应满足 5℃~55℃，其它参数应符合 GB/T 12628的相关规定；固态盘符合 SJ/T 11654 相关规定</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19</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RAID卡规格</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RAID卡支持的SAS接口数</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20</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SAS直通卡规格</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color w:val="000000" w:themeColor="text1"/>
                <w:highlight w:val="none"/>
              </w:rPr>
              <w:t xml:space="preserve">SAS 直通卡 SAS 接口数量</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21</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HBA卡规格</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HBA卡端口数量</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≥1块两端口HBA接口卡(带两个SFP+ 模块)</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22</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网络规格</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网口速率和数量</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配备网口数量不少于4个，且网口速率不少于1GE</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23</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存储型服务器网口速率和数量</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配置万兆网口数量不少于2个，且网口速率不少于10G（含2个多模光模块）</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24</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独立网卡网口数量</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25</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独立网卡网口类型</w:t>
            </w:r>
            <w:r>
              <w:rPr>
                <w:rFonts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 RJ45/QSFP/SFP 等</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26</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板载网卡接口类型</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支持RJ45</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27</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外部接口规格</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显示接口</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显示接口类型为VGA</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28</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USB接口</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配备≥6*USB接口USB3.0</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29</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特殊接口及孔位</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前面板预留 1 个专用 USB 母座接口孔位</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30</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其他接口</w:t>
            </w:r>
            <w:r>
              <w:rPr>
                <w:rFonts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串口数量不少于 1 个</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31</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电源规格</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电源冗余模式</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整机电源模块按1+1冗余配置</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32</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电源模块数量</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2个</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33</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电源功率</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电源模块功率应有一定冗余，满足处理器满载时的需求，配置≥2个1300W交流</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34</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电源指示灯</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配备电源指示灯，指示待机、工作异常等状态</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35</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整机规格</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外观和结构</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numPr>
                <w:ilvl w:val="0"/>
                <w:numId w:val="6"/>
              </w:numPr>
              <w:spacing w:line="360" w:lineRule="auto"/>
              <w:tabs>
                <w:tab w:val="left" w:pos="312"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服务器的零部件应紧固无松动，可插拔部件应可靠连接，开关、按钮和其他控制部件应灵活可靠，布局应方便使用；</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6"/>
              </w:numPr>
              <w:spacing w:line="360" w:lineRule="auto"/>
              <w:tabs>
                <w:tab w:val="left" w:pos="312"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产品表面不应有明显的凹痕、划伤、裂缝、变形和污染等。表面涂层均匀，不应起泡、龟裂、脱落和磨损，金属零部件无锈蚀及其他机械损伤；</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6"/>
              </w:numPr>
              <w:spacing w:line="360" w:lineRule="auto"/>
              <w:tabs>
                <w:tab w:val="left" w:pos="312"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产品表面说明功能的文字、符号和标志应清晰、端正且牢固；</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6"/>
              </w:numPr>
              <w:spacing w:line="360" w:lineRule="auto"/>
              <w:tabs>
                <w:tab w:val="left" w:pos="312"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应在服务器的显著位置提供运行状态的指示功能，并在随机文件中明确具体含义；</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6"/>
              </w:numPr>
              <w:spacing w:line="360" w:lineRule="auto"/>
              <w:tabs>
                <w:tab w:val="left" w:pos="312"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6"/>
              </w:numPr>
              <w:spacing w:line="360" w:lineRule="auto"/>
              <w:tabs>
                <w:tab w:val="left" w:pos="312"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高密度服务器应给出CPU个数与机柜高度；</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6"/>
              </w:numPr>
              <w:spacing w:line="360" w:lineRule="auto"/>
              <w:tabs>
                <w:tab w:val="left" w:pos="312"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服务器尺寸具体要求在随机文件中明确</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tabs>
                <w:tab w:val="left" w:pos="312" w:leader="none"/>
              </w:tabs>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36</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尺寸（高×宽×深）</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设计应遵循标准化、系列化的要求；机箱的内部结构符合通用部件的安装需要</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37</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服务器导轨</w:t>
            </w:r>
            <w:r>
              <w:rPr>
                <w:rFonts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机架式</w:t>
            </w:r>
            <w:r>
              <w:rPr>
                <w:rFonts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38</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CPU个数与机柜高度单位(U)比</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2颗，2U</w:t>
            </w:r>
            <w:r>
              <w:rPr>
                <w:rFonts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39</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环境适应性</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气候环境适应性应符合GB/T</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9813.3的有关规定，工作温度10～ 35℃，贮存运输温度-40～55℃；工作相对湿度35%～80%，贮存运输相对湿度20％～93%（40℃）；大气压</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86~106kPa</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40</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特殊机型环境适应性</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边缘应用服务器，工作环境温度宜为 0～45℃，短期工作可承受环境温度宜为-5～55℃，液冷服务器贮存运输温度宜为-30～55℃</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41</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机械环境适应性</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机械环境适应性应符合GB/T</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9813.3的有关规定</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42</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噪声</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符合GB/T 9813.3的有关规定，在产品说明中给出具体测试值</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43</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AI计算单元规格</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AI 计算单元</w:t>
            </w:r>
            <w:r>
              <w:rPr>
                <w:rFonts w:hint="eastAsia" w:ascii="宋体" w:hAnsi="宋体" w:cs="宋体"/>
                <w:b/>
                <w:bCs/>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2台2型服务器的显卡要求分别为：</w:t>
            </w:r>
            <w:r>
              <w:rPr>
                <w:rFonts w:hint="eastAsia" w:ascii="宋体" w:hAnsi="宋体"/>
                <w:b/>
                <w:bCs/>
                <w:color w:val="000000" w:themeColor="text1"/>
                <w:sz w:val="24"/>
                <w:szCs w:val="24"/>
                <w:highlight w:val="none"/>
              </w:rPr>
            </w:r>
            <w:r>
              <w:rPr>
                <w:color w:val="000000" w:themeColor="text1"/>
                <w:highlight w:val="none"/>
              </w:rPr>
            </w:r>
          </w:p>
          <w:p>
            <w:pPr>
              <w:pStyle w:val="952"/>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其中1台显存≥48G，适用于大模型算力；</w:t>
            </w:r>
            <w:r>
              <w:rPr>
                <w:rFonts w:hint="eastAsia" w:ascii="宋体" w:hAnsi="宋体"/>
                <w:b/>
                <w:bCs/>
                <w:color w:val="000000" w:themeColor="text1"/>
                <w:sz w:val="24"/>
                <w:szCs w:val="24"/>
                <w:highlight w:val="none"/>
              </w:rPr>
            </w:r>
            <w:r>
              <w:rPr>
                <w:color w:val="000000" w:themeColor="text1"/>
                <w:highlight w:val="none"/>
              </w:rPr>
            </w:r>
          </w:p>
          <w:p>
            <w:pPr>
              <w:pStyle w:val="952"/>
              <w:spacing w:line="360" w:lineRule="auto"/>
              <w:rPr>
                <w:rFonts w:ascii="宋体" w:hAnsi="宋体" w:cs="宋体"/>
                <w:b/>
                <w:bCs/>
                <w:color w:val="000000" w:themeColor="text1"/>
                <w:sz w:val="24"/>
                <w:szCs w:val="24"/>
                <w:highlight w:val="none"/>
              </w:rPr>
            </w:pPr>
            <w:r>
              <w:rPr>
                <w:rFonts w:hint="eastAsia" w:ascii="宋体" w:hAnsi="宋体"/>
                <w:b/>
                <w:bCs/>
                <w:color w:val="000000" w:themeColor="text1"/>
                <w:sz w:val="24"/>
                <w:szCs w:val="24"/>
                <w:highlight w:val="none"/>
              </w:rPr>
              <w:t xml:space="preserve">另1台显存≥48G，适用于图形渲染。</w:t>
            </w:r>
            <w:r>
              <w:rPr>
                <w:rFonts w:ascii="宋体" w:hAnsi="宋体" w:cs="宋体"/>
                <w:b/>
                <w:bCs/>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b/>
                <w:bCs/>
                <w:sz w:val="24"/>
                <w:szCs w:val="24"/>
              </w:rPr>
            </w:pPr>
            <w:r>
              <w:rPr>
                <w:rFonts w:hint="eastAsia" w:ascii="宋体" w:hAnsi="宋体"/>
                <w:b/>
                <w:bCs/>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44</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一键式迁移</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提供训练脚本迁移工具</w:t>
            </w:r>
            <w:r>
              <w:rPr>
                <w:rFonts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45</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机柜规格</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机柜尺寸</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长度600*高度2000*深度1100</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46</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机柜管理板</w:t>
            </w:r>
            <w:r>
              <w:rPr>
                <w:rFonts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配备机柜管理板</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47</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机柜电源规格</w:t>
            </w:r>
            <w:r>
              <w:rPr>
                <w:rFonts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机柜电源支持集中供电</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48</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主板功能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主板外部接口种类</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支持USB、显示、管理等接口，如：VGA、USB3.0、BMC管理端口</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49</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主板防烧板设计</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支持主板防烧板设计，保证电源故障后不扩散</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50</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扩展功能</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支持扩展显示功能卡</w:t>
            </w:r>
            <w:r>
              <w:rPr>
                <w:rFonts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51</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网络功能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网络功能</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支持网络连接、网络访问、数据交换和网络管控功能</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52</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CPU功能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计算处理</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支持通用计算及虚拟化功能。处理器需集成整型计算单元、浮点计算单元、内存控制器、I/O模块等，处理器与存储部件、网络部件、I/O 部件等组成计算系统，提供数据处理、网络接入等计算相关功能</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53</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密码算法实现</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CPU芯片应符合GM/T0008的相关规定，或芯片密码模块应符合GB/T37092或GM/T 0028的相关规定</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54</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存储功能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内存校验</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支持内存校验或内存增强型纠错功能</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55</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SATA SSDNAND 健康状态上报</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支持关键外部存储器 （硬磁盘、SSD等）的健康状态上报并进行故障诊断</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56</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SATA SSD单 die 故障隔离</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 SSD 关键外部存储器中单存储晶元故障隔离</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57</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RAID卡功能</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 卡RAID 级别支持</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 RAID 0/1/10/5，存储型支持 RAID 0/1/5/6/10/50/60</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58</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 卡BBU 单元</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 卡支持电池或电容备份单元</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59</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光驱功能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光驱类型</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不配置光驱</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60</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电源功能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电源热插拔</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整机电源模块应具备热插拔功能</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61</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电源过流保护</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支持过流及短路保护的功能</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62</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整机功能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散热方式</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支持风冷或液冷等散热方式</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63</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其他功能</w:t>
            </w:r>
            <w:r>
              <w:rPr>
                <w:rFonts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支持关键部件冗余（电源、风扇）</w:t>
            </w:r>
            <w:r>
              <w:rPr>
                <w:rFonts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64</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管理系统功能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BMC固件基础功能</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1)支持DHCP设置网络功能；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2)支持静态IP设置网络功能；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3)支持设备日志记录，包括但不限于登录日志、操作日志和报警日志等功能；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4)支持日志信息导出和记录删除功能；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5)支持通过管理接口向外输出准确的报警信息功能；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6)设备的BMC管理软件应能够按报</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警的严重程度进行区分；</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7)支持IPMI2.0、SNMP或Redfish 等接口功能；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8)支持键盘、鼠标和视频的重定向、文本控制台的重定向、远程虚拟媒体、高可靠的硬件监控和管理功能；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9)支持基于网络开启、关闭和重启设备的功能，并查询当前设备开机运行状态；</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10)支持故障提示功能，并可通过接口读取服务器故障信息；</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11)支持基于网络的固件更新功能，包括BMC和BIOS等；</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12)支持基于网络安装操作系统的功能，并可通过网络控制台访问设备；</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13)支持通过本地的硬盘或光驱等存储设备，基于网络完成设备的操作系统安装功能；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14)支持通过浏览器打开管理界面并登录功能；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15)支持设置口令策略功能；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16)支持访问权限设置功能，并通过日志记录访问事件；</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17)支持对出厂默认的用户名及口令进行安全保护功能，并提供默认口令修改提示；</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18)支持读取设备主板的工作环境温度功能；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19)支持读取服务器CPU等核心器件的温度功能；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20)支持通过外部管理工具进行BMC参数设置的功能，并可基于网络通过外部管理工具对BMC进行管理；</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21)应支持固件版本查询、固件升级</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22)支持基于网络实现开关机和复位控制的功能；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23)BMC启动时间应不超过180s，实现功能包括网络、IPMI、散热、传感器服务可用；</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24)支持BMC固件设置的恢复出厂功能</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65</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BMC固件增强功能</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不涉及</w:t>
            </w:r>
            <w:r>
              <w:rPr>
                <w:rFonts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66</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BIOS固件基础功能</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支持查看固件版本、内存信息、主板信息、处理器信息和系统时间信息功能；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支持上电初始化界面显示CPU信息、内存信息、固件版本和部分快捷键信息功能；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支持设置界面中英文显示切换功能；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支持查看PCIe设备信息，SATA 设备信息功能；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支持操作系统安装和引导功能，应并向操作系统提供计算机主板信息和服务接口；</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支持设置启动顺序，并按照设置的启动顺序启动功能；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支持安全启动功能；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支持设置口令、修改口令、验证口令功能；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支持板载显示控制或独立显卡的显示控制功能；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支持RAID识别和启动功能；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支持串口重定向功能；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支持固件更新功能；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支持BIOS固件设置的恢复出厂功能；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7"/>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支持网络引导启用和关闭功能</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67</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远程控制</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支持远程关机和重新启动功能</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68</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操作系统及驱动功能</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操作系统及驱动的升级</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支持通过网络、闪存盘对操作系统、驱动进行升级</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69</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操作系统及驱动的备份还原</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支持操作系统备份及还原功能</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70</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操作系统功能</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numPr>
                <w:ilvl w:val="0"/>
                <w:numId w:val="8"/>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支持访问控制、安全审计、网络接入鉴别等功能；</w:t>
            </w:r>
            <w:r>
              <w:rPr>
                <w:rFonts w:hint="eastAsia" w:ascii="宋体" w:hAnsi="宋体" w:cs="宋体"/>
                <w:color w:val="000000" w:themeColor="text1"/>
                <w:sz w:val="24"/>
                <w:szCs w:val="24"/>
                <w:highlight w:val="none"/>
              </w:rPr>
            </w:r>
            <w:r>
              <w:rPr>
                <w:color w:val="000000" w:themeColor="text1"/>
                <w:highlight w:val="none"/>
              </w:rPr>
            </w:r>
          </w:p>
          <w:p>
            <w:pPr>
              <w:pStyle w:val="952"/>
              <w:numPr>
                <w:ilvl w:val="0"/>
                <w:numId w:val="8"/>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操作系统其他功能满足操作系统政府采购需求</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71</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中文信息处理</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中文信息处理</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符合GB 18030的有关规定</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72</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机柜功能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机柜管理功能</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不涉及</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73</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机柜通信方式</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不涉及</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74</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多集群作业管理</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不涉及</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75</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关键部件安全要求</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关键部件安全要求</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CPU和操作系统等关键部件应当符合安全可靠测评要求</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76</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hint="eastAsia"/>
                <w:color w:val="000000" w:themeColor="text1"/>
                <w:highlight w:val="none"/>
              </w:rPr>
            </w:pPr>
            <w:r>
              <w:rPr>
                <w:rFonts w:hint="eastAsia" w:ascii="宋体" w:hAnsi="宋体" w:cs="宋体"/>
                <w:color w:val="000000" w:themeColor="text1"/>
                <w:sz w:val="24"/>
                <w:szCs w:val="24"/>
                <w:highlight w:val="none"/>
              </w:rPr>
              <w:t xml:space="preserve">固件安全要求</w:t>
            </w:r>
            <w:r>
              <w:rPr>
                <w:rFonts w:hint="eastAsia"/>
                <w:color w:val="000000" w:themeColor="text1"/>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故障检测</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支持故障检测功能，可以检测到具体的 FRU（内存、硬盘等）的故障并发出告警</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77</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内存故障</w:t>
            </w:r>
            <w:r>
              <w:rPr>
                <w:rFonts w:hint="eastAsia" w:ascii="宋体" w:hAnsi="宋体" w:cs="宋体"/>
                <w:color w:val="000000" w:themeColor="text1"/>
                <w:sz w:val="24"/>
                <w:szCs w:val="24"/>
                <w:highlight w:val="none"/>
              </w:rPr>
              <w:t xml:space="preserve">智能预测和自愈修复</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支持内存故障智能预测和自愈修复，提前自动硬隔离，避免内存故障引起的非预期宕机以及内存寿命的降低</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78</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硬盘故障</w:t>
            </w:r>
            <w:r>
              <w:rPr>
                <w:rFonts w:hint="eastAsia" w:ascii="宋体" w:hAnsi="宋体" w:cs="宋体"/>
                <w:color w:val="000000" w:themeColor="text1"/>
                <w:sz w:val="24"/>
                <w:szCs w:val="24"/>
                <w:highlight w:val="none"/>
              </w:rPr>
              <w:t xml:space="preserve">智能预测</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支持硬盘故障智能预测，基于故障模型预测出硬盘的故障</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79</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PCIe 链路</w:t>
            </w:r>
            <w:r>
              <w:rPr>
                <w:rFonts w:hint="eastAsia" w:ascii="宋体" w:hAnsi="宋体" w:cs="宋体"/>
                <w:color w:val="000000" w:themeColor="text1"/>
                <w:sz w:val="24"/>
                <w:szCs w:val="24"/>
                <w:highlight w:val="none"/>
              </w:rPr>
              <w:t xml:space="preserve">故障智能诊断</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 PCIe 链路故障智能诊断，判断出现故障的 PCIe 链路</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80</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内存故障</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支持内存故障隔离，在内存产生 CE故障时，内存地址被隔离成功，服务器正常运行，业务系统不中断</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81</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内存、PCI</w:t>
            </w:r>
            <w:r>
              <w:rPr>
                <w:rFonts w:hint="eastAsia" w:ascii="宋体" w:hAnsi="宋体" w:cs="宋体"/>
                <w:color w:val="000000" w:themeColor="text1"/>
                <w:sz w:val="24"/>
                <w:szCs w:val="24"/>
                <w:highlight w:val="none"/>
              </w:rPr>
              <w:t xml:space="preserve">卡的故障精准告警功能</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支持内存、PCIe 卡的故障精准告警功能，触发告警并明确指示具体的故障位置</w:t>
            </w:r>
            <w:r>
              <w:rPr>
                <w:rFonts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82</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异常下电</w:t>
            </w:r>
            <w:r>
              <w:rPr>
                <w:rFonts w:hint="eastAsia" w:ascii="宋体" w:hAnsi="宋体" w:cs="宋体"/>
                <w:color w:val="000000" w:themeColor="text1"/>
                <w:sz w:val="24"/>
                <w:szCs w:val="24"/>
                <w:highlight w:val="none"/>
              </w:rPr>
              <w:t xml:space="preserve">关键数据保护</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支持异常下电关键数据保护，支持数据备份恢复机制，防止系统异常掉电导致的数据文件丢失</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83</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BMC/BIOS</w:t>
            </w:r>
            <w:r>
              <w:rPr>
                <w:rFonts w:hint="eastAsia" w:ascii="宋体" w:hAnsi="宋体" w:cs="宋体"/>
                <w:color w:val="000000" w:themeColor="text1"/>
                <w:sz w:val="24"/>
                <w:szCs w:val="24"/>
                <w:highlight w:val="none"/>
              </w:rPr>
              <w:t xml:space="preserve">固件双镜保护</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 BMC/BIOS 固件双镜像保护，运行异常时自动切换到备份镜像运行，提升系统稳定性</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84</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CPU 核重</w:t>
            </w:r>
            <w:r>
              <w:rPr>
                <w:rFonts w:hint="eastAsia" w:ascii="宋体" w:hAnsi="宋体" w:cs="宋体"/>
                <w:color w:val="000000" w:themeColor="text1"/>
                <w:sz w:val="24"/>
                <w:szCs w:val="24"/>
                <w:highlight w:val="none"/>
              </w:rPr>
              <w:t xml:space="preserve">启隔离</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 CPU 核发生不可纠正故障后，重启后由 BIOS 隔离该故障核，OS不可见，防止 OS 再次使用导致系统异常，核 0 除外</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85</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内存地址</w:t>
            </w:r>
            <w:r>
              <w:rPr>
                <w:rFonts w:hint="eastAsia" w:ascii="宋体" w:hAnsi="宋体" w:cs="宋体"/>
                <w:color w:val="000000" w:themeColor="text1"/>
                <w:sz w:val="24"/>
                <w:szCs w:val="24"/>
                <w:highlight w:val="none"/>
              </w:rPr>
              <w:t xml:space="preserve">隔离</w:t>
            </w:r>
            <w:r>
              <w:rPr>
                <w:rFonts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在硬件支持的情况下，支持故障内存地址重启后隔离</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86</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内存存储</w:t>
            </w:r>
            <w:r>
              <w:rPr>
                <w:rFonts w:hint="eastAsia" w:ascii="宋体" w:hAnsi="宋体" w:cs="宋体"/>
                <w:color w:val="000000" w:themeColor="text1"/>
                <w:sz w:val="24"/>
                <w:szCs w:val="24"/>
                <w:highlight w:val="none"/>
              </w:rPr>
              <w:t xml:space="preserve">阵列替换</w:t>
            </w:r>
            <w:r>
              <w:rPr>
                <w:rFonts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在硬件支持的情况下，支持故障内存存储阵列替换</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87</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安全启动</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支持执行环境要求在整个系统启动的过程中，系统应提供一个机制来保护平台的完整性</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88</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restart"/>
            <w:textDirection w:val="lrTb"/>
            <w:noWrap w:val="false"/>
          </w:tcPr>
          <w:p>
            <w:pPr>
              <w:pStyle w:val="952"/>
              <w:spacing w:line="360" w:lineRule="auto"/>
              <w:rPr>
                <w:color w:val="000000" w:themeColor="text1"/>
                <w:highlight w:val="none"/>
              </w:rPr>
            </w:pPr>
            <w:r>
              <w:rPr>
                <w:rFonts w:hint="eastAsia" w:ascii="宋体" w:hAnsi="宋体" w:cs="宋体"/>
                <w:color w:val="000000" w:themeColor="text1"/>
                <w:sz w:val="24"/>
                <w:szCs w:val="24"/>
                <w:highlight w:val="none"/>
              </w:rPr>
              <w:t xml:space="preserve">系统安全要求</w:t>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syslog 双</w:t>
            </w:r>
            <w:r>
              <w:rPr>
                <w:rFonts w:hint="eastAsia" w:ascii="宋体" w:hAnsi="宋体" w:cs="宋体"/>
                <w:color w:val="000000" w:themeColor="text1"/>
                <w:sz w:val="24"/>
                <w:szCs w:val="24"/>
                <w:highlight w:val="none"/>
              </w:rPr>
              <w:t xml:space="preserve">向鉴别</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支持系统日志双向鉴别，对服务器根证书和客户端根证书进行鉴别</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89</w:t>
            </w:r>
            <w:r>
              <w:rPr>
                <w:rFonts w:hint="eastAsia" w:ascii="宋体" w:hAnsi="宋体" w:cs="宋体"/>
                <w:color w:val="000000" w:themeColor="text1"/>
                <w:sz w:val="24"/>
                <w:szCs w:val="24"/>
                <w:highlight w:val="none"/>
              </w:rPr>
            </w:r>
            <w:r>
              <w:rPr>
                <w:color w:val="000000" w:themeColor="text1"/>
                <w:highlight w:val="none"/>
              </w:rPr>
            </w:r>
          </w:p>
        </w:tc>
        <w:tc>
          <w:tcPr>
            <w:tcW w:w="421"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弱口令字</w:t>
            </w:r>
            <w:r>
              <w:rPr>
                <w:rFonts w:hint="eastAsia" w:ascii="宋体" w:hAnsi="宋体" w:cs="宋体"/>
                <w:color w:val="000000" w:themeColor="text1"/>
                <w:sz w:val="24"/>
                <w:szCs w:val="24"/>
                <w:highlight w:val="none"/>
              </w:rPr>
              <w:t xml:space="preserve">典检查</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支持弱口令字典检查功能，出现在弱口令字典中的字符串不能被设置为用户口令</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90</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白名单访</w:t>
            </w:r>
            <w:r>
              <w:rPr>
                <w:rFonts w:hint="eastAsia" w:ascii="宋体" w:hAnsi="宋体" w:cs="宋体"/>
                <w:color w:val="000000" w:themeColor="text1"/>
                <w:sz w:val="24"/>
                <w:szCs w:val="24"/>
                <w:highlight w:val="none"/>
              </w:rPr>
              <w:t xml:space="preserve">问控制</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支持基于时间、IP 或 MAC 白名单访问控制</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91</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双因素鉴</w:t>
            </w:r>
            <w:r>
              <w:rPr>
                <w:rFonts w:hint="eastAsia" w:ascii="宋体" w:hAnsi="宋体" w:cs="宋体"/>
                <w:color w:val="000000" w:themeColor="text1"/>
                <w:sz w:val="24"/>
                <w:szCs w:val="24"/>
                <w:highlight w:val="none"/>
              </w:rPr>
              <w:t xml:space="preserve">别</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支持使用客户端证书和证书密码的双因素鉴别方式登录管理系统</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92</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二次鉴别</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支持二次鉴别功能。对于用户配置、权限配置、公钥导入等重要的管理操作，已登录用户应通过二次鉴别后，才能执行操作</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93</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匿名化用</w:t>
            </w:r>
            <w:r>
              <w:rPr>
                <w:rFonts w:hint="eastAsia" w:ascii="宋体" w:hAnsi="宋体" w:cs="宋体"/>
                <w:color w:val="000000" w:themeColor="text1"/>
                <w:sz w:val="24"/>
                <w:szCs w:val="24"/>
                <w:highlight w:val="none"/>
              </w:rPr>
              <w:t xml:space="preserve">户告警接收邮箱</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支持带外管理系统中的用户告警接收邮箱进行匿名化处理</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94</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密码证书</w:t>
            </w:r>
            <w:r>
              <w:rPr>
                <w:rFonts w:hint="eastAsia" w:ascii="宋体" w:hAnsi="宋体" w:cs="宋体"/>
                <w:color w:val="000000" w:themeColor="text1"/>
                <w:sz w:val="24"/>
                <w:szCs w:val="24"/>
                <w:highlight w:val="none"/>
              </w:rPr>
              <w:t xml:space="preserve">安全加密存储</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支持对带外管理系统中的用户口令和证书等敏感信息进行加密存储，禁止使用私有的和业界已知不安全的密码算法</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95</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83"/>
              <w:rPr>
                <w:rFonts w:hint="eastAsia"/>
                <w:lang w:val="en-US" w:eastAsia="zh-CN"/>
              </w:rPr>
            </w:pPr>
            <w:r>
              <w:rPr>
                <w:rFonts w:hint="eastAsia"/>
                <w:lang w:val="en-US" w:eastAsia="zh-CN"/>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敏感信息</w:t>
            </w:r>
            <w:r>
              <w:rPr>
                <w:rFonts w:hint="eastAsia" w:ascii="宋体" w:hAnsi="宋体" w:cs="宋体"/>
                <w:color w:val="000000" w:themeColor="text1"/>
                <w:sz w:val="24"/>
                <w:szCs w:val="24"/>
                <w:highlight w:val="none"/>
              </w:rPr>
              <w:t xml:space="preserve">安全加密传输</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支持使用安全的传输加密协议（如SSH 或 HTTPS 等）传输用户的敏感信息</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96</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restart"/>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信息安全要求</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研发过程安全</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供应商应确保生产商已建立从需求、设计、开发、测试、维护端到端的开发流程管理机制，输出和保存开发流程中每个阶段的产品需求清单、设计文档、开发文档、测试记录等材料，保证各个流程可追溯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97</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漏洞管理</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生产商已建立漏洞全</w:t>
            </w:r>
            <w:r>
              <w:rPr>
                <w:rFonts w:hint="eastAsia" w:ascii="宋体" w:hAnsi="宋体" w:cs="宋体"/>
                <w:color w:val="000000" w:themeColor="text1"/>
                <w:sz w:val="24"/>
                <w:szCs w:val="24"/>
                <w:highlight w:val="none"/>
              </w:rPr>
              <w:t xml:space="preserve">量视图，保证产品版本涉及到的所有漏洞(如驱动程序、BMC 软件等)都可以查看</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ascii="宋体" w:hAnsi="宋体" w:cs="宋体"/>
                <w:sz w:val="24"/>
                <w:szCs w:val="24"/>
              </w:rPr>
            </w:pPr>
            <w:r>
              <w:rPr>
                <w:rFonts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98</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网络关键</w:t>
            </w:r>
            <w:r>
              <w:rPr>
                <w:rFonts w:hint="eastAsia" w:ascii="宋体" w:hAnsi="宋体" w:cs="宋体"/>
                <w:color w:val="000000" w:themeColor="text1"/>
                <w:sz w:val="24"/>
                <w:szCs w:val="24"/>
                <w:highlight w:val="none"/>
              </w:rPr>
              <w:t xml:space="preserve">设备服务器要求</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作为网络关键设备的服务器应符合</w:t>
            </w:r>
            <w:r>
              <w:rPr>
                <w:rFonts w:hint="eastAsia" w:ascii="宋体" w:hAnsi="宋体" w:cs="宋体"/>
                <w:color w:val="000000" w:themeColor="text1"/>
                <w:sz w:val="24"/>
                <w:szCs w:val="24"/>
                <w:highlight w:val="none"/>
              </w:rPr>
              <w:t xml:space="preserve">GB 40050 的相关规定</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ascii="宋体" w:hAnsi="宋体" w:cs="宋体"/>
                <w:sz w:val="24"/>
                <w:szCs w:val="24"/>
              </w:rPr>
            </w:pPr>
            <w:r>
              <w:rPr>
                <w:rFonts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99</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增强要求</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支持在固件系统（BMC、BIOS）</w:t>
            </w:r>
            <w:r>
              <w:rPr>
                <w:rFonts w:hint="eastAsia" w:ascii="宋体" w:hAnsi="宋体" w:cs="宋体"/>
                <w:color w:val="000000" w:themeColor="text1"/>
                <w:sz w:val="24"/>
                <w:szCs w:val="24"/>
                <w:highlight w:val="none"/>
              </w:rPr>
              <w:t xml:space="preserve">启动前实现对固件度量的功能，支持物理可信根对 BMC 固件或 BIOS 固件进行完整性检测、更新和恢复</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ascii="宋体" w:hAnsi="宋体" w:cs="宋体"/>
                <w:sz w:val="24"/>
                <w:szCs w:val="24"/>
              </w:rPr>
            </w:pPr>
            <w:r>
              <w:rPr>
                <w:rFonts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100</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物理安全</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物理安全</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安全要求应符合GB 4943.1的规定</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101</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限用物质的限量要求</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限用物质的限量要求</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限用物质的限量应符合GB/T 26572 的要求</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90"/>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102</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CPU性能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CPU主频</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≥2.5GHz</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103</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单CPU核数</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w:t>
            </w:r>
            <w:r>
              <w:rPr>
                <w:rFonts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104</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单CPU末级缓存容量</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≥64MB</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105</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内存性能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单内存模块容量</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≥64GB</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106</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内存速率</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≥5600MT/s</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107</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存储性能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硬盘转速</w:t>
            </w:r>
            <w:r>
              <w:rPr>
                <w:rFonts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SSD</w:t>
            </w:r>
            <w:r>
              <w:rPr>
                <w:rFonts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108</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RAID卡性能</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 卡缓存容量大小</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≥1G</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109</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FC HBA卡性能</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FC HBA卡速率</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16G</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110</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网络性能</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独立网卡速率</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10G</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111</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板载网卡速率</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≥1GE</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112</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电源能耗</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电源能耗</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符合GB/T 9813.3的有关规定</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113</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部件兼容性要求</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内存兼容性</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适配3种及以上厂商的内存产品，且均不低于产品支持的内存规格</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114</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固态存储兼容性</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适配3种或以上厂商的固态存储产品，且均不低于产品支持的固态存储设备规格</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115</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FC HBA卡</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兼容性</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FC HBA应适配两种或以上厂商产品</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116</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RAID卡兼容性</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RAID卡应适配两种或以上厂商产品</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117</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网卡兼容性</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网卡应适配两种或以上厂商产品</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118</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功能卡兼容性</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内置或适配符合PCIe的功能卡，如：网络功能卡、存储功能卡及图形显示功能卡</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119</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外设兼容性</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外设兼容性</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兼容多种主流生产商的外部设备，包括显示器、键盘、鼠标、闪存盘、移动硬盘、USB光驱及KVM等，要求使用不同厂商的外部设备时，系统均能正常识别和安装驱动</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120</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软件兼容性</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数据库兼容</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兼容3个及以上厂商的数据库产品</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121</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中间件兼容</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兼容3个及以上厂商的中间件产品</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122</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平台软件兼容</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兼容3个及以上厂商的大数据平台</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123</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虚拟化软件兼容</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兼容2款及以上虚拟化软件</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124</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存储可靠性要求</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SATA SSD可靠性</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SSD 的 m1 值（MTBF 的不可接受值）不低于 200000h</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125</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整机可靠性要求</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整机可靠性</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m1值（MTBF的不可接受值）不得低于30000h</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126</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风扇可靠性</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风扇寿命应不低于40000h</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127</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部件可靠性</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支持硬盘、电源、风扇热插拔(内置风扇除外)</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128</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包装及运输要求</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标志、包装、运输和贮存</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符合GB/T 9813.3和商品包装政府采购需求标准的相关规定</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129</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服务响应</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服务响应</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a) 提供电话、电子邮件、远程连接等多种形式服务；</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b) 提供同城4h、异地12h技术响应服务，2个工作日解决问题，对于未能解决的问题和故障应提供可行的升级方案，并提供周转设备；</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 建立全国技术服务体系和服务团体，符合专业服务体系标准要求，提供原厂中文服务；</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d) 服务周期内提供产品的维修、换件和升级服务</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130</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培训服务</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供应商成交后应向采购人提供培训材料、产品手册、培训视频等培训相关内容</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131</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服务周期</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服务周期</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a) 产品免费服务周期（含换件和维修）应不小于3年；</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b) 设备停产后继续提供质量保障服务（含备品备件），服务终止时间与最后一批设备交付时间间隔不低于3年；</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 产品停止服务时间应提前1年告知客户；</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d) 产品发布日期需在随机文件中明确</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132</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服务工具要求</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工具要求</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供应商提供设置服务器硬件、辅助操作系统安装等功能的辅助工具和管理软件。且随附软件应具有合法授权或版权</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133</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辅助工具</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支持如下功能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a) 本地的数据备份和还原功能；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b) 网络的数据备份和还原功能；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 服务器操作系统的自动安装功能；</w:t>
            </w:r>
            <w:r>
              <w:rPr>
                <w:rFonts w:hint="eastAsia" w:ascii="宋体" w:hAnsi="宋体" w:cs="宋体"/>
                <w:color w:val="000000" w:themeColor="text1"/>
                <w:sz w:val="24"/>
                <w:szCs w:val="24"/>
                <w:highlight w:val="none"/>
              </w:rPr>
            </w:r>
            <w:r>
              <w:rPr>
                <w:color w:val="000000" w:themeColor="text1"/>
                <w:highlight w:val="none"/>
              </w:rPr>
            </w:r>
          </w:p>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d) 服务器所配硬件需要的驱动程序和系统补丁</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134</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驱动安装升级指引</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供应商提供出厂安装的配件所需的驱动程序，形式包括但不限于驱动光盘、驱动下载链接等。其他配件应提供指引</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135</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随机附开盖工具</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随服务器打包提供开机箱工具</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136</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代码迁移工具</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供应商提供从其他 CPU 架构到当前服务器 CPU 架构的软件迁移工具产品，支持软件包迁移评估，对满足产品重构要求的软件包，能重构为当前服务器 CPU 架构的软件包。提供源码迁移功能，检查分析C/C++/Fortran/Go/解释型语言/汇编等源码文件，基于产品功能给出迁移指导</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137</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性能分析工具</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供应商提供支持当前服务器 CPU 架构的性能分析工具产品，支持系统性能分析、Java 性能分析和系统诊断，可分析系统或应用在 CPU、内存、IO、网络等方面的性能，并给出优化建议</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138</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跨架构平台应用兼容</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跨 CPU 架构平台应用兼容工具，可兼容一种或者一种以上不同架构平台的应用</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139</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管理软件</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具备资源管理、系统管理、性能监控、健康监控、基于网络控制、报警设置功能</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140</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增值服务</w:t>
            </w:r>
            <w:r>
              <w:rPr>
                <w:rFonts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厂家升级产品软件与扩容服务</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供应商提供原厂级的部件/软件产品升级和扩容能力</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141</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服务保障升级</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供应商有偿提供远程技术支持、软件授权服务、备件更换服务、现场支承服务</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699"/>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142</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提供上门服务</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供应商具备提供上门服务的能力(免费)</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699"/>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143</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业务场景性能优化服务及整体架构升级服务</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供应商提供针对特定业务场景性能优化服务及整体架构升级服务</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144</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restart"/>
            <w:textDirection w:val="lrTb"/>
            <w:noWrap w:val="false"/>
          </w:tcPr>
          <w:p>
            <w:pPr>
              <w:pStyle w:val="95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供应链质量</w:t>
            </w:r>
            <w:r>
              <w:rPr>
                <w:rFonts w:hint="eastAsia" w:ascii="宋体" w:hAnsi="宋体" w:cs="宋体"/>
                <w:color w:val="000000" w:themeColor="text1"/>
                <w:sz w:val="24"/>
                <w:szCs w:val="24"/>
                <w:highlight w:val="none"/>
              </w:rPr>
            </w:r>
            <w:r>
              <w:rPr>
                <w:color w:val="000000" w:themeColor="text1"/>
                <w:highlight w:val="none"/>
              </w:rP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抗干扰性</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当产品部件出现供应风险时，应通知客户并提供风险应对方案确保产品的服务保障，必要时应停止相关受影响产品的销售</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r>
        <w:trPr>
          <w:trHeight w:val="23"/>
        </w:trPr>
        <w:tc>
          <w:tcPr>
            <w:tcW w:w="300"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145</w:t>
            </w:r>
            <w:r>
              <w:rPr>
                <w:rFonts w:hint="eastAsia" w:ascii="宋体" w:hAnsi="宋体" w:cs="宋体"/>
                <w:color w:val="000000" w:themeColor="text1"/>
                <w:sz w:val="24"/>
                <w:szCs w:val="24"/>
                <w:highlight w:val="none"/>
                <w:lang w:bidi="ar"/>
              </w:rPr>
            </w:r>
            <w:r>
              <w:rPr>
                <w:color w:val="000000" w:themeColor="text1"/>
                <w:highlight w:val="none"/>
              </w:rPr>
            </w:r>
          </w:p>
        </w:tc>
        <w:tc>
          <w:tcPr>
            <w:tcW w:w="421" w:type="dxa"/>
            <w:vAlign w:val="center"/>
            <w:vMerge w:val="continue"/>
            <w:textDirection w:val="lrTb"/>
            <w:noWrap w:val="false"/>
          </w:tcPr>
          <w:p>
            <w:pPr>
              <w:pStyle w:val="952"/>
              <w:jc w:val="center"/>
              <w:spacing w:line="360" w:lineRule="auto"/>
              <w:rPr>
                <w:rFonts w:hint="eastAsia" w:ascii="宋体" w:hAnsi="宋体" w:cs="宋体"/>
                <w:sz w:val="24"/>
                <w:szCs w:val="24"/>
              </w:rPr>
            </w:pPr>
            <w:r>
              <w:rPr>
                <w:rFonts w:hint="eastAsia" w:ascii="宋体" w:hAnsi="宋体" w:cs="宋体"/>
                <w:sz w:val="24"/>
                <w:szCs w:val="24"/>
              </w:rPr>
            </w:r>
            <w:r/>
          </w:p>
        </w:tc>
        <w:tc>
          <w:tcPr>
            <w:tcW w:w="724"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供应能力证明</w:t>
            </w:r>
            <w:r>
              <w:rPr>
                <w:rFonts w:hint="eastAsia" w:ascii="宋体" w:hAnsi="宋体" w:cs="宋体"/>
                <w:color w:val="000000" w:themeColor="text1"/>
                <w:sz w:val="24"/>
                <w:szCs w:val="24"/>
                <w:highlight w:val="none"/>
              </w:rPr>
            </w:r>
            <w:r>
              <w:rPr>
                <w:color w:val="000000" w:themeColor="text1"/>
                <w:highlight w:val="none"/>
              </w:rPr>
            </w:r>
          </w:p>
        </w:tc>
        <w:tc>
          <w:tcPr>
            <w:tcW w:w="2856" w:type="dxa"/>
            <w:vAlign w:val="center"/>
            <w:textDirection w:val="lrTb"/>
            <w:noWrap w:val="false"/>
          </w:tcPr>
          <w:p>
            <w:pPr>
              <w:pStyle w:val="95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确保产品的部件在产品服务周期内稳定供货</w:t>
            </w:r>
            <w:r>
              <w:rPr>
                <w:rFonts w:hint="eastAsia" w:ascii="宋体" w:hAnsi="宋体" w:cs="宋体"/>
                <w:color w:val="000000" w:themeColor="text1"/>
                <w:sz w:val="24"/>
                <w:szCs w:val="24"/>
                <w:highlight w:val="none"/>
              </w:rPr>
            </w:r>
            <w:r>
              <w:rPr>
                <w:color w:val="000000" w:themeColor="text1"/>
                <w:highlight w:val="none"/>
              </w:rPr>
            </w:r>
          </w:p>
        </w:tc>
        <w:tc>
          <w:tcPr>
            <w:tcW w:w="696" w:type="dxa"/>
            <w:vAlign w:val="center"/>
            <w:vMerge w:val="continue"/>
            <w:textDirection w:val="lrTb"/>
            <w:noWrap w:val="false"/>
          </w:tcPr>
          <w:p>
            <w:pPr>
              <w:pStyle w:val="952"/>
              <w:spacing w:line="360" w:lineRule="auto"/>
              <w:rPr>
                <w:rFonts w:hint="eastAsia" w:ascii="宋体" w:hAnsi="宋体" w:cs="宋体"/>
                <w:sz w:val="24"/>
                <w:szCs w:val="24"/>
              </w:rPr>
            </w:pPr>
            <w:r>
              <w:rPr>
                <w:rFonts w:hint="eastAsia" w:ascii="宋体" w:hAnsi="宋体" w:cs="宋体"/>
                <w:sz w:val="24"/>
                <w:szCs w:val="24"/>
              </w:rPr>
            </w:r>
            <w:r/>
          </w:p>
        </w:tc>
      </w:tr>
    </w:tbl>
    <w:p>
      <w:pPr>
        <w:pStyle w:val="952"/>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952"/>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3.3 虚拟化软件</w:t>
      </w: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虚拟化产品支持安装在通用的x86、ARM架构服务器，支持海光、鲲鹏、飞腾等业界主流CPU服务器，支持x86架构和ARM架构服务器集群统一管理。</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虚拟机支持市场上主流的国内外操作系统，包括Windows、RedHat、CentOS、Ubuntu、SUSE、Fedora、FreeBSD、统信、银河麒麟、中标麒麟、普华、深度、一铭、凝思等。</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支持提供裸金属、虚拟机、容器算力资源。</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支持QEMU热升级，平台升级无需迁移虚拟机。</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支持对VMware虚拟化统一纳管、一键迁移、无缝灾备。</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虚拟机之间可以做到隔离保护，其中每一个虚拟机发生故障都不会影响同一个物理机上的其他虚拟机运行，每个虚拟机上的用户权限只限于本虚拟机之内，以保障系统平台的安全性。</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虚拟化平台提供统一的虚拟化管理界面，支持管理所有虚拟化计算节点，在同一界面上提供虚拟机启动、休眠、恢复、重启、安全关闭、关闭电源、迁移、备份、快照、克隆、克隆为模板、修改等生命周期管理功能。</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虚拟机在不停机的状态下在不同物理机或存储之间迁移，并保留虚拟机迁移历史记录，记录中包含迁移的操作员、迁移方式、源主机、目的主机、开始时间、迁移耗时等信息，便于对虚拟机的迁移路径进行回溯。</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集群动态资源调度功能，可基于主机的CPU利用率、内存利用率、磁盘I/O、磁盘容量利用率、磁盘请求、网络流量等资源对虚拟机进行动态资源调度，实现自动化的计算、存储、网络等资源分配和负载均衡功能，使虚拟机获得良好的性能资源，避免将虚拟机放置或迁移到已经网络饱和的主机上，确保云环境的服务水平，为业务系统提供健康可用的资源环境。</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使用一键鼠标按钮快速查看、启动、删除、批量启动和批量删除长时间未使用且处于关闭状态的虚拟机，进行资源利用率统计，降低运维工作量与难度；支持使用一键鼠标按钮分析后端存储上的无效镜像文件，并提供一键清理和释放存储空间能力，提升资源利用率；支持虚拟化管理平台内置在线p2v、v2v迁移工具，支持业界主流的操作系统、公有云平台、虚拟化平台，包括但不限于VMware、H3C、华为等平台的迁移功能。</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根据业务的负载情况实现业务系统虚拟机的动态扩展和回收，能够根据虚拟机CPU、内存、连接数、存储容量、磁盘IO等参数动态的克隆虚拟机或删除虚拟机，满足业务突发流量响应需求，实现资源的随需而动，提升资源利用率，节约投资。</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通过虚拟化平台统一提供虚拟机、裸金属资源，支持对裸金属服务器的生命周期管理，包括裸金属的增加、删除、启动、关闭、重启、安装镜像以及控制台操作，支持裸金属镜像的上传、下载、镜像存储管理、将虚拟机克隆为裸金属镜像，为业务提供高性能算力，简化运维。</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虚拟机一致性快照，快照时将缓存数据落盘，保证虚拟机磁盘数据的一致性，在软件安装测试、升级等故障恢复场景，快速恢复到快照前的环境，同时支持开放快照接口与第三方备份对接，保证虚拟机备份的数据完整性，最大限度地减少数据丢失。</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虚拟机独占或共享GPU资源，支持为不同业务的虚拟机设置资源优先级和分配比例，对共享的GPU资源进行抢占，高优先级虚拟机启动时可以按照资源分配比例抢占低优先级虚拟机的GPU资源，实现虚拟机GPU资源按需分配与灵活调度，提高GPU资源利用率。</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支持通过虚拟化管理平台对VMware vSphere 6.0/6.5/6.7/7.0虚拟机无缝灾备，支持将vSphere虚拟机备份还原至新虚拟化平台，满足跨平台灾备需求，无虚拟机数量限制。</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智能电源管理功能，当集群内的主机负载低于设定阈值时，将一台服务器上的虚拟机全部迁移到其他服务器中，并将该服务器自动关闭；当集群内有关闭状态的主机且集群内负载达到指定阈值时，自动唤醒该主机，并通过动态资源调度功能实现负载平衡，降低能耗。</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对接远端存储时，支持选择存储IP的类型，配置对接存储的存储IP，为提升数据安全性，需支持单向和双向验证CHAP身份信息。</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产品需支持内存置换，使用智能调度算法，在内存交换分区状态下，支持采用内存压缩技术，并可以自由选择内存压缩类别，实现内存数据在主机内存和主机硬盘之间的智能调度，以实现资源利用率与性能的最优模式。</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支持主流Windows、Linux、国产操作系统虚拟机无代理底层防病毒能力，包括Windows、RedHat、CentOS、SUSE、Ubuntu、统信、银河麒麟等，不需要在虚拟机或虚拟桌中部署安全防护代理，对虚拟机数量无限制。</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无代理底层网络数据包检测，可以同时保护虚拟机操作系统以及服务应用（数据库，Web，DHCP等），提供虚拟补丁功能，在已知漏洞修复之前，提供对漏洞攻击的防护能力，屏蔽漏洞以免遭受无限制的入侵，不需要在虚拟机或虚拟桌面中部署安全防护代理。</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虚拟化管理平台支持主机防病毒补丁安装检测功能，能够检测所有主机防病毒补丁安装状态、IP地址、安装进度等，并可进行一键卸载，一键安装防病毒功能模块。</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支持在同一管理平台对裸金属、虚拟机统一安全防护，支持VMware、华为等异构虚拟化平台，支持统一管理有代理与无代理防护方式，可提供防病毒、入侵检测、主机加固等防护能力。</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9"/>
        </w:numPr>
        <w:ind w:firstLine="567"/>
        <w:spacing w:line="360" w:lineRule="auto"/>
        <w:tabs>
          <w:tab w:val="left" w:pos="105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本次购买</w:t>
      </w:r>
      <w:r>
        <w:rPr>
          <w:rFonts w:hint="eastAsia" w:ascii="宋体" w:hAnsi="宋体"/>
          <w:bCs/>
          <w:color w:val="000000" w:themeColor="text1"/>
          <w:sz w:val="24"/>
          <w:szCs w:val="24"/>
          <w:highlight w:val="none"/>
          <w:u w:val="single"/>
        </w:rPr>
        <w:t xml:space="preserve">物理CPU</w:t>
      </w:r>
      <w:r>
        <w:rPr>
          <w:rFonts w:hint="eastAsia" w:ascii="宋体" w:hAnsi="宋体"/>
          <w:bCs/>
          <w:color w:val="000000" w:themeColor="text1"/>
          <w:sz w:val="24"/>
          <w:szCs w:val="24"/>
          <w:highlight w:val="none"/>
        </w:rPr>
        <w:t xml:space="preserve">许可数量按照服务器1型进行配置，配套的CPU授权许可要求能够与现有服务器虚拟化平台保持无缝兼容和纳管其平台所有VM主机，并实现不同宿主机之间的在线迁移，纳管后支持原有虚拟机规格的在线和离线调整，包括CPU、内存、硬盘、网卡等资源，在虚拟机操作系统本身支持的前提下，热添加的CPU/内存可以即时生效。</w:t>
      </w:r>
      <w:r>
        <w:rPr>
          <w:rFonts w:ascii="宋体" w:hAnsi="宋体"/>
          <w:bCs/>
          <w:color w:val="000000" w:themeColor="text1"/>
          <w:sz w:val="24"/>
          <w:szCs w:val="24"/>
          <w:highlight w:val="none"/>
        </w:rPr>
      </w:r>
      <w:r>
        <w:rPr>
          <w:color w:val="000000" w:themeColor="text1"/>
          <w:highlight w:val="none"/>
        </w:rPr>
      </w:r>
    </w:p>
    <w:p>
      <w:pPr>
        <w:pStyle w:val="952"/>
        <w:numPr>
          <w:ilvl w:val="0"/>
          <w:numId w:val="0"/>
        </w:numPr>
        <w:ind w:left="420" w:hanging="420"/>
        <w:keepLines/>
        <w:keepNext/>
        <w:spacing w:before="260" w:after="260" w:line="360" w:lineRule="auto"/>
        <w:rPr>
          <w:rFonts w:ascii="宋体" w:hAnsi="宋体"/>
          <w:b/>
          <w:bCs/>
          <w:color w:val="000000" w:themeColor="text1"/>
          <w:sz w:val="24"/>
          <w:szCs w:val="24"/>
          <w:highlight w:val="none"/>
        </w:rPr>
        <w:outlineLvl w:val="1"/>
      </w:pPr>
      <w:r>
        <w:rPr>
          <w:rFonts w:hint="eastAsia" w:ascii="宋体" w:hAnsi="宋体"/>
          <w:b/>
          <w:bCs/>
          <w:color w:val="000000" w:themeColor="text1"/>
          <w:sz w:val="24"/>
          <w:szCs w:val="24"/>
          <w:highlight w:val="none"/>
          <w:lang w:val="en-US" w:eastAsia="zh-CN"/>
        </w:rPr>
        <w:t xml:space="preserve">4.</w:t>
      </w:r>
      <w:r>
        <w:rPr>
          <w:rFonts w:hint="eastAsia" w:ascii="宋体" w:hAnsi="宋体"/>
          <w:b/>
          <w:bCs/>
          <w:color w:val="000000" w:themeColor="text1"/>
          <w:sz w:val="24"/>
          <w:szCs w:val="24"/>
          <w:highlight w:val="none"/>
        </w:rPr>
        <w:t xml:space="preserve">服务要求</w:t>
      </w:r>
      <w:r>
        <w:rPr>
          <w:rFonts w:ascii="宋体" w:hAnsi="宋体"/>
          <w:b/>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1、中标供应商应提供各类技术人员的职责，方便采购单位与相关人员的沟通。</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2、项目整体质保期：三年。维保费用应包含在投标总价中，</w:t>
      </w:r>
      <w:r>
        <w:rPr>
          <w:rFonts w:hint="eastAsia" w:ascii="宋体" w:hAnsi="宋体"/>
          <w:bCs/>
          <w:color w:val="000000" w:themeColor="text1"/>
          <w:sz w:val="24"/>
          <w:szCs w:val="24"/>
          <w:highlight w:val="none"/>
        </w:rPr>
        <w:t xml:space="preserve">中标人不得在维护期内另行收费。维护期内出现质量问题，中标人需承担相应维护费用及因故障导致的</w:t>
      </w:r>
      <w:r>
        <w:rPr>
          <w:rFonts w:hint="eastAsia" w:ascii="宋体" w:hAnsi="宋体"/>
          <w:bCs/>
          <w:color w:val="000000" w:themeColor="text1"/>
          <w:sz w:val="24"/>
          <w:szCs w:val="24"/>
          <w:highlight w:val="none"/>
        </w:rPr>
        <w:t xml:space="preserve">赔偿责任。（如财政部、工业和信息化部共同发布的便携式计算机、操作系统、工作站、数据库、台式计算机、通用服务器、一体式计算机七种IT软硬件中另有规定的按其规定执行。）</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3、完工期：合同签订生效后</w:t>
      </w:r>
      <w:r>
        <w:rPr>
          <w:rFonts w:hint="eastAsia" w:ascii="宋体" w:hAnsi="宋体"/>
          <w:bCs/>
          <w:color w:val="000000" w:themeColor="text1"/>
          <w:sz w:val="24"/>
          <w:szCs w:val="24"/>
          <w:highlight w:val="none"/>
        </w:rPr>
        <w:t xml:space="preserve">45</w:t>
      </w:r>
      <w:r>
        <w:rPr>
          <w:rFonts w:hint="eastAsia" w:ascii="宋体" w:hAnsi="宋体"/>
          <w:bCs/>
          <w:color w:val="000000" w:themeColor="text1"/>
          <w:sz w:val="24"/>
          <w:szCs w:val="24"/>
          <w:highlight w:val="none"/>
        </w:rPr>
        <w:t xml:space="preserve">个日历天内完成。</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4、中标供应商应该在项目的实施过程中提供软硬件技术支持的服务，按照采购人的要求完成本项目采购清单中所有软硬件设备的安装部署、设备联调等集成工作，以满足采购人的使用需求。</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为了保证本次项目顺利成功，要求中标供应商在项目验收后提供7*24小时售后技术服务。免费质保期内出现问题，0.5小时内做出明确响应和安排：即时通过电话、Email或传真等远程方式查找紧急事件的事发原因并通过远程途径解决相应问题。1小时内到达现场，8小时内解决问题，提供不间断的服务直到系统正常运行。免费质保期内，</w:t>
      </w:r>
      <w:r>
        <w:rPr>
          <w:rFonts w:hint="eastAsia" w:ascii="宋体" w:hAnsi="宋体"/>
          <w:bCs/>
          <w:color w:val="000000" w:themeColor="text1"/>
          <w:sz w:val="24"/>
          <w:szCs w:val="24"/>
          <w:highlight w:val="none"/>
        </w:rPr>
        <w:t xml:space="preserve">中标供应商提供免费维护。</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6、本项目设备部署</w:t>
      </w:r>
      <w:r>
        <w:rPr>
          <w:rFonts w:hint="eastAsia" w:ascii="宋体" w:hAnsi="宋体"/>
          <w:bCs/>
          <w:color w:val="000000" w:themeColor="text1"/>
          <w:sz w:val="24"/>
          <w:szCs w:val="24"/>
          <w:highlight w:val="none"/>
          <w:lang w:val="en-US" w:eastAsia="zh-CN"/>
        </w:rPr>
        <w:t xml:space="preserve">和售后</w:t>
      </w:r>
      <w:r>
        <w:rPr>
          <w:rFonts w:hint="eastAsia" w:ascii="宋体" w:hAnsi="宋体"/>
          <w:bCs/>
          <w:color w:val="000000" w:themeColor="text1"/>
          <w:sz w:val="24"/>
          <w:szCs w:val="24"/>
          <w:highlight w:val="none"/>
        </w:rPr>
        <w:t xml:space="preserve">过程中，涉及数据中心核心网络、核心数据库服务器、核心虚拟化服务器等安装、重启、割接操作内容，为保障业务系统的稳定性和实时性要求，尽可能最小减轻项目实施对业务系统的影响，</w:t>
      </w:r>
      <w:r>
        <w:rPr>
          <w:rFonts w:hint="eastAsia" w:ascii="宋体" w:hAnsi="宋体"/>
          <w:bCs/>
          <w:color w:val="000000" w:themeColor="text1"/>
          <w:sz w:val="24"/>
          <w:szCs w:val="24"/>
          <w:highlight w:val="none"/>
        </w:rPr>
        <w:t xml:space="preserve">要求在规定的完工周期内</w:t>
      </w:r>
      <w:r>
        <w:rPr>
          <w:rFonts w:hint="eastAsia" w:ascii="宋体" w:hAnsi="宋体"/>
          <w:bCs/>
          <w:color w:val="000000" w:themeColor="text1"/>
          <w:sz w:val="24"/>
          <w:szCs w:val="24"/>
          <w:highlight w:val="none"/>
          <w:lang w:val="en-US" w:eastAsia="zh-CN"/>
        </w:rPr>
        <w:t xml:space="preserve">和项目整体质保期内，按照采购人要求</w:t>
      </w:r>
      <w:r>
        <w:rPr>
          <w:rFonts w:hint="eastAsia" w:ascii="宋体" w:hAnsi="宋体"/>
          <w:bCs/>
          <w:color w:val="000000" w:themeColor="text1"/>
          <w:sz w:val="24"/>
          <w:szCs w:val="24"/>
          <w:highlight w:val="none"/>
        </w:rPr>
        <w:t xml:space="preserve">提供技术工程师全天候驻场服务。</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ascii="宋体" w:hAnsi="宋体"/>
          <w:b/>
          <w:color w:val="000000" w:themeColor="text1"/>
          <w:sz w:val="24"/>
          <w:szCs w:val="24"/>
          <w:highlight w:val="none"/>
          <w:u w:val="single"/>
        </w:rPr>
      </w:pPr>
      <w:r>
        <w:rPr>
          <w:rFonts w:hint="eastAsia" w:ascii="宋体" w:hAnsi="宋体"/>
          <w:bCs/>
          <w:color w:val="000000" w:themeColor="text1"/>
          <w:sz w:val="24"/>
          <w:szCs w:val="24"/>
          <w:highlight w:val="none"/>
        </w:rPr>
        <w:t xml:space="preserve">7、本次采购的服务器及虚拟化软件均是国产信创产品，要求中标供应商在项目实施及三年免费维护期内，提供各软件信息系统的信创适配及迁移工作。</w:t>
      </w:r>
      <w:r>
        <w:rPr>
          <w:rFonts w:hint="eastAsia" w:ascii="宋体" w:hAnsi="宋体"/>
          <w:bCs/>
          <w:color w:val="000000" w:themeColor="text1"/>
          <w:sz w:val="24"/>
          <w:szCs w:val="24"/>
          <w:highlight w:val="none"/>
        </w:rPr>
        <w:t xml:space="preserve">在本项目范围内，</w:t>
      </w:r>
      <w:r>
        <w:rPr>
          <w:rFonts w:hint="eastAsia" w:ascii="宋体" w:hAnsi="宋体"/>
          <w:bCs/>
          <w:color w:val="000000" w:themeColor="text1"/>
          <w:sz w:val="24"/>
          <w:szCs w:val="24"/>
          <w:highlight w:val="none"/>
        </w:rPr>
        <w:t xml:space="preserve">投标人须承诺根据采购人需要，派驻工程师驻场式完成采购人现有水文水生态数字孪生系统、水情交换与报汛、水情值班、水文数据计算评价、水文数据动态计算评价、蓝藻集合预报等业务软件的信创改造全流程配合事宜，如涉及和</w:t>
      </w:r>
      <w:r>
        <w:rPr>
          <w:rFonts w:hint="eastAsia" w:ascii="宋体" w:hAnsi="宋体"/>
          <w:bCs/>
          <w:color w:val="000000" w:themeColor="text1"/>
          <w:sz w:val="24"/>
          <w:szCs w:val="24"/>
          <w:highlight w:val="none"/>
        </w:rPr>
        <w:t xml:space="preserve">上述系统软件对接</w:t>
      </w:r>
      <w:r>
        <w:rPr>
          <w:rFonts w:hint="eastAsia" w:ascii="宋体" w:hAnsi="宋体"/>
          <w:bCs/>
          <w:color w:val="000000" w:themeColor="text1"/>
          <w:sz w:val="24"/>
          <w:szCs w:val="24"/>
          <w:highlight w:val="none"/>
        </w:rPr>
        <w:t xml:space="preserve">产生</w:t>
      </w:r>
      <w:r>
        <w:rPr>
          <w:rFonts w:hint="eastAsia" w:ascii="宋体" w:hAnsi="宋体"/>
          <w:bCs/>
          <w:color w:val="000000" w:themeColor="text1"/>
          <w:sz w:val="24"/>
          <w:szCs w:val="24"/>
          <w:highlight w:val="none"/>
        </w:rPr>
        <w:t xml:space="preserve">的所有费用</w:t>
      </w:r>
      <w:r>
        <w:rPr>
          <w:rFonts w:hint="eastAsia" w:ascii="宋体" w:hAnsi="宋体"/>
          <w:bCs/>
          <w:color w:val="000000" w:themeColor="text1"/>
          <w:sz w:val="24"/>
          <w:szCs w:val="24"/>
          <w:highlight w:val="none"/>
        </w:rPr>
        <w:t xml:space="preserve">均包含在本项目预算范围内，采购人不再另外支付与本次采购的相关费用。</w:t>
      </w:r>
      <w:r>
        <w:rPr>
          <w:rFonts w:hint="eastAsia" w:ascii="宋体" w:hAnsi="宋体"/>
          <w:b/>
          <w:color w:val="000000" w:themeColor="text1"/>
          <w:sz w:val="24"/>
          <w:szCs w:val="24"/>
          <w:highlight w:val="none"/>
          <w:u w:val="single"/>
        </w:rPr>
        <w:t xml:space="preserve">投标时须提供投标人承诺函(格式自拟)，否则将被视为无效投标文件。</w:t>
      </w:r>
      <w:r>
        <w:rPr>
          <w:rFonts w:ascii="宋体" w:hAnsi="宋体"/>
          <w:b/>
          <w:color w:val="000000" w:themeColor="text1"/>
          <w:sz w:val="24"/>
          <w:szCs w:val="24"/>
          <w:highlight w:val="none"/>
          <w:u w:val="singl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8、免费质保期内中标供应商提供采购方认可的工程师1人，每月至少巡检一次。采购方对中标供应商提供的人员不满意时，采购方及时声明，中标供应商须及时更换维保人员，直至采购方满意为止。</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9、本次项目质保服务期内，需提供日常运维服务，为保障服务器和虚拟化软件运行的稳定和安全，中标供应商应具有运维工具平台，相关运维费用包含在本项目内。</w:t>
      </w:r>
      <w:r>
        <w:rPr>
          <w:rFonts w:ascii="宋体" w:hAnsi="宋体"/>
          <w:bCs/>
          <w:color w:val="000000" w:themeColor="text1"/>
          <w:sz w:val="24"/>
          <w:szCs w:val="24"/>
          <w:highlight w:val="none"/>
        </w:rPr>
      </w:r>
      <w:r>
        <w:rPr>
          <w:color w:val="000000" w:themeColor="text1"/>
          <w:highlight w:val="none"/>
        </w:rPr>
      </w:r>
    </w:p>
    <w:p>
      <w:pPr>
        <w:pStyle w:val="952"/>
        <w:spacing w:line="68" w:lineRule="atLeast"/>
        <w:rPr>
          <w:rFonts w:hint="eastAsia" w:ascii="宋体" w:hAnsi="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4"/>
          <w:highlight w:val="none"/>
        </w:rPr>
      </w:r>
      <w:r>
        <w:rPr>
          <w:color w:val="000000" w:themeColor="text1"/>
          <w:highlight w:val="none"/>
        </w:rPr>
      </w:r>
    </w:p>
    <w:p>
      <w:pPr>
        <w:pStyle w:val="952"/>
        <w:spacing w:line="68" w:lineRule="atLeast"/>
        <w:rPr>
          <w:rFonts w:hint="eastAsia" w:ascii="宋体" w:hAnsi="宋体"/>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4"/>
          <w:highlight w:val="none"/>
        </w:rPr>
        <w:t xml:space="preserve">5、验收方案</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 甲方依法组织履约验收工作。</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2．甲方在组织履约验收前，将根据项目特点制定验收方案，明确履约验收的时间、方式、程序等内容。乙方应根据验收方案内容做好相应配合工作。</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3．如有必要，甲方邀请专家参与验收，相关意见将作为验收书的参考资料。</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验收合格的项目,甲方根据采购合同的约定及时间向乙方支付合同款项、退还履约保证金。验收不合格的项目，甲方依法及时处理。采购合同的履行、违约责任和解决争议的方式等适用《中华人民共和国民法典》</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983"/>
        <w:rPr>
          <w:rFonts w:ascii="Calibri" w:hAnsi="Calibri" w:eastAsia="Calibri" w:cs="Calibri"/>
          <w:color w:val="000000" w:themeColor="text1"/>
          <w:sz w:val="21"/>
          <w:highlight w:val="none"/>
        </w:rPr>
      </w:pPr>
      <w:r>
        <w:rPr>
          <w:rFonts w:ascii="Calibri" w:hAnsi="Calibri" w:eastAsia="Calibri" w:cs="Calibri"/>
          <w:color w:val="000000" w:themeColor="text1"/>
          <w:sz w:val="21"/>
          <w:highlight w:val="none"/>
        </w:rPr>
      </w:r>
      <w:r>
        <w:rPr>
          <w:color w:val="000000" w:themeColor="text1"/>
          <w:highlight w:val="none"/>
        </w:rPr>
      </w:r>
    </w:p>
    <w:p>
      <w:pPr>
        <w:pStyle w:val="983"/>
        <w:rPr>
          <w:rFonts w:ascii="Calibri" w:hAnsi="Calibri" w:eastAsia="Calibri" w:cs="Calibri"/>
          <w:color w:val="000000" w:themeColor="text1"/>
          <w:sz w:val="21"/>
          <w:highlight w:val="none"/>
        </w:rPr>
      </w:pPr>
      <w:r>
        <w:rPr>
          <w:rFonts w:ascii="Calibri" w:hAnsi="Calibri" w:eastAsia="Calibri" w:cs="Calibri"/>
          <w:color w:val="000000" w:themeColor="text1"/>
          <w:sz w:val="21"/>
          <w:highlight w:val="none"/>
        </w:rPr>
      </w:r>
      <w:r>
        <w:rPr>
          <w:color w:val="000000" w:themeColor="text1"/>
          <w:highlight w:val="none"/>
        </w:rPr>
      </w:r>
    </w:p>
    <w:p>
      <w:pPr>
        <w:pStyle w:val="983"/>
        <w:rPr>
          <w:rFonts w:ascii="Calibri" w:hAnsi="Calibri" w:eastAsia="Calibri" w:cs="Calibri"/>
          <w:color w:val="000000" w:themeColor="text1"/>
          <w:sz w:val="21"/>
          <w:highlight w:val="none"/>
        </w:rPr>
      </w:pPr>
      <w:r>
        <w:rPr>
          <w:rFonts w:ascii="Calibri" w:hAnsi="Calibri" w:eastAsia="Calibri" w:cs="Calibri"/>
          <w:color w:val="000000" w:themeColor="text1"/>
          <w:sz w:val="21"/>
          <w:highlight w:val="none"/>
        </w:rPr>
      </w:r>
      <w:r>
        <w:rPr>
          <w:color w:val="000000" w:themeColor="text1"/>
          <w:highlight w:val="none"/>
        </w:rPr>
      </w:r>
    </w:p>
    <w:p>
      <w:pPr>
        <w:pStyle w:val="983"/>
        <w:rPr>
          <w:rFonts w:ascii="Calibri" w:hAnsi="Calibri" w:eastAsia="Calibri" w:cs="Calibri"/>
          <w:color w:val="000000" w:themeColor="text1"/>
          <w:sz w:val="21"/>
          <w:highlight w:val="none"/>
        </w:rPr>
      </w:pPr>
      <w:r>
        <w:rPr>
          <w:rFonts w:ascii="Calibri" w:hAnsi="Calibri" w:eastAsia="Calibri" w:cs="Calibri"/>
          <w:color w:val="000000" w:themeColor="text1"/>
          <w:sz w:val="21"/>
          <w:highlight w:val="none"/>
        </w:rPr>
      </w:r>
      <w:r>
        <w:rPr>
          <w:color w:val="000000" w:themeColor="text1"/>
          <w:highlight w:val="none"/>
        </w:rPr>
      </w:r>
    </w:p>
    <w:p>
      <w:pPr>
        <w:pStyle w:val="983"/>
        <w:rPr>
          <w:rFonts w:ascii="Calibri" w:hAnsi="Calibri" w:eastAsia="Calibri" w:cs="Calibri"/>
          <w:color w:val="000000" w:themeColor="text1"/>
          <w:sz w:val="21"/>
          <w:highlight w:val="none"/>
        </w:rPr>
      </w:pPr>
      <w:r>
        <w:rPr>
          <w:rFonts w:ascii="Calibri" w:hAnsi="Calibri" w:eastAsia="Calibri" w:cs="Calibri"/>
          <w:color w:val="000000" w:themeColor="text1"/>
          <w:sz w:val="21"/>
          <w:highlight w:val="none"/>
        </w:rPr>
      </w:r>
      <w:r>
        <w:rPr>
          <w:color w:val="000000" w:themeColor="text1"/>
          <w:highlight w:val="none"/>
        </w:rPr>
      </w:r>
    </w:p>
    <w:p>
      <w:pPr>
        <w:pStyle w:val="983"/>
        <w:rPr>
          <w:rFonts w:ascii="Calibri" w:hAnsi="Calibri" w:eastAsia="Calibri" w:cs="Calibri"/>
          <w:color w:val="000000" w:themeColor="text1"/>
          <w:sz w:val="21"/>
          <w:highlight w:val="none"/>
        </w:rPr>
      </w:pPr>
      <w:r>
        <w:rPr>
          <w:rFonts w:ascii="Calibri" w:hAnsi="Calibri" w:eastAsia="Calibri" w:cs="Calibri"/>
          <w:color w:val="000000" w:themeColor="text1"/>
          <w:sz w:val="21"/>
          <w:highlight w:val="none"/>
        </w:rPr>
      </w:r>
      <w:r>
        <w:rPr>
          <w:color w:val="000000" w:themeColor="text1"/>
          <w:highlight w:val="none"/>
        </w:rPr>
      </w:r>
    </w:p>
    <w:p>
      <w:pPr>
        <w:pStyle w:val="983"/>
        <w:rPr>
          <w:rFonts w:ascii="Calibri" w:hAnsi="Calibri" w:eastAsia="Calibri" w:cs="Calibri"/>
          <w:color w:val="000000" w:themeColor="text1"/>
          <w:sz w:val="21"/>
          <w:highlight w:val="none"/>
        </w:rPr>
      </w:pPr>
      <w:r>
        <w:rPr>
          <w:rFonts w:ascii="Calibri" w:hAnsi="Calibri" w:eastAsia="Calibri" w:cs="Calibri"/>
          <w:color w:val="000000" w:themeColor="text1"/>
          <w:sz w:val="21"/>
          <w:highlight w:val="none"/>
        </w:rPr>
      </w:r>
      <w:r>
        <w:rPr>
          <w:color w:val="000000" w:themeColor="text1"/>
          <w:highlight w:val="none"/>
        </w:rPr>
      </w:r>
    </w:p>
    <w:p>
      <w:pPr>
        <w:pStyle w:val="983"/>
        <w:rPr>
          <w:rFonts w:ascii="Calibri" w:hAnsi="Calibri" w:eastAsia="Calibri" w:cs="Calibri"/>
          <w:color w:val="000000" w:themeColor="text1"/>
          <w:sz w:val="21"/>
          <w:highlight w:val="none"/>
        </w:rPr>
      </w:pPr>
      <w:r>
        <w:rPr>
          <w:rFonts w:ascii="Calibri" w:hAnsi="Calibri" w:eastAsia="Calibri" w:cs="Calibri"/>
          <w:color w:val="000000" w:themeColor="text1"/>
          <w:sz w:val="21"/>
          <w:highlight w:val="none"/>
        </w:rPr>
      </w:r>
      <w:r>
        <w:rPr>
          <w:color w:val="000000" w:themeColor="text1"/>
          <w:highlight w:val="none"/>
        </w:rPr>
      </w:r>
    </w:p>
    <w:p>
      <w:pPr>
        <w:pStyle w:val="983"/>
        <w:rPr>
          <w:rFonts w:ascii="Calibri" w:hAnsi="Calibri" w:eastAsia="Calibri" w:cs="Calibri"/>
          <w:color w:val="000000" w:themeColor="text1"/>
          <w:sz w:val="21"/>
          <w:highlight w:val="none"/>
        </w:rPr>
      </w:pPr>
      <w:r>
        <w:rPr>
          <w:rFonts w:ascii="Calibri" w:hAnsi="Calibri" w:eastAsia="Calibri" w:cs="Calibri"/>
          <w:color w:val="000000" w:themeColor="text1"/>
          <w:sz w:val="21"/>
          <w:highlight w:val="none"/>
        </w:rPr>
      </w:r>
      <w:r>
        <w:rPr>
          <w:color w:val="000000" w:themeColor="text1"/>
          <w:highlight w:val="none"/>
        </w:rPr>
      </w:r>
    </w:p>
    <w:p>
      <w:pPr>
        <w:pStyle w:val="983"/>
        <w:rPr>
          <w:rFonts w:ascii="Calibri" w:hAnsi="Calibri" w:eastAsia="Calibri" w:cs="Calibri"/>
          <w:color w:val="000000" w:themeColor="text1"/>
          <w:sz w:val="21"/>
          <w:highlight w:val="none"/>
        </w:rPr>
      </w:pPr>
      <w:r>
        <w:rPr>
          <w:rFonts w:ascii="Calibri" w:hAnsi="Calibri" w:eastAsia="Calibri" w:cs="Calibri"/>
          <w:color w:val="000000" w:themeColor="text1"/>
          <w:sz w:val="21"/>
          <w:highlight w:val="none"/>
        </w:rPr>
      </w:r>
      <w:r>
        <w:rPr>
          <w:color w:val="000000" w:themeColor="text1"/>
          <w:highlight w:val="none"/>
        </w:rPr>
      </w:r>
    </w:p>
    <w:p>
      <w:pPr>
        <w:pStyle w:val="983"/>
        <w:rPr>
          <w:rFonts w:ascii="Calibri" w:hAnsi="Calibri" w:eastAsia="Calibri" w:cs="Calibri"/>
          <w:color w:val="000000" w:themeColor="text1"/>
          <w:sz w:val="21"/>
          <w:highlight w:val="none"/>
        </w:rPr>
      </w:pPr>
      <w:r>
        <w:rPr>
          <w:rFonts w:ascii="Calibri" w:hAnsi="Calibri" w:eastAsia="Calibri" w:cs="Calibri"/>
          <w:color w:val="000000" w:themeColor="text1"/>
          <w:sz w:val="21"/>
          <w:highlight w:val="none"/>
        </w:rPr>
      </w:r>
      <w:r>
        <w:rPr>
          <w:color w:val="000000" w:themeColor="text1"/>
          <w:highlight w:val="none"/>
        </w:rPr>
      </w:r>
    </w:p>
    <w:p>
      <w:pPr>
        <w:pStyle w:val="983"/>
        <w:rPr>
          <w:rFonts w:ascii="Calibri" w:hAnsi="Calibri" w:eastAsia="Calibri" w:cs="Calibri"/>
          <w:color w:val="000000" w:themeColor="text1"/>
          <w:sz w:val="21"/>
          <w:highlight w:val="none"/>
        </w:rPr>
      </w:pPr>
      <w:r>
        <w:rPr>
          <w:rFonts w:ascii="Calibri" w:hAnsi="Calibri" w:eastAsia="Calibri" w:cs="Calibri"/>
          <w:color w:val="000000" w:themeColor="text1"/>
          <w:sz w:val="21"/>
          <w:highlight w:val="none"/>
        </w:rPr>
      </w:r>
      <w:r>
        <w:rPr>
          <w:color w:val="000000" w:themeColor="text1"/>
          <w:highlight w:val="none"/>
        </w:rPr>
      </w:r>
    </w:p>
    <w:p>
      <w:pPr>
        <w:pStyle w:val="983"/>
        <w:rPr>
          <w:rFonts w:ascii="Calibri" w:hAnsi="Calibri" w:eastAsia="Calibri" w:cs="Calibri"/>
          <w:color w:val="000000" w:themeColor="text1"/>
          <w:sz w:val="21"/>
          <w:highlight w:val="none"/>
        </w:rPr>
      </w:pPr>
      <w:r>
        <w:rPr>
          <w:rFonts w:ascii="Calibri" w:hAnsi="Calibri" w:eastAsia="Calibri" w:cs="Calibri"/>
          <w:color w:val="000000" w:themeColor="text1"/>
          <w:sz w:val="21"/>
          <w:highlight w:val="none"/>
        </w:rPr>
      </w:r>
      <w:r>
        <w:rPr>
          <w:color w:val="000000" w:themeColor="text1"/>
          <w:highlight w:val="none"/>
        </w:rPr>
      </w:r>
    </w:p>
    <w:p>
      <w:pPr>
        <w:pStyle w:val="983"/>
        <w:rPr>
          <w:rFonts w:ascii="Calibri" w:hAnsi="Calibri" w:eastAsia="Calibri" w:cs="Calibri"/>
          <w:color w:val="000000" w:themeColor="text1"/>
          <w:sz w:val="21"/>
          <w:highlight w:val="none"/>
        </w:rPr>
      </w:pPr>
      <w:r>
        <w:rPr>
          <w:rFonts w:ascii="Calibri" w:hAnsi="Calibri" w:eastAsia="Calibri" w:cs="Calibri"/>
          <w:color w:val="000000" w:themeColor="text1"/>
          <w:sz w:val="21"/>
          <w:highlight w:val="none"/>
        </w:rPr>
      </w:r>
      <w:r>
        <w:rPr>
          <w:color w:val="000000" w:themeColor="text1"/>
          <w:highlight w:val="none"/>
        </w:rPr>
      </w:r>
    </w:p>
    <w:p>
      <w:pPr>
        <w:pStyle w:val="983"/>
        <w:rPr>
          <w:rFonts w:ascii="Calibri" w:hAnsi="Calibri" w:eastAsia="Calibri" w:cs="Calibri"/>
          <w:color w:val="000000" w:themeColor="text1"/>
          <w:sz w:val="21"/>
          <w:highlight w:val="none"/>
        </w:rPr>
      </w:pPr>
      <w:r>
        <w:rPr>
          <w:rFonts w:ascii="Calibri" w:hAnsi="Calibri" w:eastAsia="Calibri" w:cs="Calibri"/>
          <w:color w:val="000000" w:themeColor="text1"/>
          <w:sz w:val="21"/>
          <w:highlight w:val="none"/>
        </w:rPr>
      </w:r>
      <w:r>
        <w:rPr>
          <w:color w:val="000000" w:themeColor="text1"/>
          <w:highlight w:val="none"/>
        </w:rPr>
      </w:r>
    </w:p>
    <w:p>
      <w:pPr>
        <w:pStyle w:val="983"/>
        <w:rPr>
          <w:rFonts w:ascii="Calibri" w:hAnsi="Calibri" w:eastAsia="Calibri" w:cs="Calibri"/>
          <w:color w:val="000000" w:themeColor="text1"/>
          <w:sz w:val="21"/>
          <w:highlight w:val="none"/>
        </w:rPr>
      </w:pPr>
      <w:r>
        <w:rPr>
          <w:rFonts w:ascii="Calibri" w:hAnsi="Calibri" w:eastAsia="Calibri" w:cs="Calibri"/>
          <w:color w:val="000000" w:themeColor="text1"/>
          <w:sz w:val="21"/>
          <w:highlight w:val="none"/>
        </w:rPr>
      </w:r>
      <w:r>
        <w:rPr>
          <w:color w:val="000000" w:themeColor="text1"/>
          <w:highlight w:val="none"/>
        </w:rPr>
      </w:r>
    </w:p>
    <w:p>
      <w:pPr>
        <w:pStyle w:val="983"/>
        <w:rPr>
          <w:rFonts w:ascii="Calibri" w:hAnsi="Calibri" w:eastAsia="Calibri" w:cs="Calibri"/>
          <w:color w:val="000000" w:themeColor="text1"/>
          <w:sz w:val="21"/>
          <w:highlight w:val="none"/>
        </w:rPr>
      </w:pPr>
      <w:r>
        <w:rPr>
          <w:rFonts w:ascii="Calibri" w:hAnsi="Calibri" w:eastAsia="Calibri" w:cs="Calibri"/>
          <w:color w:val="000000" w:themeColor="text1"/>
          <w:sz w:val="21"/>
          <w:highlight w:val="none"/>
        </w:rPr>
      </w:r>
      <w:r>
        <w:rPr>
          <w:color w:val="000000" w:themeColor="text1"/>
          <w:highlight w:val="none"/>
        </w:rPr>
      </w:r>
    </w:p>
    <w:p>
      <w:pPr>
        <w:pStyle w:val="952"/>
        <w:ind w:firstLine="645"/>
        <w:jc w:val="left"/>
        <w:spacing w:line="38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pStyle w:val="952"/>
        <w:ind w:firstLine="645"/>
        <w:jc w:val="left"/>
        <w:spacing w:line="38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pStyle w:val="952"/>
        <w:ind w:firstLine="645"/>
        <w:jc w:val="left"/>
        <w:spacing w:line="38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pStyle w:val="952"/>
        <w:ind w:firstLine="645"/>
        <w:jc w:val="left"/>
        <w:spacing w:line="38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pStyle w:val="952"/>
        <w:ind w:firstLine="645"/>
        <w:jc w:val="left"/>
        <w:spacing w:line="38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pStyle w:val="952"/>
        <w:ind w:firstLine="645"/>
        <w:jc w:val="left"/>
        <w:spacing w:line="38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pStyle w:val="952"/>
        <w:ind w:firstLine="645"/>
        <w:jc w:val="left"/>
        <w:spacing w:line="38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pStyle w:val="952"/>
        <w:ind w:firstLine="645"/>
        <w:jc w:val="left"/>
        <w:spacing w:line="38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pStyle w:val="952"/>
        <w:ind w:firstLine="645"/>
        <w:jc w:val="left"/>
        <w:spacing w:line="38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pStyle w:val="952"/>
        <w:ind w:firstLine="645"/>
        <w:jc w:val="left"/>
        <w:spacing w:line="38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highlight w:val="none"/>
        </w:rPr>
      </w:r>
    </w:p>
    <w:p>
      <w:pPr>
        <w:pStyle w:val="952"/>
        <w:ind w:firstLine="645"/>
        <w:jc w:val="left"/>
        <w:spacing w:line="38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采购包2：</w:t>
      </w:r>
      <w:r>
        <w:rPr>
          <w:rFonts w:hint="eastAsia" w:ascii="宋体" w:hAnsi="宋体" w:cs="宋体"/>
          <w:b/>
          <w:bCs/>
          <w:color w:val="000000" w:themeColor="text1"/>
          <w:sz w:val="32"/>
          <w:szCs w:val="32"/>
          <w:highlight w:val="none"/>
        </w:rPr>
      </w:r>
      <w:r>
        <w:rPr>
          <w:color w:val="000000" w:themeColor="text1"/>
          <w:highlight w:val="none"/>
        </w:rPr>
      </w:r>
    </w:p>
    <w:p>
      <w:pPr>
        <w:pStyle w:val="952"/>
        <w:ind w:firstLine="645"/>
        <w:jc w:val="left"/>
        <w:spacing w:line="3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投标人须提供满足以下要求的设备和服务，不得有负偏离。</w:t>
      </w:r>
      <w:r>
        <w:rPr>
          <w:rFonts w:ascii="宋体" w:hAnsi="宋体"/>
          <w:color w:val="000000" w:themeColor="text1"/>
          <w:sz w:val="24"/>
          <w:szCs w:val="24"/>
          <w:highlight w:val="none"/>
        </w:rPr>
      </w:r>
      <w:r>
        <w:rPr>
          <w:color w:val="000000" w:themeColor="text1"/>
          <w:highlight w:val="none"/>
        </w:rPr>
      </w:r>
    </w:p>
    <w:p>
      <w:pPr>
        <w:pStyle w:val="952"/>
        <w:ind w:firstLine="645"/>
        <w:jc w:val="left"/>
        <w:spacing w:line="380" w:lineRule="exact"/>
        <w:rPr>
          <w:rFonts w:ascii="Calibri" w:hAnsi="Calibri" w:cs="Calibri"/>
          <w:color w:val="000000" w:themeColor="text1"/>
          <w:highlight w:val="none"/>
        </w:rPr>
      </w:pPr>
      <w:r>
        <w:rPr>
          <w:rFonts w:hint="eastAsia" w:ascii="宋体" w:hAnsi="Calibri"/>
          <w:bCs/>
          <w:color w:val="000000" w:themeColor="text1"/>
          <w:sz w:val="24"/>
          <w:szCs w:val="24"/>
          <w:highlight w:val="none"/>
        </w:rPr>
        <w:t xml:space="preserve">本项目中的</w:t>
      </w:r>
      <w:r>
        <w:rPr>
          <w:rFonts w:hint="eastAsia" w:ascii="宋体" w:hAnsi="宋体"/>
          <w:b/>
          <w:color w:val="000000" w:themeColor="text1"/>
          <w:sz w:val="24"/>
          <w:szCs w:val="24"/>
          <w:highlight w:val="none"/>
          <w:u w:val="single"/>
        </w:rPr>
        <w:t xml:space="preserve">LED屏</w:t>
      </w:r>
      <w:r>
        <w:rPr>
          <w:rFonts w:hint="eastAsia" w:ascii="宋体" w:hAnsi="Calibri"/>
          <w:bCs/>
          <w:color w:val="000000" w:themeColor="text1"/>
          <w:sz w:val="24"/>
          <w:szCs w:val="24"/>
          <w:highlight w:val="none"/>
        </w:rPr>
        <w:t xml:space="preserve">为核心产品。</w:t>
      </w:r>
      <w:r>
        <w:rPr>
          <w:rFonts w:ascii="Calibri" w:hAnsi="Calibri" w:cs="Calibri"/>
          <w:color w:val="000000" w:themeColor="text1"/>
          <w:highlight w:val="none"/>
        </w:rPr>
      </w:r>
      <w:r>
        <w:rPr>
          <w:color w:val="000000" w:themeColor="text1"/>
          <w:highlight w:val="none"/>
        </w:rPr>
      </w:r>
    </w:p>
    <w:p>
      <w:pPr>
        <w:pStyle w:val="952"/>
        <w:keepLines/>
        <w:keepNext/>
        <w:spacing w:before="260" w:after="260" w:line="360" w:lineRule="auto"/>
        <w:rPr>
          <w:rFonts w:ascii="宋体" w:hAnsi="宋体"/>
          <w:b/>
          <w:bCs/>
          <w:color w:val="000000" w:themeColor="text1"/>
          <w:sz w:val="24"/>
          <w:szCs w:val="24"/>
          <w:highlight w:val="none"/>
        </w:rPr>
        <w:outlineLvl w:val="1"/>
      </w:pPr>
      <w:r>
        <w:rPr>
          <w:rFonts w:hint="eastAsia" w:ascii="宋体" w:hAnsi="宋体"/>
          <w:b/>
          <w:bCs/>
          <w:color w:val="000000" w:themeColor="text1"/>
          <w:sz w:val="24"/>
          <w:szCs w:val="24"/>
          <w:highlight w:val="none"/>
        </w:rPr>
        <w:t xml:space="preserve">1、项目概述</w:t>
      </w:r>
      <w:r>
        <w:rPr>
          <w:rFonts w:ascii="宋体" w:hAnsi="宋体"/>
          <w:b/>
          <w:bCs/>
          <w:color w:val="000000" w:themeColor="text1"/>
          <w:sz w:val="24"/>
          <w:szCs w:val="24"/>
          <w:highlight w:val="none"/>
        </w:rPr>
      </w:r>
      <w:r>
        <w:rPr>
          <w:color w:val="000000" w:themeColor="text1"/>
          <w:highlight w:val="none"/>
        </w:rPr>
      </w:r>
    </w:p>
    <w:p>
      <w:pPr>
        <w:pStyle w:val="952"/>
        <w:ind w:firstLine="480"/>
        <w:spacing w:line="360" w:lineRule="auto"/>
        <w:tabs>
          <w:tab w:val="left" w:pos="210" w:leader="none"/>
          <w:tab w:val="left" w:pos="420"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水情会商系统建于2007年，主要设备有投影仪、远程视频会议终端、扩声子系统、信号控制子系统等。会商系统用于水旱灾害防御、突发水事件应急会商以及业务会议、技术交流培训等。会商系统已运行使用近17年时间，设备老化，故障频发，配件停产，同时也不具备高清音视频传输能力，无法兼容新款MCU终端，现已处于停用待报废状态。</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360" w:lineRule="auto"/>
        <w:tabs>
          <w:tab w:val="left" w:pos="210" w:leader="none"/>
          <w:tab w:val="left" w:pos="420"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基于上述系统现状和风险问题，遵循安全自主可控选型原则，本次拟开展对基地的水情会商系统更新、无线网络优化、水情信息查询软件完善，能够更好的满足基地业务系统的稳定、安全运行，为各业务提供基础支撑。</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360" w:lineRule="auto"/>
        <w:tabs>
          <w:tab w:val="left" w:pos="210" w:leader="none"/>
          <w:tab w:val="left" w:pos="420"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952"/>
        <w:keepLines/>
        <w:keepNext/>
        <w:spacing w:before="260" w:after="260" w:line="360" w:lineRule="auto"/>
        <w:rPr>
          <w:rFonts w:ascii="宋体" w:hAnsi="宋体"/>
          <w:b/>
          <w:bCs/>
          <w:color w:val="000000" w:themeColor="text1"/>
          <w:sz w:val="24"/>
          <w:szCs w:val="24"/>
          <w:highlight w:val="none"/>
        </w:rPr>
        <w:outlineLvl w:val="1"/>
      </w:pPr>
      <w:r>
        <w:rPr>
          <w:rFonts w:hint="eastAsia" w:ascii="宋体" w:hAnsi="宋体"/>
          <w:b/>
          <w:bCs/>
          <w:color w:val="000000" w:themeColor="text1"/>
          <w:sz w:val="24"/>
          <w:szCs w:val="24"/>
          <w:highlight w:val="none"/>
        </w:rPr>
        <w:t xml:space="preserve">2、项目采购清单</w:t>
      </w:r>
      <w:r>
        <w:rPr>
          <w:rFonts w:ascii="宋体" w:hAnsi="宋体"/>
          <w:b/>
          <w:bCs/>
          <w:color w:val="000000" w:themeColor="text1"/>
          <w:sz w:val="24"/>
          <w:szCs w:val="24"/>
          <w:highlight w:val="none"/>
        </w:rPr>
      </w:r>
      <w:r>
        <w:rPr>
          <w:color w:val="000000" w:themeColor="text1"/>
          <w:highlight w:val="none"/>
        </w:rP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2455"/>
        <w:gridCol w:w="4311"/>
        <w:gridCol w:w="880"/>
        <w:gridCol w:w="1024"/>
      </w:tblGrid>
      <w:tr>
        <w:trPr>
          <w:trHeight w:val="499"/>
        </w:trPr>
        <w:tc>
          <w:tcPr>
            <w:tcW w:w="469" w:type="dxa"/>
            <w:vAlign w:val="center"/>
            <w:textDirection w:val="lrTb"/>
            <w:noWrap w:val="false"/>
          </w:tcPr>
          <w:p>
            <w:pPr>
              <w:pStyle w:val="952"/>
              <w:jc w:val="center"/>
              <w:widowControl/>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序号</w:t>
            </w:r>
            <w:r>
              <w:rPr>
                <w:rFonts w:ascii="宋体" w:hAnsi="宋体" w:cs="宋体"/>
                <w:b/>
                <w:bCs/>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项目名称</w:t>
            </w:r>
            <w:r>
              <w:rPr>
                <w:rFonts w:hint="eastAsia" w:ascii="宋体" w:hAnsi="宋体" w:cs="宋体"/>
                <w:b/>
                <w:bCs/>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技术参数</w:t>
            </w:r>
            <w:r>
              <w:rPr>
                <w:rFonts w:hint="eastAsia" w:ascii="宋体" w:hAnsi="宋体" w:cs="宋体"/>
                <w:b/>
                <w:bCs/>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数量</w:t>
            </w:r>
            <w:r>
              <w:rPr>
                <w:rFonts w:hint="eastAsia" w:ascii="宋体" w:hAnsi="宋体" w:cs="宋体"/>
                <w:b/>
                <w:bCs/>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单位</w:t>
            </w:r>
            <w:r>
              <w:rPr>
                <w:rFonts w:hint="eastAsia" w:ascii="宋体" w:hAnsi="宋体" w:cs="宋体"/>
                <w:b/>
                <w:bCs/>
                <w:color w:val="000000" w:themeColor="text1"/>
                <w:sz w:val="24"/>
                <w:szCs w:val="24"/>
                <w:highlight w:val="none"/>
              </w:rPr>
            </w:r>
            <w:r>
              <w:rPr>
                <w:color w:val="000000" w:themeColor="text1"/>
                <w:highlight w:val="none"/>
              </w:rPr>
            </w:r>
          </w:p>
        </w:tc>
      </w:tr>
      <w:tr>
        <w:trPr>
          <w:trHeight w:val="499"/>
        </w:trPr>
        <w:tc>
          <w:tcPr>
            <w:gridSpan w:val="5"/>
            <w:tcW w:w="9567" w:type="dxa"/>
            <w:vAlign w:val="center"/>
            <w:textDirection w:val="lrTb"/>
            <w:noWrap w:val="false"/>
          </w:tcPr>
          <w:p>
            <w:pPr>
              <w:pStyle w:val="952"/>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一、水情会商设备</w:t>
            </w:r>
            <w:r>
              <w:rPr>
                <w:rFonts w:hint="eastAsia" w:ascii="宋体" w:hAnsi="宋体" w:cs="宋体"/>
                <w:b/>
                <w:bCs/>
                <w:color w:val="000000" w:themeColor="text1"/>
                <w:sz w:val="24"/>
                <w:szCs w:val="24"/>
                <w:highlight w:val="none"/>
              </w:rPr>
            </w:r>
            <w:r>
              <w:rPr>
                <w:color w:val="000000" w:themeColor="text1"/>
                <w:highlight w:val="none"/>
              </w:rPr>
            </w:r>
          </w:p>
        </w:tc>
      </w:tr>
      <w:tr>
        <w:trPr>
          <w:trHeight w:val="499"/>
        </w:trPr>
        <w:tc>
          <w:tcPr>
            <w:tcW w:w="469"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数字会议主机</w:t>
            </w:r>
            <w:r>
              <w:rPr>
                <w:rFonts w:ascii="宋体" w:hAnsi="宋体" w:cs="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hint="eastAsia" w:ascii="宋体" w:hAnsi="宋体" w:cs="宋体"/>
                <w:b/>
                <w:bCs/>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rFonts w:hint="eastAsia" w:ascii="宋体" w:hAnsi="宋体" w:cs="宋体"/>
                <w:color w:val="000000" w:themeColor="text1"/>
                <w:sz w:val="24"/>
                <w:szCs w:val="24"/>
                <w:highlight w:val="none"/>
              </w:rPr>
            </w:r>
            <w:r>
              <w:rPr>
                <w:color w:val="000000" w:themeColor="text1"/>
                <w:highlight w:val="none"/>
              </w:rPr>
            </w:r>
          </w:p>
        </w:tc>
      </w:tr>
      <w:tr>
        <w:trPr>
          <w:trHeight w:val="499"/>
        </w:trPr>
        <w:tc>
          <w:tcPr>
            <w:tcW w:w="469"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拾音设备</w:t>
            </w:r>
            <w:r>
              <w:rPr>
                <w:rFonts w:ascii="宋体" w:hAnsi="宋体" w:cs="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hint="eastAsia" w:ascii="宋体" w:hAnsi="宋体" w:cs="宋体"/>
                <w:b/>
                <w:bCs/>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4</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rFonts w:hint="eastAsia" w:ascii="宋体" w:hAnsi="宋体" w:cs="宋体"/>
                <w:color w:val="000000" w:themeColor="text1"/>
                <w:sz w:val="24"/>
                <w:szCs w:val="24"/>
                <w:highlight w:val="none"/>
              </w:rPr>
            </w:r>
            <w:r>
              <w:rPr>
                <w:color w:val="000000" w:themeColor="text1"/>
                <w:highlight w:val="none"/>
              </w:rPr>
            </w:r>
          </w:p>
        </w:tc>
      </w:tr>
      <w:tr>
        <w:trPr>
          <w:trHeight w:val="499"/>
        </w:trPr>
        <w:tc>
          <w:tcPr>
            <w:tcW w:w="469"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3</w:t>
            </w:r>
            <w:r>
              <w:rPr>
                <w:rFonts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无线一拖二</w:t>
            </w:r>
            <w:r>
              <w:rPr>
                <w:rFonts w:ascii="宋体" w:hAnsi="宋体" w:cs="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hint="eastAsia" w:ascii="宋体" w:hAnsi="宋体" w:cs="宋体"/>
                <w:b/>
                <w:bCs/>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rFonts w:hint="eastAsia" w:ascii="宋体" w:hAnsi="宋体" w:cs="宋体"/>
                <w:color w:val="000000" w:themeColor="text1"/>
                <w:sz w:val="24"/>
                <w:szCs w:val="24"/>
                <w:highlight w:val="none"/>
              </w:rPr>
            </w:r>
            <w:r>
              <w:rPr>
                <w:color w:val="000000" w:themeColor="text1"/>
                <w:highlight w:val="none"/>
              </w:rPr>
            </w:r>
          </w:p>
        </w:tc>
      </w:tr>
      <w:tr>
        <w:trPr>
          <w:trHeight w:val="499"/>
        </w:trPr>
        <w:tc>
          <w:tcPr>
            <w:tcW w:w="469"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4</w:t>
            </w:r>
            <w:r>
              <w:rPr>
                <w:rFonts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天线放大器</w:t>
            </w:r>
            <w:r>
              <w:rPr>
                <w:rFonts w:ascii="宋体" w:hAnsi="宋体" w:cs="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hint="eastAsia" w:ascii="宋体" w:hAnsi="宋体" w:cs="宋体"/>
                <w:b/>
                <w:bCs/>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对</w:t>
            </w:r>
            <w:r>
              <w:rPr>
                <w:rFonts w:hint="eastAsia" w:ascii="宋体" w:hAnsi="宋体" w:cs="宋体"/>
                <w:color w:val="000000" w:themeColor="text1"/>
                <w:sz w:val="24"/>
                <w:szCs w:val="24"/>
                <w:highlight w:val="none"/>
              </w:rPr>
            </w:r>
            <w:r>
              <w:rPr>
                <w:color w:val="000000" w:themeColor="text1"/>
                <w:highlight w:val="none"/>
              </w:rPr>
            </w:r>
          </w:p>
        </w:tc>
      </w:tr>
      <w:tr>
        <w:trPr>
          <w:trHeight w:val="499"/>
        </w:trPr>
        <w:tc>
          <w:tcPr>
            <w:tcW w:w="469"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5</w:t>
            </w:r>
            <w:r>
              <w:rPr>
                <w:rFonts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调音台</w:t>
            </w:r>
            <w:r>
              <w:rPr>
                <w:rFonts w:ascii="宋体" w:hAnsi="宋体" w:cs="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hint="eastAsia" w:ascii="宋体" w:hAnsi="宋体" w:cs="宋体"/>
                <w:b/>
                <w:bCs/>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rFonts w:hint="eastAsia" w:ascii="宋体" w:hAnsi="宋体" w:cs="宋体"/>
                <w:color w:val="000000" w:themeColor="text1"/>
                <w:sz w:val="24"/>
                <w:szCs w:val="24"/>
                <w:highlight w:val="none"/>
              </w:rPr>
            </w:r>
            <w:r>
              <w:rPr>
                <w:color w:val="000000" w:themeColor="text1"/>
                <w:highlight w:val="none"/>
              </w:rPr>
            </w:r>
          </w:p>
        </w:tc>
      </w:tr>
      <w:tr>
        <w:trPr>
          <w:trHeight w:val="499"/>
        </w:trPr>
        <w:tc>
          <w:tcPr>
            <w:tcW w:w="469"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6</w:t>
            </w:r>
            <w:r>
              <w:rPr>
                <w:rFonts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数字音频处理器</w:t>
            </w:r>
            <w:r>
              <w:rPr>
                <w:rFonts w:hint="eastAsia" w:ascii="宋体" w:hAnsi="宋体" w:cs="宋体"/>
                <w:color w:val="000000" w:themeColor="text1"/>
                <w:sz w:val="24"/>
                <w:szCs w:val="24"/>
                <w:highlight w:val="none"/>
              </w:rPr>
            </w:r>
            <w:r>
              <w:rPr>
                <w:color w:val="000000" w:themeColor="text1"/>
                <w:highlight w:val="none"/>
              </w:rPr>
            </w:r>
          </w:p>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（话筒处理器）</w:t>
            </w:r>
            <w:r>
              <w:rPr>
                <w:rFonts w:hint="eastAsia" w:ascii="宋体" w:hAnsi="宋体" w:cs="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hint="eastAsia" w:ascii="宋体" w:hAnsi="宋体" w:cs="宋体"/>
                <w:b/>
                <w:bCs/>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rFonts w:hint="eastAsia" w:ascii="宋体" w:hAnsi="宋体" w:cs="宋体"/>
                <w:color w:val="000000" w:themeColor="text1"/>
                <w:sz w:val="24"/>
                <w:szCs w:val="24"/>
                <w:highlight w:val="none"/>
              </w:rPr>
            </w:r>
            <w:r>
              <w:rPr>
                <w:color w:val="000000" w:themeColor="text1"/>
                <w:highlight w:val="none"/>
              </w:rPr>
            </w:r>
          </w:p>
        </w:tc>
      </w:tr>
      <w:tr>
        <w:trPr>
          <w:trHeight w:val="499"/>
        </w:trPr>
        <w:tc>
          <w:tcPr>
            <w:tcW w:w="469"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7</w:t>
            </w:r>
            <w:r>
              <w:rPr>
                <w:rFonts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吸顶扩音设备</w:t>
            </w:r>
            <w:r>
              <w:rPr>
                <w:rFonts w:ascii="宋体" w:hAnsi="宋体" w:cs="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hint="eastAsia" w:ascii="宋体" w:hAnsi="宋体" w:cs="宋体"/>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6</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只</w:t>
            </w:r>
            <w:r>
              <w:rPr>
                <w:rFonts w:hint="eastAsia" w:ascii="宋体" w:hAnsi="宋体" w:cs="宋体"/>
                <w:color w:val="000000" w:themeColor="text1"/>
                <w:sz w:val="24"/>
                <w:szCs w:val="24"/>
                <w:highlight w:val="none"/>
              </w:rPr>
            </w:r>
            <w:r>
              <w:rPr>
                <w:color w:val="000000" w:themeColor="text1"/>
                <w:highlight w:val="none"/>
              </w:rPr>
            </w:r>
          </w:p>
        </w:tc>
      </w:tr>
      <w:tr>
        <w:trPr>
          <w:trHeight w:val="499"/>
        </w:trPr>
        <w:tc>
          <w:tcPr>
            <w:tcW w:w="469"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8</w:t>
            </w:r>
            <w:r>
              <w:rPr>
                <w:rFonts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功率放大器</w:t>
            </w:r>
            <w:r>
              <w:rPr>
                <w:rFonts w:ascii="宋体" w:hAnsi="宋体" w:cs="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hint="eastAsia" w:ascii="宋体" w:hAnsi="宋体" w:cs="宋体"/>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rFonts w:hint="eastAsia" w:ascii="宋体" w:hAnsi="宋体" w:cs="宋体"/>
                <w:color w:val="000000" w:themeColor="text1"/>
                <w:sz w:val="24"/>
                <w:szCs w:val="24"/>
                <w:highlight w:val="none"/>
              </w:rPr>
            </w:r>
            <w:r>
              <w:rPr>
                <w:color w:val="000000" w:themeColor="text1"/>
                <w:highlight w:val="none"/>
              </w:rPr>
            </w:r>
          </w:p>
        </w:tc>
      </w:tr>
      <w:tr>
        <w:trPr>
          <w:trHeight w:val="499"/>
        </w:trPr>
        <w:tc>
          <w:tcPr>
            <w:tcW w:w="469"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9</w:t>
            </w:r>
            <w:r>
              <w:rPr>
                <w:rFonts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电源时序器</w:t>
            </w:r>
            <w:r>
              <w:rPr>
                <w:rFonts w:ascii="宋体" w:hAnsi="宋体" w:cs="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hint="eastAsia" w:ascii="宋体" w:hAnsi="宋体" w:cs="宋体"/>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rFonts w:hint="eastAsia" w:ascii="宋体" w:hAnsi="宋体" w:cs="宋体"/>
                <w:color w:val="000000" w:themeColor="text1"/>
                <w:sz w:val="24"/>
                <w:szCs w:val="24"/>
                <w:highlight w:val="none"/>
              </w:rPr>
            </w:r>
            <w:r>
              <w:rPr>
                <w:color w:val="000000" w:themeColor="text1"/>
                <w:highlight w:val="none"/>
              </w:rPr>
            </w:r>
          </w:p>
        </w:tc>
      </w:tr>
      <w:tr>
        <w:trPr>
          <w:trHeight w:val="499"/>
        </w:trPr>
        <w:tc>
          <w:tcPr>
            <w:tcW w:w="469"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10</w:t>
            </w:r>
            <w:r>
              <w:rPr>
                <w:rFonts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8</w:t>
            </w:r>
            <w:r>
              <w:rPr>
                <w:rFonts w:hint="eastAsia" w:ascii="宋体" w:hAnsi="宋体"/>
                <w:color w:val="000000" w:themeColor="text1"/>
                <w:sz w:val="24"/>
                <w:szCs w:val="24"/>
                <w:highlight w:val="none"/>
              </w:rPr>
              <w:t xml:space="preserve">进</w:t>
            </w:r>
            <w:r>
              <w:rPr>
                <w:rFonts w:ascii="宋体" w:hAnsi="宋体"/>
                <w:color w:val="000000" w:themeColor="text1"/>
                <w:sz w:val="24"/>
                <w:szCs w:val="24"/>
                <w:highlight w:val="none"/>
              </w:rPr>
              <w:t xml:space="preserve">8</w:t>
            </w:r>
            <w:r>
              <w:rPr>
                <w:rFonts w:hint="eastAsia" w:ascii="宋体" w:hAnsi="宋体"/>
                <w:color w:val="000000" w:themeColor="text1"/>
                <w:sz w:val="24"/>
                <w:szCs w:val="24"/>
                <w:highlight w:val="none"/>
              </w:rPr>
              <w:t xml:space="preserve">出</w:t>
            </w:r>
            <w:r>
              <w:rPr>
                <w:rFonts w:ascii="宋体" w:hAnsi="宋体"/>
                <w:color w:val="000000" w:themeColor="text1"/>
                <w:sz w:val="24"/>
                <w:szCs w:val="24"/>
                <w:highlight w:val="none"/>
              </w:rPr>
              <w:t xml:space="preserve">HDMI 4K</w:t>
            </w:r>
            <w:r>
              <w:rPr>
                <w:rFonts w:hint="eastAsia" w:ascii="宋体" w:hAnsi="宋体"/>
                <w:color w:val="000000" w:themeColor="text1"/>
                <w:sz w:val="24"/>
                <w:szCs w:val="24"/>
                <w:highlight w:val="none"/>
              </w:rPr>
              <w:t xml:space="preserve">固定无缝矩阵</w:t>
            </w:r>
            <w:r>
              <w:rPr>
                <w:rFonts w:ascii="宋体" w:hAnsi="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hint="eastAsia" w:ascii="宋体" w:hAnsi="宋体" w:cs="宋体"/>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rFonts w:ascii="宋体" w:hAnsi="宋体" w:cs="宋体"/>
                <w:color w:val="000000" w:themeColor="text1"/>
                <w:sz w:val="24"/>
                <w:szCs w:val="24"/>
                <w:highlight w:val="none"/>
              </w:rPr>
            </w:r>
            <w:r>
              <w:rPr>
                <w:color w:val="000000" w:themeColor="text1"/>
                <w:highlight w:val="none"/>
              </w:rPr>
            </w:r>
          </w:p>
        </w:tc>
      </w:tr>
      <w:tr>
        <w:trPr>
          <w:trHeight w:val="499"/>
        </w:trPr>
        <w:tc>
          <w:tcPr>
            <w:tcW w:w="469"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11</w:t>
            </w:r>
            <w:r>
              <w:rPr>
                <w:rFonts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LED</w:t>
            </w:r>
            <w:r>
              <w:rPr>
                <w:rFonts w:hint="eastAsia" w:ascii="宋体" w:hAnsi="宋体"/>
                <w:color w:val="000000" w:themeColor="text1"/>
                <w:sz w:val="24"/>
                <w:szCs w:val="24"/>
                <w:highlight w:val="none"/>
              </w:rPr>
              <w:t xml:space="preserve">屏</w:t>
            </w:r>
            <w:r>
              <w:rPr>
                <w:rFonts w:ascii="宋体" w:hAnsi="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hint="eastAsia" w:ascii="宋体" w:hAnsi="宋体" w:cs="宋体"/>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w:t>
            </w:r>
            <w:r>
              <w:rPr>
                <w:rFonts w:ascii="宋体" w:hAnsi="宋体" w:cs="宋体"/>
                <w:color w:val="000000" w:themeColor="text1"/>
                <w:sz w:val="24"/>
                <w:szCs w:val="24"/>
                <w:highlight w:val="none"/>
              </w:rPr>
            </w:r>
            <w:r>
              <w:rPr>
                <w:color w:val="000000" w:themeColor="text1"/>
                <w:highlight w:val="none"/>
              </w:rPr>
            </w:r>
          </w:p>
        </w:tc>
      </w:tr>
      <w:tr>
        <w:trPr>
          <w:trHeight w:val="499"/>
        </w:trPr>
        <w:tc>
          <w:tcPr>
            <w:tcW w:w="469"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12</w:t>
            </w:r>
            <w:r>
              <w:rPr>
                <w:rFonts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会议终端1型</w:t>
            </w:r>
            <w:r>
              <w:rPr>
                <w:rFonts w:ascii="宋体" w:hAnsi="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hint="eastAsia" w:ascii="宋体" w:hAnsi="宋体" w:cs="宋体"/>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rFonts w:hint="eastAsia" w:ascii="宋体" w:hAnsi="宋体" w:cs="宋体"/>
                <w:color w:val="000000" w:themeColor="text1"/>
                <w:sz w:val="24"/>
                <w:szCs w:val="24"/>
                <w:highlight w:val="none"/>
              </w:rPr>
            </w:r>
            <w:r>
              <w:rPr>
                <w:color w:val="000000" w:themeColor="text1"/>
                <w:highlight w:val="none"/>
              </w:rPr>
            </w:r>
          </w:p>
        </w:tc>
      </w:tr>
      <w:tr>
        <w:trPr>
          <w:trHeight w:val="499"/>
        </w:trPr>
        <w:tc>
          <w:tcPr>
            <w:tcW w:w="798"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13</w:t>
            </w:r>
            <w:r>
              <w:rPr>
                <w:rFonts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会议终端2型</w:t>
            </w:r>
            <w:r>
              <w:rPr>
                <w:rFonts w:ascii="宋体" w:hAnsi="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hint="eastAsia" w:ascii="宋体" w:hAnsi="宋体" w:cs="宋体"/>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套</w:t>
            </w:r>
            <w:r>
              <w:rPr>
                <w:rFonts w:hint="eastAsia" w:ascii="宋体" w:hAnsi="宋体" w:cs="宋体"/>
                <w:color w:val="000000" w:themeColor="text1"/>
                <w:sz w:val="24"/>
                <w:szCs w:val="24"/>
                <w:highlight w:val="none"/>
              </w:rPr>
            </w:r>
            <w:r>
              <w:rPr>
                <w:color w:val="000000" w:themeColor="text1"/>
                <w:highlight w:val="none"/>
              </w:rPr>
            </w:r>
          </w:p>
        </w:tc>
      </w:tr>
      <w:tr>
        <w:trPr>
          <w:trHeight w:val="499"/>
        </w:trPr>
        <w:tc>
          <w:tcPr>
            <w:tcW w:w="798"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14</w:t>
            </w:r>
            <w:r>
              <w:rPr>
                <w:rFonts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系统集成</w:t>
            </w:r>
            <w:r>
              <w:rPr>
                <w:rFonts w:ascii="宋体" w:hAnsi="宋体" w:cs="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hint="eastAsia" w:ascii="宋体" w:hAnsi="宋体" w:cs="宋体"/>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w:t>
            </w:r>
            <w:r>
              <w:rPr>
                <w:rFonts w:hint="eastAsia" w:ascii="宋体" w:hAnsi="宋体" w:cs="宋体"/>
                <w:color w:val="000000" w:themeColor="text1"/>
                <w:sz w:val="24"/>
                <w:szCs w:val="24"/>
                <w:highlight w:val="none"/>
              </w:rPr>
            </w:r>
            <w:r>
              <w:rPr>
                <w:color w:val="000000" w:themeColor="text1"/>
                <w:highlight w:val="none"/>
              </w:rPr>
            </w:r>
          </w:p>
        </w:tc>
      </w:tr>
      <w:tr>
        <w:trPr>
          <w:trHeight w:val="499"/>
        </w:trPr>
        <w:tc>
          <w:tcPr>
            <w:tcW w:w="798"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15</w:t>
            </w:r>
            <w:r>
              <w:rPr>
                <w:rFonts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5G布控球</w:t>
            </w:r>
            <w:r>
              <w:rPr>
                <w:rFonts w:ascii="宋体" w:hAnsi="宋体" w:cs="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hint="eastAsia" w:ascii="宋体" w:hAnsi="宋体" w:cs="宋体"/>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台</w:t>
            </w:r>
            <w:r>
              <w:rPr>
                <w:rFonts w:hint="eastAsia" w:ascii="宋体" w:hAnsi="宋体" w:cs="宋体"/>
                <w:color w:val="000000" w:themeColor="text1"/>
                <w:sz w:val="24"/>
                <w:szCs w:val="24"/>
                <w:highlight w:val="none"/>
              </w:rPr>
            </w:r>
            <w:r>
              <w:rPr>
                <w:color w:val="000000" w:themeColor="text1"/>
                <w:highlight w:val="none"/>
              </w:rPr>
            </w:r>
          </w:p>
        </w:tc>
      </w:tr>
      <w:tr>
        <w:trPr>
          <w:trHeight w:val="499"/>
        </w:trPr>
        <w:tc>
          <w:tcPr>
            <w:tcW w:w="469" w:type="dxa"/>
            <w:vAlign w:val="center"/>
            <w:textDirection w:val="lrTb"/>
            <w:noWrap w:val="false"/>
          </w:tcPr>
          <w:p>
            <w:pPr>
              <w:pStyle w:val="952"/>
              <w:jc w:val="center"/>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16</w:t>
            </w:r>
            <w:r>
              <w:rPr>
                <w:rFonts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强弱电改造</w:t>
            </w:r>
            <w:r>
              <w:rPr>
                <w:rFonts w:ascii="宋体" w:hAnsi="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hint="eastAsia" w:ascii="宋体" w:hAnsi="宋体" w:cs="宋体"/>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1</w:t>
            </w:r>
            <w:r>
              <w:rPr>
                <w:rFonts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项</w:t>
            </w:r>
            <w:r>
              <w:rPr>
                <w:rFonts w:ascii="宋体" w:hAnsi="宋体"/>
                <w:color w:val="000000" w:themeColor="text1"/>
                <w:sz w:val="24"/>
                <w:szCs w:val="24"/>
                <w:highlight w:val="none"/>
              </w:rPr>
            </w:r>
            <w:r>
              <w:rPr>
                <w:color w:val="000000" w:themeColor="text1"/>
                <w:highlight w:val="none"/>
              </w:rPr>
            </w:r>
          </w:p>
        </w:tc>
      </w:tr>
      <w:tr>
        <w:trPr>
          <w:trHeight w:val="499"/>
        </w:trPr>
        <w:tc>
          <w:tcPr>
            <w:gridSpan w:val="5"/>
            <w:tcW w:w="9567" w:type="dxa"/>
            <w:vAlign w:val="center"/>
            <w:textDirection w:val="lrTb"/>
            <w:noWrap w:val="false"/>
          </w:tcPr>
          <w:p>
            <w:pPr>
              <w:pStyle w:val="952"/>
              <w:jc w:val="left"/>
              <w:widowControl/>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二、计算机存储设备及软件完善</w:t>
            </w:r>
            <w:r>
              <w:rPr>
                <w:rFonts w:ascii="宋体" w:hAnsi="宋体" w:cs="宋体"/>
                <w:b/>
                <w:bCs/>
                <w:color w:val="000000" w:themeColor="text1"/>
                <w:sz w:val="24"/>
                <w:szCs w:val="24"/>
                <w:highlight w:val="none"/>
              </w:rPr>
            </w:r>
            <w:r>
              <w:rPr>
                <w:color w:val="000000" w:themeColor="text1"/>
                <w:highlight w:val="none"/>
              </w:rPr>
            </w:r>
          </w:p>
        </w:tc>
      </w:tr>
      <w:tr>
        <w:trPr>
          <w:trHeight w:val="499"/>
        </w:trPr>
        <w:tc>
          <w:tcPr>
            <w:tcW w:w="469"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磁盘阵列</w:t>
            </w:r>
            <w:r>
              <w:rPr>
                <w:rFonts w:ascii="宋体" w:hAnsi="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ascii="宋体" w:hAnsi="宋体" w:cs="宋体"/>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 </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台</w:t>
            </w:r>
            <w:r>
              <w:rPr>
                <w:rFonts w:ascii="宋体" w:hAnsi="宋体"/>
                <w:color w:val="000000" w:themeColor="text1"/>
                <w:sz w:val="24"/>
                <w:szCs w:val="24"/>
                <w:highlight w:val="none"/>
              </w:rPr>
            </w:r>
            <w:r>
              <w:rPr>
                <w:color w:val="000000" w:themeColor="text1"/>
                <w:highlight w:val="none"/>
              </w:rPr>
            </w:r>
          </w:p>
        </w:tc>
      </w:tr>
      <w:tr>
        <w:trPr>
          <w:trHeight w:val="499"/>
        </w:trPr>
        <w:tc>
          <w:tcPr>
            <w:tcW w:w="469"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无线</w:t>
            </w:r>
            <w:r>
              <w:rPr>
                <w:rFonts w:ascii="宋体" w:hAnsi="宋体"/>
                <w:color w:val="000000" w:themeColor="text1"/>
                <w:sz w:val="24"/>
                <w:szCs w:val="24"/>
                <w:highlight w:val="none"/>
              </w:rPr>
              <w:t xml:space="preserve">AP</w:t>
            </w:r>
            <w:r>
              <w:rPr>
                <w:rFonts w:ascii="宋体" w:hAnsi="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ascii="宋体" w:hAnsi="宋体" w:cs="宋体"/>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20 </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台</w:t>
            </w:r>
            <w:r>
              <w:rPr>
                <w:rFonts w:ascii="宋体" w:hAnsi="宋体"/>
                <w:color w:val="000000" w:themeColor="text1"/>
                <w:sz w:val="24"/>
                <w:szCs w:val="24"/>
                <w:highlight w:val="none"/>
              </w:rPr>
            </w:r>
            <w:r>
              <w:rPr>
                <w:color w:val="000000" w:themeColor="text1"/>
                <w:highlight w:val="none"/>
              </w:rPr>
            </w:r>
          </w:p>
        </w:tc>
      </w:tr>
      <w:tr>
        <w:trPr>
          <w:trHeight w:val="499"/>
        </w:trPr>
        <w:tc>
          <w:tcPr>
            <w:tcW w:w="469"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hint="eastAsia"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48</w:t>
            </w:r>
            <w:r>
              <w:rPr>
                <w:rFonts w:hint="eastAsia" w:ascii="宋体" w:hAnsi="宋体"/>
                <w:color w:val="000000" w:themeColor="text1"/>
                <w:sz w:val="24"/>
                <w:szCs w:val="24"/>
                <w:highlight w:val="none"/>
              </w:rPr>
              <w:t xml:space="preserve">口</w:t>
            </w:r>
            <w:r>
              <w:rPr>
                <w:rFonts w:ascii="宋体" w:hAnsi="宋体"/>
                <w:color w:val="000000" w:themeColor="text1"/>
                <w:sz w:val="24"/>
                <w:szCs w:val="24"/>
                <w:highlight w:val="none"/>
              </w:rPr>
              <w:t xml:space="preserve">POE</w:t>
            </w:r>
            <w:r>
              <w:rPr>
                <w:rFonts w:hint="eastAsia" w:ascii="宋体" w:hAnsi="宋体"/>
                <w:color w:val="000000" w:themeColor="text1"/>
                <w:sz w:val="24"/>
                <w:szCs w:val="24"/>
                <w:highlight w:val="none"/>
              </w:rPr>
              <w:t xml:space="preserve">交换机</w:t>
            </w:r>
            <w:r>
              <w:rPr>
                <w:rFonts w:ascii="宋体" w:hAnsi="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ascii="宋体" w:hAnsi="宋体" w:cs="宋体"/>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 </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台</w:t>
            </w:r>
            <w:r>
              <w:rPr>
                <w:rFonts w:ascii="宋体" w:hAnsi="宋体"/>
                <w:color w:val="000000" w:themeColor="text1"/>
                <w:sz w:val="24"/>
                <w:szCs w:val="24"/>
                <w:highlight w:val="none"/>
              </w:rPr>
            </w:r>
            <w:r>
              <w:rPr>
                <w:color w:val="000000" w:themeColor="text1"/>
                <w:highlight w:val="none"/>
              </w:rPr>
            </w:r>
          </w:p>
        </w:tc>
      </w:tr>
      <w:tr>
        <w:trPr>
          <w:trHeight w:val="499"/>
        </w:trPr>
        <w:tc>
          <w:tcPr>
            <w:tcW w:w="469" w:type="dxa"/>
            <w:vAlign w:val="center"/>
            <w:textDirection w:val="lrTb"/>
            <w:noWrap w:val="false"/>
          </w:tcPr>
          <w:p>
            <w:pPr>
              <w:pStyle w:val="952"/>
              <w:jc w:val="center"/>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AC</w:t>
            </w:r>
            <w:r>
              <w:rPr>
                <w:rFonts w:hint="eastAsia" w:ascii="宋体" w:hAnsi="宋体"/>
                <w:color w:val="000000" w:themeColor="text1"/>
                <w:sz w:val="24"/>
                <w:szCs w:val="24"/>
                <w:highlight w:val="none"/>
              </w:rPr>
              <w:t xml:space="preserve">控制器</w:t>
            </w:r>
            <w:r>
              <w:rPr>
                <w:rFonts w:ascii="宋体" w:hAnsi="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ascii="宋体" w:hAnsi="宋体" w:cs="宋体"/>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 </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台</w:t>
            </w:r>
            <w:r>
              <w:rPr>
                <w:rFonts w:ascii="宋体" w:hAnsi="宋体"/>
                <w:color w:val="000000" w:themeColor="text1"/>
                <w:sz w:val="24"/>
                <w:szCs w:val="24"/>
                <w:highlight w:val="none"/>
              </w:rPr>
            </w:r>
            <w:r>
              <w:rPr>
                <w:color w:val="000000" w:themeColor="text1"/>
                <w:highlight w:val="none"/>
              </w:rPr>
            </w:r>
          </w:p>
        </w:tc>
      </w:tr>
      <w:tr>
        <w:trPr>
          <w:trHeight w:val="499"/>
        </w:trPr>
        <w:tc>
          <w:tcPr>
            <w:gridSpan w:val="5"/>
            <w:tcW w:w="9567" w:type="dxa"/>
            <w:vAlign w:val="center"/>
            <w:textDirection w:val="lrTb"/>
            <w:noWrap w:val="false"/>
          </w:tcPr>
          <w:p>
            <w:pPr>
              <w:pStyle w:val="952"/>
              <w:jc w:val="left"/>
              <w:widowControl/>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三、</w:t>
            </w:r>
            <w:r>
              <w:rPr>
                <w:rFonts w:hint="eastAsia" w:ascii="宋体" w:hAnsi="宋体" w:cs="宋体"/>
                <w:b/>
                <w:bCs/>
                <w:color w:val="000000" w:themeColor="text1"/>
                <w:sz w:val="24"/>
                <w:szCs w:val="24"/>
                <w:highlight w:val="none"/>
              </w:rPr>
              <w:t xml:space="preserve">软件开发</w:t>
            </w:r>
            <w:r>
              <w:rPr>
                <w:rFonts w:ascii="宋体" w:hAnsi="宋体" w:cs="宋体"/>
                <w:b/>
                <w:bCs/>
                <w:color w:val="000000" w:themeColor="text1"/>
                <w:sz w:val="24"/>
                <w:szCs w:val="24"/>
                <w:highlight w:val="none"/>
              </w:rPr>
            </w:r>
            <w:r>
              <w:rPr>
                <w:color w:val="000000" w:themeColor="text1"/>
                <w:highlight w:val="none"/>
              </w:rPr>
            </w:r>
          </w:p>
        </w:tc>
      </w:tr>
      <w:tr>
        <w:trPr>
          <w:trHeight w:val="499"/>
        </w:trPr>
        <w:tc>
          <w:tcPr>
            <w:tcW w:w="469"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rPr>
            </w:r>
            <w:r>
              <w:rPr>
                <w:color w:val="000000" w:themeColor="text1"/>
                <w:highlight w:val="none"/>
              </w:rPr>
            </w:r>
          </w:p>
        </w:tc>
        <w:tc>
          <w:tcPr>
            <w:tcW w:w="1283" w:type="dxa"/>
            <w:vAlign w:val="center"/>
            <w:textDirection w:val="lrTb"/>
            <w:noWrap w:val="false"/>
          </w:tcPr>
          <w:p>
            <w:pPr>
              <w:pStyle w:val="952"/>
              <w:jc w:val="center"/>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水情信息查询软件完善</w:t>
            </w:r>
            <w:r>
              <w:rPr>
                <w:rFonts w:ascii="宋体" w:hAnsi="宋体"/>
                <w:color w:val="000000" w:themeColor="text1"/>
                <w:sz w:val="24"/>
                <w:szCs w:val="24"/>
                <w:highlight w:val="none"/>
              </w:rPr>
            </w:r>
            <w:r>
              <w:rPr>
                <w:color w:val="000000" w:themeColor="text1"/>
                <w:highlight w:val="none"/>
              </w:rPr>
            </w:r>
          </w:p>
        </w:tc>
        <w:tc>
          <w:tcPr>
            <w:tcW w:w="2253" w:type="dxa"/>
            <w:vAlign w:val="center"/>
            <w:textDirection w:val="lrTb"/>
            <w:noWrap w:val="false"/>
          </w:tcPr>
          <w:p>
            <w:pPr>
              <w:pStyle w:val="952"/>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详见如下技术参数要求</w:t>
            </w:r>
            <w:r>
              <w:rPr>
                <w:rFonts w:ascii="宋体" w:hAnsi="宋体" w:cs="宋体"/>
                <w:color w:val="000000" w:themeColor="text1"/>
                <w:sz w:val="24"/>
                <w:szCs w:val="24"/>
                <w:highlight w:val="none"/>
              </w:rPr>
            </w:r>
            <w:r>
              <w:rPr>
                <w:color w:val="000000" w:themeColor="text1"/>
                <w:highlight w:val="none"/>
              </w:rPr>
            </w:r>
          </w:p>
        </w:tc>
        <w:tc>
          <w:tcPr>
            <w:tcW w:w="460" w:type="dxa"/>
            <w:vAlign w:val="center"/>
            <w:textDirection w:val="lrTb"/>
            <w:noWrap w:val="false"/>
          </w:tcPr>
          <w:p>
            <w:pPr>
              <w:pStyle w:val="952"/>
              <w:jc w:val="center"/>
              <w:widowControl/>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1 </w:t>
            </w:r>
            <w:r>
              <w:rPr>
                <w:rFonts w:hint="eastAsia" w:ascii="宋体" w:hAnsi="宋体"/>
                <w:color w:val="000000" w:themeColor="text1"/>
                <w:sz w:val="24"/>
                <w:szCs w:val="24"/>
                <w:highlight w:val="none"/>
              </w:rPr>
            </w:r>
            <w:r>
              <w:rPr>
                <w:color w:val="000000" w:themeColor="text1"/>
                <w:highlight w:val="none"/>
              </w:rPr>
            </w:r>
          </w:p>
        </w:tc>
        <w:tc>
          <w:tcPr>
            <w:tcW w:w="534" w:type="dxa"/>
            <w:vAlign w:val="center"/>
            <w:textDirection w:val="lrTb"/>
            <w:noWrap w:val="false"/>
          </w:tcPr>
          <w:p>
            <w:pPr>
              <w:pStyle w:val="952"/>
              <w:jc w:val="center"/>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项</w:t>
            </w:r>
            <w:r>
              <w:rPr>
                <w:rFonts w:ascii="宋体" w:hAnsi="宋体"/>
                <w:color w:val="000000" w:themeColor="text1"/>
                <w:sz w:val="24"/>
                <w:szCs w:val="24"/>
                <w:highlight w:val="none"/>
              </w:rPr>
            </w:r>
            <w:r>
              <w:rPr>
                <w:color w:val="000000" w:themeColor="text1"/>
                <w:highlight w:val="none"/>
              </w:rPr>
            </w:r>
          </w:p>
        </w:tc>
      </w:tr>
    </w:tbl>
    <w:p>
      <w:pPr>
        <w:pStyle w:val="952"/>
        <w:ind w:firstLine="482"/>
        <w:spacing w:line="360" w:lineRule="auto"/>
        <w:tabs>
          <w:tab w:val="left" w:pos="210" w:leader="none"/>
          <w:tab w:val="left" w:pos="420" w:leader="none"/>
          <w:tab w:val="left" w:pos="1155"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10"/>
        </w:numPr>
        <w:spacing w:line="360" w:lineRule="auto"/>
        <w:tabs>
          <w:tab w:val="left" w:pos="210" w:leader="none"/>
          <w:tab w:val="left" w:pos="420" w:leader="none"/>
          <w:tab w:val="left" w:pos="1155"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技术指标要求</w:t>
      </w:r>
      <w:r>
        <w:rPr>
          <w:rFonts w:hint="eastAsia" w:ascii="宋体" w:hAnsi="宋体"/>
          <w:b/>
          <w:bCs/>
          <w:color w:val="000000" w:themeColor="text1"/>
          <w:sz w:val="24"/>
          <w:szCs w:val="24"/>
          <w:highlight w:val="none"/>
        </w:rPr>
      </w:r>
      <w:r>
        <w:rPr>
          <w:color w:val="000000" w:themeColor="text1"/>
          <w:highlight w:val="none"/>
        </w:rPr>
      </w:r>
    </w:p>
    <w:p>
      <w:pPr>
        <w:pStyle w:val="952"/>
        <w:spacing w:line="360" w:lineRule="auto"/>
        <w:tabs>
          <w:tab w:val="left" w:pos="210" w:leader="none"/>
          <w:tab w:val="left" w:pos="420" w:leader="none"/>
          <w:tab w:val="left" w:pos="1155" w:leader="none"/>
        </w:tabs>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color w:val="000000" w:themeColor="text1"/>
          <w:highlight w:val="none"/>
        </w:rPr>
      </w:r>
    </w:p>
    <w:p>
      <w:pPr>
        <w:pStyle w:val="952"/>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3.1 数字会议主机</w:t>
      </w: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11"/>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要求使用超宽频段UHF668MHz~698MHz；</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1"/>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要求采用高精度锁相环频率合成PLL技术，具备[IR]红外线自动对频功能，发射接收一键即可自动匹配；可为用户提供接近无损的音频无线传输；</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1"/>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传输频段（Hz）：668~698M；频响偏差&amp;相位偏差：20~20KHz，频响偏差&lt;2dB，相位偏差30°-60°；信号发射距离：≥110M；传输时延：≤4.0ms。</w:t>
      </w:r>
      <w:r>
        <w:rPr>
          <w:rFonts w:hint="eastAsia" w:ascii="宋体" w:hAnsi="宋体"/>
          <w:bCs/>
          <w:color w:val="000000" w:themeColor="text1"/>
          <w:sz w:val="24"/>
          <w:szCs w:val="24"/>
          <w:highlight w:val="none"/>
        </w:rPr>
      </w:r>
      <w:r>
        <w:rPr>
          <w:color w:val="000000" w:themeColor="text1"/>
          <w:highlight w:val="none"/>
        </w:rPr>
      </w:r>
    </w:p>
    <w:p>
      <w:pPr>
        <w:pStyle w:val="952"/>
        <w:spacing w:line="360" w:lineRule="auto"/>
        <w:tabs>
          <w:tab w:val="left" w:pos="210" w:leader="none"/>
          <w:tab w:val="left" w:pos="420" w:leader="none"/>
          <w:tab w:val="left" w:pos="1155" w:leader="none"/>
        </w:tabs>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color w:val="000000" w:themeColor="text1"/>
          <w:highlight w:val="none"/>
        </w:rPr>
      </w:r>
    </w:p>
    <w:p>
      <w:pPr>
        <w:pStyle w:val="952"/>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3.2 拾音设备</w:t>
      </w: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12"/>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具有发言功能；</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2"/>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具有避免窃听和无线电干扰功能；无电磁辐射，不受无线电频率使用限制；不受高频驱动光源干扰，并具有具备抗手机干扰功能；麦克风增益、EQ独立可调；</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2"/>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配合可充电锂电池使用；输出频率响应：低频≤80Hz，高频≥20KHz；灵敏度≥-37dBV/Pa。</w:t>
      </w:r>
      <w:r>
        <w:rPr>
          <w:rFonts w:hint="eastAsia" w:ascii="宋体" w:hAnsi="宋体"/>
          <w:bCs/>
          <w:color w:val="000000" w:themeColor="text1"/>
          <w:sz w:val="24"/>
          <w:szCs w:val="24"/>
          <w:highlight w:val="none"/>
        </w:rPr>
      </w:r>
      <w:r>
        <w:rPr>
          <w:color w:val="000000" w:themeColor="text1"/>
          <w:highlight w:val="none"/>
        </w:rPr>
      </w:r>
    </w:p>
    <w:p>
      <w:pPr>
        <w:pStyle w:val="952"/>
        <w:numPr>
          <w:ilvl w:val="1"/>
          <w:numId w:val="0"/>
        </w:numPr>
        <w:ind w:left="403" w:hanging="403"/>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3.3 无线一拖二</w:t>
      </w: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13"/>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采用数字编码技术；采用芯片分集和天线分集设计；采用数字编码技术、非市面常见的模拟通信技术；</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3"/>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无线频段要求：≥640MHz~689MHz；</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3"/>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具有自动扫频功能，一键找出干净无干扰的频点使用；动态范围：≥96dB；</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3"/>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综合信噪比要求：≥105dB；可选频宽要求：≥50MHz；</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3"/>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频点数量要求：≥300；电池使用时间要求：≥5小时。</w:t>
      </w:r>
      <w:r>
        <w:rPr>
          <w:rFonts w:hint="eastAsia" w:ascii="宋体" w:hAnsi="宋体"/>
          <w:bCs/>
          <w:color w:val="000000" w:themeColor="text1"/>
          <w:sz w:val="24"/>
          <w:szCs w:val="24"/>
          <w:highlight w:val="none"/>
        </w:rPr>
      </w:r>
      <w:r>
        <w:rPr>
          <w:color w:val="000000" w:themeColor="text1"/>
          <w:highlight w:val="none"/>
        </w:rPr>
      </w:r>
    </w:p>
    <w:p>
      <w:pPr>
        <w:pStyle w:val="952"/>
        <w:numPr>
          <w:ilvl w:val="1"/>
          <w:numId w:val="0"/>
        </w:numPr>
        <w:ind w:left="403" w:hanging="403"/>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3.4 天线放大器</w:t>
      </w: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14"/>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支持1～4台无线系统的应用，同时可为无线设备提供供电；</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4"/>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天线为单指向对称周期天线，工作频带宽，高增益，驻波比低；</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4"/>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频率范围：≥470MHz--950MHz；具有≥10个BNC母头连接器端口、≥4路直流输出供电口；</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4"/>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无线设备供电直流输出：≥12VDC/1A；</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4"/>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天线增益：≥6dBi。</w:t>
      </w:r>
      <w:r>
        <w:rPr>
          <w:rFonts w:hint="eastAsia" w:ascii="宋体" w:hAnsi="宋体"/>
          <w:bCs/>
          <w:color w:val="000000" w:themeColor="text1"/>
          <w:sz w:val="24"/>
          <w:szCs w:val="24"/>
          <w:highlight w:val="none"/>
        </w:rPr>
      </w:r>
      <w:r>
        <w:rPr>
          <w:color w:val="000000" w:themeColor="text1"/>
          <w:highlight w:val="none"/>
        </w:rPr>
      </w:r>
    </w:p>
    <w:p>
      <w:pPr>
        <w:pStyle w:val="952"/>
        <w:numPr>
          <w:ilvl w:val="1"/>
          <w:numId w:val="0"/>
        </w:numPr>
        <w:ind w:left="403" w:hanging="403"/>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3.5 调音台</w:t>
      </w: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15"/>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≥10个话筒/16个线路输入（8个单声道+4个立体声），≥4编组母线+1立体声母线，4AUX（包括FX），单旋钮压缩器；“D-PRE”话放，带有倒向晶体管电路；</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5"/>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+48V幻象供电。</w:t>
      </w:r>
      <w:r>
        <w:rPr>
          <w:rFonts w:hint="eastAsia" w:ascii="宋体" w:hAnsi="宋体"/>
          <w:bCs/>
          <w:color w:val="000000" w:themeColor="text1"/>
          <w:sz w:val="24"/>
          <w:szCs w:val="24"/>
          <w:highlight w:val="none"/>
        </w:rPr>
      </w:r>
      <w:r>
        <w:rPr>
          <w:color w:val="000000" w:themeColor="text1"/>
          <w:highlight w:val="none"/>
        </w:rPr>
      </w:r>
    </w:p>
    <w:p>
      <w:pPr>
        <w:pStyle w:val="952"/>
        <w:numPr>
          <w:ilvl w:val="1"/>
          <w:numId w:val="0"/>
        </w:numPr>
        <w:ind w:left="403" w:hanging="403"/>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3.6 数字音频处理器（话筒处理器）</w:t>
      </w: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1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配备 11 寸彩色 LCD 条形屏幕，支持手势控制，可以实现对设备的无接触操作和控制；</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支持2路卡侬XLR线路输入，支持音量控制及信号电平显示；支持1组RCA线路输入，支持独立音量控制及信号电平显示；</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内置复位键，支持一键恢复出厂设置；</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支持接入PC 软件对设备统一管理与控制；</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中控接口：1路RS-232、1路RJ45接口。</w:t>
      </w:r>
      <w:r>
        <w:rPr>
          <w:rFonts w:hint="eastAsia" w:ascii="宋体" w:hAnsi="宋体"/>
          <w:bCs/>
          <w:color w:val="000000" w:themeColor="text1"/>
          <w:sz w:val="24"/>
          <w:szCs w:val="24"/>
          <w:highlight w:val="none"/>
        </w:rPr>
      </w:r>
      <w:r>
        <w:rPr>
          <w:color w:val="000000" w:themeColor="text1"/>
          <w:highlight w:val="none"/>
        </w:rPr>
      </w:r>
    </w:p>
    <w:p>
      <w:pPr>
        <w:pStyle w:val="952"/>
        <w:numPr>
          <w:ilvl w:val="1"/>
          <w:numId w:val="0"/>
        </w:numPr>
        <w:ind w:left="403" w:hanging="403"/>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3.7 吸顶扩音设备</w:t>
      </w: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17"/>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低音喇叭：6.5寸；高音喇叭：1寸；</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7"/>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额定功率：≥65W；最大功率：≥100W；输入阻抗：≥8Ω；</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7"/>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频率响应：52-20KHz；灵敏度：≥91dB（1M/1W）。</w:t>
      </w:r>
      <w:r>
        <w:rPr>
          <w:rFonts w:hint="eastAsia" w:ascii="宋体" w:hAnsi="宋体"/>
          <w:bCs/>
          <w:color w:val="000000" w:themeColor="text1"/>
          <w:sz w:val="24"/>
          <w:szCs w:val="24"/>
          <w:highlight w:val="none"/>
        </w:rPr>
      </w:r>
      <w:r>
        <w:rPr>
          <w:color w:val="000000" w:themeColor="text1"/>
          <w:highlight w:val="none"/>
        </w:rPr>
      </w:r>
    </w:p>
    <w:p>
      <w:pPr>
        <w:pStyle w:val="952"/>
        <w:numPr>
          <w:ilvl w:val="1"/>
          <w:numId w:val="0"/>
        </w:numPr>
        <w:ind w:left="403" w:hanging="403"/>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3.8 功率放大器</w:t>
      </w: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18"/>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信噪比S/N（20Hz-20KHz）8Ω：≤98DB；</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8"/>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失真THD（@8Ω1KHz）：&lt;0.5%；</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8"/>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输入阻抗：≤20KΩ；频率响应：20Hz-20KHZ@1w；</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8"/>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输出端：NL4插座和接线柱；</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8"/>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保护功能要求：具有输出短路，过热，自动限幅，长期输出功率，直流/交流保护装置。</w:t>
      </w:r>
      <w:r>
        <w:rPr>
          <w:rFonts w:hint="eastAsia" w:ascii="宋体" w:hAnsi="宋体"/>
          <w:bCs/>
          <w:color w:val="000000" w:themeColor="text1"/>
          <w:sz w:val="24"/>
          <w:szCs w:val="24"/>
          <w:highlight w:val="none"/>
        </w:rPr>
      </w:r>
      <w:r>
        <w:rPr>
          <w:color w:val="000000" w:themeColor="text1"/>
          <w:highlight w:val="none"/>
        </w:rPr>
      </w:r>
    </w:p>
    <w:p>
      <w:pPr>
        <w:pStyle w:val="952"/>
        <w:numPr>
          <w:ilvl w:val="1"/>
          <w:numId w:val="0"/>
        </w:numPr>
        <w:ind w:left="403" w:hanging="403"/>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3.9 电源时序器</w:t>
      </w: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1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通道数量：≤8路；每个通道的最大输出电流：≤15A；</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交流电输入：180V～260V；标准负载功率：2200W/通道；</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1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每步时间：≤1s；RS232控制。</w:t>
      </w:r>
      <w:r>
        <w:rPr>
          <w:rFonts w:hint="eastAsia" w:ascii="宋体" w:hAnsi="宋体"/>
          <w:bCs/>
          <w:color w:val="000000" w:themeColor="text1"/>
          <w:sz w:val="24"/>
          <w:szCs w:val="24"/>
          <w:highlight w:val="none"/>
        </w:rPr>
      </w:r>
      <w:r>
        <w:rPr>
          <w:color w:val="000000" w:themeColor="text1"/>
          <w:highlight w:val="none"/>
        </w:rPr>
      </w:r>
    </w:p>
    <w:p>
      <w:pPr>
        <w:pStyle w:val="952"/>
        <w:numPr>
          <w:ilvl w:val="1"/>
          <w:numId w:val="0"/>
        </w:numPr>
        <w:ind w:left="403" w:hanging="403"/>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3.10 8进8出HDMI 4K固定无缝矩阵</w:t>
      </w: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20"/>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≥8*8 HDMI信号，支持输入到输出无缝快速切换；支持输入输出支持HDMI1.4；</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0"/>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支持TCP/IPRS232，前面板，双向串口控制、按键、RJ45控制等多种控制方式；</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0"/>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输入内置≥7种EDID，3840x2160@30Hz双声道（默认）；</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0"/>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输入兼容DVI/HDMI信号；第一路输入输出支持CEC控制；</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0"/>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默认≥9种输出分辨率可选；输出信号格式支持HDMI、DVI；</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0"/>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支持断电记忆功能；支持HDMI接口连续热拔插。</w:t>
      </w:r>
      <w:r>
        <w:rPr>
          <w:rFonts w:hint="eastAsia" w:ascii="宋体" w:hAnsi="宋体"/>
          <w:bCs/>
          <w:color w:val="000000" w:themeColor="text1"/>
          <w:sz w:val="24"/>
          <w:szCs w:val="24"/>
          <w:highlight w:val="none"/>
        </w:rPr>
      </w:r>
      <w:r>
        <w:rPr>
          <w:color w:val="000000" w:themeColor="text1"/>
          <w:highlight w:val="none"/>
        </w:rPr>
      </w:r>
    </w:p>
    <w:p>
      <w:pPr>
        <w:pStyle w:val="952"/>
        <w:numPr>
          <w:ilvl w:val="1"/>
          <w:numId w:val="0"/>
        </w:numPr>
        <w:ind w:left="403" w:hanging="403"/>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3.11 LED屏</w:t>
      </w: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21"/>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点间距要求：≤1.5625mm；屏体尺寸：长度≥3.6m，宽度：≥1.6875m；分辨率≥2304（宽）*1080（高）；</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1"/>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像素密度：≥409600点/平方，采用SMD表贴封装；</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1"/>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PCB板设计：模组采用专业级高强度板材，不低于TG150强度等级，板厚不低于2.0mm，有效防止PCB变形，具有亮度、对比度、色度调节、视觉修正等图像调整功能；</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1"/>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视角：垂直/水平≥175°，亮度：50～1000cd/m2可选，亮度均匀性：≥99%，发光中心点偏差：≤0.1%，色度均匀性：≤±0.001Cx，Cy；箱体平整度≤0.1mm，箱体间/模组间相对错位值≤1.0%；</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1"/>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箱体设计：箱体为压铸铝材质，一次性整体压铸成型，自然散热，无风扇、静音设计，箱体塑性延伸强度≥170Mpa；箱体后背自带测试按钮，支持红、绿、蓝、白纯色测试画面，支持横扫、斜扫、灰阶测试画面；箱体四边有设计过线孔，可支持信号任意方向级联，极大的方便箱体拼装。电源AC端隐藏式设计，杜绝误触电事件，提高安全系数；</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1"/>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箱体弧形设计：支持箱体间内弧0~18度拼接，模组间0-4.5度拼接；</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1"/>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主板设计：接收卡、HUB卡二合一全集成设计，接收卡非插拔式。</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1"/>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电源安全设计：内部电源采用注塑一体IEC连接，外部电源输入至箱体电源内部无走线，接触端子具有保护盖板，支持模组DC供电；</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1"/>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峰值功耗：≤400W/m2，平均功耗：≤135W/m2，屏体具备智能黑屏节电功能，开启智能节点功能，智能节电80%以上；支持AI智能判断大屏工作模式，调整能耗模式；</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1"/>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防短路设计：各个模组电源输入端独立供电，互不干扰；当模组电流过大时，自动启动防短路功能，当电流恢复正常时，模组自动恢复正常工作；</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1"/>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LED显示屏采用芯片级封装LED结构技术，能够有效增强对比度，降低发热量；</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1"/>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LED显示屏在开屏或关屏条件下均要求良好的显示效果，要求具备黑场墨色一致性关键工艺技术；</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1"/>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LED显示屏相关硬件具备高光效长寿命关键技术。</w:t>
      </w:r>
      <w:r>
        <w:rPr>
          <w:rFonts w:hint="eastAsia" w:ascii="宋体" w:hAnsi="宋体"/>
          <w:bCs/>
          <w:color w:val="000000" w:themeColor="text1"/>
          <w:sz w:val="24"/>
          <w:szCs w:val="24"/>
          <w:highlight w:val="none"/>
        </w:rPr>
      </w:r>
      <w:r>
        <w:rPr>
          <w:color w:val="000000" w:themeColor="text1"/>
          <w:highlight w:val="none"/>
        </w:rPr>
      </w:r>
    </w:p>
    <w:p>
      <w:pPr>
        <w:pStyle w:val="952"/>
        <w:numPr>
          <w:ilvl w:val="1"/>
          <w:numId w:val="0"/>
        </w:numPr>
        <w:ind w:left="403" w:hanging="403"/>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3.12 会议终端1</w:t>
      </w:r>
      <w:r>
        <w:rPr>
          <w:rFonts w:hint="eastAsia" w:ascii="宋体" w:hAnsi="宋体"/>
          <w:b/>
          <w:bCs/>
          <w:color w:val="000000" w:themeColor="text1"/>
          <w:sz w:val="24"/>
          <w:szCs w:val="24"/>
          <w:highlight w:val="none"/>
        </w:rPr>
        <w:t xml:space="preserve">型</w:t>
      </w: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22"/>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采用一体式结构，集成PTZ摄像机、全景摄像机、数字阵列麦克及编解码器；</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2"/>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采用国产自主的编解码芯片，国产自主操作系统；</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2"/>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内置PTZ高清摄像机，支持≥213万像素1/2.8英寸CMOS成像芯片，支持不小于1080P60fps视频图像采集；</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2"/>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支持≥12倍光学变焦，水平视角≥72°；</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2"/>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内置全景摄像机，支持≥200万像素1/2.9英寸CMOS成像芯片，水平视角≥81°，支持隐私保护功能；</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2"/>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支持智能人脸识别、人形识别、运动检测等算法，系统可根据与会人数及位置自动调整，全景画面应能涵盖所有与会人员，并保证人物居中显示；</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2"/>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集成数字阵列麦克风，拾音半径≥8米，采样率≥48KHZ；</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2"/>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支持H.265、H.264HP、H.264BP、H.263、H.263+等图像编码协议。</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2"/>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支持≥1路高清视频输入，≥2路高清视频输出；</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2"/>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支持50%网络丢包时，语音清晰连续，视频清晰流畅，无卡顿、无马赛克；</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2"/>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支持80%的网络丢包时，声音清晰流畅，不影响会议继续进行；</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2"/>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支持512Kbps会议带宽下，实现1080P60帧图像格式编解码；384Kbps会议带宽下，实现1080P30帧图像格式编解码；256Kbps会议带宽下，实现720P30帧图像格式编解码；</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2"/>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含现场视频</w:t>
      </w:r>
      <w:r>
        <w:rPr>
          <w:rFonts w:hint="eastAsia" w:ascii="宋体" w:hAnsi="宋体"/>
          <w:bCs/>
          <w:color w:val="000000" w:themeColor="text1"/>
          <w:sz w:val="24"/>
          <w:szCs w:val="24"/>
          <w:highlight w:val="none"/>
        </w:rPr>
        <w:t xml:space="preserve">终端1台，摄像头分辨率支持1080P高清，水平分辨率可达1920×1080，支持多种分辨率如1440×900、1280×800、1024×768等；支持H.264HPSVC视频编解码协议，支持OPUS、G.711、G.722等音频编解码协议，配置全向高保真音频采集麦克风，支持8米有效拾音距离，具备自动回声消除与智能降噪处理功能；扬声器具备自动增益调节功能；支持10/100/1000Base-TRJ45有线网络接口，支持Wi-Fi802.11b/g/n/ac无线网络接口（2.4G+5G可选），支持4G卡接入；</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2"/>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支持在H.323协议下，H.235信令加密；支持在SIP下，TLS、SRTP加密；支持AES媒体流加密算法，保证会议安全；</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2"/>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支持视频画面从本地采集、编码、网络传输、解码到显示输出后，整体时延不超过120ms；</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2"/>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支持自动获取会议日程功能，可显示会议名称、会议时间等信息，支持通过会议日程快速加入会议。</w:t>
      </w:r>
      <w:r>
        <w:rPr>
          <w:rFonts w:hint="eastAsia" w:ascii="宋体" w:hAnsi="宋体"/>
          <w:bCs/>
          <w:color w:val="000000" w:themeColor="text1"/>
          <w:sz w:val="24"/>
          <w:szCs w:val="24"/>
          <w:highlight w:val="none"/>
        </w:rPr>
      </w:r>
      <w:r>
        <w:rPr>
          <w:color w:val="000000" w:themeColor="text1"/>
          <w:highlight w:val="none"/>
        </w:rPr>
      </w:r>
    </w:p>
    <w:p>
      <w:pPr>
        <w:pStyle w:val="952"/>
        <w:numPr>
          <w:ilvl w:val="1"/>
          <w:numId w:val="0"/>
        </w:numPr>
        <w:ind w:left="403" w:hanging="403"/>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3.13 会议终端2</w:t>
      </w:r>
      <w:r>
        <w:rPr>
          <w:rFonts w:hint="eastAsia" w:ascii="宋体" w:hAnsi="宋体"/>
          <w:b/>
          <w:bCs/>
          <w:color w:val="000000" w:themeColor="text1"/>
          <w:sz w:val="24"/>
          <w:szCs w:val="24"/>
          <w:highlight w:val="none"/>
        </w:rPr>
        <w:t xml:space="preserve">型</w:t>
      </w: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23"/>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高度集成：4入2出接口，HDMI4K双输出，独创的多媒体总线技术，丰富扩展性；</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3"/>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多路摄像机：支持2路RJ45（MBI多媒体总线）接入，2路HDMI输入；</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3"/>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超强拾音：标配全向麦克8米拾音，360°全向高保真音频采集；</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3"/>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含现场视频</w:t>
      </w:r>
      <w:r>
        <w:rPr>
          <w:rFonts w:hint="eastAsia" w:ascii="宋体" w:hAnsi="宋体"/>
          <w:bCs/>
          <w:color w:val="000000" w:themeColor="text1"/>
          <w:sz w:val="24"/>
          <w:szCs w:val="24"/>
          <w:highlight w:val="none"/>
        </w:rPr>
        <w:t xml:space="preserve">终端2台，摄像头分辨率支持1080P高清，水平分辨率可达1920×1080，支持多种分辨率如1440×900、1280×800、1024×768等；支持H.264HPSVC视频编解码协议，支持OPUS、G.711、G.722等音频编解码协议，配置全向高保真音频采集麦克风，支持8米有效拾音距离，具备自动回声消除与智能降噪处理功能；扬声器具备自动增益调节功能；支持10/100/1000Base-TRJ45有线网络接口，支持Wi-Fi802.11b/g/n/ac无线网络接口（2.4G+5G可选），支持4G卡接入；</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3"/>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操控要求：支持与智能终端配对，实现触控操作，全触屏操控，人性化UI，使用简单方便。会中可通过终端随时控制会议的录制启动、停止。支持触控屏操作主持会议，邀请与会者、静音其他会场等。支持会议日程功能，自动同步预约会议请求并显示在日程上，实现自动入会或手动一键入会。支持企业通讯录，支持分组，能够由平台统一推送至所有终端，自动更新。支持电子白板功能，可多方同时标注协作。</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3"/>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兼容对接：支持和现有上级部门会商系统的小鱼易联MCU云服务平台及会议终端进行无缝对接。</w:t>
      </w:r>
      <w:r>
        <w:rPr>
          <w:rFonts w:hint="eastAsia" w:ascii="宋体" w:hAnsi="宋体"/>
          <w:bCs/>
          <w:color w:val="000000" w:themeColor="text1"/>
          <w:sz w:val="24"/>
          <w:szCs w:val="24"/>
          <w:highlight w:val="none"/>
        </w:rPr>
      </w:r>
      <w:r>
        <w:rPr>
          <w:color w:val="000000" w:themeColor="text1"/>
          <w:highlight w:val="none"/>
        </w:rPr>
      </w:r>
    </w:p>
    <w:p>
      <w:pPr>
        <w:pStyle w:val="952"/>
        <w:numPr>
          <w:ilvl w:val="1"/>
          <w:numId w:val="0"/>
        </w:numPr>
        <w:ind w:left="403" w:hanging="403"/>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3.14 系统集成</w:t>
      </w:r>
      <w:r>
        <w:rPr>
          <w:rFonts w:hint="eastAsia" w:ascii="宋体" w:hAnsi="宋体"/>
          <w:b/>
          <w:bCs/>
          <w:color w:val="000000" w:themeColor="text1"/>
          <w:sz w:val="24"/>
          <w:szCs w:val="24"/>
          <w:highlight w:val="none"/>
        </w:rPr>
      </w:r>
      <w:r>
        <w:rPr>
          <w:color w:val="000000" w:themeColor="text1"/>
          <w:highlight w:val="none"/>
        </w:rPr>
      </w:r>
    </w:p>
    <w:p>
      <w:pPr>
        <w:pStyle w:val="952"/>
        <w:ind w:firstLine="480"/>
        <w:spacing w:line="360" w:lineRule="auto"/>
        <w:tabs>
          <w:tab w:val="left" w:pos="210" w:leader="none"/>
          <w:tab w:val="left" w:pos="420"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（1）本项目为交钥匙工程，需根据项目采购清单及本次项目建设需求，深入调研、积极沟通并形成项目实施方案；</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360" w:lineRule="auto"/>
        <w:tabs>
          <w:tab w:val="left" w:pos="210" w:leader="none"/>
          <w:tab w:val="left" w:pos="420"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（2）负责会商设备安装、网络配置等集成工作，完成会商系统与上下级的对接联调，并确保音视频信号传输稳定，达到会商要求。</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360" w:lineRule="auto"/>
        <w:tabs>
          <w:tab w:val="left" w:pos="210" w:leader="none"/>
          <w:tab w:val="left" w:pos="420"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（3）负责磁盘阵列的集成配置和数据迁移，完成新老磁盘阵列的联调，达到数据安全存储要求。</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360" w:lineRule="auto"/>
        <w:tabs>
          <w:tab w:val="left" w:pos="210" w:leader="none"/>
          <w:tab w:val="left" w:pos="420"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（4）负责水情信息查询软件的开发、测试及安装部署，完成与现有水文水生态数字孪生系统业务软件的对接工作，达到软件整体使用要求。</w:t>
      </w:r>
      <w:r>
        <w:rPr>
          <w:rFonts w:hint="eastAsia" w:ascii="宋体" w:hAnsi="宋体"/>
          <w:color w:val="000000" w:themeColor="text1"/>
          <w:sz w:val="24"/>
          <w:szCs w:val="24"/>
          <w:highlight w:val="none"/>
        </w:rPr>
      </w:r>
      <w:r>
        <w:rPr>
          <w:color w:val="000000" w:themeColor="text1"/>
          <w:highlight w:val="none"/>
        </w:rPr>
      </w:r>
    </w:p>
    <w:p>
      <w:pPr>
        <w:pStyle w:val="952"/>
        <w:ind w:left="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952"/>
        <w:numPr>
          <w:ilvl w:val="1"/>
          <w:numId w:val="0"/>
        </w:numPr>
        <w:ind w:left="403" w:hanging="403"/>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3.15 5G布控球</w:t>
      </w: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24"/>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北斗5G智能便携球，支持自动彩转黑功能，实现昼夜监控，支持图像宽动态、背光补偿、强光抑制、降噪、透雾、防抖，GPS状态、4G/5G状态、录像状态、剩余存储时间、蓝牙状态、平台连接状态、Wi-Fi状态，支持双TF卡存储，单卡最大支持512G，支持5G全网通支持双卡单待，配置可拆卸电池，单电池可支持9～10小时连续工作，支持MIC、扬声器；</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4"/>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支持作业模式、车辆监拍、目标检测、区域入侵等算法，支持离岗检测、安全帽、吸烟、打电话、工作服等，支持作业场景自动寻人；</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4"/>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支持循环播报及关联语音报警输出，支持不少于5个循环文件播报，支持不少于5个语音报警输出功能，支持自定义语音播报；</w:t>
      </w:r>
      <w:r>
        <w:rPr>
          <w:rFonts w:hint="eastAsia" w:ascii="宋体" w:hAnsi="宋体"/>
          <w:bCs/>
          <w:color w:val="000000" w:themeColor="text1"/>
          <w:sz w:val="24"/>
          <w:szCs w:val="24"/>
          <w:highlight w:val="none"/>
        </w:rPr>
      </w:r>
      <w:r>
        <w:rPr>
          <w:color w:val="000000" w:themeColor="text1"/>
          <w:highlight w:val="none"/>
        </w:rPr>
      </w:r>
    </w:p>
    <w:p>
      <w:pPr>
        <w:pStyle w:val="952"/>
        <w:numPr>
          <w:ilvl w:val="1"/>
          <w:numId w:val="0"/>
        </w:numPr>
        <w:ind w:left="403" w:hanging="403"/>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3.16 </w:t>
      </w:r>
      <w:r>
        <w:rPr>
          <w:rFonts w:ascii="宋体" w:hAnsi="宋体"/>
          <w:b/>
          <w:bCs/>
          <w:color w:val="000000" w:themeColor="text1"/>
          <w:sz w:val="24"/>
          <w:szCs w:val="24"/>
          <w:highlight w:val="none"/>
        </w:rPr>
        <w:t xml:space="preserve">强弱电改造</w:t>
      </w:r>
      <w:r>
        <w:rPr>
          <w:rFonts w:hint="eastAsia" w:ascii="宋体" w:hAnsi="宋体"/>
          <w:b/>
          <w:bCs/>
          <w:color w:val="000000" w:themeColor="text1"/>
          <w:sz w:val="24"/>
          <w:szCs w:val="24"/>
          <w:highlight w:val="none"/>
        </w:rPr>
      </w:r>
      <w:r>
        <w:rPr>
          <w:color w:val="000000" w:themeColor="text1"/>
          <w:highlight w:val="none"/>
        </w:rPr>
      </w:r>
    </w:p>
    <w:p>
      <w:pPr>
        <w:pStyle w:val="952"/>
        <w:ind w:firstLine="480"/>
        <w:spacing w:line="360" w:lineRule="auto"/>
        <w:tabs>
          <w:tab w:val="left" w:pos="210" w:leader="none"/>
          <w:tab w:val="left" w:pos="420"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针对本次会商室进行强弱电改造，旨在提升会商室的设备性能和用户体验。原会商室存在设备严重老化，使用时间超过规范年限，已无法使用等问题，无法满足水情会商的需求。因此，本次改造将全面升级会商室的强弱电系统，确保其稳定运行并满足未来发展的需要，主要建设内容如下：</w:t>
      </w:r>
      <w:r>
        <w:rPr>
          <w:rFonts w:hint="eastAsia" w:ascii="宋体" w:hAnsi="宋体"/>
          <w:color w:val="000000" w:themeColor="text1"/>
          <w:sz w:val="24"/>
          <w:szCs w:val="24"/>
          <w:highlight w:val="none"/>
        </w:rPr>
      </w:r>
      <w:r>
        <w:rPr>
          <w:color w:val="000000" w:themeColor="text1"/>
          <w:highlight w:val="none"/>
        </w:rPr>
      </w:r>
    </w:p>
    <w:p>
      <w:pPr>
        <w:pStyle w:val="952"/>
        <w:numPr>
          <w:ilvl w:val="0"/>
          <w:numId w:val="25"/>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对会商室的静电地板及线缆重新敷设，包含但不限于网线、电源线以及视频线等各类线缆；</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5"/>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针对会商室当前使用的所有线缆与面板进行更换与升级，以此进一步优化整体的线路结构与性能表现；</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5"/>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将对布线过程中涉及的墙体开槽进行专业修复处理，确保最终布线实用可靠。</w:t>
      </w:r>
      <w:r>
        <w:rPr>
          <w:rFonts w:hint="eastAsia" w:ascii="宋体" w:hAnsi="宋体"/>
          <w:bCs/>
          <w:color w:val="000000" w:themeColor="text1"/>
          <w:sz w:val="24"/>
          <w:szCs w:val="24"/>
          <w:highlight w:val="none"/>
        </w:rPr>
      </w:r>
      <w:r>
        <w:rPr>
          <w:color w:val="000000" w:themeColor="text1"/>
          <w:highlight w:val="none"/>
        </w:rPr>
      </w:r>
    </w:p>
    <w:p>
      <w:pPr>
        <w:pStyle w:val="952"/>
        <w:numPr>
          <w:ilvl w:val="1"/>
          <w:numId w:val="0"/>
        </w:numPr>
        <w:ind w:left="403" w:hanging="403"/>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3.17 磁盘阵列</w:t>
      </w: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2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4U 24盘位主柜，双控制器，Active-Active模式，控制器之间支持缓存镜像，且单机箱两控制器间采用PCI-E互联；</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CPU采用国产C86架构设计，单控制器CPU≥16核；双控制器总缓存≥256GB，≥8个16Gb FC主机接口，≥2个1G iSCSI主机管理接口；</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硬盘≥12块1.92T SSD；</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支持RAID0/1/5/6/10；</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SSD缓存加速功能，要求同时读写性能加速，降低应用延迟；</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自动精简功能，实现存储设备的容量按需动态扩展；</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系统具有完全在线、无需停机的微码升级以及容量扩充能力；</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提供GUI管理界面。支持SSD二级缓存技术，加速数据读取速度，降低应用延迟，不接受通过存储分层方式实现；</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支持三重检验的RAID方式，允许同一个RAID组中任意三块硬盘同时发生物理故障；</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所投产品配置QoS功能，支持卷级别的针对不同IO类型（读、写可分别限制）的IOPS或者MBps限制，保障优先级更高的业务系统优先使用存储资源池；</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支持快照功能：单个LUN支持快照数≥2048个，支持系统定时自动创建快照，且定时快照策略可通过存储自身管理软件配置，定时快照最小时间间隔≤1分钟；</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支持克隆功能，可基于源卷创建数据副本以重新定义数据用途，用于备份、测试开发、信息分析或数据挖掘等；</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支持数据迁移功能，可在线将数据卷转移至其他存储池中，迁移过程中业务无中断；</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自动分层功能，根据数据活跃度自动迁移数据所在位置，完成与不同存储介质的动态匹配。能够以4MB～64MB的热点颗粒度为单位进行自动分级调整，用户可自定义I/O监控策略及数据迁移策略，支持定时监控、周期性监控、定时迁移、周期性迁移，具备至少3层分级（SSD、SAS、NL-SAS）；</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存储级双活容灾功能，四控制器集群可以跨地域进行部署，实现关键数据自动实时双写到两个存储系统中，保证两份数据严格的物理隔离，同时保证两份数据自动实时同步；具备故障自动切换功能，减少人工干预，提升业务连续性；为了双活方案架构简单，同时保证可靠性及性能，双活方案无需借助额外的存储虚拟化网关实现；</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基于IP/FC的远程复制功能，要求对复制过程中的数据进行加密压缩，不需要引入存储阵列之外的任何软件或硬件，能够提供1:2、连跳、64对1点的复制功能，且无须额外的协议转换设备；可通过图形化管理界面自定义远程数据异步传输时间间隔，异步传输时间间隔可达到≤10秒；</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支持性能监控功能，可监控数据LUN或FC端口的IOPS、带宽及延时数据，可查看系统性能数据；</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6"/>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针对本次项目实施紧迫性，项目上线过程中存在未知的数据安全风险，须提供数据恢复服务，恢复过程中为防止数据泄露。</w:t>
      </w:r>
      <w:r>
        <w:rPr>
          <w:rFonts w:hint="eastAsia" w:ascii="宋体" w:hAnsi="宋体"/>
          <w:bCs/>
          <w:color w:val="000000" w:themeColor="text1"/>
          <w:sz w:val="24"/>
          <w:szCs w:val="24"/>
          <w:highlight w:val="none"/>
        </w:rPr>
      </w:r>
      <w:r>
        <w:rPr>
          <w:color w:val="000000" w:themeColor="text1"/>
          <w:highlight w:val="none"/>
        </w:rPr>
      </w:r>
    </w:p>
    <w:p>
      <w:pPr>
        <w:pStyle w:val="952"/>
        <w:rPr>
          <w:rFonts w:hint="eastAsia"/>
          <w:color w:val="000000" w:themeColor="text1"/>
          <w:szCs w:val="20"/>
          <w:highlight w:val="none"/>
        </w:rPr>
      </w:pPr>
      <w:r>
        <w:rPr>
          <w:rFonts w:hint="eastAsia"/>
          <w:color w:val="000000" w:themeColor="text1"/>
          <w:szCs w:val="20"/>
          <w:highlight w:val="none"/>
        </w:rPr>
      </w:r>
      <w:r>
        <w:rPr>
          <w:color w:val="000000" w:themeColor="text1"/>
          <w:highlight w:val="none"/>
        </w:rPr>
      </w:r>
    </w:p>
    <w:p>
      <w:pPr>
        <w:pStyle w:val="952"/>
        <w:numPr>
          <w:ilvl w:val="1"/>
          <w:numId w:val="0"/>
        </w:numPr>
        <w:ind w:left="403" w:hanging="403"/>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3.18 无线AP</w:t>
      </w: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27"/>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内置天线双频四流802.11ax/ac/n无线接入点-FIT，可同时工作在802.11a/b/g/n/ac/ac wave2/ax模式；</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7"/>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固定接口：1GE，内置BLE5.1功能模块，整机最大传输速率≥2.9Gbps；</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7"/>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使用WIFI6终端接入测试，接入2.4GHz频段，在40MHz频宽下，单用户极限性能可达到400Mbps以上；</w:t>
      </w:r>
      <w:r>
        <w:rPr>
          <w:color w:val="000000" w:themeColor="text1"/>
          <w:highlight w:val="none"/>
        </w:rPr>
        <w:t xml:space="preserve">满足光、电同时上行且满足上行链路备份功能</w:t>
      </w:r>
      <w:r>
        <w:rPr>
          <w:rFonts w:hint="eastAsia"/>
          <w:color w:val="000000" w:themeColor="text1"/>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7"/>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5GHz和2.4GHz射频上行ping包1000个测试，5GHz平均时延≤3.1ms，2.4GHz平均时延≤4.6ms。ATF（Airtime Fairness，发送时间公平性）技术通过转移部分慢速设备的服务时间给快速设备，优化等待时间，使高协议终端可以充分利用空口，降低低协议终端对高协议终端的影响，提高无线网络的整体传输速度和性能；</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7"/>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在网络拥塞情况下，通过对终端发送的报文进行识别，在多业务并行处理时，可以对关键业务（如视频会议、时延敏感类游戏等）优先处理从而实现应用加速，同时双WiFi功能对链路可靠性的提升，保证使用体验；</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7"/>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支持WLAN上行链路检测功能，实时监测上行链路的可行性，当上行链路不可达时，将射频关闭，避免终端连接到不可用的网络。当上行链路恢复时，射频自动开启，无线终端可以正常接入；</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7"/>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在自动功率调整基础上，支持检测信号覆盖黑洞功能，并对AP功率做出修正，保证处于特殊位置的终端接收到增强的AP信号，保证体验。</w:t>
      </w:r>
      <w:r>
        <w:rPr>
          <w:rFonts w:hint="eastAsia" w:ascii="宋体" w:hAnsi="宋体"/>
          <w:bCs/>
          <w:color w:val="000000" w:themeColor="text1"/>
          <w:sz w:val="24"/>
          <w:szCs w:val="24"/>
          <w:highlight w:val="none"/>
        </w:rPr>
      </w:r>
      <w:r>
        <w:rPr>
          <w:color w:val="000000" w:themeColor="text1"/>
          <w:highlight w:val="none"/>
        </w:rPr>
      </w:r>
    </w:p>
    <w:p>
      <w:pPr>
        <w:pStyle w:val="952"/>
        <w:numPr>
          <w:ilvl w:val="1"/>
          <w:numId w:val="0"/>
        </w:numPr>
        <w:ind w:left="403" w:hanging="403"/>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3.19 48口POE交换机</w:t>
      </w: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28"/>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以太网交换机主机（48GE（PoE+）+4SFP），交换容量≥430Gbps；</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8"/>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包转发率≥120Mpps，支持POE+ 供电，整机POE输出≥375W；</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8"/>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支持IPv4静态路由、RIP、OSPF、ISIS、BGP，支持IPv6静态路由、OSPFv3、ISISv6、BGP4+；</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8"/>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支持静态、动态、黑洞MAC地址，支持源MAC地址过滤，支持设置端口MAC地址学习最大个数；</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8"/>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支持STP/RSTP/MSTP/PVST协议，支持G.8032以太网环保护协议ERPS，切换时间≤50ms，可兼容其他支持该协议的产品；</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8"/>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支持SNMPv1/v2/v3、RMON （Remote Monitoring）支持Syslog，系统日志，分级告警，调试信息输出，支持电源的告警功能，风扇、温度告警。支持Telemetry可视化，NETCONF网络管理协议及Python脚本管理运维。</w:t>
      </w:r>
      <w:r>
        <w:rPr>
          <w:rFonts w:hint="eastAsia" w:ascii="宋体" w:hAnsi="宋体"/>
          <w:bCs/>
          <w:color w:val="000000" w:themeColor="text1"/>
          <w:sz w:val="24"/>
          <w:szCs w:val="24"/>
          <w:highlight w:val="none"/>
        </w:rPr>
      </w:r>
      <w:r>
        <w:rPr>
          <w:color w:val="000000" w:themeColor="text1"/>
          <w:highlight w:val="none"/>
        </w:rPr>
      </w:r>
    </w:p>
    <w:p>
      <w:pPr>
        <w:pStyle w:val="952"/>
        <w:numPr>
          <w:ilvl w:val="1"/>
          <w:numId w:val="0"/>
        </w:numPr>
        <w:ind w:left="403" w:hanging="403"/>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3.20 AC控制器</w:t>
      </w:r>
      <w:r>
        <w:rPr>
          <w:rFonts w:hint="eastAsia" w:ascii="宋体" w:hAnsi="宋体"/>
          <w:b/>
          <w:bCs/>
          <w:color w:val="000000" w:themeColor="text1"/>
          <w:sz w:val="24"/>
          <w:szCs w:val="24"/>
          <w:highlight w:val="none"/>
        </w:rPr>
      </w:r>
      <w:r>
        <w:rPr>
          <w:color w:val="000000" w:themeColor="text1"/>
          <w:highlight w:val="none"/>
        </w:rPr>
      </w:r>
    </w:p>
    <w:p>
      <w:pPr>
        <w:pStyle w:val="952"/>
        <w:numPr>
          <w:ilvl w:val="0"/>
          <w:numId w:val="2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≥2个GE WAN端口，≥6个千兆LAN口，最大管理放装AP≥128个，含32个AP授权；</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具备全网Portal漫游信息同步功能：AC、AP满足Portal用户在大规模组网AC间无感知漫游，无需Portal mac-trigger服务器参与，无线控制器可独立承担mac-trigger服务器功能；从而减轻Portal服务器压力，避免portal服务器成为性能瓶颈；</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具备全网802.1X漫游信息同步功能： AC、AP满足802.1X用户在大规模组网AC间快速漫游满足dot1x认证AC间快速漫游，终端漫游到新的AC后无需再次进行认证；</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具备Portal在线用户与DHCP租约联动功能：AC满足根据DHCP租约信息联动Portal用户自动下线，可以提高DHCP地址池的利用率，降低Portal重复认证开销；</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为了有效排查无线网络中存在的匿名攻击的隐患，具备仿冒终端检查的能力，并且识别仿冒终端所接入SSID、AP以及终端设备型号、终端操作系统等信息；</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满足标准IETF 5415 CAPWAP协议，AP和AC之间满足L2/L3层网络拓扑，为提高网络安全，AP与控制器之间能够满足DTLS对CAPWAP隧道进行加密处理；满足Private PSK方式的动态密码功能，可以为每终端分配独立秘钥；满足WPA3个人级方式下的终端接入；满足WPA3企业级模式下的终端接入功能；满足防PSK暴力破解，当用户密码错误超过预设的阀值之后，能够将该用户加入动态黑名单，一段时间内禁止其接入网络；</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基于802.11k/802.11v/802.11r协议的智能漫游；满足AC内漫游，满足跨AC间漫游，满足跨VLAN的三层漫游；</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支持虚拟化功能，两台控制器虚拟成一台，实现虚拟控制器对所有成员AC的统一管理，同时统一管理AP接入。成员AC间license共享。IRF分裂之后，共享的license仍然保持，保持时间到期后，当前在线的AP不会被踢下线；</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具备雷达检测SSID逃生功能：AC、AP满足SSID自主逃生，当AP射频检测到雷达信号时，会将本射频的SSID迁移到其他射频，保障关键业务正常通信；</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具备MAC认证逃生功能：AC、AP满足MAC认证逃生功能，为提高无线网络认证可靠性，无线控制器满足MAC认证逃生功能；</w:t>
      </w:r>
      <w:r>
        <w:rPr>
          <w:rFonts w:hint="eastAsia" w:ascii="宋体" w:hAnsi="宋体"/>
          <w:bCs/>
          <w:color w:val="000000" w:themeColor="text1"/>
          <w:sz w:val="24"/>
          <w:szCs w:val="24"/>
          <w:highlight w:val="none"/>
        </w:rPr>
      </w:r>
      <w:r>
        <w:rPr>
          <w:color w:val="000000" w:themeColor="text1"/>
          <w:highlight w:val="none"/>
        </w:rPr>
      </w:r>
    </w:p>
    <w:p>
      <w:pPr>
        <w:pStyle w:val="952"/>
        <w:numPr>
          <w:ilvl w:val="0"/>
          <w:numId w:val="29"/>
        </w:numPr>
        <w:ind w:firstLine="567"/>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具备Dot1x认证逃生功能：AC、AP满足Dot1x认证逃生功能，为提高无线网络认证可靠性，无线控制器满足Dot1x认证逃生功能。</w:t>
      </w:r>
      <w:r>
        <w:rPr>
          <w:rFonts w:hint="eastAsia" w:ascii="宋体" w:hAnsi="宋体"/>
          <w:bCs/>
          <w:color w:val="000000" w:themeColor="text1"/>
          <w:sz w:val="24"/>
          <w:szCs w:val="24"/>
          <w:highlight w:val="none"/>
        </w:rPr>
      </w:r>
      <w:r>
        <w:rPr>
          <w:color w:val="000000" w:themeColor="text1"/>
          <w:highlight w:val="none"/>
        </w:rPr>
      </w:r>
    </w:p>
    <w:p>
      <w:pPr>
        <w:pStyle w:val="952"/>
        <w:numPr>
          <w:ilvl w:val="1"/>
          <w:numId w:val="0"/>
        </w:numPr>
        <w:ind w:left="403" w:hanging="403"/>
        <w:keepLines/>
        <w:keepNext/>
        <w:spacing w:before="120" w:after="120" w:line="415" w:lineRule="auto"/>
        <w:rPr>
          <w:rFonts w:hint="eastAsia" w:ascii="宋体" w:hAnsi="宋体"/>
          <w:b/>
          <w:bCs/>
          <w:color w:val="000000" w:themeColor="text1"/>
          <w:sz w:val="24"/>
          <w:szCs w:val="24"/>
          <w:highlight w:val="none"/>
        </w:rPr>
        <w:outlineLvl w:val="2"/>
      </w:pPr>
      <w:r>
        <w:rPr>
          <w:rFonts w:hint="eastAsia" w:ascii="宋体" w:hAnsi="宋体"/>
          <w:b/>
          <w:bCs/>
          <w:color w:val="000000" w:themeColor="text1"/>
          <w:sz w:val="24"/>
          <w:szCs w:val="24"/>
          <w:highlight w:val="none"/>
        </w:rPr>
        <w:t xml:space="preserve">3.21 水情信息查询软件完善</w:t>
      </w:r>
      <w:r>
        <w:rPr>
          <w:rFonts w:hint="eastAsia" w:ascii="宋体" w:hAnsi="宋体"/>
          <w:b/>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1、水质分析统计预计算</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根据监测中心水文水生态数字孪生系统、数据底板建设等要求，扩充水质同环比汇总统计算法与算子服务，并集成于计算服务层，将水质分析统计预计算成果即时存入水质统计成果数仓。</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1）算法模型服务</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提供水质数据的预处理、分组、聚合、统计、评价计算，并可进行标准化规则化抽象，组成水质的算法和规则集合，由算法与服务管理统一维护，支持任务调度模块执行预计算服务。</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算法包含指标类别、超标值或项、权重分析、同环比分析、河流湖泊分析，营养状况、达标与水生态分析等不同时间粒度、不同空间计算规则。</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2）汇总统计</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汇总统计支持聚合、分组、合并后追加、过滤排序等多层次多角度计算。内容包含河流、太湖全湖与各湖区、省界的达标情况统计，全湖类别、营养状态统计值，同上月、去年当月、及年度的对比分析统计。</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3）数据存储</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统计成果按结构化库表进行存储，满足数字孪生系统业务场景的数据视图和专题报告数据引用的需求。</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4）组件集成</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支持SpringBoot自动装配，并能集成LiteFlow流程与规则引擎中，满足计算服务层统一调度要求。</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2、专题报告内容自动辅助生成</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按水文水生态数字孪生系统统一架构，通过报表引擎，由机器自动生成重要水体水资源监测报告。</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1）报告模板编制</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报告模板编制，提供Word在线或离线编缉模式；支持导入功能，可在报告模板管理模块中进行维护管理。</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重要水体水资源监测报告内容，包括太湖、淀山湖、元荡，22条主要入太湖河道，太湖流域及东南诸河省界水体的水质水量同步监测成果统计内容版块。</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2）报告一键生成</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编辑并定义好动态生成的内容标签后，直接通过报表引擎，由系统后台调用引擎渲染生成标准Word格式文档，文档中图形样式不发生变形；提供在线预览功能，用户下载后可直接输出打印。</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3）报告查询</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提供监测报告查询功能。按时间树型进行分级归类展示；按报告时间、编制人等条件进行检索查询、在线预览及授权下载。</w:t>
      </w:r>
      <w:r>
        <w:rPr>
          <w:rFonts w:hint="eastAsia" w:ascii="宋体" w:hAnsi="宋体" w:cs="宋体"/>
          <w:color w:val="000000" w:themeColor="text1"/>
          <w:sz w:val="24"/>
          <w:szCs w:val="24"/>
          <w:highlight w:val="none"/>
        </w:rPr>
      </w:r>
      <w:r>
        <w:rPr>
          <w:color w:val="000000" w:themeColor="text1"/>
          <w:highlight w:val="none"/>
        </w:rPr>
      </w:r>
    </w:p>
    <w:p>
      <w:pPr>
        <w:pStyle w:val="952"/>
        <w:ind w:firstLine="482"/>
        <w:spacing w:line="360" w:lineRule="auto"/>
        <w:rPr>
          <w:rFonts w:hint="eastAsia"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3、本项目水情信息查询软件系统要求与采购人现有水文水生态数字孪生系统业务软件无缝对接，涉及的对接费用包含在本项目中，采购人不再另外支付与本次采购的相关费用。</w:t>
      </w:r>
      <w:r>
        <w:rPr>
          <w:rFonts w:hint="eastAsia" w:ascii="宋体" w:hAnsi="宋体"/>
          <w:color w:val="000000" w:themeColor="text1"/>
          <w:sz w:val="24"/>
          <w:szCs w:val="24"/>
          <w:highlight w:val="none"/>
          <w:u w:val="single"/>
        </w:rPr>
      </w:r>
      <w:r>
        <w:rPr>
          <w:color w:val="000000" w:themeColor="text1"/>
          <w:highlight w:val="none"/>
        </w:rPr>
      </w:r>
    </w:p>
    <w:p>
      <w:pPr>
        <w:pStyle w:val="952"/>
        <w:spacing w:line="360" w:lineRule="auto"/>
        <w:tabs>
          <w:tab w:val="left" w:pos="210" w:leader="none"/>
          <w:tab w:val="left" w:pos="420" w:leader="none"/>
          <w:tab w:val="left" w:pos="1155" w:leader="none"/>
        </w:tabs>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color w:val="000000" w:themeColor="text1"/>
          <w:highlight w:val="none"/>
        </w:rPr>
      </w:r>
    </w:p>
    <w:p>
      <w:pPr>
        <w:pStyle w:val="952"/>
        <w:keepLines/>
        <w:keepNext/>
        <w:spacing w:before="260" w:after="260" w:line="360" w:lineRule="auto"/>
        <w:rPr>
          <w:rFonts w:ascii="宋体" w:hAnsi="宋体"/>
          <w:b/>
          <w:bCs/>
          <w:color w:val="000000" w:themeColor="text1"/>
          <w:sz w:val="24"/>
          <w:szCs w:val="24"/>
          <w:highlight w:val="none"/>
        </w:rPr>
        <w:outlineLvl w:val="1"/>
      </w:pPr>
      <w:r>
        <w:rPr>
          <w:rFonts w:hint="eastAsia" w:ascii="宋体" w:hAnsi="宋体"/>
          <w:b/>
          <w:bCs/>
          <w:color w:val="000000" w:themeColor="text1"/>
          <w:sz w:val="24"/>
          <w:szCs w:val="24"/>
          <w:highlight w:val="none"/>
        </w:rPr>
        <w:t xml:space="preserve">4、服务要求</w:t>
      </w:r>
      <w:r>
        <w:rPr>
          <w:rFonts w:ascii="宋体" w:hAnsi="宋体"/>
          <w:b/>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1、中标供应商应提供各类技术人员的职责，方便采购单位与相关人员的沟通。</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项目整体质保期：三年。维保费用应包含在投标总价中，中标人不得在维护期内另行收费。维护期内出现质量问题，中标人需承担相应维护费用及因故障导致的赔偿责任。（如财政部、工业和信息化部共同发布的便携式计算机、操作系统、工作站、数据库、台式计算机、通用服务器、一体式计算机七种IT软硬件中另有规定的按其规定执行。）</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3、完工期：合同签订生效后</w:t>
      </w:r>
      <w:r>
        <w:rPr>
          <w:rFonts w:hint="eastAsia" w:ascii="宋体" w:hAnsi="宋体"/>
          <w:bCs/>
          <w:color w:val="000000" w:themeColor="text1"/>
          <w:sz w:val="24"/>
          <w:szCs w:val="24"/>
          <w:highlight w:val="none"/>
        </w:rPr>
        <w:t xml:space="preserve">45个</w:t>
      </w:r>
      <w:r>
        <w:rPr>
          <w:rFonts w:hint="eastAsia" w:ascii="宋体" w:hAnsi="宋体"/>
          <w:bCs/>
          <w:color w:val="000000" w:themeColor="text1"/>
          <w:sz w:val="24"/>
          <w:szCs w:val="24"/>
          <w:highlight w:val="none"/>
        </w:rPr>
        <w:t xml:space="preserve">日历天内完成。</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4、中标供应商应该在项目的实施过程中提供软硬件技术支持的服务，按照采购人的要求完成本项目采购清单中所有软硬件设备的安装部署、设备联调等集成工作，以满足采购人的使用需求。</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为了保证本次项目顺利成功，要求中标供应商在项目验收后提供7*24小时售后技术服务。免费质保期内出现问题，0.5小时内做出明确响应和安排：即时通过电话、Email或传真等远程方式查找紧急事件的事发原因并通过远程途径解决相应问题。1小时内到达现场，8小时内解决问题，提供不间断的服务直到系统正常运行。免费质保期内，中标供应商提供免费维护。</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6、本项目设备部署</w:t>
      </w:r>
      <w:r>
        <w:rPr>
          <w:rFonts w:hint="eastAsia" w:ascii="宋体" w:hAnsi="宋体"/>
          <w:bCs/>
          <w:color w:val="000000" w:themeColor="text1"/>
          <w:sz w:val="24"/>
          <w:szCs w:val="24"/>
          <w:highlight w:val="none"/>
          <w:lang w:val="en-US" w:eastAsia="zh-CN"/>
        </w:rPr>
        <w:t xml:space="preserve">和售后</w:t>
      </w:r>
      <w:r>
        <w:rPr>
          <w:rFonts w:hint="eastAsia" w:ascii="宋体" w:hAnsi="宋体"/>
          <w:bCs/>
          <w:color w:val="000000" w:themeColor="text1"/>
          <w:sz w:val="24"/>
          <w:szCs w:val="24"/>
          <w:highlight w:val="none"/>
        </w:rPr>
        <w:t xml:space="preserve">过程中，为保障业务系统的稳定性和实时性要求，尽可能最小减轻项目实施对业务系统的影响，</w:t>
      </w:r>
      <w:r>
        <w:rPr>
          <w:rFonts w:hint="eastAsia" w:ascii="宋体" w:hAnsi="宋体"/>
          <w:bCs/>
          <w:color w:val="000000" w:themeColor="text1"/>
          <w:sz w:val="24"/>
          <w:szCs w:val="24"/>
          <w:highlight w:val="none"/>
        </w:rPr>
        <w:t xml:space="preserve">要求在规定的完工周期</w:t>
      </w:r>
      <w:r>
        <w:rPr>
          <w:rFonts w:hint="eastAsia" w:ascii="宋体" w:hAnsi="宋体"/>
          <w:bCs/>
          <w:color w:val="000000" w:themeColor="text1"/>
          <w:sz w:val="24"/>
          <w:szCs w:val="24"/>
          <w:highlight w:val="none"/>
          <w:lang w:val="en-US" w:eastAsia="zh-CN"/>
        </w:rPr>
        <w:t xml:space="preserve">和项目整体质保期</w:t>
      </w:r>
      <w:r>
        <w:rPr>
          <w:rFonts w:hint="eastAsia" w:ascii="宋体" w:hAnsi="宋体"/>
          <w:bCs/>
          <w:color w:val="000000" w:themeColor="text1"/>
          <w:sz w:val="24"/>
          <w:szCs w:val="24"/>
          <w:highlight w:val="none"/>
        </w:rPr>
        <w:t xml:space="preserve">内</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按照采购人要求</w:t>
      </w:r>
      <w:r>
        <w:rPr>
          <w:rFonts w:hint="eastAsia" w:ascii="宋体" w:hAnsi="宋体"/>
          <w:bCs/>
          <w:color w:val="000000" w:themeColor="text1"/>
          <w:sz w:val="24"/>
          <w:szCs w:val="24"/>
          <w:highlight w:val="none"/>
        </w:rPr>
        <w:t xml:space="preserve">提供技术工程师全天候驻场服务</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ascii="宋体" w:hAnsi="宋体"/>
          <w:b/>
          <w:bCs/>
          <w:color w:val="000000" w:themeColor="text1"/>
          <w:sz w:val="24"/>
          <w:szCs w:val="24"/>
          <w:highlight w:val="none"/>
        </w:rPr>
      </w:pPr>
      <w:r>
        <w:rPr>
          <w:rFonts w:hint="eastAsia" w:ascii="宋体" w:hAnsi="宋体"/>
          <w:bCs/>
          <w:color w:val="000000" w:themeColor="text1"/>
          <w:sz w:val="24"/>
          <w:szCs w:val="24"/>
          <w:highlight w:val="none"/>
        </w:rPr>
        <w:t xml:space="preserve">7、免费质保期内中标供应商提供采购方认可的工程师1人，每月至少巡检一次。采购方对中标供应商提供的人员不满意时，采购方及时声明，中标供应商须及时更换维保人员，直至采购方满意为止。</w:t>
      </w:r>
      <w:r>
        <w:rPr>
          <w:rFonts w:ascii="宋体" w:hAnsi="宋体"/>
          <w:b/>
          <w:bCs/>
          <w:color w:val="000000" w:themeColor="text1"/>
          <w:sz w:val="24"/>
          <w:szCs w:val="24"/>
          <w:highlight w:val="none"/>
        </w:rPr>
      </w:r>
      <w:r>
        <w:rPr>
          <w:color w:val="000000" w:themeColor="text1"/>
          <w:highlight w:val="none"/>
        </w:rPr>
      </w:r>
    </w:p>
    <w:p>
      <w:pPr>
        <w:pStyle w:val="952"/>
        <w:keepLines/>
        <w:keepNext/>
        <w:spacing w:before="260" w:after="260" w:line="360" w:lineRule="auto"/>
        <w:rPr>
          <w:rFonts w:hint="eastAsia" w:ascii="宋体" w:hAnsi="宋体"/>
          <w:b/>
          <w:bCs/>
          <w:color w:val="000000" w:themeColor="text1"/>
          <w:sz w:val="24"/>
          <w:szCs w:val="24"/>
          <w:highlight w:val="none"/>
        </w:rPr>
        <w:outlineLvl w:val="1"/>
      </w:pPr>
      <w:r>
        <w:rPr>
          <w:rFonts w:hint="eastAsia" w:ascii="宋体" w:hAnsi="宋体"/>
          <w:b/>
          <w:bCs/>
          <w:color w:val="000000" w:themeColor="text1"/>
          <w:sz w:val="24"/>
          <w:szCs w:val="24"/>
          <w:highlight w:val="none"/>
        </w:rPr>
        <w:t xml:space="preserve">5、验收方案</w:t>
      </w:r>
      <w:r>
        <w:rPr>
          <w:rFonts w:hint="eastAsia" w:ascii="宋体" w:hAnsi="宋体"/>
          <w:b/>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 甲方依法组织履约验收工作。</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2．甲方在组织履约验收前，将根据项目特点制定验收方案，明确履约验收的时间、方式、程序等内容。乙方应根据验收方案内容做好相应配合工作。</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3．如有必要，甲方邀请专家参与验收，相关意见将作为验收书的参考资料。</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bCs/>
          <w:color w:val="000000" w:themeColor="text1"/>
          <w:sz w:val="24"/>
          <w:szCs w:val="24"/>
          <w:highlight w:val="none"/>
        </w:rPr>
      </w:r>
      <w:r>
        <w:rPr>
          <w:color w:val="000000" w:themeColor="text1"/>
          <w:highlight w:val="none"/>
        </w:rPr>
      </w:r>
    </w:p>
    <w:p>
      <w:pPr>
        <w:pStyle w:val="952"/>
        <w:spacing w:line="360" w:lineRule="auto"/>
        <w:tabs>
          <w:tab w:val="left" w:pos="210" w:leader="none"/>
          <w:tab w:val="left" w:pos="420" w:leader="none"/>
          <w:tab w:val="left" w:pos="1155" w:leader="none"/>
        </w:tabs>
        <w:rPr>
          <w:rFonts w:ascii="宋体" w:hAnsi="宋体"/>
          <w:b/>
          <w:bCs/>
          <w:color w:val="000000" w:themeColor="text1"/>
          <w:sz w:val="24"/>
          <w:szCs w:val="24"/>
          <w:highlight w:val="none"/>
        </w:rPr>
        <w:sectPr>
          <w:footerReference w:type="default" r:id="rId10"/>
          <w:footnotePr/>
          <w:endnotePr/>
          <w:type w:val="nextPage"/>
          <w:pgSz w:w="11906" w:h="16838" w:orient="portrait"/>
          <w:pgMar w:top="1134" w:right="850" w:bottom="1134" w:left="1701" w:header="709" w:footer="709" w:gutter="0"/>
          <w:cols w:num="1" w:sep="0" w:space="1701" w:equalWidth="1"/>
          <w:docGrid w:linePitch="360"/>
        </w:sectPr>
      </w:pPr>
      <w:r>
        <w:rPr>
          <w:rFonts w:hint="eastAsia" w:ascii="宋体" w:hAnsi="宋体"/>
          <w:bCs/>
          <w:color w:val="000000" w:themeColor="text1"/>
          <w:sz w:val="24"/>
          <w:szCs w:val="24"/>
          <w:highlight w:val="none"/>
        </w:rPr>
        <w:t xml:space="preserve">5．验收合格的项目,甲方根据采购合同的约定及时间向乙方支付合同款项、退还履约保证金。验收不合格的项目，甲方依法及时处理。采购合同的履行、违约责任和解决争议的方式等适用《中华人民共和国民法典》。</w:t>
      </w:r>
      <w:r>
        <w:rPr>
          <w:rFonts w:ascii="宋体" w:hAnsi="宋体"/>
          <w:b/>
          <w:bCs/>
          <w:color w:val="000000" w:themeColor="text1"/>
          <w:sz w:val="24"/>
          <w:szCs w:val="24"/>
          <w:highlight w:val="none"/>
        </w:rPr>
      </w:r>
      <w:r>
        <w:rPr>
          <w:color w:val="000000" w:themeColor="text1"/>
          <w:highlight w:val="none"/>
        </w:rPr>
      </w:r>
    </w:p>
    <w:p>
      <w:pPr>
        <w:pStyle w:val="952"/>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952"/>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第二部分  有关说明</w:t>
      </w:r>
      <w:r>
        <w:rPr>
          <w:rFonts w:ascii="宋体" w:hAnsi="宋体"/>
          <w:b/>
          <w:color w:val="000000" w:themeColor="text1"/>
          <w:sz w:val="30"/>
          <w:szCs w:val="30"/>
          <w:highlight w:val="none"/>
        </w:rPr>
      </w:r>
      <w:r>
        <w:rPr>
          <w:color w:val="000000" w:themeColor="text1"/>
          <w:highlight w:val="none"/>
        </w:rPr>
      </w:r>
    </w:p>
    <w:p>
      <w:pPr>
        <w:pStyle w:val="952"/>
        <w:numPr>
          <w:ilvl w:val="1"/>
          <w:numId w:val="30"/>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投标总报价包括满足本项目要求的所有产品及其配件、包装、运杂、安装调试及售后服务等从项目中标起到项目正式交付以及质保期内所发生的一切费用。</w:t>
      </w:r>
      <w:r>
        <w:rPr>
          <w:rFonts w:ascii="宋体"/>
          <w:bCs/>
          <w:color w:val="000000" w:themeColor="text1"/>
          <w:sz w:val="24"/>
          <w:szCs w:val="24"/>
          <w:highlight w:val="none"/>
        </w:rPr>
      </w:r>
      <w:r>
        <w:rPr>
          <w:color w:val="000000" w:themeColor="text1"/>
          <w:highlight w:val="none"/>
        </w:rPr>
      </w:r>
    </w:p>
    <w:p>
      <w:pPr>
        <w:pStyle w:val="952"/>
        <w:numPr>
          <w:ilvl w:val="1"/>
          <w:numId w:val="30"/>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通过中国海关报关验放进入中国境内且产自中国境外的产品不在本项目的报价范围。</w:t>
      </w:r>
      <w:r>
        <w:rPr>
          <w:rFonts w:hint="eastAsia" w:ascii="宋体"/>
          <w:bCs/>
          <w:color w:val="000000" w:themeColor="text1"/>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themeColor="text1"/>
          <w:sz w:val="24"/>
          <w:szCs w:val="24"/>
          <w:highlight w:val="none"/>
        </w:rPr>
      </w:r>
      <w:r>
        <w:rPr>
          <w:color w:val="000000" w:themeColor="text1"/>
          <w:highlight w:val="none"/>
        </w:rPr>
      </w:r>
    </w:p>
    <w:p>
      <w:pPr>
        <w:pStyle w:val="952"/>
        <w:numPr>
          <w:ilvl w:val="1"/>
          <w:numId w:val="30"/>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投标人必须在满足招标文件要求的基础上进行报价，如有技术偏离请于投标偏离表中说明。</w:t>
      </w:r>
      <w:r>
        <w:rPr>
          <w:rFonts w:ascii="宋体"/>
          <w:bCs/>
          <w:color w:val="000000" w:themeColor="text1"/>
          <w:sz w:val="24"/>
          <w:szCs w:val="24"/>
          <w:highlight w:val="none"/>
        </w:rPr>
      </w:r>
      <w:r>
        <w:rPr>
          <w:color w:val="000000" w:themeColor="text1"/>
          <w:highlight w:val="none"/>
        </w:rPr>
      </w:r>
    </w:p>
    <w:p>
      <w:pPr>
        <w:pStyle w:val="952"/>
        <w:numPr>
          <w:ilvl w:val="1"/>
          <w:numId w:val="30"/>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服务期</w:t>
      </w:r>
      <w:r>
        <w:rPr>
          <w:rFonts w:hint="eastAsia" w:ascii="宋体" w:hAnsi="宋体"/>
          <w:bCs/>
          <w:color w:val="000000" w:themeColor="text1"/>
          <w:sz w:val="24"/>
          <w:szCs w:val="24"/>
          <w:highlight w:val="none"/>
        </w:rPr>
        <w:t xml:space="preserve">/完工期：</w:t>
      </w:r>
      <w:r>
        <w:rPr>
          <w:rFonts w:hint="eastAsia" w:ascii="宋体" w:hAnsi="宋体"/>
          <w:bCs/>
          <w:color w:val="000000" w:themeColor="text1"/>
          <w:sz w:val="24"/>
          <w:szCs w:val="24"/>
          <w:highlight w:val="none"/>
        </w:rPr>
        <w:t xml:space="preserve">合同签订生效后45个日历天内完成。</w:t>
      </w:r>
      <w:r>
        <w:rPr>
          <w:rFonts w:ascii="宋体"/>
          <w:bCs/>
          <w:color w:val="000000" w:themeColor="text1"/>
          <w:sz w:val="24"/>
          <w:szCs w:val="24"/>
          <w:highlight w:val="none"/>
        </w:rPr>
      </w:r>
      <w:r>
        <w:rPr>
          <w:color w:val="000000" w:themeColor="text1"/>
          <w:highlight w:val="none"/>
        </w:rPr>
      </w:r>
    </w:p>
    <w:p>
      <w:pPr>
        <w:pStyle w:val="952"/>
        <w:numPr>
          <w:ilvl w:val="1"/>
          <w:numId w:val="30"/>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项目整体质保期：</w:t>
      </w:r>
      <w:r>
        <w:rPr>
          <w:rFonts w:hint="eastAsia" w:ascii="宋体"/>
          <w:bCs/>
          <w:color w:val="000000" w:themeColor="text1"/>
          <w:sz w:val="24"/>
          <w:szCs w:val="24"/>
          <w:highlight w:val="none"/>
        </w:rPr>
        <w:t xml:space="preserve">自项目验收合格之日起三年。</w:t>
      </w:r>
      <w:r>
        <w:rPr>
          <w:rFonts w:ascii="宋体"/>
          <w:bCs/>
          <w:color w:val="000000" w:themeColor="text1"/>
          <w:sz w:val="24"/>
          <w:szCs w:val="24"/>
          <w:highlight w:val="none"/>
        </w:rPr>
      </w:r>
      <w:r>
        <w:rPr>
          <w:color w:val="000000" w:themeColor="text1"/>
          <w:highlight w:val="none"/>
        </w:rPr>
      </w:r>
    </w:p>
    <w:p>
      <w:pPr>
        <w:pStyle w:val="952"/>
        <w:numPr>
          <w:ilvl w:val="1"/>
          <w:numId w:val="30"/>
        </w:numPr>
        <w:ind w:left="0"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付款方式</w:t>
      </w:r>
      <w:r>
        <w:rPr>
          <w:rFonts w:hint="eastAsia" w:ascii="宋体" w:hAnsi="宋体"/>
          <w:bCs/>
          <w:color w:val="000000" w:themeColor="text1"/>
          <w:sz w:val="24"/>
          <w:szCs w:val="24"/>
          <w:highlight w:val="none"/>
        </w:rPr>
        <w:t xml:space="preserve">：合同签订后支付首付款30%，设备到货且验收合格后支付50%，完成集成且通过项目验收，支付剩余20%。</w:t>
      </w:r>
      <w:r>
        <w:rPr>
          <w:rFonts w:hint="eastAsia" w:ascii="宋体" w:hAnsi="宋体"/>
          <w:bCs/>
          <w:color w:val="000000" w:themeColor="text1"/>
          <w:sz w:val="24"/>
          <w:szCs w:val="24"/>
          <w:highlight w:val="none"/>
        </w:rPr>
      </w:r>
      <w:r>
        <w:rPr>
          <w:color w:val="000000" w:themeColor="text1"/>
          <w:highlight w:val="none"/>
        </w:rPr>
      </w:r>
    </w:p>
    <w:p>
      <w:pPr>
        <w:pStyle w:val="952"/>
        <w:numPr>
          <w:ilvl w:val="1"/>
          <w:numId w:val="30"/>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中标（成交）供应商以履约保函（保险）形式按签约合同价的</w:t>
      </w:r>
      <w:r>
        <w:rPr>
          <w:rFonts w:hint="eastAsia" w:ascii="宋体"/>
          <w:bCs/>
          <w:color w:val="000000" w:themeColor="text1"/>
          <w:sz w:val="24"/>
          <w:szCs w:val="24"/>
          <w:highlight w:val="none"/>
        </w:rPr>
        <w:t xml:space="preserve">10%</w:t>
      </w:r>
      <w:r>
        <w:rPr>
          <w:rFonts w:hint="eastAsia" w:ascii="宋体"/>
          <w:bCs/>
          <w:color w:val="000000" w:themeColor="text1"/>
          <w:sz w:val="24"/>
          <w:szCs w:val="24"/>
          <w:highlight w:val="none"/>
        </w:rPr>
        <w:t xml:space="preserve">提供履约担保。中标（成交）供应商可采用电子履约保函（保险）形式,具体操作可登录江苏政府采购网的保险保函模块进行办理。</w:t>
      </w:r>
      <w:r>
        <w:rPr>
          <w:rFonts w:ascii="宋体"/>
          <w:bCs/>
          <w:color w:val="000000" w:themeColor="text1"/>
          <w:sz w:val="24"/>
          <w:szCs w:val="24"/>
          <w:highlight w:val="none"/>
        </w:rPr>
      </w:r>
      <w:r>
        <w:rPr>
          <w:color w:val="000000" w:themeColor="text1"/>
          <w:highlight w:val="none"/>
        </w:rPr>
      </w:r>
    </w:p>
    <w:p>
      <w:pPr>
        <w:pStyle w:val="952"/>
        <w:numPr>
          <w:ilvl w:val="1"/>
          <w:numId w:val="30"/>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本项目合同履行地点：采购人指定地点，具体地点以合同书约定为准。中标方必须按采购人要求将本项目中货物送到指定地点</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包括可能的分布范围</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，并分地实施安装调试。</w:t>
      </w:r>
      <w:r>
        <w:rPr>
          <w:rFonts w:ascii="宋体"/>
          <w:bCs/>
          <w:color w:val="000000" w:themeColor="text1"/>
          <w:sz w:val="24"/>
          <w:szCs w:val="24"/>
          <w:highlight w:val="none"/>
        </w:rPr>
      </w:r>
      <w:r>
        <w:rPr>
          <w:color w:val="000000" w:themeColor="text1"/>
          <w:highlight w:val="none"/>
        </w:rPr>
      </w:r>
    </w:p>
    <w:p>
      <w:pPr>
        <w:pStyle w:val="952"/>
        <w:numPr>
          <w:ilvl w:val="1"/>
          <w:numId w:val="30"/>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000000" w:themeColor="text1"/>
          <w:sz w:val="24"/>
          <w:szCs w:val="24"/>
          <w:highlight w:val="none"/>
        </w:rPr>
        <w:t xml:space="preserve">担。政府向社会公众提供的公共服务项目，验收时应当邀请服务对象参与并出具意见，验收结果应当向社会公告。</w:t>
      </w:r>
      <w:r>
        <w:rPr>
          <w:rFonts w:hint="eastAsia"/>
          <w:color w:val="000000" w:themeColor="text1"/>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themeColor="text1"/>
          <w:sz w:val="24"/>
          <w:szCs w:val="24"/>
          <w:highlight w:val="none"/>
        </w:rPr>
      </w:r>
      <w:r>
        <w:rPr>
          <w:color w:val="000000" w:themeColor="text1"/>
          <w:highlight w:val="none"/>
        </w:rPr>
      </w:r>
    </w:p>
    <w:p>
      <w:pPr>
        <w:pStyle w:val="952"/>
        <w:numPr>
          <w:ilvl w:val="1"/>
          <w:numId w:val="3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themeColor="text1"/>
          <w:sz w:val="24"/>
          <w:szCs w:val="24"/>
          <w:highlight w:val="none"/>
        </w:rPr>
      </w:r>
      <w:r>
        <w:rPr>
          <w:color w:val="000000" w:themeColor="text1"/>
          <w:highlight w:val="none"/>
        </w:rPr>
      </w:r>
    </w:p>
    <w:p>
      <w:pPr>
        <w:pStyle w:val="952"/>
        <w:numPr>
          <w:ilvl w:val="1"/>
          <w:numId w:val="3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themeColor="text1"/>
          <w:sz w:val="24"/>
          <w:szCs w:val="24"/>
          <w:highlight w:val="none"/>
        </w:rPr>
      </w:r>
      <w:r>
        <w:rPr>
          <w:color w:val="000000" w:themeColor="text1"/>
          <w:highlight w:val="none"/>
        </w:rPr>
      </w:r>
    </w:p>
    <w:p>
      <w:pPr>
        <w:pStyle w:val="952"/>
        <w:numPr>
          <w:ilvl w:val="1"/>
          <w:numId w:val="30"/>
        </w:numPr>
        <w:ind w:left="0"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themeColor="text1"/>
          <w:sz w:val="24"/>
          <w:highlight w:val="none"/>
        </w:rPr>
      </w:r>
      <w:r>
        <w:rPr>
          <w:color w:val="000000" w:themeColor="text1"/>
          <w:highlight w:val="none"/>
        </w:rPr>
      </w:r>
    </w:p>
    <w:p>
      <w:pPr>
        <w:pStyle w:val="952"/>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952"/>
        <w:ind w:left="525"/>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952"/>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hint="eastAsia"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rPr>
          <w:rFonts w:hint="eastAsia" w:ascii="宋体" w:hAnsi="宋体"/>
          <w:b/>
          <w:bCs/>
          <w:color w:val="000000" w:themeColor="text1"/>
          <w:sz w:val="30"/>
          <w:szCs w:val="30"/>
          <w:highlight w:val="none"/>
        </w:rPr>
      </w:r>
      <w:r>
        <w:rPr>
          <w:color w:val="000000" w:themeColor="text1"/>
          <w:highlight w:val="none"/>
        </w:rPr>
      </w:r>
    </w:p>
    <w:p>
      <w:pPr>
        <w:pStyle w:val="952"/>
        <w:numPr>
          <w:ilvl w:val="1"/>
          <w:numId w:val="31"/>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themeColor="text1"/>
          <w:sz w:val="24"/>
          <w:szCs w:val="24"/>
          <w:highlight w:val="none"/>
        </w:rPr>
      </w:r>
      <w:r>
        <w:rPr>
          <w:color w:val="000000" w:themeColor="text1"/>
          <w:highlight w:val="none"/>
        </w:rPr>
      </w:r>
    </w:p>
    <w:p>
      <w:pPr>
        <w:pStyle w:val="952"/>
        <w:numPr>
          <w:ilvl w:val="1"/>
          <w:numId w:val="31"/>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themeColor="text1"/>
          <w:sz w:val="24"/>
          <w:szCs w:val="24"/>
          <w:highlight w:val="none"/>
        </w:rPr>
      </w:r>
      <w:r>
        <w:rPr>
          <w:color w:val="000000" w:themeColor="text1"/>
          <w:highlight w:val="none"/>
        </w:rPr>
      </w:r>
    </w:p>
    <w:p>
      <w:pPr>
        <w:pStyle w:val="95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themeColor="text1"/>
          <w:sz w:val="24"/>
          <w:szCs w:val="24"/>
          <w:highlight w:val="none"/>
        </w:rPr>
      </w:r>
      <w:r>
        <w:rPr>
          <w:color w:val="000000" w:themeColor="text1"/>
          <w:highlight w:val="none"/>
        </w:rPr>
      </w:r>
    </w:p>
    <w:p>
      <w:pPr>
        <w:pStyle w:val="95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themeColor="text1"/>
          <w:sz w:val="24"/>
          <w:szCs w:val="24"/>
          <w:highlight w:val="none"/>
        </w:rPr>
      </w:r>
      <w:r>
        <w:rPr>
          <w:color w:val="000000" w:themeColor="text1"/>
          <w:highlight w:val="none"/>
        </w:rPr>
      </w:r>
    </w:p>
    <w:p>
      <w:pPr>
        <w:pStyle w:val="952"/>
        <w:numPr>
          <w:ilvl w:val="1"/>
          <w:numId w:val="31"/>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themeColor="text1"/>
          <w:sz w:val="24"/>
          <w:szCs w:val="24"/>
          <w:highlight w:val="none"/>
        </w:rPr>
      </w:r>
      <w:r>
        <w:rPr>
          <w:color w:val="000000" w:themeColor="text1"/>
          <w:highlight w:val="none"/>
        </w:rPr>
      </w:r>
    </w:p>
    <w:p>
      <w:pPr>
        <w:pStyle w:val="952"/>
        <w:numPr>
          <w:ilvl w:val="1"/>
          <w:numId w:val="31"/>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themeColor="text1"/>
          <w:sz w:val="24"/>
          <w:szCs w:val="24"/>
          <w:highlight w:val="none"/>
        </w:rPr>
      </w:r>
      <w:r>
        <w:rPr>
          <w:color w:val="000000" w:themeColor="text1"/>
          <w:highlight w:val="none"/>
        </w:rPr>
      </w:r>
    </w:p>
    <w:p>
      <w:pPr>
        <w:pStyle w:val="952"/>
        <w:numPr>
          <w:ilvl w:val="1"/>
          <w:numId w:val="31"/>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themeColor="text1"/>
          <w:sz w:val="24"/>
          <w:szCs w:val="24"/>
          <w:highlight w:val="none"/>
        </w:rPr>
      </w:r>
      <w:r>
        <w:rPr>
          <w:color w:val="000000" w:themeColor="text1"/>
          <w:highlight w:val="none"/>
        </w:rPr>
      </w:r>
    </w:p>
    <w:p>
      <w:pPr>
        <w:pStyle w:val="952"/>
        <w:numPr>
          <w:ilvl w:val="1"/>
          <w:numId w:val="31"/>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000000" w:themeColor="text1"/>
          <w:sz w:val="24"/>
          <w:szCs w:val="24"/>
          <w:highlight w:val="none"/>
        </w:rPr>
      </w:r>
      <w:r>
        <w:rPr>
          <w:color w:val="000000" w:themeColor="text1"/>
          <w:highlight w:val="none"/>
        </w:rPr>
      </w:r>
    </w:p>
    <w:p>
      <w:pPr>
        <w:pStyle w:val="952"/>
        <w:numPr>
          <w:ilvl w:val="1"/>
          <w:numId w:val="31"/>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themeColor="text1"/>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themeColor="text1"/>
          <w:sz w:val="24"/>
          <w:szCs w:val="24"/>
          <w:highlight w:val="none"/>
        </w:rPr>
      </w:r>
      <w:r>
        <w:rPr>
          <w:color w:val="000000" w:themeColor="text1"/>
          <w:highlight w:val="none"/>
        </w:rPr>
      </w:r>
    </w:p>
    <w:p>
      <w:pPr>
        <w:pStyle w:val="952"/>
        <w:numPr>
          <w:ilvl w:val="1"/>
          <w:numId w:val="31"/>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themeColor="text1"/>
          <w:sz w:val="24"/>
          <w:szCs w:val="24"/>
          <w:highlight w:val="none"/>
        </w:rPr>
      </w:r>
      <w:r>
        <w:rPr>
          <w:color w:val="000000" w:themeColor="text1"/>
          <w:highlight w:val="none"/>
        </w:rPr>
      </w:r>
    </w:p>
    <w:p>
      <w:pPr>
        <w:pStyle w:val="95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themeColor="text1"/>
          <w:sz w:val="24"/>
          <w:szCs w:val="24"/>
          <w:highlight w:val="none"/>
          <w:lang w:val="en"/>
        </w:rPr>
      </w:r>
      <w:r>
        <w:rPr>
          <w:color w:val="000000" w:themeColor="text1"/>
          <w:highlight w:val="none"/>
        </w:rPr>
      </w:r>
    </w:p>
    <w:p>
      <w:pPr>
        <w:pStyle w:val="95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rPr>
          <w:rFonts w:hint="eastAsia" w:ascii="宋体"/>
          <w:bCs/>
          <w:color w:val="000000" w:themeColor="text1"/>
          <w:sz w:val="24"/>
          <w:szCs w:val="24"/>
          <w:highlight w:val="none"/>
          <w:lang w:val="en"/>
        </w:rPr>
      </w:r>
      <w:r>
        <w:rPr>
          <w:color w:val="000000" w:themeColor="text1"/>
          <w:highlight w:val="none"/>
        </w:rPr>
      </w:r>
    </w:p>
    <w:p>
      <w:pPr>
        <w:pStyle w:val="952"/>
        <w:numPr>
          <w:ilvl w:val="1"/>
          <w:numId w:val="31"/>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themeColor="text1"/>
          <w:sz w:val="24"/>
          <w:szCs w:val="24"/>
          <w:highlight w:val="none"/>
          <w:lang w:val="en"/>
        </w:rPr>
      </w:r>
      <w:r>
        <w:rPr>
          <w:color w:val="000000" w:themeColor="text1"/>
          <w:highlight w:val="none"/>
        </w:rPr>
      </w:r>
    </w:p>
    <w:p>
      <w:pPr>
        <w:pStyle w:val="952"/>
        <w:numPr>
          <w:ilvl w:val="1"/>
          <w:numId w:val="31"/>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193" w:name="OLE_LINK1"/>
      <w:r>
        <w:rPr>
          <w:color w:val="000000" w:themeColor="text1"/>
          <w:highlight w:val="none"/>
        </w:rPr>
      </w:r>
      <w:bookmarkStart w:id="194" w:name="OLE_LINK2"/>
      <w:r>
        <w:rPr>
          <w:rFonts w:hint="eastAsia" w:ascii="宋体"/>
          <w:bCs/>
          <w:color w:val="000000" w:themeColor="text1"/>
          <w:sz w:val="24"/>
          <w:szCs w:val="24"/>
          <w:highlight w:val="none"/>
        </w:rPr>
        <w:t xml:space="preserve">《保障中小企业款项支付条例》（中华人民共和国国务院令第802号）</w:t>
      </w:r>
      <w:bookmarkEnd w:id="193"/>
      <w:r>
        <w:rPr>
          <w:color w:val="000000" w:themeColor="text1"/>
          <w:highlight w:val="none"/>
        </w:rPr>
      </w:r>
      <w:bookmarkEnd w:id="194"/>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themeColor="text1"/>
          <w:sz w:val="24"/>
          <w:szCs w:val="24"/>
          <w:highlight w:val="none"/>
        </w:rPr>
      </w:r>
      <w:r>
        <w:rPr>
          <w:color w:val="000000" w:themeColor="text1"/>
          <w:highlight w:val="none"/>
        </w:rPr>
      </w:r>
    </w:p>
    <w:p>
      <w:pPr>
        <w:pStyle w:val="95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themeColor="text1"/>
          <w:sz w:val="24"/>
          <w:szCs w:val="24"/>
          <w:highlight w:val="none"/>
          <w:lang w:val="en"/>
        </w:rPr>
      </w:r>
      <w:r>
        <w:rPr>
          <w:color w:val="000000" w:themeColor="text1"/>
          <w:highlight w:val="none"/>
        </w:rPr>
      </w:r>
    </w:p>
    <w:p>
      <w:pPr>
        <w:pStyle w:val="95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rPr>
          <w:rFonts w:hint="eastAsia" w:ascii="宋体"/>
          <w:bCs/>
          <w:color w:val="000000" w:themeColor="text1"/>
          <w:sz w:val="24"/>
          <w:szCs w:val="24"/>
          <w:highlight w:val="none"/>
          <w:lang w:val="en"/>
        </w:rPr>
      </w:r>
      <w:r>
        <w:rPr>
          <w:color w:val="000000" w:themeColor="text1"/>
          <w:highlight w:val="none"/>
        </w:rPr>
      </w:r>
    </w:p>
    <w:p>
      <w:pPr>
        <w:pStyle w:val="95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themeColor="text1"/>
          <w:sz w:val="24"/>
          <w:szCs w:val="24"/>
          <w:highlight w:val="none"/>
          <w:lang w:val="en"/>
        </w:rPr>
      </w:r>
      <w:r>
        <w:rPr>
          <w:color w:val="000000" w:themeColor="text1"/>
          <w:highlight w:val="none"/>
        </w:rPr>
      </w:r>
    </w:p>
    <w:p>
      <w:pPr>
        <w:pStyle w:val="95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r>
      <w:r>
        <w:rPr>
          <w:color w:val="000000" w:themeColor="text1"/>
          <w:highlight w:val="none"/>
        </w:rPr>
      </w:r>
    </w:p>
    <w:p>
      <w:pPr>
        <w:pStyle w:val="952"/>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195" w:name="_Toc120614281"/>
      <w:r>
        <w:rPr>
          <w:rFonts w:hint="eastAsia" w:ascii="黑体" w:hAnsi="黑体" w:eastAsia="黑体"/>
          <w:color w:val="000000" w:themeColor="text1"/>
          <w:sz w:val="36"/>
          <w:szCs w:val="36"/>
          <w:highlight w:val="none"/>
        </w:rPr>
        <w:t xml:space="preserve">第五章  评标方法与评标标准</w:t>
      </w:r>
      <w:r>
        <w:rPr>
          <w:rFonts w:hint="eastAsia" w:ascii="黑体" w:hAnsi="黑体" w:eastAsia="黑体"/>
          <w:color w:val="000000" w:themeColor="text1"/>
          <w:sz w:val="36"/>
          <w:szCs w:val="36"/>
          <w:highlight w:val="none"/>
        </w:rPr>
      </w:r>
      <w:r>
        <w:rPr>
          <w:color w:val="000000" w:themeColor="text1"/>
          <w:highlight w:val="none"/>
        </w:rPr>
      </w:r>
    </w:p>
    <w:p>
      <w:pPr>
        <w:pStyle w:val="1039"/>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rPr>
          <w:rFonts w:hint="eastAsia" w:cs="Arial"/>
          <w:b/>
          <w:color w:val="000000" w:themeColor="text1"/>
          <w:sz w:val="30"/>
          <w:szCs w:val="30"/>
          <w:highlight w:val="none"/>
        </w:rPr>
      </w:r>
      <w:r>
        <w:rPr>
          <w:color w:val="000000" w:themeColor="text1"/>
          <w:highlight w:val="none"/>
        </w:rPr>
      </w:r>
    </w:p>
    <w:p>
      <w:pPr>
        <w:pStyle w:val="1039"/>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rPr>
          <w:rFonts w:hint="eastAsia" w:cs="Arial"/>
          <w:color w:val="000000" w:themeColor="text1"/>
          <w:highlight w:val="none"/>
        </w:rPr>
      </w:r>
      <w:r>
        <w:rPr>
          <w:color w:val="000000" w:themeColor="text1"/>
          <w:highlight w:val="none"/>
        </w:rPr>
      </w:r>
    </w:p>
    <w:p>
      <w:pPr>
        <w:pStyle w:val="1039"/>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rPr>
          <w:rFonts w:hint="eastAsia" w:cs="Arial"/>
          <w:color w:val="000000" w:themeColor="text1"/>
          <w:highlight w:val="none"/>
        </w:rPr>
      </w:r>
      <w:r>
        <w:rPr>
          <w:color w:val="000000" w:themeColor="text1"/>
          <w:highlight w:val="none"/>
        </w:rPr>
      </w:r>
    </w:p>
    <w:p>
      <w:pPr>
        <w:pStyle w:val="1039"/>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themeColor="text1"/>
          <w:highlight w:val="none"/>
        </w:rPr>
      </w:r>
      <w:r>
        <w:rPr>
          <w:color w:val="000000" w:themeColor="text1"/>
          <w:highlight w:val="none"/>
        </w:rPr>
      </w:r>
    </w:p>
    <w:p>
      <w:pPr>
        <w:pStyle w:val="1039"/>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themeColor="text1"/>
          <w:highlight w:val="none"/>
        </w:rPr>
      </w:r>
      <w:r>
        <w:rPr>
          <w:color w:val="000000" w:themeColor="text1"/>
          <w:highlight w:val="none"/>
        </w:rPr>
      </w:r>
    </w:p>
    <w:p>
      <w:pPr>
        <w:pStyle w:val="1039"/>
        <w:spacing w:before="0" w:after="0" w:line="500" w:lineRule="exact"/>
        <w:rPr>
          <w:rFonts w:hint="eastAsia" w:ascii="宋体" w:hAnsi="宋体" w:cs="Arial"/>
          <w:color w:val="000000" w:themeColor="text1"/>
          <w:highlight w:val="none"/>
        </w:rPr>
      </w:pPr>
      <w:r>
        <w:rPr>
          <w:rFonts w:hint="eastAsia" w:ascii="宋体" w:hAnsi="宋体" w:cs="Arial"/>
          <w:color w:val="000000" w:themeColor="text1"/>
          <w:highlight w:val="none"/>
        </w:rPr>
        <w:t xml:space="preserve">本项目分为</w:t>
      </w:r>
      <w:r>
        <w:rPr>
          <w:rFonts w:hint="eastAsia" w:ascii="宋体" w:hAnsi="宋体" w:cs="Arial"/>
          <w:color w:val="000000" w:themeColor="text1"/>
          <w:highlight w:val="none"/>
        </w:rPr>
        <w:t xml:space="preserve">两个</w:t>
      </w:r>
      <w:r>
        <w:rPr>
          <w:rFonts w:hint="eastAsia" w:ascii="宋体" w:hAnsi="宋体" w:cs="Arial"/>
          <w:color w:val="000000" w:themeColor="text1"/>
          <w:highlight w:val="none"/>
        </w:rPr>
        <w:t xml:space="preserve">采购包，评标时评标委员会将根据招标文件规定的评标方法与评标标准，并按照采购包1、采购包2的顺序分别进行评审。各采购包分别按招标文件规定选取中标候选人以及确定中标单位。</w:t>
      </w:r>
      <w:r>
        <w:rPr>
          <w:rFonts w:hint="eastAsia" w:ascii="宋体" w:hAnsi="宋体" w:cs="Arial"/>
          <w:color w:val="000000" w:themeColor="text1"/>
          <w:highlight w:val="none"/>
        </w:rPr>
      </w:r>
      <w:r>
        <w:rPr>
          <w:color w:val="000000" w:themeColor="text1"/>
          <w:highlight w:val="none"/>
        </w:rPr>
      </w:r>
    </w:p>
    <w:p>
      <w:pPr>
        <w:pStyle w:val="1039"/>
        <w:spacing w:before="0" w:after="0" w:line="500" w:lineRule="exact"/>
        <w:rPr>
          <w:rFonts w:hint="eastAsia" w:cs="Arial"/>
          <w:b/>
          <w:color w:val="000000" w:themeColor="text1"/>
          <w:sz w:val="30"/>
          <w:szCs w:val="30"/>
          <w:highlight w:val="none"/>
        </w:rPr>
      </w:pPr>
      <w:r>
        <w:rPr>
          <w:rFonts w:cs="Arial"/>
          <w:color w:val="000000" w:themeColor="text1"/>
          <w:highlight w:val="none"/>
          <w:shd w:val="clear" w:color="ffffff" w:fill="d9d9d9"/>
        </w:rPr>
        <w:br w:type="page" w:clear="all"/>
      </w:r>
      <w:r>
        <w:rPr>
          <w:rFonts w:hint="eastAsia" w:cs="Arial"/>
          <w:b/>
          <w:color w:val="000000" w:themeColor="text1"/>
          <w:sz w:val="30"/>
          <w:szCs w:val="30"/>
          <w:highlight w:val="none"/>
        </w:rPr>
        <w:t xml:space="preserve">第二部分  评标标准</w:t>
      </w:r>
      <w:r>
        <w:rPr>
          <w:rFonts w:hint="eastAsia" w:cs="Arial"/>
          <w:b/>
          <w:color w:val="000000" w:themeColor="text1"/>
          <w:sz w:val="30"/>
          <w:szCs w:val="30"/>
          <w:highlight w:val="none"/>
        </w:rPr>
      </w:r>
      <w:r>
        <w:rPr>
          <w:color w:val="000000" w:themeColor="text1"/>
          <w:highlight w:val="none"/>
        </w:rPr>
      </w:r>
    </w:p>
    <w:p>
      <w:pPr>
        <w:pStyle w:val="1039"/>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rPr>
          <w:rFonts w:hint="eastAsia" w:ascii="宋体" w:hAnsi="宋体"/>
          <w:b/>
          <w:color w:val="000000" w:themeColor="text1"/>
          <w:sz w:val="28"/>
          <w:szCs w:val="28"/>
          <w:highlight w:val="none"/>
        </w:rPr>
      </w:r>
      <w:r>
        <w:rPr>
          <w:color w:val="000000" w:themeColor="text1"/>
          <w:highlight w:val="none"/>
        </w:rPr>
      </w:r>
    </w:p>
    <w:p>
      <w:pPr>
        <w:pStyle w:val="952"/>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小微型企业价格扣除：专门面向中小/小微企业的项目不做价格扣除。</w:t>
      </w:r>
      <w:r>
        <w:rPr>
          <w:rFonts w:hint="eastAsia" w:ascii="宋体" w:hAnsi="宋体"/>
          <w:b/>
          <w:bCs/>
          <w:color w:val="000000" w:themeColor="text1"/>
          <w:sz w:val="24"/>
          <w:szCs w:val="24"/>
          <w:highlight w:val="none"/>
        </w:rPr>
      </w:r>
      <w:r>
        <w:rPr>
          <w:color w:val="000000" w:themeColor="text1"/>
          <w:highlight w:val="none"/>
        </w:rPr>
      </w:r>
    </w:p>
    <w:p>
      <w:pPr>
        <w:pStyle w:val="952"/>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rPr>
          <w:rFonts w:ascii="宋体" w:hAnsi="宋体"/>
          <w:bCs/>
          <w:color w:val="000000" w:themeColor="text1"/>
          <w:sz w:val="24"/>
          <w:szCs w:val="24"/>
          <w:highlight w:val="none"/>
        </w:rPr>
      </w:r>
      <w:r>
        <w:rPr>
          <w:color w:val="000000" w:themeColor="text1"/>
          <w:highlight w:val="none"/>
        </w:rPr>
      </w:r>
    </w:p>
    <w:p>
      <w:pPr>
        <w:pStyle w:val="952"/>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themeColor="text1"/>
          <w:sz w:val="24"/>
          <w:szCs w:val="24"/>
          <w:highlight w:val="none"/>
        </w:rPr>
      </w:r>
      <w:r>
        <w:rPr>
          <w:color w:val="000000" w:themeColor="text1"/>
          <w:highlight w:val="none"/>
        </w:rPr>
      </w:r>
    </w:p>
    <w:p>
      <w:pPr>
        <w:pStyle w:val="952"/>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themeColor="text1"/>
          <w:sz w:val="24"/>
          <w:szCs w:val="24"/>
          <w:highlight w:val="none"/>
        </w:rPr>
      </w:r>
      <w:r>
        <w:rPr>
          <w:color w:val="000000" w:themeColor="text1"/>
          <w:highlight w:val="none"/>
        </w:rPr>
      </w:r>
    </w:p>
    <w:p>
      <w:pPr>
        <w:pStyle w:val="952"/>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4.残疾人福利单位、监狱企业属于小型、微型企业的，不重复享受政策。</w:t>
      </w:r>
      <w:r>
        <w:rPr>
          <w:rFonts w:hint="eastAsia" w:ascii="宋体" w:hAnsi="宋体"/>
          <w:bCs/>
          <w:color w:val="000000" w:themeColor="text1"/>
          <w:sz w:val="24"/>
          <w:szCs w:val="24"/>
          <w:highlight w:val="none"/>
        </w:rPr>
      </w:r>
      <w:r>
        <w:rPr>
          <w:color w:val="000000" w:themeColor="text1"/>
          <w:highlight w:val="none"/>
        </w:rPr>
      </w:r>
    </w:p>
    <w:p>
      <w:pPr>
        <w:pStyle w:val="952"/>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rPr>
          <w:rFonts w:ascii="宋体" w:hAnsi="宋体"/>
          <w:bCs/>
          <w:color w:val="000000" w:themeColor="text1"/>
          <w:sz w:val="24"/>
          <w:szCs w:val="24"/>
          <w:highlight w:val="none"/>
        </w:rPr>
      </w:r>
      <w:r>
        <w:rPr>
          <w:color w:val="000000" w:themeColor="text1"/>
          <w:highlight w:val="none"/>
        </w:rPr>
      </w:r>
    </w:p>
    <w:p>
      <w:pPr>
        <w:pStyle w:val="952"/>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952"/>
        <w:ind w:firstLine="480"/>
        <w:jc w:val="left"/>
        <w:spacing w:line="500" w:lineRule="exact"/>
        <w:rPr>
          <w:color w:val="000000" w:themeColor="text1"/>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rPr>
          <w:color w:val="000000" w:themeColor="text1"/>
          <w:highlight w:val="none"/>
        </w:rPr>
      </w:r>
    </w:p>
    <w:p>
      <w:pPr>
        <w:pStyle w:val="1039"/>
        <w:numPr>
          <w:ilvl w:val="0"/>
          <w:numId w:val="32"/>
        </w:numPr>
        <w:ind w:firstLine="360"/>
        <w:spacing w:before="0" w:after="0" w:line="500" w:lineRule="exact"/>
        <w:rPr>
          <w:rFonts w:hint="eastAsia" w:ascii="宋体" w:hAnsi="宋体"/>
          <w:b/>
          <w:color w:val="000000" w:themeColor="text1"/>
          <w:sz w:val="28"/>
          <w:szCs w:val="28"/>
          <w:highlight w:val="none"/>
        </w:rPr>
      </w:pPr>
      <w:r>
        <w:rPr>
          <w:rFonts w:ascii="宋体" w:hAnsi="宋体"/>
          <w:color w:val="000000" w:themeColor="text1"/>
          <w:highlight w:val="none"/>
          <w:shd w:val="clear" w:color="ffffff" w:fill="d9d9d9"/>
        </w:rPr>
        <w:br w:type="page" w:clear="all"/>
      </w:r>
      <w:r>
        <w:rPr>
          <w:rFonts w:hint="eastAsia" w:ascii="宋体" w:hAnsi="宋体"/>
          <w:b/>
          <w:color w:val="000000" w:themeColor="text1"/>
          <w:sz w:val="28"/>
          <w:szCs w:val="28"/>
          <w:highlight w:val="none"/>
        </w:rPr>
        <w:t xml:space="preserve">评分标准</w:t>
      </w:r>
      <w:r>
        <w:rPr>
          <w:rFonts w:hint="eastAsia" w:ascii="宋体" w:hAnsi="宋体"/>
          <w:b/>
          <w:color w:val="000000" w:themeColor="text1"/>
          <w:sz w:val="28"/>
          <w:szCs w:val="28"/>
          <w:highlight w:val="none"/>
        </w:rPr>
      </w:r>
      <w:r>
        <w:rPr>
          <w:color w:val="000000" w:themeColor="text1"/>
          <w:highlight w:val="none"/>
        </w:rPr>
      </w:r>
    </w:p>
    <w:p>
      <w:pPr>
        <w:pStyle w:val="1039"/>
        <w:ind w:firstLine="42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u w:val="single"/>
        </w:rPr>
        <w:t xml:space="preserve">采购包1评分标准：</w:t>
      </w:r>
      <w:r>
        <w:rPr>
          <w:rFonts w:hint="eastAsia" w:ascii="宋体" w:hAnsi="宋体"/>
          <w:b/>
          <w:color w:val="000000" w:themeColor="text1"/>
          <w:sz w:val="28"/>
          <w:szCs w:val="28"/>
          <w:highlight w:val="none"/>
        </w:rPr>
      </w:r>
      <w:r>
        <w:rPr>
          <w:color w:val="000000" w:themeColor="text1"/>
          <w:highlight w:val="none"/>
        </w:rPr>
      </w:r>
    </w:p>
    <w:p>
      <w:pPr>
        <w:pStyle w:val="952"/>
        <w:numPr>
          <w:ilvl w:val="4"/>
          <w:numId w:val="0"/>
        </w:numPr>
        <w:ind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1.价格（30分）：</w:t>
      </w:r>
      <w:r>
        <w:rPr>
          <w:rFonts w:ascii="宋体" w:hAnsi="宋体"/>
          <w:b/>
          <w:bCs/>
          <w:color w:val="000000" w:themeColor="text1"/>
          <w:sz w:val="24"/>
          <w:szCs w:val="24"/>
          <w:highlight w:val="none"/>
        </w:rPr>
      </w:r>
      <w:r>
        <w:rPr>
          <w:color w:val="000000" w:themeColor="text1"/>
          <w:highlight w:val="none"/>
        </w:rPr>
      </w:r>
    </w:p>
    <w:p>
      <w:pPr>
        <w:pStyle w:val="952"/>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themeColor="text1"/>
          <w:sz w:val="24"/>
          <w:szCs w:val="24"/>
          <w:highlight w:val="none"/>
        </w:rPr>
      </w:r>
      <w:r>
        <w:rPr>
          <w:color w:val="000000" w:themeColor="text1"/>
          <w:highlight w:val="none"/>
        </w:rPr>
      </w:r>
    </w:p>
    <w:p>
      <w:pPr>
        <w:pStyle w:val="952"/>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投标报价得分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评标基准价／投标报价</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×价格权值×</w:t>
      </w:r>
      <w:r>
        <w:rPr>
          <w:rFonts w:ascii="宋体" w:hAnsi="宋体"/>
          <w:bCs/>
          <w:color w:val="000000" w:themeColor="text1"/>
          <w:sz w:val="24"/>
          <w:szCs w:val="24"/>
          <w:highlight w:val="none"/>
        </w:rPr>
        <w:t xml:space="preserve">100</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r>
      <w:r>
        <w:rPr>
          <w:color w:val="000000" w:themeColor="text1"/>
          <w:highlight w:val="none"/>
        </w:rPr>
      </w:r>
    </w:p>
    <w:p>
      <w:pPr>
        <w:pStyle w:val="952"/>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关于价格扣除详见本章第二部分“一、落实政府采购政策的价格调整”。</w:t>
      </w:r>
      <w:r>
        <w:rPr>
          <w:rFonts w:hint="eastAsia" w:ascii="宋体" w:hAnsi="宋体"/>
          <w:bCs/>
          <w:color w:val="000000" w:themeColor="text1"/>
          <w:sz w:val="24"/>
          <w:szCs w:val="24"/>
          <w:highlight w:val="none"/>
        </w:rPr>
      </w:r>
      <w:r>
        <w:rPr>
          <w:color w:val="000000" w:themeColor="text1"/>
          <w:highlight w:val="none"/>
        </w:rPr>
      </w:r>
    </w:p>
    <w:p>
      <w:pPr>
        <w:pStyle w:val="952"/>
        <w:numPr>
          <w:ilvl w:val="4"/>
          <w:numId w:val="0"/>
        </w:numPr>
        <w:ind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2.项目人员配置情况（15分）：</w:t>
      </w:r>
      <w:r>
        <w:rPr>
          <w:rFonts w:hint="eastAsia" w:ascii="宋体" w:hAnsi="宋体"/>
          <w:bCs/>
          <w:color w:val="000000" w:themeColor="text1"/>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考察投标人为本项目配备的人员情况，人员以填列的《项目人员配置清单》为准（格式见附件），并按评分标准要求提供相应证明材料及表格要求提供所填人员社保证明，否则不得分。以下人员不得兼任。</w:t>
      </w:r>
      <w:r>
        <w:rPr>
          <w:rFonts w:ascii="宋体" w:hAnsi="宋体"/>
          <w:b/>
          <w:bCs/>
          <w:color w:val="000000" w:themeColor="text1"/>
          <w:sz w:val="24"/>
          <w:szCs w:val="24"/>
          <w:highlight w:val="none"/>
        </w:rPr>
      </w:r>
      <w:r>
        <w:rPr>
          <w:color w:val="000000" w:themeColor="text1"/>
          <w:highlight w:val="none"/>
        </w:rPr>
      </w:r>
    </w:p>
    <w:p>
      <w:pPr>
        <w:pStyle w:val="952"/>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  </w:t>
      </w:r>
      <w:r>
        <w:rPr>
          <w:rFonts w:hint="eastAsia" w:ascii="宋体" w:hAnsi="宋体"/>
          <w:b/>
          <w:bCs/>
          <w:color w:val="000000" w:themeColor="text1"/>
          <w:sz w:val="24"/>
          <w:szCs w:val="24"/>
          <w:highlight w:val="none"/>
        </w:rPr>
        <w:t xml:space="preserve">项目经理（5分）</w:t>
      </w:r>
      <w:r>
        <w:rPr>
          <w:rFonts w:hint="eastAsia" w:ascii="宋体" w:hAnsi="宋体"/>
          <w:color w:val="000000" w:themeColor="text1"/>
          <w:sz w:val="24"/>
          <w:szCs w:val="24"/>
          <w:highlight w:val="none"/>
        </w:rPr>
        <w:t xml:space="preserve">：项目经理具有电子信息工程高级工程师证书、</w:t>
      </w:r>
      <w:r>
        <w:rPr>
          <w:rFonts w:hint="eastAsia" w:ascii="宋体" w:hAnsi="宋体"/>
          <w:color w:val="000000" w:themeColor="text1"/>
          <w:sz w:val="24"/>
          <w:szCs w:val="24"/>
          <w:highlight w:val="none"/>
        </w:rPr>
        <w:t xml:space="preserve">网络工程师证书</w:t>
      </w:r>
      <w:r>
        <w:rPr>
          <w:rFonts w:hint="eastAsia" w:ascii="宋体" w:hAnsi="宋体"/>
          <w:color w:val="000000" w:themeColor="text1"/>
          <w:sz w:val="24"/>
          <w:szCs w:val="24"/>
          <w:highlight w:val="none"/>
        </w:rPr>
        <w:t xml:space="preserve">、注册信息安全人员（C</w:t>
      </w:r>
      <w:r>
        <w:rPr>
          <w:rFonts w:ascii="宋体" w:hAnsi="宋体"/>
          <w:color w:val="000000" w:themeColor="text1"/>
          <w:sz w:val="24"/>
          <w:szCs w:val="24"/>
          <w:highlight w:val="none"/>
        </w:rPr>
        <w:t xml:space="preserve">ISP</w:t>
      </w:r>
      <w:r>
        <w:rPr>
          <w:rFonts w:hint="eastAsia" w:ascii="宋体" w:hAnsi="宋体"/>
          <w:color w:val="000000" w:themeColor="text1"/>
          <w:sz w:val="24"/>
          <w:szCs w:val="24"/>
          <w:highlight w:val="none"/>
        </w:rPr>
        <w:t xml:space="preserve">）证书、信息安全保障人员（CISAW应急服务）证书、</w:t>
      </w:r>
      <w:r>
        <w:rPr>
          <w:rFonts w:hint="eastAsia" w:ascii="宋体" w:hAnsi="宋体"/>
          <w:color w:val="000000" w:themeColor="text1"/>
          <w:sz w:val="24"/>
          <w:highlight w:val="none"/>
        </w:rPr>
        <w:t xml:space="preserve">注册信息安全讲师(CISI)证书</w:t>
      </w:r>
      <w:r>
        <w:rPr>
          <w:rFonts w:hint="eastAsia" w:ascii="宋体" w:hAnsi="宋体"/>
          <w:color w:val="000000" w:themeColor="text1"/>
          <w:sz w:val="24"/>
          <w:szCs w:val="24"/>
          <w:highlight w:val="none"/>
        </w:rPr>
        <w:t xml:space="preserve">，每有1个得1分，最高5分；须提供相关证书扫描件，否则不得分。</w:t>
      </w:r>
      <w:r>
        <w:rPr>
          <w:rFonts w:ascii="宋体" w:hAnsi="宋体"/>
          <w:color w:val="000000" w:themeColor="text1"/>
          <w:sz w:val="24"/>
          <w:highlight w:val="none"/>
        </w:rPr>
      </w:r>
      <w:r>
        <w:rPr>
          <w:color w:val="000000" w:themeColor="text1"/>
          <w:highlight w:val="none"/>
        </w:rPr>
      </w:r>
    </w:p>
    <w:p>
      <w:pPr>
        <w:pStyle w:val="952"/>
        <w:ind w:firstLine="480"/>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2.2  </w:t>
      </w:r>
      <w:r>
        <w:rPr>
          <w:rFonts w:hint="eastAsia" w:ascii="宋体" w:hAnsi="宋体"/>
          <w:b/>
          <w:bCs/>
          <w:color w:val="000000" w:themeColor="text1"/>
          <w:sz w:val="24"/>
          <w:szCs w:val="24"/>
          <w:highlight w:val="none"/>
        </w:rPr>
        <w:t xml:space="preserve">项目技术负责</w:t>
      </w:r>
      <w:r>
        <w:rPr>
          <w:rFonts w:hint="eastAsia" w:ascii="宋体" w:hAnsi="宋体"/>
          <w:b/>
          <w:bCs/>
          <w:color w:val="000000" w:themeColor="text1"/>
          <w:sz w:val="24"/>
          <w:szCs w:val="24"/>
          <w:highlight w:val="none"/>
        </w:rPr>
        <w:t xml:space="preserve">人（5分）</w:t>
      </w:r>
      <w:r>
        <w:rPr>
          <w:rFonts w:hint="eastAsia" w:ascii="宋体" w:hAnsi="宋体"/>
          <w:color w:val="000000" w:themeColor="text1"/>
          <w:sz w:val="24"/>
          <w:szCs w:val="24"/>
          <w:highlight w:val="none"/>
        </w:rPr>
        <w:t xml:space="preserve">：项目技术负责人具有电子信息工程高级工程师证书、</w:t>
      </w:r>
      <w:r>
        <w:rPr>
          <w:rFonts w:hint="eastAsia" w:ascii="宋体" w:hAnsi="宋体"/>
          <w:color w:val="000000" w:themeColor="text1"/>
          <w:sz w:val="24"/>
          <w:szCs w:val="24"/>
          <w:highlight w:val="none"/>
        </w:rPr>
        <w:t xml:space="preserve">注册信息安全人员（C</w:t>
      </w:r>
      <w:r>
        <w:rPr>
          <w:rFonts w:ascii="宋体" w:hAnsi="宋体"/>
          <w:color w:val="000000" w:themeColor="text1"/>
          <w:sz w:val="24"/>
          <w:szCs w:val="24"/>
          <w:highlight w:val="none"/>
        </w:rPr>
        <w:t xml:space="preserve">ISP</w:t>
      </w:r>
      <w:r>
        <w:rPr>
          <w:rFonts w:hint="eastAsia" w:ascii="宋体" w:hAnsi="宋体"/>
          <w:color w:val="000000" w:themeColor="text1"/>
          <w:sz w:val="24"/>
          <w:szCs w:val="24"/>
          <w:highlight w:val="none"/>
        </w:rPr>
        <w:t xml:space="preserve">）证书、信息安全保障人员（CISAW应急服务）证书、数据安全官（DSO）证书、</w:t>
      </w:r>
      <w:r>
        <w:rPr>
          <w:rFonts w:hint="eastAsia" w:ascii="宋体" w:hAnsi="宋体"/>
          <w:color w:val="000000" w:themeColor="text1"/>
          <w:sz w:val="24"/>
          <w:szCs w:val="24"/>
          <w:highlight w:val="none"/>
        </w:rPr>
        <w:t xml:space="preserve">IT服务工程师</w:t>
      </w:r>
      <w:r>
        <w:rPr>
          <w:rFonts w:hint="eastAsia" w:ascii="宋体" w:hAnsi="宋体"/>
          <w:color w:val="000000" w:themeColor="text1"/>
          <w:sz w:val="24"/>
          <w:szCs w:val="20"/>
          <w:highlight w:val="none"/>
        </w:rPr>
        <w:t xml:space="preserve">证书</w:t>
      </w:r>
      <w:r>
        <w:rPr>
          <w:rFonts w:hint="eastAsia" w:ascii="宋体" w:hAnsi="宋体"/>
          <w:color w:val="000000" w:themeColor="text1"/>
          <w:sz w:val="24"/>
          <w:szCs w:val="24"/>
          <w:highlight w:val="none"/>
        </w:rPr>
        <w:t xml:space="preserve">，每有1个得1分，最高5分；须提供相关证书扫描件，否则不得分。</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360" w:lineRule="auto"/>
        <w:tabs>
          <w:tab w:val="left" w:pos="945" w:leader="none"/>
          <w:tab w:val="left" w:pos="1155" w:leader="none"/>
        </w:tabs>
        <w:rPr>
          <w:rFonts w:ascii="宋体" w:hAnsi="宋体"/>
          <w:color w:val="000000" w:themeColor="text1"/>
          <w:sz w:val="24"/>
          <w:highlight w:val="none"/>
        </w:rPr>
      </w:pPr>
      <w:r>
        <w:rPr>
          <w:rFonts w:hint="eastAsia" w:ascii="宋体" w:hAnsi="宋体"/>
          <w:color w:val="000000" w:themeColor="text1"/>
          <w:sz w:val="24"/>
          <w:szCs w:val="24"/>
          <w:highlight w:val="none"/>
        </w:rPr>
        <w:t xml:space="preserve">2.3 </w:t>
      </w:r>
      <w:r>
        <w:rPr>
          <w:rFonts w:hint="eastAsia" w:ascii="宋体" w:hAnsi="宋体" w:cs="宋体"/>
          <w:b/>
          <w:bCs/>
          <w:color w:val="000000" w:themeColor="text1"/>
          <w:sz w:val="24"/>
          <w:szCs w:val="24"/>
          <w:highlight w:val="none"/>
        </w:rPr>
        <w:t xml:space="preserve"> </w:t>
      </w:r>
      <w:r>
        <w:rPr>
          <w:rFonts w:hint="eastAsia" w:ascii="宋体" w:hAnsi="宋体"/>
          <w:b/>
          <w:bCs/>
          <w:color w:val="000000" w:themeColor="text1"/>
          <w:sz w:val="24"/>
          <w:szCs w:val="24"/>
          <w:highlight w:val="none"/>
        </w:rPr>
        <w:t xml:space="preserve">项目组成员（5分）</w:t>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除项目经理和项目技术负责人外，项目成员技术能力覆盖全面，</w:t>
      </w:r>
      <w:r>
        <w:rPr>
          <w:rFonts w:hint="eastAsia" w:ascii="宋体" w:hAnsi="宋体"/>
          <w:bCs/>
          <w:color w:val="000000" w:themeColor="text1"/>
          <w:sz w:val="24"/>
          <w:szCs w:val="24"/>
          <w:highlight w:val="none"/>
        </w:rPr>
        <w:t xml:space="preserve">具</w:t>
      </w:r>
      <w:r>
        <w:rPr>
          <w:rFonts w:hint="eastAsia" w:ascii="宋体" w:hAnsi="宋体"/>
          <w:color w:val="000000" w:themeColor="text1"/>
          <w:sz w:val="24"/>
          <w:szCs w:val="24"/>
          <w:highlight w:val="none"/>
        </w:rPr>
        <w:t xml:space="preserve">信息安全保障人员（CISAW安全运维）证书</w:t>
      </w:r>
      <w:r>
        <w:rPr>
          <w:rFonts w:hint="eastAsia" w:ascii="宋体" w:hAnsi="宋体"/>
          <w:color w:val="000000" w:themeColor="text1"/>
          <w:sz w:val="24"/>
          <w:szCs w:val="24"/>
          <w:highlight w:val="none"/>
        </w:rPr>
        <w:t xml:space="preserve">的得1分；</w:t>
      </w:r>
      <w:r>
        <w:rPr>
          <w:rFonts w:hint="eastAsia" w:ascii="宋体" w:hAnsi="宋体"/>
          <w:bCs/>
          <w:color w:val="000000" w:themeColor="text1"/>
          <w:sz w:val="24"/>
          <w:szCs w:val="24"/>
          <w:highlight w:val="none"/>
        </w:rPr>
        <w:t xml:space="preserve">具有</w:t>
      </w:r>
      <w:r>
        <w:rPr>
          <w:rFonts w:ascii="宋体" w:hAnsi="宋体"/>
          <w:bCs/>
          <w:color w:val="000000" w:themeColor="text1"/>
          <w:sz w:val="24"/>
          <w:szCs w:val="24"/>
          <w:highlight w:val="none"/>
        </w:rPr>
        <w:t xml:space="preserve">IT</w:t>
      </w:r>
      <w:r>
        <w:rPr>
          <w:rFonts w:hint="eastAsia" w:ascii="宋体" w:hAnsi="宋体"/>
          <w:bCs/>
          <w:color w:val="000000" w:themeColor="text1"/>
          <w:sz w:val="24"/>
          <w:szCs w:val="24"/>
          <w:highlight w:val="none"/>
        </w:rPr>
        <w:t xml:space="preserve">服务项目经理</w:t>
      </w:r>
      <w:r>
        <w:rPr>
          <w:rFonts w:hint="eastAsia" w:ascii="宋体" w:hAnsi="宋体"/>
          <w:color w:val="000000" w:themeColor="text1"/>
          <w:sz w:val="24"/>
          <w:szCs w:val="20"/>
          <w:highlight w:val="none"/>
        </w:rPr>
        <w:t xml:space="preserve">证书</w:t>
      </w:r>
      <w:r>
        <w:rPr>
          <w:rFonts w:hint="eastAsia" w:ascii="宋体" w:hAnsi="宋体"/>
          <w:color w:val="000000" w:themeColor="text1"/>
          <w:sz w:val="24"/>
          <w:szCs w:val="24"/>
          <w:highlight w:val="none"/>
        </w:rPr>
        <w:t xml:space="preserve">的得1分</w:t>
      </w:r>
      <w:r>
        <w:rPr>
          <w:rFonts w:hint="eastAsia" w:ascii="宋体" w:hAnsi="宋体"/>
          <w:bCs/>
          <w:color w:val="000000" w:themeColor="text1"/>
          <w:sz w:val="24"/>
          <w:szCs w:val="24"/>
          <w:highlight w:val="none"/>
        </w:rPr>
        <w:t xml:space="preserve">；具有</w:t>
      </w:r>
      <w:r>
        <w:rPr>
          <w:rFonts w:hint="eastAsia" w:ascii="宋体" w:hAnsi="宋体"/>
          <w:color w:val="000000" w:themeColor="text1"/>
          <w:sz w:val="24"/>
          <w:szCs w:val="24"/>
          <w:highlight w:val="none"/>
        </w:rPr>
        <w:t xml:space="preserve">高级数据库管理工程师</w:t>
      </w:r>
      <w:r>
        <w:rPr>
          <w:rFonts w:hint="eastAsia" w:ascii="宋体" w:hAnsi="宋体"/>
          <w:color w:val="000000" w:themeColor="text1"/>
          <w:sz w:val="24"/>
          <w:szCs w:val="20"/>
          <w:highlight w:val="none"/>
        </w:rPr>
        <w:t xml:space="preserve">证书</w:t>
      </w:r>
      <w:r>
        <w:rPr>
          <w:rFonts w:hint="eastAsia" w:ascii="宋体" w:hAnsi="宋体"/>
          <w:color w:val="000000" w:themeColor="text1"/>
          <w:sz w:val="24"/>
          <w:szCs w:val="24"/>
          <w:highlight w:val="none"/>
        </w:rPr>
        <w:t xml:space="preserve">的得1分；具有</w:t>
      </w:r>
      <w:r>
        <w:rPr>
          <w:rFonts w:hint="eastAsia" w:ascii="宋体" w:hAnsi="宋体"/>
          <w:color w:val="000000" w:themeColor="text1"/>
          <w:sz w:val="24"/>
          <w:szCs w:val="20"/>
          <w:highlight w:val="none"/>
        </w:rPr>
        <w:t xml:space="preserve">服务器虚拟化认证工程师（VCP）证书的得1分；具有</w:t>
      </w:r>
      <w:r>
        <w:rPr>
          <w:rFonts w:hint="eastAsia" w:ascii="宋体" w:hAnsi="宋体"/>
          <w:color w:val="000000" w:themeColor="text1"/>
          <w:sz w:val="24"/>
          <w:szCs w:val="24"/>
          <w:highlight w:val="none"/>
        </w:rPr>
        <w:t xml:space="preserve">数据安全评估师（DSA）证书的得1分</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须提供相关证书扫描件，否则不得分。</w:t>
      </w:r>
      <w:r>
        <w:rPr>
          <w:rFonts w:hint="eastAsia"/>
          <w:color w:val="000000" w:themeColor="text1"/>
          <w:sz w:val="24"/>
          <w:szCs w:val="24"/>
          <w:highlight w:val="none"/>
        </w:rPr>
        <w:t xml:space="preserve">（一人多证的不重复得分）</w:t>
      </w:r>
      <w:r>
        <w:rPr>
          <w:rFonts w:ascii="宋体" w:hAnsi="宋体"/>
          <w:color w:val="000000" w:themeColor="text1"/>
          <w:sz w:val="24"/>
          <w:highlight w:val="none"/>
        </w:rPr>
      </w:r>
      <w:r>
        <w:rPr>
          <w:color w:val="000000" w:themeColor="text1"/>
          <w:highlight w:val="none"/>
        </w:rPr>
      </w:r>
    </w:p>
    <w:p>
      <w:pPr>
        <w:pStyle w:val="952"/>
        <w:numPr>
          <w:ilvl w:val="4"/>
          <w:numId w:val="0"/>
        </w:numPr>
        <w:ind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3.投标人综合情况（4分）：</w:t>
      </w:r>
      <w:r>
        <w:rPr>
          <w:rFonts w:ascii="宋体" w:hAnsi="宋体"/>
          <w:b/>
          <w:bCs/>
          <w:color w:val="000000" w:themeColor="text1"/>
          <w:sz w:val="24"/>
          <w:szCs w:val="24"/>
          <w:highlight w:val="none"/>
        </w:rPr>
      </w:r>
      <w:r>
        <w:rPr>
          <w:color w:val="000000" w:themeColor="text1"/>
          <w:highlight w:val="none"/>
        </w:rPr>
      </w:r>
    </w:p>
    <w:p>
      <w:pPr>
        <w:pStyle w:val="952"/>
        <w:ind w:firstLine="482"/>
        <w:spacing w:line="500" w:lineRule="exact"/>
        <w:rPr>
          <w:rFonts w:ascii="宋体" w:hAnsi="宋体"/>
          <w:color w:val="000000" w:themeColor="text1"/>
          <w:sz w:val="24"/>
          <w:highlight w:val="none"/>
        </w:rPr>
      </w:pPr>
      <w:r>
        <w:rPr>
          <w:rFonts w:hint="eastAsia" w:ascii="宋体" w:hAnsi="宋体"/>
          <w:b/>
          <w:bCs/>
          <w:color w:val="000000" w:themeColor="text1"/>
          <w:sz w:val="24"/>
          <w:highlight w:val="none"/>
        </w:rPr>
        <w:t xml:space="preserve">3.1  </w:t>
      </w:r>
      <w:r>
        <w:rPr>
          <w:rFonts w:hint="eastAsia" w:ascii="宋体" w:hAnsi="宋体"/>
          <w:b/>
          <w:bCs/>
          <w:color w:val="000000" w:themeColor="text1"/>
          <w:sz w:val="24"/>
          <w:szCs w:val="24"/>
          <w:highlight w:val="none"/>
        </w:rPr>
        <w:t xml:space="preserve">业绩(2分)</w:t>
      </w:r>
      <w:r>
        <w:rPr>
          <w:rFonts w:hint="eastAsia" w:ascii="宋体" w:hAnsi="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投标人自2022年1月1日以来（以合同签订日期为准）具有与本项目同类的案例，每提供一份有效合同得1分，最高不超过2分；合同扫描件上传至投标系统中，否则不得分。</w:t>
      </w:r>
      <w:r>
        <w:rPr>
          <w:rFonts w:ascii="宋体" w:hAnsi="宋体"/>
          <w:color w:val="000000" w:themeColor="text1"/>
          <w:sz w:val="24"/>
          <w:highlight w:val="none"/>
        </w:rPr>
      </w:r>
      <w:r>
        <w:rPr>
          <w:color w:val="000000" w:themeColor="text1"/>
          <w:highlight w:val="none"/>
        </w:rPr>
      </w:r>
    </w:p>
    <w:p>
      <w:pPr>
        <w:pStyle w:val="952"/>
        <w:ind w:firstLine="482"/>
        <w:spacing w:line="500" w:lineRule="exact"/>
        <w:rPr>
          <w:rFonts w:hint="eastAsia" w:ascii="宋体" w:hAnsi="宋体"/>
          <w:color w:val="000000" w:themeColor="text1"/>
          <w:sz w:val="24"/>
          <w:szCs w:val="24"/>
          <w:highlight w:val="none"/>
        </w:rPr>
      </w:pPr>
      <w:r>
        <w:rPr>
          <w:rFonts w:hint="eastAsia" w:ascii="宋体" w:hAnsi="宋体"/>
          <w:b/>
          <w:bCs/>
          <w:color w:val="000000" w:themeColor="text1"/>
          <w:sz w:val="24"/>
          <w:highlight w:val="none"/>
        </w:rPr>
        <w:t xml:space="preserve">3.2  </w:t>
      </w:r>
      <w:r>
        <w:rPr>
          <w:rFonts w:hint="eastAsia" w:ascii="宋体" w:hAnsi="宋体"/>
          <w:b/>
          <w:bCs/>
          <w:color w:val="000000" w:themeColor="text1"/>
          <w:sz w:val="24"/>
          <w:szCs w:val="24"/>
          <w:highlight w:val="none"/>
        </w:rPr>
        <w:t xml:space="preserve">体系认证证书（2分）</w:t>
      </w:r>
      <w:r>
        <w:rPr>
          <w:rFonts w:hint="eastAsia" w:ascii="宋体" w:hAnsi="宋体"/>
          <w:color w:val="000000" w:themeColor="text1"/>
          <w:sz w:val="24"/>
          <w:szCs w:val="24"/>
          <w:highlight w:val="none"/>
        </w:rPr>
        <w:t xml:space="preserve">：投标人具有有效期内的</w:t>
      </w:r>
      <w:r>
        <w:rPr>
          <w:rFonts w:hint="eastAsia" w:ascii="宋体" w:hAnsi="宋体"/>
          <w:color w:val="000000" w:themeColor="text1"/>
          <w:sz w:val="24"/>
          <w:szCs w:val="20"/>
          <w:highlight w:val="none"/>
        </w:rPr>
        <w:t xml:space="preserve">数据存储安全管理体系证</w:t>
      </w:r>
      <w:r>
        <w:rPr>
          <w:rFonts w:hint="eastAsia" w:ascii="宋体" w:hAnsi="宋体"/>
          <w:color w:val="000000" w:themeColor="text1"/>
          <w:sz w:val="24"/>
          <w:szCs w:val="24"/>
          <w:highlight w:val="none"/>
        </w:rPr>
        <w:t xml:space="preserve">书、数据治理安全管理体系认证证书，</w:t>
      </w:r>
      <w:r>
        <w:rPr>
          <w:rFonts w:hint="eastAsia" w:ascii="宋体" w:hAnsi="宋体"/>
          <w:color w:val="000000" w:themeColor="text1"/>
          <w:sz w:val="24"/>
          <w:szCs w:val="20"/>
          <w:highlight w:val="none"/>
        </w:rPr>
        <w:t xml:space="preserve">有一项得1分，最高得2分</w:t>
      </w:r>
      <w:r>
        <w:rPr>
          <w:rFonts w:hint="eastAsia" w:ascii="宋体" w:hAnsi="宋体"/>
          <w:color w:val="000000" w:themeColor="text1"/>
          <w:sz w:val="24"/>
          <w:szCs w:val="24"/>
          <w:highlight w:val="none"/>
        </w:rPr>
        <w:t xml:space="preserve">；</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投标时</w:t>
      </w:r>
      <w:r>
        <w:rPr>
          <w:rFonts w:hint="eastAsia" w:ascii="宋体" w:hAnsi="宋体" w:cs="宋体"/>
          <w:color w:val="000000" w:themeColor="text1"/>
          <w:sz w:val="24"/>
          <w:szCs w:val="24"/>
          <w:highlight w:val="none"/>
        </w:rPr>
        <w:t xml:space="preserve">需提供相关证书扫描件，同时还须提供该证书在“国家市场监督管理总局-全国认证认可信息公共服务平台”网站查询到的有效认证截图）</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952"/>
        <w:ind w:left="482"/>
        <w:spacing w:line="500" w:lineRule="exact"/>
        <w:tabs>
          <w:tab w:val="left" w:pos="525" w:leader="none"/>
          <w:tab w:val="left" w:pos="945" w:leader="none"/>
          <w:tab w:val="left" w:pos="1155" w:leader="none"/>
          <w:tab w:val="left" w:pos="3823"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4.</w:t>
      </w:r>
      <w:r>
        <w:rPr>
          <w:rFonts w:hint="eastAsia" w:ascii="宋体" w:hAnsi="宋体"/>
          <w:b/>
          <w:bCs/>
          <w:color w:val="000000" w:themeColor="text1"/>
          <w:sz w:val="24"/>
          <w:szCs w:val="24"/>
          <w:highlight w:val="none"/>
        </w:rPr>
        <w:t xml:space="preserve">服务能力（4分）：</w:t>
      </w:r>
      <w:r>
        <w:rPr>
          <w:rFonts w:hint="eastAsia" w:ascii="宋体" w:hAnsi="宋体"/>
          <w:b/>
          <w:bCs/>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4.1  运维工具平台自有服务能力（2分）</w:t>
      </w:r>
      <w:r>
        <w:rPr>
          <w:rFonts w:hint="eastAsia" w:ascii="宋体" w:hAnsi="宋体"/>
          <w:color w:val="000000" w:themeColor="text1"/>
          <w:sz w:val="24"/>
          <w:highlight w:val="none"/>
        </w:rPr>
        <w:t xml:space="preserve">：投标人具有</w:t>
      </w:r>
      <w:r>
        <w:rPr>
          <w:rFonts w:ascii="宋体" w:hAnsi="宋体" w:cs="宋体"/>
          <w:color w:val="000000" w:themeColor="text1"/>
          <w:sz w:val="24"/>
          <w:szCs w:val="24"/>
          <w:highlight w:val="none"/>
          <w:lang w:bidi="ar"/>
        </w:rPr>
        <w:t xml:space="preserve">国家版权局</w:t>
      </w:r>
      <w:r>
        <w:rPr>
          <w:rFonts w:hint="eastAsia" w:ascii="宋体" w:hAnsi="宋体" w:cs="宋体"/>
          <w:color w:val="000000" w:themeColor="text1"/>
          <w:sz w:val="24"/>
          <w:szCs w:val="24"/>
          <w:highlight w:val="none"/>
          <w:lang w:bidi="ar"/>
        </w:rPr>
        <w:t xml:space="preserve">颁发的</w:t>
      </w:r>
      <w:r>
        <w:rPr>
          <w:rFonts w:hint="eastAsia"/>
          <w:color w:val="000000" w:themeColor="text1"/>
          <w:sz w:val="24"/>
          <w:szCs w:val="24"/>
          <w:highlight w:val="none"/>
        </w:rPr>
        <w:t xml:space="preserve">“智能监测和预警平台”、“网络安全管理运维服务平台”软件著作权登记证书</w:t>
      </w:r>
      <w:r>
        <w:rPr>
          <w:rFonts w:hint="eastAsia"/>
          <w:color w:val="000000" w:themeColor="text1"/>
          <w:highlight w:val="none"/>
          <w:lang w:val="en-US" w:eastAsia="zh-CN"/>
        </w:rPr>
        <w:t xml:space="preserve">的</w:t>
      </w:r>
      <w:r>
        <w:rPr>
          <w:rFonts w:hint="eastAsia" w:ascii="宋体" w:hAnsi="宋体"/>
          <w:color w:val="000000" w:themeColor="text1"/>
          <w:sz w:val="24"/>
          <w:highlight w:val="none"/>
        </w:rPr>
        <w:t xml:space="preserve">，每有上述一种软件著作权登记证书的得1分，最高2分（所提供的软件著作权登记证书上的名称与上述所列有所不同，但实质内容或功能相同的，可视为等同）；须提供相应有效软件著作权登记证书扫描件。</w:t>
      </w:r>
      <w:r>
        <w:rPr>
          <w:rFonts w:hint="eastAsia" w:ascii="宋体" w:hAnsi="宋体"/>
          <w:color w:val="000000" w:themeColor="text1"/>
          <w:sz w:val="24"/>
          <w:highlight w:val="none"/>
        </w:rPr>
      </w:r>
      <w:r>
        <w:rPr>
          <w:color w:val="000000" w:themeColor="text1"/>
          <w:highlight w:val="none"/>
        </w:rPr>
      </w:r>
    </w:p>
    <w:p>
      <w:pPr>
        <w:pStyle w:val="983"/>
        <w:ind w:firstLine="482"/>
        <w:rPr>
          <w:rFonts w:hint="eastAsia" w:ascii="宋体" w:hAnsi="宋体" w:eastAsia="宋体"/>
          <w:color w:val="000000" w:themeColor="text1"/>
          <w:sz w:val="24"/>
          <w:szCs w:val="24"/>
          <w:highlight w:val="none"/>
        </w:rPr>
      </w:pPr>
      <w:r>
        <w:rPr>
          <w:rFonts w:hint="eastAsia" w:ascii="宋体" w:hAnsi="宋体" w:eastAsia="宋体"/>
          <w:b/>
          <w:bCs/>
          <w:color w:val="000000" w:themeColor="text1"/>
          <w:sz w:val="24"/>
          <w:szCs w:val="21"/>
          <w:highlight w:val="none"/>
          <w:lang w:val="en-US" w:eastAsia="zh-CN"/>
        </w:rPr>
        <w:t xml:space="preserve">4.2  智能监测和预警平台兼容性能力（2分）：</w:t>
      </w:r>
      <w:r>
        <w:rPr>
          <w:rFonts w:hint="eastAsia" w:ascii="宋体" w:hAnsi="宋体" w:eastAsia="宋体"/>
          <w:color w:val="000000" w:themeColor="text1"/>
          <w:sz w:val="24"/>
          <w:szCs w:val="24"/>
          <w:highlight w:val="none"/>
          <w:lang w:val="en-US" w:eastAsia="zh-CN"/>
        </w:rPr>
        <w:t xml:space="preserve">投标人提供服务的自有平台能够和国产云操作系统相适配及兼容的得1分；能够兼容国产自主CPU环境，在国产服务器操作系统上运行稳定的得1分。须提供相应产品兼容性认证证书扫描件。</w:t>
      </w:r>
      <w:r>
        <w:rPr>
          <w:rFonts w:hint="eastAsia" w:ascii="宋体" w:hAnsi="宋体" w:eastAsia="宋体"/>
          <w:color w:val="000000" w:themeColor="text1"/>
          <w:sz w:val="24"/>
          <w:szCs w:val="24"/>
          <w:highlight w:val="none"/>
          <w:lang w:val="en-US" w:eastAsia="zh-CN"/>
        </w:rPr>
      </w:r>
      <w:r>
        <w:rPr>
          <w:color w:val="000000" w:themeColor="text1"/>
          <w:highlight w:val="none"/>
        </w:rPr>
      </w:r>
    </w:p>
    <w:p>
      <w:pPr>
        <w:pStyle w:val="983"/>
        <w:ind w:firstLine="482"/>
        <w:rPr>
          <w:rFonts w:hint="eastAsia" w:ascii="宋体" w:hAnsi="宋体" w:eastAsia="宋体"/>
          <w:color w:val="000000" w:themeColor="text1"/>
          <w:sz w:val="24"/>
          <w:szCs w:val="24"/>
          <w:highlight w:val="none"/>
        </w:rPr>
      </w:pPr>
      <w:r>
        <w:rPr>
          <w:rFonts w:hint="eastAsia" w:ascii="宋体" w:hAnsi="宋体" w:eastAsia="宋体"/>
          <w:b/>
          <w:bCs/>
          <w:color w:val="000000" w:themeColor="text1"/>
          <w:sz w:val="24"/>
          <w:szCs w:val="24"/>
          <w:highlight w:val="none"/>
          <w:lang w:val="en-US" w:eastAsia="zh-CN"/>
        </w:rPr>
        <w:t xml:space="preserve">5. </w:t>
      </w:r>
      <w:r>
        <w:rPr>
          <w:rFonts w:hint="eastAsia" w:ascii="宋体" w:hAnsi="宋体" w:eastAsia="宋体"/>
          <w:b/>
          <w:bCs/>
          <w:color w:val="000000" w:themeColor="text1"/>
          <w:sz w:val="24"/>
          <w:szCs w:val="24"/>
          <w:highlight w:val="none"/>
          <w:lang w:eastAsia="zh-CN"/>
        </w:rPr>
        <w:t xml:space="preserve">产品技术（</w:t>
      </w:r>
      <w:r>
        <w:rPr>
          <w:rFonts w:hint="eastAsia" w:ascii="宋体" w:hAnsi="宋体" w:eastAsia="宋体"/>
          <w:b/>
          <w:bCs/>
          <w:color w:val="000000" w:themeColor="text1"/>
          <w:sz w:val="24"/>
          <w:szCs w:val="24"/>
          <w:highlight w:val="none"/>
          <w:lang w:val="en-US" w:eastAsia="zh-CN"/>
        </w:rPr>
        <w:t xml:space="preserve">5</w:t>
      </w:r>
      <w:r>
        <w:rPr>
          <w:rFonts w:hint="eastAsia" w:ascii="宋体" w:hAnsi="宋体" w:eastAsia="宋体"/>
          <w:b/>
          <w:bCs/>
          <w:color w:val="000000" w:themeColor="text1"/>
          <w:sz w:val="24"/>
          <w:szCs w:val="24"/>
          <w:highlight w:val="none"/>
          <w:lang w:eastAsia="zh-CN"/>
        </w:rPr>
        <w:t xml:space="preserve">分）</w:t>
      </w:r>
      <w:r>
        <w:rPr>
          <w:rFonts w:hint="eastAsia" w:ascii="宋体" w:hAnsi="宋体" w:eastAsia="宋体"/>
          <w:b/>
          <w:bCs/>
          <w:color w:val="000000" w:themeColor="text1"/>
          <w:sz w:val="24"/>
          <w:szCs w:val="24"/>
          <w:highlight w:val="none"/>
          <w:lang w:val="en-US" w:eastAsia="zh-CN"/>
        </w:rPr>
        <w:t xml:space="preserve">:</w:t>
      </w:r>
      <w:r>
        <w:rPr>
          <w:rFonts w:hint="eastAsia" w:ascii="宋体" w:hAnsi="宋体" w:eastAsia="宋体"/>
          <w:color w:val="000000" w:themeColor="text1"/>
          <w:sz w:val="24"/>
          <w:szCs w:val="24"/>
          <w:highlight w:val="none"/>
          <w:lang w:eastAsia="zh-CN"/>
        </w:rPr>
        <w:t xml:space="preserve">考察所报产品的性能、产品质量等是否优越（重点考察产品的综合性能指标，以各种技术、性能参数为准），在满足招标文件要求的基础上，</w:t>
      </w:r>
      <w:r>
        <w:rPr>
          <w:rFonts w:hint="eastAsia" w:ascii="宋体" w:hAnsi="宋体" w:eastAsia="宋体"/>
          <w:color w:val="000000" w:themeColor="text1"/>
          <w:sz w:val="24"/>
          <w:szCs w:val="24"/>
          <w:highlight w:val="none"/>
          <w:lang w:eastAsia="zh-CN"/>
        </w:rPr>
        <w:t xml:space="preserve">满足以下条件并提供相应证明材料的</w:t>
      </w:r>
      <w:r>
        <w:rPr>
          <w:rFonts w:hint="eastAsia" w:ascii="宋体" w:hAnsi="宋体" w:eastAsia="宋体"/>
          <w:color w:val="000000" w:themeColor="text1"/>
          <w:sz w:val="24"/>
          <w:szCs w:val="24"/>
          <w:highlight w:val="none"/>
          <w:lang w:val="en-US" w:eastAsia="zh-CN"/>
        </w:rPr>
        <w:t xml:space="preserve">复印件</w:t>
      </w:r>
      <w:r>
        <w:rPr>
          <w:rFonts w:hint="eastAsia" w:ascii="宋体" w:hAnsi="宋体" w:eastAsia="宋体"/>
          <w:color w:val="000000" w:themeColor="text1"/>
          <w:sz w:val="24"/>
          <w:szCs w:val="24"/>
          <w:highlight w:val="none"/>
          <w:lang w:eastAsia="zh-CN"/>
        </w:rPr>
        <w:t xml:space="preserve">，否则不得分。</w:t>
      </w:r>
      <w:r>
        <w:rPr>
          <w:rFonts w:hint="eastAsia" w:ascii="宋体" w:hAnsi="宋体" w:eastAsia="宋体"/>
          <w:color w:val="000000" w:themeColor="text1"/>
          <w:sz w:val="24"/>
          <w:szCs w:val="24"/>
          <w:highlight w:val="none"/>
          <w:lang w:eastAsia="zh-CN"/>
        </w:rPr>
      </w:r>
      <w:r>
        <w:rPr>
          <w:color w:val="000000" w:themeColor="text1"/>
          <w:highlight w:val="none"/>
        </w:rPr>
      </w:r>
    </w:p>
    <w:p>
      <w:pPr>
        <w:pStyle w:val="952"/>
        <w:ind w:firstLine="482"/>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5.1虚拟化软件-支持宿主机安全查看功能（1分）</w:t>
      </w:r>
      <w:r>
        <w:rPr>
          <w:rFonts w:hint="eastAsia" w:ascii="宋体" w:hAnsi="宋体"/>
          <w:color w:val="000000" w:themeColor="text1"/>
          <w:sz w:val="24"/>
          <w:szCs w:val="24"/>
          <w:highlight w:val="none"/>
        </w:rPr>
        <w:t xml:space="preserve">：所投产品支持查看宿主机正在使用的服务及端口号，并设置访问端口的IP范围，防止未授权的访问和攻击，保障平台安全性。得1分。（投标时须提供带有“CMA”标识的检测报告复印件）</w:t>
      </w:r>
      <w:r>
        <w:rPr>
          <w:rFonts w:hint="eastAsia" w:ascii="宋体" w:hAnsi="宋体"/>
          <w:color w:val="000000" w:themeColor="text1"/>
          <w:sz w:val="24"/>
          <w:szCs w:val="24"/>
          <w:highlight w:val="none"/>
        </w:rPr>
      </w:r>
      <w:r>
        <w:rPr>
          <w:color w:val="000000" w:themeColor="text1"/>
          <w:highlight w:val="none"/>
        </w:rPr>
      </w:r>
    </w:p>
    <w:p>
      <w:pPr>
        <w:pStyle w:val="952"/>
        <w:ind w:firstLine="482"/>
        <w:spacing w:line="360" w:lineRule="auto"/>
        <w:tabs>
          <w:tab w:val="left" w:pos="945" w:leader="none"/>
          <w:tab w:val="left" w:pos="1155" w:leader="none"/>
        </w:tabs>
        <w:rPr>
          <w:rFonts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5.2虚拟化软件-支持虚拟机外部快照功能（1分</w:t>
      </w:r>
      <w:r>
        <w:rPr>
          <w:rFonts w:hint="eastAsia" w:ascii="宋体" w:hAnsi="宋体"/>
          <w:color w:val="000000" w:themeColor="text1"/>
          <w:sz w:val="24"/>
          <w:szCs w:val="24"/>
          <w:highlight w:val="none"/>
        </w:rPr>
        <w:t xml:space="preserve">）：所投产品支持虚拟机外部快照功能，创建虚拟化外部快照后，</w:t>
      </w:r>
      <w:r>
        <w:rPr>
          <w:rFonts w:ascii="宋体" w:hAnsi="宋体"/>
          <w:color w:val="000000" w:themeColor="text1"/>
          <w:sz w:val="24"/>
          <w:szCs w:val="24"/>
          <w:highlight w:val="none"/>
        </w:rPr>
        <w:t xml:space="preserve">60</w:t>
      </w:r>
      <w:r>
        <w:rPr>
          <w:rFonts w:hint="eastAsia" w:ascii="宋体" w:hAnsi="宋体"/>
          <w:color w:val="000000" w:themeColor="text1"/>
          <w:sz w:val="24"/>
          <w:szCs w:val="24"/>
          <w:highlight w:val="none"/>
        </w:rPr>
        <w:t xml:space="preserve">秒内恢复到快照前性能，降低快照对于用户业务的影响，保障用户业务与数据高可靠。得1分。（投标时须提供带有“CMA”标识的检测报告复印件）</w:t>
      </w:r>
      <w:r>
        <w:rPr>
          <w:rFonts w:ascii="宋体" w:hAnsi="宋体"/>
          <w:color w:val="000000" w:themeColor="text1"/>
          <w:sz w:val="24"/>
          <w:szCs w:val="24"/>
          <w:highlight w:val="none"/>
        </w:rPr>
      </w:r>
      <w:r>
        <w:rPr>
          <w:color w:val="000000" w:themeColor="text1"/>
          <w:highlight w:val="none"/>
        </w:rPr>
      </w:r>
    </w:p>
    <w:p>
      <w:pPr>
        <w:pStyle w:val="952"/>
        <w:ind w:firstLine="482"/>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5.3虚拟化软件-支持宿主机自治功能（1分）</w:t>
      </w:r>
      <w:r>
        <w:rPr>
          <w:rFonts w:hint="eastAsia" w:ascii="宋体" w:hAnsi="宋体"/>
          <w:color w:val="000000" w:themeColor="text1"/>
          <w:sz w:val="24"/>
          <w:szCs w:val="24"/>
          <w:highlight w:val="none"/>
        </w:rPr>
        <w:t xml:space="preserve">：所投产品架构支持宿主机自治功能，在虚拟化管理平台故障时，可以通过主机自治平台对所在宿主机和虚拟机进行管理运维，提供虚拟机启动、配置、关闭、重启、休眠、删除等生命周期管理，提供虚拟机及主机性能监控、告警管理等，保障业务稳定运行。得1分。（投标时须提供带有“CMA”标识的检测报告复印件，并加盖原厂商公章。）</w:t>
      </w:r>
      <w:r>
        <w:rPr>
          <w:rFonts w:hint="eastAsia" w:ascii="宋体" w:hAnsi="宋体"/>
          <w:color w:val="000000" w:themeColor="text1"/>
          <w:sz w:val="24"/>
          <w:szCs w:val="24"/>
          <w:highlight w:val="none"/>
        </w:rPr>
      </w:r>
      <w:r>
        <w:rPr>
          <w:color w:val="000000" w:themeColor="text1"/>
          <w:highlight w:val="none"/>
        </w:rPr>
      </w:r>
    </w:p>
    <w:p>
      <w:pPr>
        <w:pStyle w:val="952"/>
        <w:ind w:firstLine="482"/>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5.4虚拟化软件-支持共享文件系统（1分）</w:t>
      </w:r>
      <w:r>
        <w:rPr>
          <w:rFonts w:hint="eastAsia" w:ascii="宋体" w:hAnsi="宋体"/>
          <w:color w:val="000000" w:themeColor="text1"/>
          <w:sz w:val="24"/>
          <w:szCs w:val="24"/>
          <w:highlight w:val="none"/>
        </w:rPr>
        <w:t xml:space="preserve">：所投产品支持使用共享文件系统的情况下，虚拟机精简配置磁盘性能达到置零磁盘的</w:t>
      </w:r>
      <w:r>
        <w:rPr>
          <w:rFonts w:ascii="宋体" w:hAnsi="宋体"/>
          <w:color w:val="000000" w:themeColor="text1"/>
          <w:sz w:val="24"/>
          <w:szCs w:val="24"/>
          <w:highlight w:val="none"/>
        </w:rPr>
        <w:t xml:space="preserve">80%</w:t>
      </w:r>
      <w:r>
        <w:rPr>
          <w:rFonts w:hint="eastAsia" w:ascii="宋体" w:hAnsi="宋体"/>
          <w:color w:val="000000" w:themeColor="text1"/>
          <w:sz w:val="24"/>
          <w:szCs w:val="24"/>
          <w:highlight w:val="none"/>
        </w:rPr>
        <w:t xml:space="preserve">及以上，磁盘数据预热时间短，秒级达到高性能读写水平，在保障性能的前提下，提升存储资源的利用率，降低用户业务规划时间，保障投资。得1分。（投标时须提供带有“CMA”标识的检测报告复印件，并加盖原厂商公章。）</w:t>
      </w:r>
      <w:r>
        <w:rPr>
          <w:rFonts w:hint="eastAsia" w:ascii="宋体" w:hAnsi="宋体"/>
          <w:color w:val="000000" w:themeColor="text1"/>
          <w:sz w:val="24"/>
          <w:szCs w:val="24"/>
          <w:highlight w:val="none"/>
        </w:rPr>
      </w:r>
      <w:r>
        <w:rPr>
          <w:color w:val="000000" w:themeColor="text1"/>
          <w:highlight w:val="none"/>
        </w:rPr>
      </w:r>
    </w:p>
    <w:p>
      <w:pPr>
        <w:pStyle w:val="952"/>
        <w:ind w:firstLine="482"/>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5.5技术兼容性（1分</w:t>
      </w:r>
      <w:r>
        <w:rPr>
          <w:rFonts w:hint="eastAsia" w:ascii="宋体" w:hAnsi="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投标人所投虚拟化软件能够对现有正在使用的CAS服务器虚拟化主机支持在同1个集群环境内跨宿主机HA高可用管理。得1分。（投标时须提供兼容性承诺函，并加盖所投产品原厂商公章，格式自拟）</w:t>
      </w:r>
      <w:r>
        <w:rPr>
          <w:rFonts w:hint="eastAsia" w:ascii="宋体" w:hAnsi="宋体"/>
          <w:color w:val="000000" w:themeColor="text1"/>
          <w:sz w:val="24"/>
          <w:szCs w:val="24"/>
          <w:highlight w:val="none"/>
        </w:rPr>
      </w:r>
      <w:r>
        <w:rPr>
          <w:color w:val="000000" w:themeColor="text1"/>
          <w:highlight w:val="none"/>
        </w:rPr>
      </w:r>
    </w:p>
    <w:p>
      <w:pPr>
        <w:pStyle w:val="983"/>
        <w:ind w:firstLine="482"/>
        <w:rPr>
          <w:rFonts w:ascii="宋体" w:hAnsi="宋体" w:eastAsia="宋体"/>
          <w:color w:val="000000" w:themeColor="text1"/>
          <w:sz w:val="24"/>
          <w:szCs w:val="24"/>
          <w:highlight w:val="none"/>
        </w:rPr>
      </w:pPr>
      <w:r>
        <w:rPr>
          <w:rFonts w:hint="eastAsia" w:ascii="宋体" w:hAnsi="宋体" w:eastAsia="宋体"/>
          <w:b/>
          <w:bCs/>
          <w:color w:val="000000" w:themeColor="text1"/>
          <w:sz w:val="24"/>
          <w:szCs w:val="24"/>
          <w:highlight w:val="none"/>
          <w:lang w:val="en-US" w:eastAsia="zh-CN"/>
        </w:rPr>
        <w:t xml:space="preserve">6 </w:t>
      </w:r>
      <w:r>
        <w:rPr>
          <w:rFonts w:hint="eastAsia" w:ascii="宋体" w:hAnsi="宋体" w:eastAsia="宋体"/>
          <w:b/>
          <w:bCs/>
          <w:color w:val="000000" w:themeColor="text1"/>
          <w:sz w:val="24"/>
          <w:szCs w:val="24"/>
          <w:highlight w:val="none"/>
          <w:lang w:eastAsia="zh-CN"/>
        </w:rPr>
        <w:t xml:space="preserve">节能、环保产品（2分）：</w:t>
      </w:r>
      <w:r>
        <w:rPr>
          <w:rFonts w:hint="eastAsia" w:ascii="宋体" w:hAnsi="宋体" w:eastAsia="宋体"/>
          <w:color w:val="000000" w:themeColor="text1"/>
          <w:sz w:val="24"/>
          <w:szCs w:val="24"/>
          <w:highlight w:val="none"/>
          <w:lang w:eastAsia="zh-CN"/>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eastAsia="宋体"/>
          <w:color w:val="000000" w:themeColor="text1"/>
          <w:sz w:val="24"/>
          <w:szCs w:val="24"/>
          <w:highlight w:val="none"/>
          <w:lang w:val="en-US" w:eastAsia="zh-CN"/>
        </w:rPr>
      </w:r>
      <w:r>
        <w:rPr>
          <w:color w:val="000000" w:themeColor="text1"/>
          <w:highlight w:val="none"/>
        </w:rPr>
      </w:r>
    </w:p>
    <w:p>
      <w:pPr>
        <w:pStyle w:val="952"/>
        <w:numPr>
          <w:ilvl w:val="4"/>
          <w:numId w:val="0"/>
        </w:numPr>
        <w:ind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7. 项目方案（40分）：</w:t>
      </w:r>
      <w:r>
        <w:rPr>
          <w:rFonts w:ascii="宋体" w:hAnsi="宋体"/>
          <w:b/>
          <w:bCs/>
          <w:color w:val="000000" w:themeColor="text1"/>
          <w:sz w:val="24"/>
          <w:szCs w:val="24"/>
          <w:highlight w:val="none"/>
        </w:rPr>
      </w:r>
      <w:r>
        <w:rPr>
          <w:color w:val="000000" w:themeColor="text1"/>
          <w:highlight w:val="none"/>
        </w:rPr>
      </w:r>
    </w:p>
    <w:p>
      <w:pPr>
        <w:pStyle w:val="952"/>
        <w:ind w:firstLine="482"/>
        <w:spacing w:line="360" w:lineRule="auto"/>
        <w:tabs>
          <w:tab w:val="left" w:pos="945" w:leader="none"/>
          <w:tab w:val="left" w:pos="1155" w:leader="none"/>
        </w:tabs>
        <w:rPr>
          <w:rFonts w:hint="eastAsia" w:ascii="宋体" w:hAnsi="宋体" w:cs="宋体"/>
          <w:color w:val="000000" w:themeColor="text1"/>
          <w:sz w:val="24"/>
          <w:szCs w:val="20"/>
          <w:highlight w:val="none"/>
        </w:rPr>
      </w:pPr>
      <w:r>
        <w:rPr>
          <w:rFonts w:hint="eastAsia" w:ascii="宋体" w:hAnsi="宋体"/>
          <w:b/>
          <w:bCs/>
          <w:color w:val="000000" w:themeColor="text1"/>
          <w:sz w:val="24"/>
          <w:highlight w:val="none"/>
        </w:rPr>
        <w:t xml:space="preserve">7.1 </w:t>
      </w:r>
      <w:r>
        <w:rPr>
          <w:rFonts w:hint="eastAsia" w:ascii="宋体" w:hAnsi="宋体"/>
          <w:b/>
          <w:bCs/>
          <w:color w:val="000000" w:themeColor="text1"/>
          <w:sz w:val="24"/>
          <w:szCs w:val="24"/>
          <w:highlight w:val="none"/>
        </w:rPr>
        <w:t xml:space="preserve">总体设计</w:t>
      </w:r>
      <w:r>
        <w:rPr>
          <w:rFonts w:hint="eastAsia" w:ascii="宋体" w:hAnsi="宋体"/>
          <w:b/>
          <w:color w:val="000000" w:themeColor="text1"/>
          <w:sz w:val="24"/>
          <w:szCs w:val="24"/>
          <w:highlight w:val="none"/>
        </w:rPr>
        <w:t xml:space="preserve">（10分</w:t>
      </w:r>
      <w:r>
        <w:rPr>
          <w:rFonts w:hint="eastAsia" w:ascii="宋体" w:hAnsi="宋体"/>
          <w:color w:val="000000" w:themeColor="text1"/>
          <w:sz w:val="24"/>
          <w:szCs w:val="24"/>
          <w:highlight w:val="none"/>
        </w:rPr>
        <w:t xml:space="preserve">）：针对本项目包段建设内容，</w:t>
      </w:r>
      <w:r>
        <w:rPr>
          <w:rFonts w:hint="eastAsia" w:ascii="宋体" w:hAnsi="宋体" w:cs="宋体"/>
          <w:color w:val="000000" w:themeColor="text1"/>
          <w:sz w:val="24"/>
          <w:szCs w:val="20"/>
          <w:highlight w:val="none"/>
        </w:rPr>
        <w:t xml:space="preserve">考察投标人的总体设计方案情况，内容包括：</w:t>
      </w:r>
      <w:r>
        <w:rPr>
          <w:rFonts w:hint="eastAsia" w:ascii="宋体" w:hAnsi="宋体" w:cs="宋体"/>
          <w:color w:val="000000" w:themeColor="text1"/>
          <w:sz w:val="24"/>
          <w:szCs w:val="24"/>
          <w:highlight w:val="none"/>
        </w:rPr>
        <w:t xml:space="preserve">①服务器及虚拟化</w:t>
      </w:r>
      <w:r>
        <w:rPr>
          <w:rFonts w:hint="eastAsia" w:ascii="宋体" w:hAnsi="宋体" w:cs="宋体"/>
          <w:color w:val="000000" w:themeColor="text1"/>
          <w:sz w:val="24"/>
          <w:szCs w:val="20"/>
          <w:highlight w:val="none"/>
        </w:rPr>
        <w:t xml:space="preserve">建设内容理解；</w:t>
      </w:r>
      <w:r>
        <w:rPr>
          <w:rFonts w:hint="eastAsia" w:ascii="宋体" w:hAnsi="宋体" w:cs="宋体"/>
          <w:color w:val="000000" w:themeColor="text1"/>
          <w:sz w:val="24"/>
          <w:szCs w:val="24"/>
          <w:highlight w:val="none"/>
        </w:rPr>
        <w:t xml:space="preserve">②服务器及虚拟化关联的</w:t>
      </w:r>
      <w:r>
        <w:rPr>
          <w:rFonts w:hint="eastAsia" w:ascii="宋体" w:hAnsi="宋体"/>
          <w:color w:val="000000" w:themeColor="text1"/>
          <w:sz w:val="24"/>
          <w:highlight w:val="none"/>
        </w:rPr>
        <w:t xml:space="preserve">网络架构、</w:t>
      </w:r>
      <w:r>
        <w:rPr>
          <w:rFonts w:hint="eastAsia" w:ascii="宋体" w:hAnsi="宋体" w:cs="宋体"/>
          <w:color w:val="000000" w:themeColor="text1"/>
          <w:sz w:val="24"/>
          <w:szCs w:val="20"/>
          <w:highlight w:val="none"/>
        </w:rPr>
        <w:t xml:space="preserve">安全系统架构、主机系统架构</w:t>
      </w:r>
      <w:r>
        <w:rPr>
          <w:rFonts w:hint="eastAsia" w:ascii="宋体" w:hAnsi="宋体"/>
          <w:color w:val="000000" w:themeColor="text1"/>
          <w:sz w:val="24"/>
          <w:highlight w:val="none"/>
        </w:rPr>
        <w:t xml:space="preserve">分析；③主机总体规划架构图及建设说明</w:t>
      </w:r>
      <w:r>
        <w:rPr>
          <w:rFonts w:hint="eastAsia" w:ascii="宋体" w:hAnsi="宋体" w:cs="宋体"/>
          <w:color w:val="000000" w:themeColor="text1"/>
          <w:sz w:val="24"/>
          <w:szCs w:val="20"/>
          <w:highlight w:val="none"/>
        </w:rPr>
        <w:t xml:space="preserve">。</w:t>
      </w:r>
      <w:r>
        <w:rPr>
          <w:rFonts w:hint="eastAsia" w:ascii="宋体" w:hAnsi="宋体" w:cs="宋体"/>
          <w:color w:val="000000" w:themeColor="text1"/>
          <w:sz w:val="24"/>
          <w:szCs w:val="20"/>
          <w:highlight w:val="none"/>
        </w:rPr>
      </w:r>
      <w:r>
        <w:rPr>
          <w:color w:val="000000" w:themeColor="text1"/>
          <w:highlight w:val="none"/>
        </w:rPr>
      </w:r>
    </w:p>
    <w:p>
      <w:pPr>
        <w:pStyle w:val="983"/>
        <w:ind w:firstLine="480"/>
        <w:rPr>
          <w:rFonts w:ascii="宋体" w:hAnsi="宋体"/>
          <w:color w:val="000000" w:themeColor="text1"/>
          <w:sz w:val="24"/>
          <w:highlight w:val="none"/>
        </w:rPr>
      </w:pPr>
      <w:r>
        <w:rPr>
          <w:rFonts w:hint="eastAsia" w:ascii="宋体" w:hAnsi="宋体" w:eastAsia="宋体"/>
          <w:color w:val="000000" w:themeColor="text1"/>
          <w:sz w:val="24"/>
          <w:szCs w:val="21"/>
          <w:highlight w:val="none"/>
          <w:lang w:val="en-US" w:eastAsia="zh-CN"/>
        </w:rPr>
        <w:t xml:space="preserve">方案完整，科学合理，设计清晰详细，完全符合本项目需求，且能够提供上述3项全部方案的，得10分；方案较完整，科学合理性较强，设计较清晰详细，能够符合本项目需求，能够提供上述2-3项方案的，得8分；方案完整性一般，科学合理性一般，设计清晰详细程度一般，能够符合本项目需求，能够提供上述1-3项方案的，得6分；方案完整性、科学合理性、设计的清晰详细程度等只能基本满足要求，能够提供上述1-3项方案的，得4分；无方案的，不得分。</w:t>
      </w:r>
      <w:r>
        <w:rPr>
          <w:rFonts w:ascii="宋体" w:hAnsi="宋体"/>
          <w:color w:val="000000" w:themeColor="text1"/>
          <w:sz w:val="24"/>
          <w:highlight w:val="none"/>
        </w:rPr>
      </w:r>
      <w:r>
        <w:rPr>
          <w:color w:val="000000" w:themeColor="text1"/>
          <w:highlight w:val="none"/>
        </w:rPr>
      </w:r>
    </w:p>
    <w:p>
      <w:pPr>
        <w:pStyle w:val="952"/>
        <w:ind w:firstLine="482"/>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b/>
          <w:bCs/>
          <w:color w:val="000000" w:themeColor="text1"/>
          <w:sz w:val="24"/>
          <w:highlight w:val="none"/>
        </w:rPr>
        <w:t xml:space="preserve">7.2 </w:t>
      </w:r>
      <w:r>
        <w:rPr>
          <w:rFonts w:hint="eastAsia" w:ascii="宋体" w:hAnsi="宋体"/>
          <w:b/>
          <w:bCs/>
          <w:color w:val="000000" w:themeColor="text1"/>
          <w:sz w:val="24"/>
          <w:szCs w:val="24"/>
          <w:highlight w:val="none"/>
        </w:rPr>
        <w:t xml:space="preserve">分系统方案设计（15分</w:t>
      </w:r>
      <w:r>
        <w:rPr>
          <w:rFonts w:hint="eastAsia" w:ascii="宋体" w:hAnsi="宋体"/>
          <w:color w:val="000000" w:themeColor="text1"/>
          <w:sz w:val="24"/>
          <w:szCs w:val="24"/>
          <w:highlight w:val="none"/>
        </w:rPr>
        <w:t xml:space="preserve">）：针对本项目包段建设内容，考察投标人的分系统方案设计情况，内容包括：</w:t>
      </w:r>
      <w:r>
        <w:rPr>
          <w:rFonts w:hint="eastAsia" w:ascii="宋体" w:hAnsi="宋体" w:cs="宋体"/>
          <w:color w:val="000000" w:themeColor="text1"/>
          <w:sz w:val="24"/>
          <w:szCs w:val="24"/>
          <w:highlight w:val="none"/>
        </w:rPr>
        <w:t xml:space="preserve">①网络及安全系统保障方案；②</w:t>
      </w:r>
      <w:r>
        <w:rPr>
          <w:rFonts w:hint="eastAsia" w:ascii="宋体" w:hAnsi="宋体" w:cs="宋体"/>
          <w:color w:val="000000" w:themeColor="text1"/>
          <w:sz w:val="24"/>
          <w:szCs w:val="20"/>
          <w:highlight w:val="none"/>
        </w:rPr>
        <w:t xml:space="preserve">主机应用</w:t>
      </w:r>
      <w:r>
        <w:rPr>
          <w:rFonts w:hint="eastAsia" w:ascii="宋体" w:hAnsi="宋体" w:cs="宋体"/>
          <w:color w:val="000000" w:themeColor="text1"/>
          <w:sz w:val="24"/>
          <w:szCs w:val="24"/>
          <w:highlight w:val="none"/>
        </w:rPr>
        <w:t xml:space="preserve">更新方案；③虚拟化数据迁移方案</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983"/>
        <w:ind w:firstLine="480"/>
        <w:rPr>
          <w:rFonts w:hint="eastAsia"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lang w:val="en-US" w:eastAsia="zh-CN"/>
        </w:rPr>
        <w:t xml:space="preserve">方案完整，科学合理，设计清晰详细，完全符合本项目需求，且能够提供上述3项全部方案的，得15分；方案较完整，科学合理性较强，设计较清晰详细，能够符合本项目需求，能够提供上述2-3项方案的，得12分；方案完整性一般，科学合理性一般，设计清晰详细程度一般，能够符合本项目需求，能够提供上述1-3项方案的，得9分；方案完整性、科学合理性、设计的清晰详细程度等只能基本满足要求，能够提供上述1-3项方案的，得6分；无方案的，不得分。</w:t>
      </w:r>
      <w:r>
        <w:rPr>
          <w:rFonts w:hint="eastAsia" w:ascii="宋体" w:hAnsi="宋体" w:eastAsia="宋体"/>
          <w:color w:val="000000" w:themeColor="text1"/>
          <w:sz w:val="24"/>
          <w:szCs w:val="21"/>
          <w:highlight w:val="none"/>
          <w:lang w:val="en-US" w:eastAsia="zh-CN"/>
        </w:rPr>
      </w:r>
      <w:r>
        <w:rPr>
          <w:color w:val="000000" w:themeColor="text1"/>
          <w:highlight w:val="none"/>
        </w:rPr>
      </w:r>
    </w:p>
    <w:p>
      <w:pPr>
        <w:pStyle w:val="983"/>
        <w:ind w:firstLine="482"/>
        <w:rPr>
          <w:rFonts w:ascii="宋体" w:hAnsi="宋体" w:eastAsia="宋体"/>
          <w:color w:val="000000" w:themeColor="text1"/>
          <w:sz w:val="24"/>
          <w:szCs w:val="21"/>
          <w:highlight w:val="none"/>
        </w:rPr>
      </w:pPr>
      <w:r>
        <w:rPr>
          <w:rFonts w:hint="eastAsia" w:ascii="宋体" w:hAnsi="宋体" w:eastAsia="宋体"/>
          <w:b/>
          <w:bCs/>
          <w:color w:val="000000" w:themeColor="text1"/>
          <w:sz w:val="24"/>
          <w:szCs w:val="21"/>
          <w:highlight w:val="none"/>
          <w:lang w:val="en-US" w:eastAsia="zh-CN"/>
        </w:rPr>
        <w:t xml:space="preserve">7.3</w:t>
      </w:r>
      <w:r>
        <w:rPr>
          <w:rFonts w:hint="eastAsia" w:ascii="宋体" w:hAnsi="宋体" w:eastAsia="宋体" w:cs="宋体"/>
          <w:b/>
          <w:bCs/>
          <w:color w:val="000000" w:themeColor="text1"/>
          <w:sz w:val="24"/>
          <w:szCs w:val="20"/>
          <w:highlight w:val="none"/>
          <w:lang w:eastAsia="zh-CN"/>
        </w:rPr>
        <w:t xml:space="preserve">项目管理方案（</w:t>
      </w:r>
      <w:r>
        <w:rPr>
          <w:rFonts w:hint="eastAsia" w:ascii="宋体" w:hAnsi="宋体" w:eastAsia="宋体" w:cs="宋体"/>
          <w:b/>
          <w:bCs/>
          <w:color w:val="000000" w:themeColor="text1"/>
          <w:sz w:val="24"/>
          <w:szCs w:val="20"/>
          <w:highlight w:val="none"/>
          <w:lang w:val="en-US" w:eastAsia="zh-CN"/>
        </w:rPr>
        <w:t xml:space="preserve">5</w:t>
      </w:r>
      <w:r>
        <w:rPr>
          <w:rFonts w:hint="eastAsia" w:ascii="宋体" w:hAnsi="宋体" w:eastAsia="宋体" w:cs="宋体"/>
          <w:b/>
          <w:bCs/>
          <w:color w:val="000000" w:themeColor="text1"/>
          <w:sz w:val="24"/>
          <w:szCs w:val="20"/>
          <w:highlight w:val="none"/>
          <w:lang w:eastAsia="zh-CN"/>
        </w:rPr>
        <w:t xml:space="preserve">分</w:t>
      </w:r>
      <w:r>
        <w:rPr>
          <w:rFonts w:hint="eastAsia" w:ascii="宋体" w:hAnsi="宋体" w:eastAsia="宋体" w:cs="宋体"/>
          <w:color w:val="000000" w:themeColor="text1"/>
          <w:sz w:val="24"/>
          <w:szCs w:val="20"/>
          <w:highlight w:val="none"/>
          <w:lang w:eastAsia="zh-CN"/>
        </w:rPr>
        <w:t xml:space="preserve">）：</w:t>
      </w:r>
      <w:r>
        <w:rPr>
          <w:rFonts w:hint="eastAsia" w:ascii="宋体" w:hAnsi="宋体" w:eastAsia="宋体"/>
          <w:color w:val="000000" w:themeColor="text1"/>
          <w:sz w:val="24"/>
          <w:szCs w:val="21"/>
          <w:highlight w:val="none"/>
          <w:lang w:val="en-US" w:eastAsia="zh-CN"/>
        </w:rPr>
        <w:t xml:space="preserve">针对本项目包段建设内容，考察投标人的项目管理方案情况，内容包括：①实施进度计划；②质量保证体系；③质量保证措施；④验收方案。根据方案内容情况进行综合打分。</w:t>
      </w:r>
      <w:r>
        <w:rPr>
          <w:rFonts w:ascii="宋体" w:hAnsi="宋体" w:eastAsia="宋体"/>
          <w:color w:val="000000" w:themeColor="text1"/>
          <w:sz w:val="24"/>
          <w:szCs w:val="21"/>
          <w:highlight w:val="none"/>
          <w:lang w:val="en-US" w:eastAsia="zh-CN"/>
        </w:rPr>
      </w:r>
      <w:r>
        <w:rPr>
          <w:color w:val="000000" w:themeColor="text1"/>
          <w:highlight w:val="none"/>
        </w:rPr>
      </w:r>
    </w:p>
    <w:p>
      <w:pPr>
        <w:pStyle w:val="983"/>
        <w:ind w:firstLine="480"/>
        <w:rPr>
          <w:rFonts w:hint="eastAsia"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lang w:val="en-US" w:eastAsia="zh-CN"/>
        </w:rPr>
        <w:t xml:space="preserve">方案完整，科学合理，设计清晰详细，完全符合本项目需求，且能够提供上述4项全部方案的，得5分；方案较完整，科学合理性较强，设计较清晰详细，能够符合本项目需求，能够提供上述2-3项方案的，得4分；方案完整性一般，科学合理性一般，设计清晰详细程度一般，能够符合本项目需求，能够提供上述1-3项方案的，得3分；方案完整性、科学合理性、设计的清晰详细程度等只能基本满足要求，能够提供上述1-3项方案的，得2分；无方案的，不得分。</w:t>
      </w:r>
      <w:r>
        <w:rPr>
          <w:rFonts w:hint="eastAsia" w:ascii="宋体" w:hAnsi="宋体" w:eastAsia="宋体"/>
          <w:color w:val="000000" w:themeColor="text1"/>
          <w:sz w:val="24"/>
          <w:szCs w:val="21"/>
          <w:highlight w:val="none"/>
          <w:lang w:val="en-US" w:eastAsia="zh-CN"/>
        </w:rPr>
      </w:r>
      <w:r>
        <w:rPr>
          <w:color w:val="000000" w:themeColor="text1"/>
          <w:highlight w:val="none"/>
        </w:rPr>
      </w:r>
    </w:p>
    <w:p>
      <w:pPr>
        <w:pStyle w:val="952"/>
        <w:ind w:firstLine="480"/>
        <w:spacing w:line="360" w:lineRule="auto"/>
        <w:tabs>
          <w:tab w:val="left" w:pos="945" w:leader="none"/>
          <w:tab w:val="left" w:pos="1155" w:leader="none"/>
        </w:tabs>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7.4</w:t>
      </w:r>
      <w:r>
        <w:rPr>
          <w:rFonts w:hint="eastAsia" w:ascii="宋体" w:hAnsi="宋体" w:cs="宋体"/>
          <w:b/>
          <w:bCs/>
          <w:color w:val="000000" w:themeColor="text1"/>
          <w:sz w:val="24"/>
          <w:szCs w:val="20"/>
          <w:highlight w:val="none"/>
        </w:rPr>
        <w:t xml:space="preserve">培训方案（5分）：</w:t>
      </w:r>
      <w:r>
        <w:rPr>
          <w:rFonts w:hint="eastAsia" w:ascii="宋体" w:hAnsi="宋体"/>
          <w:color w:val="000000" w:themeColor="text1"/>
          <w:sz w:val="24"/>
          <w:szCs w:val="24"/>
          <w:highlight w:val="none"/>
        </w:rPr>
        <w:t xml:space="preserve">针对本项目包段建设内容，</w:t>
      </w:r>
      <w:r>
        <w:rPr>
          <w:rFonts w:hint="eastAsia" w:ascii="宋体" w:hAnsi="宋体"/>
          <w:color w:val="000000" w:themeColor="text1"/>
          <w:sz w:val="24"/>
          <w:highlight w:val="none"/>
        </w:rPr>
        <w:t xml:space="preserve">考</w:t>
      </w:r>
      <w:r>
        <w:rPr>
          <w:rFonts w:hint="eastAsia" w:ascii="宋体" w:hAnsi="宋体"/>
          <w:color w:val="000000" w:themeColor="text1"/>
          <w:sz w:val="24"/>
          <w:highlight w:val="none"/>
        </w:rPr>
        <w:t xml:space="preserve">察投标人的培训方案情况，内容包括：①培训人员；②培训计划；③培训内容安排。根据方案内容情况进行综合打分。</w:t>
      </w:r>
      <w:r>
        <w:rPr>
          <w:rFonts w:hint="eastAsia" w:ascii="宋体" w:hAnsi="宋体"/>
          <w:color w:val="000000" w:themeColor="text1"/>
          <w:sz w:val="24"/>
          <w:highlight w:val="none"/>
        </w:rPr>
      </w:r>
      <w:r>
        <w:rPr>
          <w:color w:val="000000" w:themeColor="text1"/>
          <w:highlight w:val="none"/>
        </w:rPr>
      </w:r>
    </w:p>
    <w:p>
      <w:pPr>
        <w:pStyle w:val="983"/>
        <w:ind w:firstLine="480"/>
        <w:rPr>
          <w:rFonts w:hint="eastAsia"/>
          <w:color w:val="000000" w:themeColor="text1"/>
          <w:highlight w:val="none"/>
        </w:rPr>
      </w:pPr>
      <w:r>
        <w:rPr>
          <w:rFonts w:hint="eastAsia" w:ascii="宋体" w:hAnsi="宋体" w:eastAsia="宋体"/>
          <w:color w:val="000000" w:themeColor="text1"/>
          <w:sz w:val="24"/>
          <w:szCs w:val="21"/>
          <w:highlight w:val="none"/>
          <w:lang w:val="en-US" w:eastAsia="zh-CN"/>
        </w:rPr>
        <w:t xml:space="preserve">方案完整，科学合理，设计清晰详细，完全符合本项目需求，且能够提供上述3项全部方案的，得5分；方案较完整，科学合理性较强，设计较清晰详细，能够符合本项目需求，能够提供上述2-3项方案的，得4分；方案完整性一般，科学合理性一般，设计清晰详细程度一般，能够符合本项目需求，能够提供上述1-3项方案的，得3分；方案完整性、科学合理性、设计的清晰详细程度等只能基本满足要求，能够提供上述1-3项方案的，得2分；无方案的，不得分。</w:t>
      </w:r>
      <w:r>
        <w:rPr>
          <w:rFonts w:hint="eastAsia"/>
          <w:color w:val="000000" w:themeColor="text1"/>
          <w:highlight w:val="none"/>
        </w:rPr>
      </w:r>
      <w:r>
        <w:rPr>
          <w:color w:val="000000" w:themeColor="text1"/>
          <w:highlight w:val="none"/>
        </w:rPr>
      </w:r>
    </w:p>
    <w:p>
      <w:pPr>
        <w:pStyle w:val="952"/>
        <w:ind w:firstLine="480"/>
        <w:spacing w:line="360" w:lineRule="auto"/>
        <w:tabs>
          <w:tab w:val="left" w:pos="945" w:leader="none"/>
          <w:tab w:val="left" w:pos="1155" w:leader="none"/>
        </w:tabs>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7.5</w:t>
      </w:r>
      <w:r>
        <w:rPr>
          <w:rFonts w:hint="eastAsia" w:ascii="宋体" w:hAnsi="宋体" w:cs="宋体"/>
          <w:b/>
          <w:bCs/>
          <w:color w:val="000000" w:themeColor="text1"/>
          <w:sz w:val="24"/>
          <w:szCs w:val="24"/>
          <w:highlight w:val="none"/>
        </w:rPr>
        <w:t xml:space="preserve">售后服务方案（5分）</w:t>
      </w:r>
      <w:r>
        <w:rPr>
          <w:rFonts w:hint="eastAsia" w:ascii="宋体" w:hAnsi="宋体" w:cs="宋体"/>
          <w:color w:val="000000" w:themeColor="text1"/>
          <w:sz w:val="24"/>
          <w:szCs w:val="24"/>
          <w:highlight w:val="none"/>
        </w:rPr>
        <w:t xml:space="preserve">：</w:t>
      </w:r>
      <w:r>
        <w:rPr>
          <w:rFonts w:hint="eastAsia" w:ascii="宋体" w:hAnsi="宋体"/>
          <w:color w:val="000000" w:themeColor="text1"/>
          <w:sz w:val="24"/>
          <w:szCs w:val="24"/>
          <w:highlight w:val="none"/>
        </w:rPr>
        <w:t xml:space="preserve">针对本项目包段建设内容，</w:t>
      </w:r>
      <w:r>
        <w:rPr>
          <w:rFonts w:hint="eastAsia" w:ascii="宋体" w:hAnsi="宋体"/>
          <w:color w:val="000000" w:themeColor="text1"/>
          <w:sz w:val="24"/>
          <w:highlight w:val="none"/>
        </w:rPr>
        <w:t xml:space="preserve">考察投标人的售后服务</w:t>
      </w:r>
      <w:r>
        <w:rPr>
          <w:rFonts w:hint="eastAsia" w:ascii="宋体" w:hAnsi="宋体"/>
          <w:color w:val="000000" w:themeColor="text1"/>
          <w:sz w:val="24"/>
          <w:highlight w:val="none"/>
        </w:rPr>
        <w:t xml:space="preserve">方案情况，内容包括：①故障响应时间；②售后维护保障。根据方案内容情况进行综合打分。</w:t>
      </w:r>
      <w:r>
        <w:rPr>
          <w:rFonts w:hint="eastAsia" w:ascii="宋体" w:hAnsi="宋体"/>
          <w:color w:val="000000" w:themeColor="text1"/>
          <w:sz w:val="24"/>
          <w:highlight w:val="none"/>
        </w:rPr>
      </w:r>
      <w:r>
        <w:rPr>
          <w:color w:val="000000" w:themeColor="text1"/>
          <w:highlight w:val="none"/>
        </w:rPr>
      </w:r>
    </w:p>
    <w:p>
      <w:pPr>
        <w:pStyle w:val="983"/>
        <w:ind w:firstLine="480"/>
        <w:rPr>
          <w:rFonts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lang w:val="en-US" w:eastAsia="zh-CN"/>
        </w:rPr>
        <w:t xml:space="preserve">方案完整，科学合理，设计清晰详细，完全符合本项目需求，且能够提供上述2项全部方案的，得5分；方案较完整，科学合理性较强，设计较清晰详细，能够符合本项目需求，能够提供上述2项方案的，得4分；方案完整性一般，科学合理性一般，设计清晰详细程度一般，能够符合本项目需求，能够提供上述1-2项方案的，得3分；方案完整性、科学合理性、设计的清晰详细程度等只能基本满足要求，能够提供上述1-2项方案的，得2分；无方案的，不得分。</w:t>
      </w:r>
      <w:r>
        <w:rPr>
          <w:rFonts w:ascii="宋体" w:hAnsi="宋体" w:eastAsia="宋体"/>
          <w:color w:val="000000" w:themeColor="text1"/>
          <w:sz w:val="24"/>
          <w:szCs w:val="21"/>
          <w:highlight w:val="none"/>
          <w:lang w:val="en-US" w:eastAsia="zh-CN"/>
        </w:rPr>
      </w:r>
      <w:r>
        <w:rPr>
          <w:color w:val="000000" w:themeColor="text1"/>
          <w:highlight w:val="none"/>
        </w:rPr>
      </w:r>
    </w:p>
    <w:p>
      <w:pPr>
        <w:pStyle w:val="952"/>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 </w:t>
      </w:r>
      <w:r>
        <w:rPr>
          <w:rFonts w:ascii="宋体" w:hAnsi="宋体"/>
          <w:color w:val="000000" w:themeColor="text1"/>
          <w:sz w:val="24"/>
          <w:highlight w:val="none"/>
        </w:rPr>
      </w:r>
      <w:r>
        <w:rPr>
          <w:color w:val="000000" w:themeColor="text1"/>
          <w:highlight w:val="none"/>
        </w:rPr>
      </w:r>
    </w:p>
    <w:p>
      <w:pPr>
        <w:pStyle w:val="952"/>
        <w:spacing w:line="500" w:lineRule="exact"/>
        <w:tabs>
          <w:tab w:val="left" w:pos="1440" w:leader="none"/>
        </w:tabs>
        <w:rPr>
          <w:rFonts w:ascii="宋体" w:hAnsi="宋体"/>
          <w:color w:val="000000" w:themeColor="text1"/>
          <w:highlight w:val="none"/>
        </w:rPr>
        <w:outlineLvl w:val="0"/>
      </w:pPr>
      <w:r>
        <w:rPr>
          <w:rFonts w:ascii="宋体" w:hAnsi="宋体"/>
          <w:color w:val="000000" w:themeColor="text1"/>
          <w:highlight w:val="none"/>
        </w:rPr>
      </w:r>
      <w:r>
        <w:rPr>
          <w:color w:val="000000" w:themeColor="text1"/>
          <w:highlight w:val="none"/>
        </w:rPr>
      </w:r>
    </w:p>
    <w:p>
      <w:pPr>
        <w:pStyle w:val="1039"/>
        <w:ind w:firstLine="422"/>
        <w:spacing w:before="0" w:after="0" w:line="500" w:lineRule="exact"/>
        <w:rPr>
          <w:rFonts w:hint="eastAsia" w:ascii="宋体" w:hAnsi="宋体"/>
          <w:b/>
          <w:color w:val="000000" w:themeColor="text1"/>
          <w:sz w:val="28"/>
          <w:szCs w:val="28"/>
          <w:highlight w:val="none"/>
          <w:u w:val="single"/>
        </w:rPr>
      </w:pPr>
      <w:r>
        <w:rPr>
          <w:rFonts w:hint="eastAsia" w:ascii="宋体" w:hAnsi="宋体"/>
          <w:b/>
          <w:color w:val="000000" w:themeColor="text1"/>
          <w:sz w:val="28"/>
          <w:szCs w:val="28"/>
          <w:highlight w:val="none"/>
          <w:u w:val="single"/>
        </w:rPr>
      </w:r>
      <w:r>
        <w:rPr>
          <w:color w:val="000000" w:themeColor="text1"/>
          <w:highlight w:val="none"/>
        </w:rPr>
      </w:r>
    </w:p>
    <w:p>
      <w:pPr>
        <w:pStyle w:val="1039"/>
        <w:ind w:firstLine="422"/>
        <w:spacing w:before="0" w:after="0" w:line="500" w:lineRule="exact"/>
        <w:rPr>
          <w:rFonts w:hint="eastAsia" w:ascii="宋体" w:hAnsi="宋体"/>
          <w:b/>
          <w:color w:val="000000" w:themeColor="text1"/>
          <w:sz w:val="28"/>
          <w:szCs w:val="28"/>
          <w:highlight w:val="none"/>
          <w:u w:val="single"/>
        </w:rPr>
      </w:pPr>
      <w:r>
        <w:rPr>
          <w:rFonts w:hint="eastAsia" w:ascii="宋体" w:hAnsi="宋体"/>
          <w:b/>
          <w:color w:val="000000" w:themeColor="text1"/>
          <w:sz w:val="28"/>
          <w:szCs w:val="28"/>
          <w:highlight w:val="none"/>
          <w:u w:val="single"/>
        </w:rPr>
      </w:r>
      <w:r>
        <w:rPr>
          <w:color w:val="000000" w:themeColor="text1"/>
          <w:highlight w:val="none"/>
        </w:rPr>
      </w:r>
    </w:p>
    <w:p>
      <w:pPr>
        <w:pStyle w:val="1039"/>
        <w:ind w:firstLine="422"/>
        <w:spacing w:before="0" w:after="0" w:line="500" w:lineRule="exact"/>
        <w:rPr>
          <w:rFonts w:hint="eastAsia" w:ascii="宋体" w:hAnsi="宋体"/>
          <w:b/>
          <w:color w:val="000000" w:themeColor="text1"/>
          <w:sz w:val="28"/>
          <w:szCs w:val="28"/>
          <w:highlight w:val="none"/>
          <w:u w:val="single"/>
        </w:rPr>
      </w:pPr>
      <w:r>
        <w:rPr>
          <w:rFonts w:hint="eastAsia" w:ascii="宋体" w:hAnsi="宋体"/>
          <w:b/>
          <w:color w:val="000000" w:themeColor="text1"/>
          <w:sz w:val="28"/>
          <w:szCs w:val="28"/>
          <w:highlight w:val="none"/>
          <w:u w:val="single"/>
        </w:rPr>
      </w:r>
      <w:r>
        <w:rPr>
          <w:color w:val="000000" w:themeColor="text1"/>
          <w:highlight w:val="none"/>
        </w:rPr>
      </w:r>
    </w:p>
    <w:p>
      <w:pPr>
        <w:pStyle w:val="1039"/>
        <w:ind w:firstLine="422"/>
        <w:spacing w:before="0" w:after="0" w:line="500" w:lineRule="exact"/>
        <w:rPr>
          <w:rFonts w:hint="eastAsia" w:ascii="宋体" w:hAnsi="宋体"/>
          <w:b/>
          <w:color w:val="000000" w:themeColor="text1"/>
          <w:sz w:val="28"/>
          <w:szCs w:val="28"/>
          <w:highlight w:val="none"/>
          <w:u w:val="single"/>
        </w:rPr>
      </w:pPr>
      <w:r>
        <w:rPr>
          <w:rFonts w:hint="eastAsia" w:ascii="宋体" w:hAnsi="宋体"/>
          <w:b/>
          <w:color w:val="000000" w:themeColor="text1"/>
          <w:sz w:val="28"/>
          <w:szCs w:val="28"/>
          <w:highlight w:val="none"/>
          <w:u w:val="single"/>
        </w:rPr>
      </w:r>
      <w:r>
        <w:rPr>
          <w:color w:val="000000" w:themeColor="text1"/>
          <w:highlight w:val="none"/>
        </w:rPr>
      </w:r>
    </w:p>
    <w:p>
      <w:pPr>
        <w:pStyle w:val="1039"/>
        <w:ind w:firstLine="422"/>
        <w:spacing w:before="0" w:after="0" w:line="500" w:lineRule="exact"/>
        <w:rPr>
          <w:rFonts w:hint="eastAsia" w:ascii="宋体" w:hAnsi="宋体"/>
          <w:b/>
          <w:color w:val="000000" w:themeColor="text1"/>
          <w:sz w:val="28"/>
          <w:szCs w:val="28"/>
          <w:highlight w:val="none"/>
          <w:u w:val="single"/>
        </w:rPr>
      </w:pPr>
      <w:r>
        <w:rPr>
          <w:rFonts w:hint="eastAsia" w:ascii="宋体" w:hAnsi="宋体"/>
          <w:b/>
          <w:color w:val="000000" w:themeColor="text1"/>
          <w:sz w:val="28"/>
          <w:szCs w:val="28"/>
          <w:highlight w:val="none"/>
          <w:u w:val="single"/>
        </w:rPr>
      </w:r>
      <w:r>
        <w:rPr>
          <w:color w:val="000000" w:themeColor="text1"/>
          <w:highlight w:val="none"/>
        </w:rPr>
      </w:r>
    </w:p>
    <w:p>
      <w:pPr>
        <w:pStyle w:val="1039"/>
        <w:ind w:firstLine="422"/>
        <w:spacing w:before="0" w:after="0" w:line="500" w:lineRule="exact"/>
        <w:rPr>
          <w:rFonts w:hint="eastAsia" w:ascii="宋体" w:hAnsi="宋体"/>
          <w:b/>
          <w:color w:val="000000" w:themeColor="text1"/>
          <w:sz w:val="28"/>
          <w:szCs w:val="28"/>
          <w:highlight w:val="none"/>
          <w:u w:val="single"/>
        </w:rPr>
      </w:pPr>
      <w:r>
        <w:rPr>
          <w:rFonts w:hint="eastAsia" w:ascii="宋体" w:hAnsi="宋体"/>
          <w:b/>
          <w:color w:val="000000" w:themeColor="text1"/>
          <w:sz w:val="28"/>
          <w:szCs w:val="28"/>
          <w:highlight w:val="none"/>
          <w:u w:val="single"/>
        </w:rPr>
      </w:r>
      <w:r>
        <w:rPr>
          <w:color w:val="000000" w:themeColor="text1"/>
          <w:highlight w:val="none"/>
        </w:rPr>
      </w:r>
    </w:p>
    <w:p>
      <w:pPr>
        <w:pStyle w:val="1039"/>
        <w:ind w:firstLine="422"/>
        <w:spacing w:before="0" w:after="0" w:line="500" w:lineRule="exact"/>
        <w:rPr>
          <w:rFonts w:hint="eastAsia" w:ascii="宋体" w:hAnsi="宋体"/>
          <w:b/>
          <w:color w:val="000000" w:themeColor="text1"/>
          <w:sz w:val="28"/>
          <w:szCs w:val="28"/>
          <w:highlight w:val="none"/>
          <w:u w:val="single"/>
        </w:rPr>
      </w:pPr>
      <w:r>
        <w:rPr>
          <w:rFonts w:hint="eastAsia" w:ascii="宋体" w:hAnsi="宋体"/>
          <w:b/>
          <w:color w:val="000000" w:themeColor="text1"/>
          <w:sz w:val="28"/>
          <w:szCs w:val="28"/>
          <w:highlight w:val="none"/>
          <w:u w:val="single"/>
        </w:rPr>
      </w:r>
      <w:r>
        <w:rPr>
          <w:color w:val="000000" w:themeColor="text1"/>
          <w:highlight w:val="none"/>
        </w:rPr>
      </w:r>
    </w:p>
    <w:p>
      <w:pPr>
        <w:pStyle w:val="1039"/>
        <w:ind w:firstLine="42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u w:val="single"/>
        </w:rPr>
        <w:t xml:space="preserve">采购包2评分标准：</w:t>
      </w:r>
      <w:r>
        <w:rPr>
          <w:rFonts w:hint="eastAsia" w:ascii="宋体" w:hAnsi="宋体"/>
          <w:b/>
          <w:color w:val="000000" w:themeColor="text1"/>
          <w:sz w:val="28"/>
          <w:szCs w:val="28"/>
          <w:highlight w:val="none"/>
        </w:rPr>
      </w:r>
      <w:r>
        <w:rPr>
          <w:color w:val="000000" w:themeColor="text1"/>
          <w:highlight w:val="none"/>
        </w:rPr>
      </w:r>
    </w:p>
    <w:p>
      <w:pPr>
        <w:pStyle w:val="952"/>
        <w:numPr>
          <w:ilvl w:val="4"/>
          <w:numId w:val="0"/>
        </w:numPr>
        <w:ind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1.价格（30分）：</w:t>
      </w:r>
      <w:r>
        <w:rPr>
          <w:rFonts w:ascii="宋体" w:hAnsi="宋体"/>
          <w:b/>
          <w:bCs/>
          <w:color w:val="000000" w:themeColor="text1"/>
          <w:sz w:val="24"/>
          <w:szCs w:val="24"/>
          <w:highlight w:val="none"/>
        </w:rPr>
      </w:r>
      <w:r>
        <w:rPr>
          <w:color w:val="000000" w:themeColor="text1"/>
          <w:highlight w:val="none"/>
        </w:rPr>
      </w:r>
    </w:p>
    <w:p>
      <w:pPr>
        <w:pStyle w:val="952"/>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themeColor="text1"/>
          <w:sz w:val="24"/>
          <w:szCs w:val="24"/>
          <w:highlight w:val="none"/>
        </w:rPr>
      </w:r>
      <w:r>
        <w:rPr>
          <w:color w:val="000000" w:themeColor="text1"/>
          <w:highlight w:val="none"/>
        </w:rPr>
      </w:r>
    </w:p>
    <w:p>
      <w:pPr>
        <w:pStyle w:val="952"/>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投标报价得分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评标基准价／投标报价</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×价格权值×</w:t>
      </w:r>
      <w:r>
        <w:rPr>
          <w:rFonts w:ascii="宋体" w:hAnsi="宋体"/>
          <w:bCs/>
          <w:color w:val="000000" w:themeColor="text1"/>
          <w:sz w:val="24"/>
          <w:szCs w:val="24"/>
          <w:highlight w:val="none"/>
        </w:rPr>
        <w:t xml:space="preserve">100</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r>
      <w:r>
        <w:rPr>
          <w:color w:val="000000" w:themeColor="text1"/>
          <w:highlight w:val="none"/>
        </w:rPr>
      </w:r>
    </w:p>
    <w:p>
      <w:pPr>
        <w:pStyle w:val="952"/>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关于价格扣除详见本章第二部分“一、落实政府采购政策的价格调整”。</w:t>
      </w:r>
      <w:r>
        <w:rPr>
          <w:rFonts w:hint="eastAsia" w:ascii="宋体" w:hAnsi="宋体"/>
          <w:bCs/>
          <w:color w:val="000000" w:themeColor="text1"/>
          <w:sz w:val="24"/>
          <w:szCs w:val="24"/>
          <w:highlight w:val="none"/>
        </w:rPr>
      </w:r>
      <w:r>
        <w:rPr>
          <w:color w:val="000000" w:themeColor="text1"/>
          <w:highlight w:val="none"/>
        </w:rPr>
      </w:r>
    </w:p>
    <w:p>
      <w:pPr>
        <w:pStyle w:val="952"/>
        <w:numPr>
          <w:ilvl w:val="4"/>
          <w:numId w:val="0"/>
        </w:numPr>
        <w:ind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2.项目人员配置情况（15分）：</w:t>
      </w:r>
      <w:r>
        <w:rPr>
          <w:rFonts w:hint="eastAsia" w:ascii="宋体" w:hAnsi="宋体"/>
          <w:bCs/>
          <w:color w:val="000000" w:themeColor="text1"/>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考察投标人为本项目配备的人员情况，人员以填列的《项目人员配置清单》为准（格式见附件），并按评分标准要求提供相应证明材料及表格要求提供所填人员社保证明，否则不得分。以下人员不得兼任。</w:t>
      </w:r>
      <w:r>
        <w:rPr>
          <w:rFonts w:ascii="宋体" w:hAnsi="宋体"/>
          <w:b/>
          <w:bCs/>
          <w:color w:val="000000" w:themeColor="text1"/>
          <w:sz w:val="24"/>
          <w:szCs w:val="24"/>
          <w:highlight w:val="none"/>
        </w:rPr>
      </w:r>
      <w:r>
        <w:rPr>
          <w:color w:val="000000" w:themeColor="text1"/>
          <w:highlight w:val="none"/>
        </w:rPr>
      </w:r>
    </w:p>
    <w:p>
      <w:pPr>
        <w:pStyle w:val="952"/>
        <w:ind w:firstLine="482"/>
        <w:spacing w:line="360" w:lineRule="auto"/>
        <w:tabs>
          <w:tab w:val="left" w:pos="945" w:leader="none"/>
          <w:tab w:val="left" w:pos="1155" w:leader="none"/>
        </w:tabs>
        <w:rPr>
          <w:rFonts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2.1 </w:t>
      </w:r>
      <w:r>
        <w:rPr>
          <w:rFonts w:hint="eastAsia" w:ascii="宋体" w:hAnsi="宋体"/>
          <w:b/>
          <w:bCs/>
          <w:color w:val="000000" w:themeColor="text1"/>
          <w:sz w:val="24"/>
          <w:szCs w:val="24"/>
          <w:highlight w:val="none"/>
        </w:rPr>
        <w:t xml:space="preserve">项目经理（5分）</w:t>
      </w:r>
      <w:r>
        <w:rPr>
          <w:rFonts w:hint="eastAsia" w:ascii="宋体" w:hAnsi="宋体"/>
          <w:color w:val="000000" w:themeColor="text1"/>
          <w:sz w:val="24"/>
          <w:szCs w:val="24"/>
          <w:highlight w:val="none"/>
        </w:rPr>
        <w:t xml:space="preserve">：项目经理具有电子信息工程高级工程师证书、</w:t>
      </w:r>
      <w:r>
        <w:rPr>
          <w:rFonts w:hint="eastAsia" w:ascii="宋体" w:hAnsi="宋体"/>
          <w:color w:val="000000" w:themeColor="text1"/>
          <w:sz w:val="24"/>
          <w:szCs w:val="24"/>
          <w:highlight w:val="none"/>
        </w:rPr>
        <w:t xml:space="preserve">网络工程师证书</w:t>
      </w:r>
      <w:r>
        <w:rPr>
          <w:rFonts w:hint="eastAsia" w:ascii="宋体" w:hAnsi="宋体"/>
          <w:color w:val="000000" w:themeColor="text1"/>
          <w:sz w:val="24"/>
          <w:szCs w:val="24"/>
          <w:highlight w:val="none"/>
        </w:rPr>
        <w:t xml:space="preserve">、注册信息安全人员（C</w:t>
      </w:r>
      <w:r>
        <w:rPr>
          <w:rFonts w:ascii="宋体" w:hAnsi="宋体"/>
          <w:color w:val="000000" w:themeColor="text1"/>
          <w:sz w:val="24"/>
          <w:szCs w:val="24"/>
          <w:highlight w:val="none"/>
        </w:rPr>
        <w:t xml:space="preserve">ISP</w:t>
      </w:r>
      <w:r>
        <w:rPr>
          <w:rFonts w:hint="eastAsia" w:ascii="宋体" w:hAnsi="宋体"/>
          <w:color w:val="000000" w:themeColor="text1"/>
          <w:sz w:val="24"/>
          <w:szCs w:val="24"/>
          <w:highlight w:val="none"/>
        </w:rPr>
        <w:t xml:space="preserve">）证书、信息安全保障人员（CISAW应急服务）证书、</w:t>
      </w:r>
      <w:r>
        <w:rPr>
          <w:rFonts w:hint="eastAsia" w:ascii="宋体" w:hAnsi="宋体"/>
          <w:color w:val="000000" w:themeColor="text1"/>
          <w:sz w:val="24"/>
          <w:highlight w:val="none"/>
        </w:rPr>
        <w:t xml:space="preserve">注册信息安全讲师(CISI)证书</w:t>
      </w:r>
      <w:r>
        <w:rPr>
          <w:rFonts w:hint="eastAsia" w:ascii="宋体" w:hAnsi="宋体"/>
          <w:color w:val="000000" w:themeColor="text1"/>
          <w:sz w:val="24"/>
          <w:szCs w:val="24"/>
          <w:highlight w:val="none"/>
        </w:rPr>
        <w:t xml:space="preserve">，每有1个得1分，最高5分；须提供相关证书扫描件，否则不得分。</w:t>
      </w:r>
      <w:r>
        <w:rPr>
          <w:rFonts w:ascii="宋体" w:hAnsi="宋体"/>
          <w:color w:val="000000" w:themeColor="text1"/>
          <w:sz w:val="24"/>
          <w:szCs w:val="24"/>
          <w:highlight w:val="none"/>
        </w:rPr>
      </w:r>
      <w:r>
        <w:rPr>
          <w:color w:val="000000" w:themeColor="text1"/>
          <w:highlight w:val="none"/>
        </w:rPr>
      </w:r>
    </w:p>
    <w:p>
      <w:pPr>
        <w:pStyle w:val="952"/>
        <w:ind w:firstLine="482"/>
        <w:spacing w:line="360" w:lineRule="auto"/>
        <w:tabs>
          <w:tab w:val="left" w:pos="945" w:leader="none"/>
          <w:tab w:val="left" w:pos="1155" w:leader="none"/>
        </w:tabs>
        <w:rPr>
          <w:rFonts w:ascii="宋体" w:hAnsi="宋体"/>
          <w:bCs/>
          <w:color w:val="000000" w:themeColor="text1"/>
          <w:sz w:val="24"/>
          <w:szCs w:val="24"/>
          <w:highlight w:val="none"/>
        </w:rPr>
      </w:pPr>
      <w:r>
        <w:rPr>
          <w:rFonts w:hint="eastAsia" w:ascii="宋体" w:hAnsi="宋体"/>
          <w:b/>
          <w:bCs/>
          <w:color w:val="000000" w:themeColor="text1"/>
          <w:sz w:val="24"/>
          <w:szCs w:val="24"/>
          <w:highlight w:val="none"/>
        </w:rPr>
        <w:t xml:space="preserve">2.2 </w:t>
      </w:r>
      <w:r>
        <w:rPr>
          <w:rFonts w:hint="eastAsia" w:ascii="宋体" w:hAnsi="宋体"/>
          <w:b/>
          <w:bCs/>
          <w:color w:val="000000" w:themeColor="text1"/>
          <w:sz w:val="24"/>
          <w:szCs w:val="24"/>
          <w:highlight w:val="none"/>
        </w:rPr>
        <w:t xml:space="preserve">项目技术负责</w:t>
      </w:r>
      <w:r>
        <w:rPr>
          <w:rFonts w:hint="eastAsia" w:ascii="宋体" w:hAnsi="宋体"/>
          <w:b/>
          <w:bCs/>
          <w:color w:val="000000" w:themeColor="text1"/>
          <w:sz w:val="24"/>
          <w:szCs w:val="24"/>
          <w:highlight w:val="none"/>
        </w:rPr>
        <w:t xml:space="preserve">人（5分）</w:t>
      </w:r>
      <w:r>
        <w:rPr>
          <w:rFonts w:hint="eastAsia" w:ascii="宋体" w:hAnsi="宋体"/>
          <w:color w:val="000000" w:themeColor="text1"/>
          <w:sz w:val="24"/>
          <w:szCs w:val="24"/>
          <w:highlight w:val="none"/>
        </w:rPr>
        <w:t xml:space="preserve">：项目技术负责人具有电子信息工程高级工程师证书、注册信息安全人员（C</w:t>
      </w:r>
      <w:r>
        <w:rPr>
          <w:rFonts w:ascii="宋体" w:hAnsi="宋体"/>
          <w:color w:val="000000" w:themeColor="text1"/>
          <w:sz w:val="24"/>
          <w:szCs w:val="24"/>
          <w:highlight w:val="none"/>
        </w:rPr>
        <w:t xml:space="preserve">ISP</w:t>
      </w:r>
      <w:r>
        <w:rPr>
          <w:rFonts w:hint="eastAsia" w:ascii="宋体" w:hAnsi="宋体"/>
          <w:color w:val="000000" w:themeColor="text1"/>
          <w:sz w:val="24"/>
          <w:szCs w:val="24"/>
          <w:highlight w:val="none"/>
        </w:rPr>
        <w:t xml:space="preserve">）证书、信息安全保障人员（CISAW应急服务）证</w:t>
      </w:r>
      <w:r>
        <w:rPr>
          <w:rFonts w:hint="eastAsia" w:ascii="宋体" w:hAnsi="宋体"/>
          <w:color w:val="000000" w:themeColor="text1"/>
          <w:sz w:val="24"/>
          <w:szCs w:val="24"/>
          <w:highlight w:val="none"/>
        </w:rPr>
        <w:t xml:space="preserve">书、数据安全官（DSO）证书、</w:t>
      </w:r>
      <w:r>
        <w:rPr>
          <w:rFonts w:hint="eastAsia" w:ascii="宋体" w:hAnsi="宋体"/>
          <w:color w:val="000000" w:themeColor="text1"/>
          <w:sz w:val="24"/>
          <w:szCs w:val="24"/>
          <w:highlight w:val="none"/>
        </w:rPr>
        <w:t xml:space="preserve">IT服务工程师</w:t>
      </w:r>
      <w:r>
        <w:rPr>
          <w:rFonts w:hint="eastAsia" w:ascii="宋体" w:hAnsi="宋体"/>
          <w:color w:val="000000" w:themeColor="text1"/>
          <w:sz w:val="24"/>
          <w:szCs w:val="20"/>
          <w:highlight w:val="none"/>
        </w:rPr>
        <w:t xml:space="preserve">证书</w:t>
      </w:r>
      <w:r>
        <w:rPr>
          <w:rFonts w:hint="eastAsia" w:ascii="宋体" w:hAnsi="宋体"/>
          <w:color w:val="000000" w:themeColor="text1"/>
          <w:sz w:val="24"/>
          <w:szCs w:val="24"/>
          <w:highlight w:val="none"/>
        </w:rPr>
        <w:t xml:space="preserve">，每有1个得1分，最高5分；须提供相关证书扫描件，否则不得分。</w:t>
      </w:r>
      <w:r>
        <w:rPr>
          <w:rFonts w:ascii="宋体" w:hAnsi="宋体"/>
          <w:bCs/>
          <w:color w:val="000000" w:themeColor="text1"/>
          <w:sz w:val="24"/>
          <w:szCs w:val="24"/>
          <w:highlight w:val="none"/>
        </w:rPr>
      </w:r>
      <w:r>
        <w:rPr>
          <w:color w:val="000000" w:themeColor="text1"/>
          <w:highlight w:val="none"/>
        </w:rPr>
      </w:r>
    </w:p>
    <w:p>
      <w:pPr>
        <w:pStyle w:val="952"/>
        <w:jc w:val="left"/>
        <w:spacing w:line="500" w:lineRule="exact"/>
        <w:tabs>
          <w:tab w:val="left" w:pos="1440" w:leader="none"/>
        </w:tabs>
        <w:rPr>
          <w:rFonts w:hint="eastAsia" w:ascii="宋体" w:hAnsi="宋体"/>
          <w:color w:val="000000" w:themeColor="text1"/>
          <w:sz w:val="24"/>
          <w:szCs w:val="24"/>
          <w:highlight w:val="none"/>
        </w:rPr>
        <w:outlineLvl w:val="0"/>
      </w:pPr>
      <w:r>
        <w:rPr>
          <w:rFonts w:hint="eastAsia" w:ascii="宋体" w:hAnsi="宋体" w:cs="宋体"/>
          <w:b/>
          <w:bCs/>
          <w:color w:val="000000" w:themeColor="text1"/>
          <w:sz w:val="24"/>
          <w:szCs w:val="24"/>
          <w:highlight w:val="none"/>
        </w:rPr>
        <w:t xml:space="preserve">    2.3 </w:t>
      </w:r>
      <w:r>
        <w:rPr>
          <w:rFonts w:hint="eastAsia" w:ascii="宋体" w:hAnsi="宋体"/>
          <w:b/>
          <w:bCs/>
          <w:color w:val="000000" w:themeColor="text1"/>
          <w:sz w:val="24"/>
          <w:szCs w:val="24"/>
          <w:highlight w:val="none"/>
        </w:rPr>
        <w:t xml:space="preserve">项目组成员（5分）</w:t>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除项目经理和项目技术负责人外，项目成员技术能力覆盖全面，</w:t>
      </w:r>
      <w:r>
        <w:rPr>
          <w:rFonts w:hint="eastAsia" w:ascii="宋体" w:hAnsi="宋体"/>
          <w:bCs/>
          <w:color w:val="000000" w:themeColor="text1"/>
          <w:sz w:val="24"/>
          <w:szCs w:val="24"/>
          <w:highlight w:val="none"/>
        </w:rPr>
        <w:t xml:space="preserve">具有</w:t>
      </w:r>
      <w:r>
        <w:rPr>
          <w:rFonts w:hint="eastAsia" w:ascii="宋体" w:hAnsi="宋体"/>
          <w:color w:val="000000" w:themeColor="text1"/>
          <w:sz w:val="24"/>
          <w:szCs w:val="24"/>
          <w:highlight w:val="none"/>
        </w:rPr>
        <w:t xml:space="preserve">信息安全保障人员（CISAW安全运维）</w:t>
      </w:r>
      <w:r>
        <w:rPr>
          <w:rFonts w:hint="eastAsia" w:ascii="宋体" w:hAnsi="宋体"/>
          <w:color w:val="000000" w:themeColor="text1"/>
          <w:sz w:val="24"/>
          <w:szCs w:val="20"/>
          <w:highlight w:val="none"/>
        </w:rPr>
        <w:t xml:space="preserve">证书</w:t>
      </w:r>
      <w:r>
        <w:rPr>
          <w:rFonts w:hint="eastAsia" w:ascii="宋体" w:hAnsi="宋体"/>
          <w:color w:val="000000" w:themeColor="text1"/>
          <w:sz w:val="24"/>
          <w:szCs w:val="24"/>
          <w:highlight w:val="none"/>
        </w:rPr>
        <w:t xml:space="preserve">的得1分；</w:t>
      </w:r>
      <w:r>
        <w:rPr>
          <w:rFonts w:hint="eastAsia" w:ascii="宋体" w:hAnsi="宋体"/>
          <w:bCs/>
          <w:color w:val="000000" w:themeColor="text1"/>
          <w:sz w:val="24"/>
          <w:szCs w:val="24"/>
          <w:highlight w:val="none"/>
        </w:rPr>
        <w:t xml:space="preserve">具有</w:t>
      </w:r>
      <w:r>
        <w:rPr>
          <w:rFonts w:ascii="宋体" w:hAnsi="宋体"/>
          <w:bCs/>
          <w:color w:val="000000" w:themeColor="text1"/>
          <w:sz w:val="24"/>
          <w:szCs w:val="24"/>
          <w:highlight w:val="none"/>
        </w:rPr>
        <w:t xml:space="preserve">IT</w:t>
      </w:r>
      <w:r>
        <w:rPr>
          <w:rFonts w:hint="eastAsia" w:ascii="宋体" w:hAnsi="宋体"/>
          <w:bCs/>
          <w:color w:val="000000" w:themeColor="text1"/>
          <w:sz w:val="24"/>
          <w:szCs w:val="24"/>
          <w:highlight w:val="none"/>
        </w:rPr>
        <w:t xml:space="preserve">服务项目经理</w:t>
      </w:r>
      <w:r>
        <w:rPr>
          <w:rFonts w:hint="eastAsia" w:ascii="宋体" w:hAnsi="宋体"/>
          <w:color w:val="000000" w:themeColor="text1"/>
          <w:sz w:val="24"/>
          <w:szCs w:val="20"/>
          <w:highlight w:val="none"/>
        </w:rPr>
        <w:t xml:space="preserve">证书</w:t>
      </w:r>
      <w:r>
        <w:rPr>
          <w:rFonts w:hint="eastAsia" w:ascii="宋体" w:hAnsi="宋体"/>
          <w:color w:val="000000" w:themeColor="text1"/>
          <w:sz w:val="24"/>
          <w:szCs w:val="24"/>
          <w:highlight w:val="none"/>
        </w:rPr>
        <w:t xml:space="preserve">的得1分</w:t>
      </w:r>
      <w:r>
        <w:rPr>
          <w:rFonts w:hint="eastAsia" w:ascii="宋体" w:hAnsi="宋体"/>
          <w:bCs/>
          <w:color w:val="000000" w:themeColor="text1"/>
          <w:sz w:val="24"/>
          <w:szCs w:val="24"/>
          <w:highlight w:val="none"/>
        </w:rPr>
        <w:t xml:space="preserve">；具有</w:t>
      </w:r>
      <w:r>
        <w:rPr>
          <w:rFonts w:hint="eastAsia" w:ascii="宋体" w:hAnsi="宋体"/>
          <w:color w:val="000000" w:themeColor="text1"/>
          <w:sz w:val="24"/>
          <w:szCs w:val="24"/>
          <w:highlight w:val="none"/>
        </w:rPr>
        <w:t xml:space="preserve">高级数据库管理工程师</w:t>
      </w:r>
      <w:r>
        <w:rPr>
          <w:rFonts w:hint="eastAsia" w:ascii="宋体" w:hAnsi="宋体"/>
          <w:color w:val="000000" w:themeColor="text1"/>
          <w:sz w:val="24"/>
          <w:szCs w:val="20"/>
          <w:highlight w:val="none"/>
        </w:rPr>
        <w:t xml:space="preserve">证书</w:t>
      </w:r>
      <w:r>
        <w:rPr>
          <w:rFonts w:hint="eastAsia" w:ascii="宋体" w:hAnsi="宋体"/>
          <w:color w:val="000000" w:themeColor="text1"/>
          <w:sz w:val="24"/>
          <w:szCs w:val="24"/>
          <w:highlight w:val="none"/>
        </w:rPr>
        <w:t xml:space="preserve">的得1分；具有</w:t>
      </w:r>
      <w:r>
        <w:rPr>
          <w:rFonts w:hint="eastAsia" w:ascii="宋体" w:hAnsi="宋体"/>
          <w:color w:val="000000" w:themeColor="text1"/>
          <w:sz w:val="24"/>
          <w:szCs w:val="20"/>
          <w:highlight w:val="none"/>
        </w:rPr>
        <w:t xml:space="preserve">服务器虚拟化认证工程师（VCP）证书的得1分；具有</w:t>
      </w:r>
      <w:r>
        <w:rPr>
          <w:rFonts w:hint="eastAsia" w:ascii="宋体" w:hAnsi="宋体"/>
          <w:color w:val="000000" w:themeColor="text1"/>
          <w:sz w:val="24"/>
          <w:szCs w:val="24"/>
          <w:highlight w:val="none"/>
        </w:rPr>
        <w:t xml:space="preserve">数据安全评估师（DSA）证书的得1分</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须提供相关证书扫描件，否则不得分。</w:t>
      </w:r>
      <w:r>
        <w:rPr>
          <w:rFonts w:hint="eastAsia"/>
          <w:color w:val="000000" w:themeColor="text1"/>
          <w:sz w:val="24"/>
          <w:szCs w:val="24"/>
          <w:highlight w:val="none"/>
        </w:rPr>
        <w:t xml:space="preserve">（一人多证的不重复得分）</w:t>
      </w:r>
      <w:r>
        <w:rPr>
          <w:rFonts w:hint="eastAsia" w:ascii="宋体" w:hAnsi="宋体"/>
          <w:color w:val="000000" w:themeColor="text1"/>
          <w:sz w:val="24"/>
          <w:szCs w:val="24"/>
          <w:highlight w:val="none"/>
        </w:rPr>
      </w:r>
      <w:r>
        <w:rPr>
          <w:color w:val="000000" w:themeColor="text1"/>
          <w:highlight w:val="none"/>
        </w:rPr>
      </w:r>
    </w:p>
    <w:p>
      <w:pPr>
        <w:pStyle w:val="952"/>
        <w:numPr>
          <w:ilvl w:val="4"/>
          <w:numId w:val="0"/>
        </w:numPr>
        <w:ind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3.投标人综合情况（4分）：</w:t>
      </w:r>
      <w:r>
        <w:rPr>
          <w:rFonts w:ascii="宋体" w:hAnsi="宋体"/>
          <w:b/>
          <w:bCs/>
          <w:color w:val="000000" w:themeColor="text1"/>
          <w:sz w:val="24"/>
          <w:szCs w:val="24"/>
          <w:highlight w:val="none"/>
        </w:rPr>
      </w:r>
      <w:r>
        <w:rPr>
          <w:color w:val="000000" w:themeColor="text1"/>
          <w:highlight w:val="none"/>
        </w:rPr>
      </w:r>
    </w:p>
    <w:p>
      <w:pPr>
        <w:pStyle w:val="952"/>
        <w:ind w:firstLine="482"/>
        <w:spacing w:line="360" w:lineRule="auto"/>
        <w:tabs>
          <w:tab w:val="left" w:pos="945" w:leader="none"/>
          <w:tab w:val="left" w:pos="1155" w:leader="none"/>
        </w:tabs>
        <w:rPr>
          <w:rFonts w:hint="eastAsia" w:ascii="宋体" w:hAnsi="宋体" w:cs="宋体"/>
          <w:color w:val="000000" w:themeColor="text1"/>
          <w:sz w:val="24"/>
          <w:szCs w:val="24"/>
          <w:highlight w:val="none"/>
        </w:rPr>
      </w:pPr>
      <w:r>
        <w:rPr>
          <w:rFonts w:hint="eastAsia" w:ascii="宋体" w:hAnsi="宋体"/>
          <w:b/>
          <w:bCs/>
          <w:color w:val="000000" w:themeColor="text1"/>
          <w:sz w:val="24"/>
          <w:szCs w:val="24"/>
          <w:highlight w:val="none"/>
        </w:rPr>
        <w:t xml:space="preserve">3.1 业绩(2分)：</w:t>
      </w:r>
      <w:r>
        <w:rPr>
          <w:rFonts w:hint="eastAsia" w:ascii="宋体" w:hAnsi="宋体" w:cs="宋体"/>
          <w:color w:val="000000" w:themeColor="text1"/>
          <w:sz w:val="24"/>
          <w:szCs w:val="24"/>
          <w:highlight w:val="none"/>
        </w:rPr>
        <w:t xml:space="preserve">投标人自2022年1月1日以来（以合同签订日期为准）具有与本项目同类的案例，每提供一份有效合同得1分，最高不超过2分；合同扫描件上传至投标系统中，否则不得分。</w:t>
      </w:r>
      <w:r>
        <w:rPr>
          <w:rFonts w:hint="eastAsia" w:ascii="宋体" w:hAnsi="宋体" w:cs="宋体"/>
          <w:color w:val="000000" w:themeColor="text1"/>
          <w:sz w:val="24"/>
          <w:szCs w:val="24"/>
          <w:highlight w:val="none"/>
        </w:rPr>
      </w:r>
      <w:r>
        <w:rPr>
          <w:color w:val="000000" w:themeColor="text1"/>
          <w:highlight w:val="none"/>
        </w:rPr>
      </w:r>
    </w:p>
    <w:p>
      <w:pPr>
        <w:pStyle w:val="952"/>
        <w:ind w:firstLine="482"/>
        <w:spacing w:line="500" w:lineRule="exact"/>
        <w:rPr>
          <w:rFonts w:hint="eastAsia" w:ascii="宋体" w:hAnsi="宋体"/>
          <w:color w:val="000000" w:themeColor="text1"/>
          <w:sz w:val="24"/>
          <w:szCs w:val="24"/>
          <w:highlight w:val="none"/>
        </w:rPr>
      </w:pPr>
      <w:r>
        <w:rPr>
          <w:rFonts w:hint="eastAsia" w:ascii="宋体" w:hAnsi="宋体" w:cs="宋体"/>
          <w:b/>
          <w:bCs/>
          <w:color w:val="000000" w:themeColor="text1"/>
          <w:sz w:val="24"/>
          <w:szCs w:val="24"/>
          <w:highlight w:val="none"/>
        </w:rPr>
        <w:t xml:space="preserve">3.2 </w:t>
      </w:r>
      <w:r>
        <w:rPr>
          <w:rFonts w:hint="eastAsia" w:ascii="宋体" w:hAnsi="宋体"/>
          <w:b/>
          <w:bCs/>
          <w:color w:val="000000" w:themeColor="text1"/>
          <w:sz w:val="24"/>
          <w:szCs w:val="24"/>
          <w:highlight w:val="none"/>
        </w:rPr>
        <w:t xml:space="preserve">体系认证证书（2分）</w:t>
      </w:r>
      <w:r>
        <w:rPr>
          <w:rFonts w:hint="eastAsia" w:ascii="宋体" w:hAnsi="宋体"/>
          <w:color w:val="000000" w:themeColor="text1"/>
          <w:sz w:val="24"/>
          <w:szCs w:val="24"/>
          <w:highlight w:val="none"/>
        </w:rPr>
        <w:t xml:space="preserve">：投标人具有有效期内的</w:t>
      </w:r>
      <w:r>
        <w:rPr>
          <w:rFonts w:hint="eastAsia" w:ascii="宋体" w:hAnsi="宋体"/>
          <w:color w:val="000000" w:themeColor="text1"/>
          <w:sz w:val="24"/>
          <w:szCs w:val="20"/>
          <w:highlight w:val="none"/>
        </w:rPr>
        <w:t xml:space="preserve">数据存储安全管理体系证</w:t>
      </w:r>
      <w:r>
        <w:rPr>
          <w:rFonts w:hint="eastAsia" w:ascii="宋体" w:hAnsi="宋体"/>
          <w:color w:val="000000" w:themeColor="text1"/>
          <w:sz w:val="24"/>
          <w:szCs w:val="24"/>
          <w:highlight w:val="none"/>
        </w:rPr>
        <w:t xml:space="preserve">书、数据治理安全管理体系认证证书，</w:t>
      </w:r>
      <w:r>
        <w:rPr>
          <w:rFonts w:hint="eastAsia" w:ascii="宋体" w:hAnsi="宋体"/>
          <w:color w:val="000000" w:themeColor="text1"/>
          <w:sz w:val="24"/>
          <w:szCs w:val="20"/>
          <w:highlight w:val="none"/>
        </w:rPr>
        <w:t xml:space="preserve">有一项得1分，最高得2分；</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投标时</w:t>
      </w:r>
      <w:r>
        <w:rPr>
          <w:rFonts w:hint="eastAsia" w:ascii="宋体" w:hAnsi="宋体" w:cs="宋体"/>
          <w:color w:val="000000" w:themeColor="text1"/>
          <w:sz w:val="24"/>
          <w:szCs w:val="24"/>
          <w:highlight w:val="none"/>
        </w:rPr>
        <w:t xml:space="preserve">需提供相关证书扫描件，同时还须提供该证书在“国家市场监督管理总局-全国认证认可信息公共服务平台”网站查询到的有效认证截图）</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983"/>
        <w:ind w:firstLine="482"/>
        <w:rPr>
          <w:rFonts w:hint="eastAsia" w:ascii="宋体" w:hAnsi="宋体" w:eastAsia="宋体"/>
          <w:color w:val="000000" w:themeColor="text1"/>
          <w:sz w:val="24"/>
          <w:szCs w:val="24"/>
          <w:highlight w:val="none"/>
        </w:rPr>
      </w:pPr>
      <w:r>
        <w:rPr>
          <w:rFonts w:hint="eastAsia" w:ascii="宋体" w:hAnsi="宋体" w:eastAsia="宋体"/>
          <w:b/>
          <w:bCs/>
          <w:color w:val="000000" w:themeColor="text1"/>
          <w:sz w:val="24"/>
          <w:szCs w:val="24"/>
          <w:highlight w:val="none"/>
          <w:lang w:val="en-US" w:eastAsia="zh-CN"/>
        </w:rPr>
        <w:t xml:space="preserve"> 4.</w:t>
      </w:r>
      <w:r>
        <w:rPr>
          <w:rFonts w:hint="eastAsia" w:ascii="宋体" w:hAnsi="宋体" w:eastAsia="宋体"/>
          <w:b/>
          <w:bCs/>
          <w:color w:val="000000" w:themeColor="text1"/>
          <w:sz w:val="24"/>
          <w:szCs w:val="24"/>
          <w:highlight w:val="none"/>
          <w:lang w:eastAsia="zh-CN"/>
        </w:rPr>
        <w:t xml:space="preserve">产品技术（</w:t>
      </w:r>
      <w:r>
        <w:rPr>
          <w:rFonts w:hint="eastAsia" w:ascii="宋体" w:hAnsi="宋体" w:eastAsia="宋体"/>
          <w:b/>
          <w:bCs/>
          <w:color w:val="000000" w:themeColor="text1"/>
          <w:sz w:val="24"/>
          <w:szCs w:val="24"/>
          <w:highlight w:val="none"/>
          <w:lang w:val="en-US" w:eastAsia="zh-CN"/>
        </w:rPr>
        <w:t xml:space="preserve">9</w:t>
      </w:r>
      <w:r>
        <w:rPr>
          <w:rFonts w:hint="eastAsia" w:ascii="宋体" w:hAnsi="宋体" w:eastAsia="宋体"/>
          <w:b/>
          <w:bCs/>
          <w:color w:val="000000" w:themeColor="text1"/>
          <w:sz w:val="24"/>
          <w:szCs w:val="24"/>
          <w:highlight w:val="none"/>
          <w:lang w:eastAsia="zh-CN"/>
        </w:rPr>
        <w:t xml:space="preserve">分）</w:t>
      </w:r>
      <w:r>
        <w:rPr>
          <w:rFonts w:hint="eastAsia" w:ascii="宋体" w:hAnsi="宋体" w:eastAsia="宋体"/>
          <w:b/>
          <w:bCs/>
          <w:color w:val="000000" w:themeColor="text1"/>
          <w:sz w:val="24"/>
          <w:szCs w:val="24"/>
          <w:highlight w:val="none"/>
          <w:lang w:val="en-US" w:eastAsia="zh-CN"/>
        </w:rPr>
        <w:t xml:space="preserve">:</w:t>
      </w:r>
      <w:r>
        <w:rPr>
          <w:rFonts w:hint="eastAsia" w:ascii="宋体" w:hAnsi="宋体" w:eastAsia="宋体"/>
          <w:color w:val="000000" w:themeColor="text1"/>
          <w:sz w:val="24"/>
          <w:szCs w:val="24"/>
          <w:highlight w:val="none"/>
          <w:lang w:eastAsia="zh-CN"/>
        </w:rPr>
        <w:t xml:space="preserve">考察所报产品的性能、产品质量等是否优越（重点考察产品的综合性能指标，以各种技术、性能参数为准），在满足招标文件要求的基础上，</w:t>
      </w:r>
      <w:r>
        <w:rPr>
          <w:rFonts w:hint="eastAsia" w:ascii="宋体" w:hAnsi="宋体" w:eastAsia="宋体"/>
          <w:color w:val="000000" w:themeColor="text1"/>
          <w:sz w:val="24"/>
          <w:szCs w:val="24"/>
          <w:highlight w:val="none"/>
          <w:lang w:eastAsia="zh-CN"/>
        </w:rPr>
        <w:t xml:space="preserve">满足以下条件并提供相应证明材料的</w:t>
      </w:r>
      <w:r>
        <w:rPr>
          <w:rFonts w:hint="eastAsia" w:ascii="宋体" w:hAnsi="宋体" w:eastAsia="宋体"/>
          <w:color w:val="000000" w:themeColor="text1"/>
          <w:sz w:val="24"/>
          <w:szCs w:val="24"/>
          <w:highlight w:val="none"/>
          <w:lang w:val="en-US" w:eastAsia="zh-CN"/>
        </w:rPr>
        <w:t xml:space="preserve">复印件</w:t>
      </w:r>
      <w:r>
        <w:rPr>
          <w:rFonts w:hint="eastAsia" w:ascii="宋体" w:hAnsi="宋体" w:eastAsia="宋体"/>
          <w:color w:val="000000" w:themeColor="text1"/>
          <w:sz w:val="24"/>
          <w:szCs w:val="24"/>
          <w:highlight w:val="none"/>
          <w:lang w:eastAsia="zh-CN"/>
        </w:rPr>
        <w:t xml:space="preserve">，否则不得分。</w:t>
      </w:r>
      <w:r>
        <w:rPr>
          <w:rFonts w:hint="eastAsia" w:ascii="宋体" w:hAnsi="宋体" w:eastAsia="宋体"/>
          <w:color w:val="000000" w:themeColor="text1"/>
          <w:sz w:val="24"/>
          <w:szCs w:val="24"/>
          <w:highlight w:val="none"/>
          <w:lang w:eastAsia="zh-CN"/>
        </w:rPr>
      </w:r>
      <w:r>
        <w:rPr>
          <w:color w:val="000000" w:themeColor="text1"/>
          <w:highlight w:val="none"/>
        </w:rPr>
      </w:r>
    </w:p>
    <w:p>
      <w:pPr>
        <w:pStyle w:val="952"/>
        <w:ind w:firstLine="482"/>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4.1数字音频处理器（话筒处理器）（1分</w:t>
      </w:r>
      <w:r>
        <w:rPr>
          <w:rFonts w:hint="eastAsia" w:ascii="宋体" w:hAnsi="宋体"/>
          <w:color w:val="000000" w:themeColor="text1"/>
          <w:sz w:val="24"/>
          <w:szCs w:val="24"/>
          <w:highlight w:val="none"/>
        </w:rPr>
        <w:t xml:space="preserve">）：所投产品支持2路卡侬XLR输出，1组RCA线路输出；支持4路卡侬XLR和TRS复合接口输入，每路输入支持独立48V幻象供电开关，每路输入支持独立音量控制，独立信号电平显示。内置16段均衡设置，每段均衡均可独立设置调节，支持一键复位设置、一键直通、实时保存。支持手势控制，可以实现对设备的无接触操作和控制。得1分。（投标时须提供带有“CMA和CNAS”标识的检测机构出具的检测报告复印件。）</w:t>
      </w:r>
      <w:r>
        <w:rPr>
          <w:rFonts w:hint="eastAsia" w:ascii="宋体" w:hAnsi="宋体"/>
          <w:color w:val="000000" w:themeColor="text1"/>
          <w:sz w:val="24"/>
          <w:szCs w:val="24"/>
          <w:highlight w:val="none"/>
        </w:rPr>
      </w:r>
      <w:r>
        <w:rPr>
          <w:color w:val="000000" w:themeColor="text1"/>
          <w:highlight w:val="none"/>
        </w:rPr>
      </w:r>
    </w:p>
    <w:p>
      <w:pPr>
        <w:pStyle w:val="952"/>
        <w:ind w:firstLine="482"/>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4.2  5G布控球-自动白平衡功能（1分）</w:t>
      </w:r>
      <w:r>
        <w:rPr>
          <w:rFonts w:hint="eastAsia" w:ascii="宋体" w:hAnsi="宋体"/>
          <w:color w:val="000000" w:themeColor="text1"/>
          <w:sz w:val="24"/>
          <w:szCs w:val="24"/>
          <w:highlight w:val="none"/>
        </w:rPr>
        <w:t xml:space="preserve">：所投产品支持自动白平衡功能，当使用环境实际色温在2800K～10000K范围内变化时，摄像机应能自动调整白平衡，使输出图像准确重现出观察场景的实际色彩；支持2.4G/5G，可通过Wi-Fi接入无线网络，也可将自身设置为WiFi热点，支持通过手机或PAD直连访问操作；内置双拾音器，具备降噪功能；内置麦克风。得1分。（投标时须提供带有“CMA和CNAS”标识的检测机构出具的检测报告复印件，并加盖原厂商公章。）</w:t>
      </w:r>
      <w:r>
        <w:rPr>
          <w:rFonts w:hint="eastAsia" w:ascii="宋体" w:hAnsi="宋体"/>
          <w:color w:val="000000" w:themeColor="text1"/>
          <w:sz w:val="24"/>
          <w:szCs w:val="24"/>
          <w:highlight w:val="none"/>
        </w:rPr>
      </w:r>
      <w:r>
        <w:rPr>
          <w:color w:val="000000" w:themeColor="text1"/>
          <w:highlight w:val="none"/>
        </w:rPr>
      </w:r>
    </w:p>
    <w:p>
      <w:pPr>
        <w:pStyle w:val="952"/>
        <w:ind w:firstLine="482"/>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4.3  5G布控球-支持预览界面等功能（1分）</w:t>
      </w:r>
      <w:r>
        <w:rPr>
          <w:rFonts w:hint="eastAsia" w:ascii="宋体" w:hAnsi="宋体"/>
          <w:color w:val="000000" w:themeColor="text1"/>
          <w:sz w:val="24"/>
          <w:szCs w:val="24"/>
          <w:highlight w:val="none"/>
        </w:rPr>
        <w:t xml:space="preserve">：所投产品支持预览界面显示红、绿、黑三种状态；支持循环播报及关联语音报警输出，支持不少于5个循环文件播报，支持不少于5个语音报警输出功能，支持自定义语音播报；内置北斗模块，支持通过单北斗模式获取定位信息。得1分。（投标时须提供带有“CMA和CNAS”标识的检测机构出具的检测报告复印件，并加盖原厂商公章。）</w:t>
      </w:r>
      <w:r>
        <w:rPr>
          <w:rFonts w:hint="eastAsia" w:ascii="宋体" w:hAnsi="宋体"/>
          <w:color w:val="000000" w:themeColor="text1"/>
          <w:sz w:val="24"/>
          <w:szCs w:val="24"/>
          <w:highlight w:val="none"/>
        </w:rPr>
      </w:r>
      <w:r>
        <w:rPr>
          <w:color w:val="000000" w:themeColor="text1"/>
          <w:highlight w:val="none"/>
        </w:rPr>
      </w:r>
    </w:p>
    <w:p>
      <w:pPr>
        <w:pStyle w:val="952"/>
        <w:ind w:firstLine="482"/>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4.4 磁盘阵列-支持安全防护功能（1分）</w:t>
      </w:r>
      <w:r>
        <w:rPr>
          <w:rFonts w:hint="eastAsia" w:ascii="宋体" w:hAnsi="宋体"/>
          <w:color w:val="000000" w:themeColor="text1"/>
          <w:sz w:val="24"/>
          <w:szCs w:val="24"/>
          <w:highlight w:val="none"/>
        </w:rPr>
        <w:t xml:space="preserve">：所投产品支持安全防护功能，包括病毒防御（病毒查杀、文件实时监控、恶意行为监控、U盘保护、下载</w:t>
      </w:r>
      <w:r>
        <w:rPr>
          <w:rFonts w:hint="eastAsia" w:ascii="宋体" w:hAnsi="宋体"/>
          <w:color w:val="000000" w:themeColor="text1"/>
          <w:sz w:val="24"/>
          <w:szCs w:val="24"/>
          <w:highlight w:val="none"/>
        </w:rPr>
        <w:t xml:space="preserve">保护、邮件监控）；系统防御（浏览器保护、软件安装拦截、系统加固）；网络防御（黑客入侵拦截、IP协议控制、恶意网站拦截、IP黑名单）；文档安全（文档检测、文档跟踪、USB存储）；系统监控（设备监控、进程监控、软件监控、服务监控、账号监控、外联监控）；其他设置（心跳配置、管理员配置、升级配置、白名单、补丁配置、弹窗配置）；阻止无文本攻击、流氓软件、广告程序对系统的恶意篡改等行为。从系统文件保护、病毒免疫、进程保护、注册表保护、危险动作拦截、执行防护等多个维度对系统进行防护。得1分。（投标时须提供产品功能截图证明</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并加盖原厂商公章</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r>
      <w:r>
        <w:rPr>
          <w:color w:val="000000" w:themeColor="text1"/>
          <w:highlight w:val="none"/>
        </w:rPr>
      </w:r>
    </w:p>
    <w:p>
      <w:pPr>
        <w:pStyle w:val="952"/>
        <w:ind w:firstLine="482"/>
        <w:spacing w:line="360" w:lineRule="auto"/>
        <w:tabs>
          <w:tab w:val="left" w:pos="945" w:leader="none"/>
          <w:tab w:val="left" w:pos="1155" w:leader="none"/>
        </w:tabs>
        <w:rPr>
          <w:rFonts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4.5 磁盘阵列-支持审计日志功能（1分）</w:t>
      </w:r>
      <w:r>
        <w:rPr>
          <w:rFonts w:hint="eastAsia" w:ascii="宋体" w:hAnsi="宋体"/>
          <w:color w:val="000000" w:themeColor="text1"/>
          <w:sz w:val="24"/>
          <w:szCs w:val="24"/>
          <w:highlight w:val="none"/>
        </w:rPr>
        <w:t xml:space="preserve">：所投产品支持审计日志功能，能够记录用户关键活动和操作行为，包括登录和注销、增加/删除用户和用户属性的变更、角色权限变更、系统配置参数的修改等。得1分。（投标时须提供产品功能截图证明</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952"/>
        <w:ind w:firstLine="482"/>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cs="宋体"/>
          <w:b/>
          <w:bCs/>
          <w:color w:val="000000" w:themeColor="text1"/>
          <w:sz w:val="24"/>
          <w:szCs w:val="24"/>
          <w:highlight w:val="none"/>
        </w:rPr>
        <w:t xml:space="preserve">4.6  </w:t>
      </w:r>
      <w:r>
        <w:rPr>
          <w:rFonts w:hint="eastAsia" w:ascii="宋体" w:hAnsi="宋体"/>
          <w:b/>
          <w:bCs/>
          <w:color w:val="000000" w:themeColor="text1"/>
          <w:sz w:val="24"/>
          <w:szCs w:val="24"/>
          <w:highlight w:val="none"/>
        </w:rPr>
        <w:t xml:space="preserve">AC控制器-分类计费功能（1分）</w:t>
      </w:r>
      <w:r>
        <w:rPr>
          <w:rFonts w:hint="eastAsia" w:ascii="宋体" w:hAnsi="宋体"/>
          <w:color w:val="000000" w:themeColor="text1"/>
          <w:sz w:val="24"/>
          <w:szCs w:val="24"/>
          <w:highlight w:val="none"/>
        </w:rPr>
        <w:t xml:space="preserve">：所投产品无线软件平台满足802.1X、Portal用户分类计费功能：AC、AP满足精细化管理认证用户，无线控制器对接入用户（比如：802.1X认证、Portal认证）进行IPV4、IPv6分类分网段计费。得1分。（投标时须提供带有“CMA”标识的检测机构出具的检验报告复印件章。）</w:t>
      </w:r>
      <w:r>
        <w:rPr>
          <w:rFonts w:hint="eastAsia" w:ascii="宋体" w:hAnsi="宋体"/>
          <w:color w:val="000000" w:themeColor="text1"/>
          <w:sz w:val="24"/>
          <w:szCs w:val="24"/>
          <w:highlight w:val="none"/>
        </w:rPr>
      </w:r>
      <w:r>
        <w:rPr>
          <w:color w:val="000000" w:themeColor="text1"/>
          <w:highlight w:val="none"/>
        </w:rPr>
      </w:r>
    </w:p>
    <w:p>
      <w:pPr>
        <w:pStyle w:val="952"/>
        <w:ind w:firstLine="482"/>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4.7 AC控制器-认证逃生功能（1分）</w:t>
      </w:r>
      <w:r>
        <w:rPr>
          <w:rFonts w:hint="eastAsia" w:ascii="宋体" w:hAnsi="宋体"/>
          <w:color w:val="000000" w:themeColor="text1"/>
          <w:sz w:val="24"/>
          <w:szCs w:val="24"/>
          <w:highlight w:val="none"/>
        </w:rPr>
        <w:t xml:space="preserve">：所投产品无线软件平台支持Portal认证逃生功能：AC、AP满足Portal认证逃生，得0.5分；支持RemoteAP功能：AC、AP满足RemoteAP功能，当AC不可达造成AP离线时，AP能够继续维持原有用户不下线，新用户仍可以接入网络保证业务正常，得0.5分。（投标时须提供带有“CMA”标识的检测机构出具的检验报告复印件章。）</w:t>
      </w:r>
      <w:r>
        <w:rPr>
          <w:rFonts w:hint="eastAsia" w:ascii="宋体" w:hAnsi="宋体"/>
          <w:color w:val="000000" w:themeColor="text1"/>
          <w:sz w:val="24"/>
          <w:szCs w:val="24"/>
          <w:highlight w:val="none"/>
        </w:rPr>
      </w:r>
      <w:r>
        <w:rPr>
          <w:color w:val="000000" w:themeColor="text1"/>
          <w:highlight w:val="none"/>
        </w:rPr>
      </w:r>
    </w:p>
    <w:p>
      <w:pPr>
        <w:pStyle w:val="952"/>
        <w:ind w:firstLine="482"/>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4.8  AC控制器-快速漫游（1分）</w:t>
      </w:r>
      <w:r>
        <w:rPr>
          <w:rFonts w:hint="eastAsia" w:ascii="宋体" w:hAnsi="宋体"/>
          <w:color w:val="000000" w:themeColor="text1"/>
          <w:sz w:val="24"/>
          <w:szCs w:val="24"/>
          <w:highlight w:val="none"/>
        </w:rPr>
        <w:t xml:space="preserve">：所投产品无线软件平台AC、AP满足802.1X用户在大规模组网AC间快速漫游满足dot1x认证AC间快速漫游，终端漫游到新的AC后无需再次进行认证。减轻服务器压力同时保证终端快速接入，可满足10台以上的AC间快速漫游。得1分。（投标时须提供带有“CMA”标识的检测机构出具的检验报告复印件。）</w:t>
      </w:r>
      <w:r>
        <w:rPr>
          <w:rFonts w:hint="eastAsia" w:ascii="宋体" w:hAnsi="宋体"/>
          <w:color w:val="000000" w:themeColor="text1"/>
          <w:sz w:val="24"/>
          <w:szCs w:val="24"/>
          <w:highlight w:val="none"/>
        </w:rPr>
      </w:r>
      <w:r>
        <w:rPr>
          <w:color w:val="000000" w:themeColor="text1"/>
          <w:highlight w:val="none"/>
        </w:rPr>
      </w:r>
    </w:p>
    <w:p>
      <w:pPr>
        <w:pStyle w:val="983"/>
        <w:ind w:firstLine="482"/>
        <w:rPr>
          <w:rFonts w:hint="eastAsia" w:ascii="宋体" w:hAnsi="宋体" w:eastAsia="宋体"/>
          <w:color w:val="000000" w:themeColor="text1"/>
          <w:sz w:val="24"/>
          <w:szCs w:val="24"/>
          <w:highlight w:val="none"/>
        </w:rPr>
      </w:pPr>
      <w:r>
        <w:rPr>
          <w:rFonts w:hint="eastAsia" w:ascii="宋体" w:hAnsi="宋体" w:eastAsia="宋体"/>
          <w:b/>
          <w:bCs/>
          <w:color w:val="000000" w:themeColor="text1"/>
          <w:sz w:val="24"/>
          <w:szCs w:val="24"/>
          <w:highlight w:val="none"/>
          <w:lang w:val="en-US" w:eastAsia="zh-CN"/>
        </w:rPr>
        <w:t xml:space="preserve">4.9 无线</w:t>
      </w:r>
      <w:r>
        <w:rPr>
          <w:rFonts w:hint="eastAsia" w:ascii="宋体" w:hAnsi="宋体" w:eastAsia="宋体"/>
          <w:b/>
          <w:bCs/>
          <w:color w:val="000000" w:themeColor="text1"/>
          <w:sz w:val="24"/>
          <w:szCs w:val="24"/>
          <w:highlight w:val="none"/>
          <w:lang w:eastAsia="zh-CN"/>
        </w:rPr>
        <w:t xml:space="preserve">AP（1分）</w:t>
      </w:r>
      <w:r>
        <w:rPr>
          <w:rFonts w:hint="eastAsia" w:ascii="宋体" w:hAnsi="宋体" w:eastAsia="宋体"/>
          <w:color w:val="000000" w:themeColor="text1"/>
          <w:sz w:val="24"/>
          <w:szCs w:val="24"/>
          <w:highlight w:val="none"/>
          <w:lang w:eastAsia="zh-CN"/>
        </w:rPr>
        <w:t xml:space="preserve">：所投产品无线AP软件平台支持</w:t>
      </w:r>
      <w:r>
        <w:rPr>
          <w:rFonts w:ascii="宋体" w:hAnsi="宋体" w:eastAsia="宋体"/>
          <w:color w:val="000000" w:themeColor="text1"/>
          <w:sz w:val="24"/>
          <w:szCs w:val="24"/>
          <w:highlight w:val="none"/>
          <w:lang w:eastAsia="zh-CN"/>
        </w:rPr>
        <w:t xml:space="preserve">WLAN</w:t>
      </w:r>
      <w:r>
        <w:rPr>
          <w:rFonts w:hint="eastAsia" w:ascii="宋体" w:hAnsi="宋体" w:eastAsia="宋体"/>
          <w:color w:val="000000" w:themeColor="text1"/>
          <w:sz w:val="24"/>
          <w:szCs w:val="24"/>
          <w:highlight w:val="none"/>
          <w:lang w:eastAsia="zh-CN"/>
        </w:rPr>
        <w:t xml:space="preserve">上行链路检测功能，实时监测上行链路的可行性，当上行链路不可达时，将射频关闭，避免终端连接到不可用的网络。当上行链路恢复时，射频自动开启，无线终端可以正常接入。</w:t>
      </w:r>
      <w:r>
        <w:rPr>
          <w:rFonts w:hint="eastAsia" w:ascii="宋体" w:hAnsi="宋体" w:eastAsia="宋体"/>
          <w:color w:val="000000" w:themeColor="text1"/>
          <w:sz w:val="24"/>
          <w:szCs w:val="24"/>
          <w:highlight w:val="none"/>
          <w:lang w:val="en-US" w:eastAsia="zh-CN"/>
        </w:rPr>
        <w:t xml:space="preserve">得</w:t>
      </w:r>
      <w:r>
        <w:rPr>
          <w:rFonts w:hint="eastAsia" w:ascii="宋体" w:hAnsi="宋体" w:eastAsia="宋体"/>
          <w:color w:val="000000" w:themeColor="text1"/>
          <w:sz w:val="24"/>
          <w:szCs w:val="24"/>
          <w:highlight w:val="none"/>
          <w:lang w:eastAsia="zh-CN"/>
        </w:rPr>
        <w:t xml:space="preserve">1分。（</w:t>
      </w:r>
      <w:r>
        <w:rPr>
          <w:rFonts w:hint="eastAsia" w:ascii="宋体" w:hAnsi="宋体" w:eastAsia="宋体"/>
          <w:color w:val="000000" w:themeColor="text1"/>
          <w:sz w:val="24"/>
          <w:szCs w:val="24"/>
          <w:highlight w:val="none"/>
          <w:lang w:val="en-US" w:eastAsia="zh-CN"/>
        </w:rPr>
        <w:t xml:space="preserve">投标时须</w:t>
      </w:r>
      <w:r>
        <w:rPr>
          <w:rFonts w:hint="eastAsia" w:ascii="宋体" w:hAnsi="宋体" w:eastAsia="宋体"/>
          <w:color w:val="000000" w:themeColor="text1"/>
          <w:sz w:val="24"/>
          <w:szCs w:val="24"/>
          <w:highlight w:val="none"/>
          <w:lang w:eastAsia="zh-CN"/>
        </w:rPr>
        <w:t xml:space="preserve">提供</w:t>
      </w:r>
      <w:r>
        <w:rPr>
          <w:rFonts w:hint="eastAsia" w:ascii="宋体" w:hAnsi="宋体" w:eastAsia="宋体"/>
          <w:color w:val="000000" w:themeColor="text1"/>
          <w:sz w:val="24"/>
          <w:szCs w:val="24"/>
          <w:highlight w:val="none"/>
          <w:lang w:val="en-US" w:eastAsia="zh-CN"/>
        </w:rPr>
        <w:t xml:space="preserve">带有“CMA”标识的检测机构出具的检验报告复印件。</w:t>
      </w:r>
      <w:r>
        <w:rPr>
          <w:rFonts w:hint="eastAsia" w:ascii="宋体" w:hAnsi="宋体" w:eastAsia="宋体"/>
          <w:color w:val="000000" w:themeColor="text1"/>
          <w:sz w:val="24"/>
          <w:szCs w:val="24"/>
          <w:highlight w:val="none"/>
          <w:lang w:eastAsia="zh-CN"/>
        </w:rPr>
        <w:t xml:space="preserve">）</w:t>
      </w:r>
      <w:r>
        <w:rPr>
          <w:rFonts w:hint="eastAsia" w:ascii="宋体" w:hAnsi="宋体" w:eastAsia="宋体"/>
          <w:color w:val="000000" w:themeColor="text1"/>
          <w:sz w:val="24"/>
          <w:szCs w:val="24"/>
          <w:highlight w:val="none"/>
          <w:lang w:eastAsia="zh-CN"/>
        </w:rPr>
      </w:r>
      <w:r>
        <w:rPr>
          <w:color w:val="000000" w:themeColor="text1"/>
          <w:highlight w:val="none"/>
        </w:rPr>
      </w:r>
    </w:p>
    <w:p>
      <w:pPr>
        <w:pStyle w:val="952"/>
        <w:ind w:firstLine="482"/>
        <w:spacing w:line="360" w:lineRule="auto"/>
        <w:tabs>
          <w:tab w:val="left" w:pos="945" w:leader="none"/>
          <w:tab w:val="left" w:pos="1155" w:leader="none"/>
        </w:tabs>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5. 节能、环保产品（2分）：</w:t>
      </w:r>
      <w:r>
        <w:rPr>
          <w:rFonts w:hint="eastAsia" w:ascii="宋体" w:hAnsi="宋体"/>
          <w:color w:val="000000" w:themeColor="text1"/>
          <w:sz w:val="24"/>
          <w:szCs w:val="24"/>
          <w:highlight w:val="none"/>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hint="eastAsia" w:ascii="宋体" w:hAnsi="宋体"/>
          <w:color w:val="000000" w:themeColor="text1"/>
          <w:sz w:val="24"/>
          <w:szCs w:val="24"/>
          <w:highlight w:val="none"/>
        </w:rPr>
      </w:r>
      <w:r>
        <w:rPr>
          <w:color w:val="000000" w:themeColor="text1"/>
          <w:highlight w:val="none"/>
        </w:rPr>
      </w:r>
    </w:p>
    <w:p>
      <w:pPr>
        <w:pStyle w:val="952"/>
        <w:ind w:firstLine="482"/>
        <w:jc w:val="left"/>
        <w:spacing w:line="500" w:lineRule="exact"/>
        <w:tabs>
          <w:tab w:val="left" w:pos="1440" w:leader="none"/>
        </w:tabs>
        <w:rPr>
          <w:rFonts w:hint="eastAsia" w:ascii="宋体" w:hAnsi="宋体"/>
          <w:b/>
          <w:bCs/>
          <w:color w:val="000000" w:themeColor="text1"/>
          <w:sz w:val="24"/>
          <w:szCs w:val="24"/>
          <w:highlight w:val="none"/>
        </w:rPr>
        <w:outlineLvl w:val="0"/>
      </w:pPr>
      <w:r>
        <w:rPr>
          <w:rFonts w:hint="eastAsia" w:ascii="宋体" w:hAnsi="宋体"/>
          <w:b/>
          <w:bCs/>
          <w:color w:val="000000" w:themeColor="text1"/>
          <w:sz w:val="24"/>
          <w:szCs w:val="24"/>
          <w:highlight w:val="none"/>
        </w:rPr>
        <w:t xml:space="preserve">6. 项目方案（40分）：</w:t>
      </w:r>
      <w:r>
        <w:rPr>
          <w:rFonts w:hint="eastAsia" w:ascii="宋体" w:hAnsi="宋体"/>
          <w:b/>
          <w:bCs/>
          <w:color w:val="000000" w:themeColor="text1"/>
          <w:sz w:val="24"/>
          <w:szCs w:val="24"/>
          <w:highlight w:val="none"/>
        </w:rPr>
      </w:r>
      <w:r>
        <w:rPr>
          <w:color w:val="000000" w:themeColor="text1"/>
          <w:highlight w:val="none"/>
        </w:rPr>
      </w:r>
    </w:p>
    <w:p>
      <w:pPr>
        <w:pStyle w:val="952"/>
        <w:ind w:firstLine="482"/>
        <w:spacing w:line="360" w:lineRule="auto"/>
        <w:tabs>
          <w:tab w:val="left" w:pos="945" w:leader="none"/>
          <w:tab w:val="left" w:pos="1155" w:leader="none"/>
        </w:tabs>
        <w:rPr>
          <w:rFonts w:hint="eastAsia" w:ascii="宋体" w:hAnsi="宋体" w:cs="宋体"/>
          <w:color w:val="000000" w:themeColor="text1"/>
          <w:sz w:val="24"/>
          <w:szCs w:val="20"/>
          <w:highlight w:val="none"/>
        </w:rPr>
      </w:pPr>
      <w:r>
        <w:rPr>
          <w:rFonts w:hint="eastAsia" w:ascii="宋体" w:hAnsi="宋体"/>
          <w:b/>
          <w:bCs/>
          <w:color w:val="000000" w:themeColor="text1"/>
          <w:sz w:val="24"/>
          <w:szCs w:val="24"/>
          <w:highlight w:val="none"/>
        </w:rPr>
        <w:t xml:space="preserve">6.1</w:t>
      </w:r>
      <w:r>
        <w:rPr>
          <w:rFonts w:hint="eastAsia" w:ascii="宋体" w:hAnsi="宋体"/>
          <w:b/>
          <w:color w:val="000000" w:themeColor="text1"/>
          <w:sz w:val="24"/>
          <w:szCs w:val="24"/>
          <w:highlight w:val="none"/>
        </w:rPr>
        <w:t xml:space="preserve">总体设计（10分）</w:t>
      </w:r>
      <w:r>
        <w:rPr>
          <w:rFonts w:hint="eastAsia" w:ascii="宋体" w:hAnsi="宋体"/>
          <w:color w:val="000000" w:themeColor="text1"/>
          <w:sz w:val="24"/>
          <w:szCs w:val="24"/>
          <w:highlight w:val="none"/>
        </w:rPr>
        <w:t xml:space="preserve">：针对本项目包段建设内容，</w:t>
      </w:r>
      <w:r>
        <w:rPr>
          <w:rFonts w:hint="eastAsia" w:ascii="宋体" w:hAnsi="宋体" w:cs="宋体"/>
          <w:color w:val="000000" w:themeColor="text1"/>
          <w:sz w:val="24"/>
          <w:szCs w:val="20"/>
          <w:highlight w:val="none"/>
        </w:rPr>
        <w:t xml:space="preserve">考</w:t>
      </w:r>
      <w:r>
        <w:rPr>
          <w:rFonts w:hint="eastAsia" w:ascii="宋体" w:hAnsi="宋体" w:cs="宋体"/>
          <w:color w:val="000000" w:themeColor="text1"/>
          <w:sz w:val="24"/>
          <w:szCs w:val="20"/>
          <w:highlight w:val="none"/>
        </w:rPr>
        <w:t xml:space="preserve">察投标人的总体设计方案情况，内容包括：</w:t>
      </w:r>
      <w:r>
        <w:rPr>
          <w:rFonts w:hint="eastAsia" w:ascii="宋体" w:hAnsi="宋体" w:cs="宋体"/>
          <w:color w:val="000000" w:themeColor="text1"/>
          <w:sz w:val="24"/>
          <w:szCs w:val="24"/>
          <w:highlight w:val="none"/>
        </w:rPr>
        <w:t xml:space="preserve">①会商、网络及软件</w:t>
      </w:r>
      <w:r>
        <w:rPr>
          <w:rFonts w:hint="eastAsia" w:ascii="宋体" w:hAnsi="宋体" w:cs="宋体"/>
          <w:color w:val="000000" w:themeColor="text1"/>
          <w:sz w:val="24"/>
          <w:szCs w:val="20"/>
          <w:highlight w:val="none"/>
        </w:rPr>
        <w:t xml:space="preserve">建设内容理解；</w:t>
      </w:r>
      <w:r>
        <w:rPr>
          <w:rFonts w:hint="eastAsia" w:ascii="宋体" w:hAnsi="宋体" w:cs="宋体"/>
          <w:color w:val="000000" w:themeColor="text1"/>
          <w:sz w:val="24"/>
          <w:szCs w:val="24"/>
          <w:highlight w:val="none"/>
        </w:rPr>
        <w:t xml:space="preserve">②无线</w:t>
      </w:r>
      <w:r>
        <w:rPr>
          <w:rFonts w:hint="eastAsia" w:ascii="宋体" w:hAnsi="宋体"/>
          <w:color w:val="000000" w:themeColor="text1"/>
          <w:sz w:val="24"/>
          <w:highlight w:val="none"/>
        </w:rPr>
        <w:t xml:space="preserve">网络架构、</w:t>
      </w:r>
      <w:r>
        <w:rPr>
          <w:rFonts w:hint="eastAsia" w:ascii="宋体" w:hAnsi="宋体" w:cs="宋体"/>
          <w:color w:val="000000" w:themeColor="text1"/>
          <w:sz w:val="24"/>
          <w:szCs w:val="20"/>
          <w:highlight w:val="none"/>
        </w:rPr>
        <w:t xml:space="preserve">安全系统架构、会商系统架构</w:t>
      </w:r>
      <w:r>
        <w:rPr>
          <w:rFonts w:hint="eastAsia" w:ascii="宋体" w:hAnsi="宋体"/>
          <w:color w:val="000000" w:themeColor="text1"/>
          <w:sz w:val="24"/>
          <w:highlight w:val="none"/>
        </w:rPr>
        <w:t xml:space="preserve">关联性分析；③总体规划架构图及建设说明</w:t>
      </w:r>
      <w:r>
        <w:rPr>
          <w:rFonts w:hint="eastAsia" w:ascii="宋体" w:hAnsi="宋体" w:cs="宋体"/>
          <w:color w:val="000000" w:themeColor="text1"/>
          <w:sz w:val="24"/>
          <w:szCs w:val="20"/>
          <w:highlight w:val="none"/>
        </w:rPr>
        <w:t xml:space="preserve">。</w:t>
      </w:r>
      <w:r>
        <w:rPr>
          <w:rFonts w:hint="eastAsia" w:ascii="宋体" w:hAnsi="宋体" w:cs="宋体"/>
          <w:color w:val="000000" w:themeColor="text1"/>
          <w:sz w:val="24"/>
          <w:szCs w:val="20"/>
          <w:highlight w:val="none"/>
        </w:rPr>
      </w:r>
      <w:r>
        <w:rPr>
          <w:color w:val="000000" w:themeColor="text1"/>
          <w:highlight w:val="none"/>
        </w:rPr>
      </w:r>
    </w:p>
    <w:p>
      <w:pPr>
        <w:pStyle w:val="952"/>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方案完整，科学合理，设计清晰详细，完全符合本项目需求，且能够提供上述3项全部方案的，得10分；方案较完整，科学合理性较强，设计较清晰详细，能够符合本项目需求，能够提供上述2-3项方案的，得8分；方案完整性一般，科学合理性一般，设计清晰详细程度一般，能够符合本项目需求，能够提供上述1-3项方案的，得6分；方案完整性、科学合理性、设计的清晰详细程度等只能基本满足要求，能够提供上述1-3项方案的，得4分；无方案的，不得分。</w:t>
      </w:r>
      <w:r>
        <w:rPr>
          <w:rFonts w:hint="eastAsia" w:ascii="宋体" w:hAnsi="宋体"/>
          <w:color w:val="000000" w:themeColor="text1"/>
          <w:sz w:val="24"/>
          <w:highlight w:val="none"/>
        </w:rPr>
      </w:r>
      <w:r>
        <w:rPr>
          <w:color w:val="000000" w:themeColor="text1"/>
          <w:highlight w:val="none"/>
        </w:rPr>
      </w:r>
    </w:p>
    <w:p>
      <w:pPr>
        <w:pStyle w:val="952"/>
        <w:ind w:firstLine="482"/>
        <w:jc w:val="left"/>
        <w:spacing w:line="500" w:lineRule="exact"/>
        <w:tabs>
          <w:tab w:val="left" w:pos="1440" w:leader="none"/>
        </w:tabs>
        <w:rPr>
          <w:rFonts w:ascii="宋体" w:hAnsi="宋体"/>
          <w:color w:val="000000" w:themeColor="text1"/>
          <w:sz w:val="24"/>
          <w:highlight w:val="none"/>
        </w:rPr>
        <w:outlineLvl w:val="0"/>
      </w:pPr>
      <w:r>
        <w:rPr>
          <w:rFonts w:hint="eastAsia" w:ascii="宋体" w:hAnsi="宋体"/>
          <w:b/>
          <w:bCs/>
          <w:color w:val="000000" w:themeColor="text1"/>
          <w:sz w:val="24"/>
          <w:highlight w:val="none"/>
        </w:rPr>
        <w:t xml:space="preserve">6.2</w:t>
      </w:r>
      <w:r>
        <w:rPr>
          <w:rFonts w:hint="eastAsia" w:ascii="宋体" w:hAnsi="宋体"/>
          <w:b/>
          <w:bCs/>
          <w:color w:val="000000" w:themeColor="text1"/>
          <w:sz w:val="24"/>
          <w:szCs w:val="24"/>
          <w:highlight w:val="none"/>
        </w:rPr>
        <w:t xml:space="preserve">分系统方案设计（15分）</w:t>
      </w:r>
      <w:r>
        <w:rPr>
          <w:rFonts w:hint="eastAsia" w:ascii="宋体" w:hAnsi="宋体"/>
          <w:color w:val="000000" w:themeColor="text1"/>
          <w:sz w:val="24"/>
          <w:szCs w:val="24"/>
          <w:highlight w:val="none"/>
        </w:rPr>
        <w:t xml:space="preserve">：针对本项目包段建设内容，考察投标人的分系统方案设计情况，内容包括：</w:t>
      </w:r>
      <w:r>
        <w:rPr>
          <w:rFonts w:hint="eastAsia" w:ascii="宋体" w:hAnsi="宋体" w:cs="宋体"/>
          <w:color w:val="000000" w:themeColor="text1"/>
          <w:sz w:val="24"/>
          <w:szCs w:val="24"/>
          <w:highlight w:val="none"/>
        </w:rPr>
        <w:t xml:space="preserve">①网络及存储系统更新方案；②会商系统更新方案；③水情信息查询软件完善方案</w:t>
      </w:r>
      <w:r>
        <w:rPr>
          <w:rFonts w:hint="eastAsia" w:ascii="宋体" w:hAnsi="宋体"/>
          <w:color w:val="000000" w:themeColor="text1"/>
          <w:sz w:val="24"/>
          <w:szCs w:val="24"/>
          <w:highlight w:val="none"/>
        </w:rPr>
        <w:t xml:space="preserve">。</w:t>
      </w:r>
      <w:r>
        <w:rPr>
          <w:rFonts w:ascii="宋体" w:hAnsi="宋体"/>
          <w:color w:val="000000" w:themeColor="text1"/>
          <w:sz w:val="24"/>
          <w:highlight w:val="none"/>
        </w:rPr>
      </w:r>
      <w:r>
        <w:rPr>
          <w:color w:val="000000" w:themeColor="text1"/>
          <w:highlight w:val="none"/>
        </w:rPr>
      </w:r>
    </w:p>
    <w:p>
      <w:pPr>
        <w:pStyle w:val="952"/>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方案完整，科学合理，设计清晰详细，完全符合本项目需求，且能够提供上述3项全部方案的，得15分；方案较完整，科学合理性较强，设计较清晰详细，能够符合本项目需求，能够提供上述2-3项方案的，得12分；方案完整性一般，科学合理性一般，设计清晰详细程度一般，能够符合本项目需求，能够提供上述1-3项方案的，得9分；方案完整性、科学合理性、设计的清晰详细程度等只能基本满足要求，能够提供上述1-3项方案的，得6分；无方案的，不得分。</w:t>
      </w:r>
      <w:r>
        <w:rPr>
          <w:rFonts w:hint="eastAsia" w:ascii="宋体" w:hAnsi="宋体"/>
          <w:color w:val="000000" w:themeColor="text1"/>
          <w:sz w:val="24"/>
          <w:highlight w:val="none"/>
        </w:rPr>
      </w:r>
      <w:r>
        <w:rPr>
          <w:color w:val="000000" w:themeColor="text1"/>
          <w:highlight w:val="none"/>
        </w:rPr>
      </w:r>
    </w:p>
    <w:p>
      <w:pPr>
        <w:pStyle w:val="952"/>
        <w:ind w:firstLine="480"/>
        <w:spacing w:line="360" w:lineRule="auto"/>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6.3</w:t>
      </w:r>
      <w:r>
        <w:rPr>
          <w:rFonts w:hint="eastAsia" w:ascii="宋体" w:hAnsi="宋体" w:cs="宋体"/>
          <w:b/>
          <w:bCs/>
          <w:color w:val="000000" w:themeColor="text1"/>
          <w:sz w:val="24"/>
          <w:szCs w:val="20"/>
          <w:highlight w:val="none"/>
        </w:rPr>
        <w:t xml:space="preserve">项目管理方案（5分）</w:t>
      </w:r>
      <w:r>
        <w:rPr>
          <w:rFonts w:hint="eastAsia" w:ascii="宋体" w:hAnsi="宋体" w:cs="宋体"/>
          <w:color w:val="000000" w:themeColor="text1"/>
          <w:sz w:val="24"/>
          <w:szCs w:val="20"/>
          <w:highlight w:val="none"/>
        </w:rPr>
        <w:t xml:space="preserve">：</w:t>
      </w:r>
      <w:r>
        <w:rPr>
          <w:rFonts w:hint="eastAsia" w:ascii="宋体" w:hAnsi="宋体"/>
          <w:color w:val="000000" w:themeColor="text1"/>
          <w:sz w:val="24"/>
          <w:szCs w:val="24"/>
          <w:highlight w:val="none"/>
        </w:rPr>
        <w:t xml:space="preserve">针对本项目包段建设内容，</w:t>
      </w:r>
      <w:r>
        <w:rPr>
          <w:rFonts w:hint="eastAsia" w:ascii="宋体" w:hAnsi="宋体"/>
          <w:color w:val="000000" w:themeColor="text1"/>
          <w:sz w:val="24"/>
          <w:highlight w:val="none"/>
        </w:rPr>
        <w:t xml:space="preserve">考</w:t>
      </w:r>
      <w:r>
        <w:rPr>
          <w:rFonts w:hint="eastAsia" w:ascii="宋体" w:hAnsi="宋体"/>
          <w:color w:val="000000" w:themeColor="text1"/>
          <w:sz w:val="24"/>
          <w:highlight w:val="none"/>
        </w:rPr>
        <w:t xml:space="preserve">察投标人的项目管理方案情况，内容包括：①实施进度计划；②质量保证体系；③质量保证措施；④验收方案。根据方案内容情况进行综合打分。</w:t>
      </w:r>
      <w:r>
        <w:rPr>
          <w:rFonts w:hint="eastAsia" w:ascii="宋体" w:hAnsi="宋体"/>
          <w:color w:val="000000" w:themeColor="text1"/>
          <w:sz w:val="24"/>
          <w:highlight w:val="none"/>
        </w:rPr>
      </w:r>
      <w:r>
        <w:rPr>
          <w:color w:val="000000" w:themeColor="text1"/>
          <w:highlight w:val="none"/>
        </w:rPr>
      </w:r>
    </w:p>
    <w:p>
      <w:pPr>
        <w:pStyle w:val="983"/>
        <w:ind w:firstLine="480"/>
        <w:rPr>
          <w:rFonts w:hint="eastAsia"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lang w:val="en-US" w:eastAsia="zh-CN"/>
        </w:rPr>
        <w:t xml:space="preserve">方案完整，科学合理，设计清晰详细，完全符合本项目需求，且能够提供上述4项全部方案的，得5分；方案较完整，科学合理性较强，设计较清晰详细，能够符合本项目需求，能够提供上述2-3项方案的，得4分；方案完整性一般，科学合理性一般，设计清晰详细程度一般，能够符合本项目需求，能够提供上述1-3项方案的，得3分；方案完整性、科学合理性、设计的清晰详细程度等只能基本满足要求，能够提供上述1-3项方案的，得2分；无方案的，不得分。</w:t>
      </w:r>
      <w:r>
        <w:rPr>
          <w:rFonts w:hint="eastAsia" w:ascii="宋体" w:hAnsi="宋体" w:eastAsia="宋体"/>
          <w:color w:val="000000" w:themeColor="text1"/>
          <w:sz w:val="24"/>
          <w:szCs w:val="21"/>
          <w:highlight w:val="none"/>
          <w:lang w:val="en-US" w:eastAsia="zh-CN"/>
        </w:rPr>
      </w:r>
      <w:r>
        <w:rPr>
          <w:color w:val="000000" w:themeColor="text1"/>
          <w:highlight w:val="none"/>
        </w:rPr>
      </w:r>
    </w:p>
    <w:p>
      <w:pPr>
        <w:pStyle w:val="952"/>
        <w:ind w:firstLine="480"/>
        <w:spacing w:line="360" w:lineRule="auto"/>
        <w:tabs>
          <w:tab w:val="left" w:pos="945" w:leader="none"/>
          <w:tab w:val="left" w:pos="1155" w:leader="none"/>
        </w:tabs>
        <w:rPr>
          <w:rFonts w:hint="eastAsia" w:ascii="宋体" w:hAnsi="宋体"/>
          <w:color w:val="000000" w:themeColor="text1"/>
          <w:sz w:val="24"/>
          <w:highlight w:val="none"/>
        </w:rPr>
      </w:pPr>
      <w:r>
        <w:rPr>
          <w:rFonts w:hint="eastAsia" w:ascii="宋体" w:hAnsi="宋体" w:cs="宋体"/>
          <w:b/>
          <w:bCs/>
          <w:color w:val="000000" w:themeColor="text1"/>
          <w:sz w:val="24"/>
          <w:szCs w:val="20"/>
          <w:highlight w:val="none"/>
        </w:rPr>
        <w:t xml:space="preserve">6.4培训方案（5分）</w:t>
      </w:r>
      <w:r>
        <w:rPr>
          <w:rFonts w:hint="eastAsia" w:ascii="宋体" w:hAnsi="宋体" w:cs="宋体"/>
          <w:color w:val="000000" w:themeColor="text1"/>
          <w:sz w:val="24"/>
          <w:szCs w:val="20"/>
          <w:highlight w:val="none"/>
        </w:rPr>
        <w:t xml:space="preserve">：</w:t>
      </w:r>
      <w:r>
        <w:rPr>
          <w:rFonts w:hint="eastAsia" w:ascii="宋体" w:hAnsi="宋体"/>
          <w:color w:val="000000" w:themeColor="text1"/>
          <w:sz w:val="24"/>
          <w:szCs w:val="24"/>
          <w:highlight w:val="none"/>
        </w:rPr>
        <w:t xml:space="preserve">针对本项目包段建设内容，</w:t>
      </w:r>
      <w:r>
        <w:rPr>
          <w:rFonts w:hint="eastAsia" w:ascii="宋体" w:hAnsi="宋体"/>
          <w:color w:val="000000" w:themeColor="text1"/>
          <w:sz w:val="24"/>
          <w:highlight w:val="none"/>
        </w:rPr>
        <w:t xml:space="preserve">考察投</w:t>
      </w:r>
      <w:r>
        <w:rPr>
          <w:rFonts w:hint="eastAsia" w:ascii="宋体" w:hAnsi="宋体"/>
          <w:color w:val="000000" w:themeColor="text1"/>
          <w:sz w:val="24"/>
          <w:highlight w:val="none"/>
        </w:rPr>
        <w:t xml:space="preserve">标人的培训方案情况，内容包括：①培训人员；②培训计划；③培训内容安排。根据方案内容情况进行综合打分。</w:t>
      </w:r>
      <w:r>
        <w:rPr>
          <w:rFonts w:hint="eastAsia" w:ascii="宋体" w:hAnsi="宋体"/>
          <w:color w:val="000000" w:themeColor="text1"/>
          <w:sz w:val="24"/>
          <w:highlight w:val="none"/>
        </w:rPr>
      </w:r>
      <w:r>
        <w:rPr>
          <w:color w:val="000000" w:themeColor="text1"/>
          <w:highlight w:val="none"/>
        </w:rPr>
      </w:r>
    </w:p>
    <w:p>
      <w:pPr>
        <w:pStyle w:val="983"/>
        <w:ind w:firstLine="480"/>
        <w:rPr>
          <w:rFonts w:hint="eastAsia"/>
          <w:color w:val="000000" w:themeColor="text1"/>
          <w:highlight w:val="none"/>
        </w:rPr>
      </w:pPr>
      <w:r>
        <w:rPr>
          <w:rFonts w:hint="eastAsia" w:ascii="宋体" w:hAnsi="宋体" w:eastAsia="宋体"/>
          <w:color w:val="000000" w:themeColor="text1"/>
          <w:sz w:val="24"/>
          <w:szCs w:val="21"/>
          <w:highlight w:val="none"/>
          <w:lang w:val="en-US" w:eastAsia="zh-CN"/>
        </w:rPr>
        <w:t xml:space="preserve">方案完整，科学合理，设计清晰详细，完全符合本项目需求，且能够提供上述3项全部方案的，得5分；方案较完整，科学合理性较强，设计较清晰详细，能够符合本项目需求，能够提供上述2-3项方案的，得4分；方案完整性一般，科学合理性一般，设计清晰详细程度一般，能够符合本项目需求，能够提供上述1-3项方案的，得3分；方案完整性、科学合理性、设计的清晰详细程度等只能基本满足要求，能够提供上述1-3项方案的，得2分；无方案的，不得分。</w:t>
      </w:r>
      <w:r>
        <w:rPr>
          <w:rFonts w:hint="eastAsia"/>
          <w:color w:val="000000" w:themeColor="text1"/>
          <w:highlight w:val="none"/>
        </w:rPr>
      </w:r>
      <w:r>
        <w:rPr>
          <w:color w:val="000000" w:themeColor="text1"/>
          <w:highlight w:val="none"/>
        </w:rPr>
      </w:r>
    </w:p>
    <w:p>
      <w:pPr>
        <w:pStyle w:val="952"/>
        <w:ind w:firstLine="480"/>
        <w:spacing w:line="360" w:lineRule="auto"/>
        <w:tabs>
          <w:tab w:val="left" w:pos="945" w:leader="none"/>
          <w:tab w:val="left" w:pos="1155" w:leader="none"/>
        </w:tabs>
        <w:rPr>
          <w:rFonts w:hint="eastAsia" w:ascii="宋体" w:hAnsi="宋体"/>
          <w:color w:val="000000" w:themeColor="text1"/>
          <w:sz w:val="24"/>
          <w:highlight w:val="none"/>
        </w:rPr>
      </w:pPr>
      <w:r>
        <w:rPr>
          <w:rFonts w:hint="eastAsia" w:ascii="宋体" w:hAnsi="宋体" w:cs="宋体"/>
          <w:b/>
          <w:bCs/>
          <w:color w:val="000000" w:themeColor="text1"/>
          <w:sz w:val="24"/>
          <w:szCs w:val="24"/>
          <w:highlight w:val="none"/>
        </w:rPr>
        <w:t xml:space="preserve">6.5售后服务方案（5分）</w:t>
      </w:r>
      <w:r>
        <w:rPr>
          <w:rFonts w:hint="eastAsia" w:ascii="宋体" w:hAnsi="宋体" w:cs="宋体"/>
          <w:color w:val="000000" w:themeColor="text1"/>
          <w:sz w:val="24"/>
          <w:szCs w:val="24"/>
          <w:highlight w:val="none"/>
        </w:rPr>
        <w:t xml:space="preserve">：</w:t>
      </w:r>
      <w:r>
        <w:rPr>
          <w:rFonts w:hint="eastAsia" w:ascii="宋体" w:hAnsi="宋体"/>
          <w:color w:val="000000" w:themeColor="text1"/>
          <w:sz w:val="24"/>
          <w:szCs w:val="24"/>
          <w:highlight w:val="none"/>
        </w:rPr>
        <w:t xml:space="preserve">针对本项目包段建设内容，</w:t>
      </w:r>
      <w:r>
        <w:rPr>
          <w:rFonts w:hint="eastAsia" w:ascii="宋体" w:hAnsi="宋体"/>
          <w:color w:val="000000" w:themeColor="text1"/>
          <w:sz w:val="24"/>
          <w:highlight w:val="none"/>
        </w:rPr>
        <w:t xml:space="preserve">考察</w:t>
      </w:r>
      <w:r>
        <w:rPr>
          <w:rFonts w:hint="eastAsia" w:ascii="宋体" w:hAnsi="宋体"/>
          <w:color w:val="000000" w:themeColor="text1"/>
          <w:sz w:val="24"/>
          <w:highlight w:val="none"/>
        </w:rPr>
        <w:t xml:space="preserve">投标人的售后服务方案情况，内容包括：①故障响应时间；②售后维护保障。根据方案内容情况进行综合打分。</w:t>
      </w:r>
      <w:r>
        <w:rPr>
          <w:rFonts w:hint="eastAsia" w:ascii="宋体" w:hAnsi="宋体"/>
          <w:color w:val="000000" w:themeColor="text1"/>
          <w:sz w:val="24"/>
          <w:highlight w:val="none"/>
        </w:rPr>
      </w:r>
      <w:r>
        <w:rPr>
          <w:color w:val="000000" w:themeColor="text1"/>
          <w:highlight w:val="none"/>
        </w:rPr>
      </w:r>
    </w:p>
    <w:p>
      <w:pPr>
        <w:pStyle w:val="952"/>
        <w:ind w:firstLine="480"/>
        <w:jc w:val="left"/>
        <w:spacing w:line="500" w:lineRule="exact"/>
        <w:tabs>
          <w:tab w:val="left" w:pos="1440" w:leader="none"/>
        </w:tabs>
        <w:rPr>
          <w:rFonts w:hint="eastAsia" w:ascii="黑体" w:hAnsi="黑体" w:eastAsia="黑体"/>
          <w:color w:val="000000" w:themeColor="text1"/>
          <w:sz w:val="36"/>
          <w:szCs w:val="36"/>
          <w:highlight w:val="none"/>
        </w:rPr>
        <w:outlineLvl w:val="0"/>
      </w:pPr>
      <w:r>
        <w:rPr>
          <w:rFonts w:hint="eastAsia" w:ascii="宋体" w:hAnsi="宋体"/>
          <w:color w:val="000000" w:themeColor="text1"/>
          <w:sz w:val="24"/>
          <w:highlight w:val="none"/>
        </w:rPr>
        <w:t xml:space="preserve">方案完整，科学合理，设计清晰详细，完全符合本项目需求，且能够提供上述2项全部方案的，得5分；方案较完整，科学合理性较强，设计较清晰详细，能够符合本项目需求，能够提供上述2项方案的，得4分；方案完整性一般，科学合理性一般，设计清晰详细程度一般，能够符合本项目需求，能够提供上述1-2项方案的，得3分；方案完整性、科学合理性、设计的清晰详细程度等只能基本满足要求，能够提供上述1-2项方案的，得2分；无方案的，不得分。</w:t>
      </w:r>
      <w:r>
        <w:rPr>
          <w:rFonts w:ascii="宋体" w:hAnsi="宋体"/>
          <w:color w:val="000000" w:themeColor="text1"/>
          <w:highlight w:val="none"/>
        </w:rPr>
        <w:br w:type="page" w:clear="all"/>
      </w:r>
      <w:r>
        <w:rPr>
          <w:rFonts w:hint="eastAsia" w:ascii="黑体" w:hAnsi="黑体" w:eastAsia="黑体"/>
          <w:color w:val="000000" w:themeColor="text1"/>
          <w:sz w:val="36"/>
          <w:szCs w:val="36"/>
          <w:highlight w:val="none"/>
        </w:rPr>
        <w:t xml:space="preserve">第六章  </w:t>
      </w:r>
      <w:bookmarkEnd w:id="191"/>
      <w:r>
        <w:rPr>
          <w:color w:val="000000" w:themeColor="text1"/>
          <w:highlight w:val="none"/>
        </w:rPr>
      </w:r>
      <w:bookmarkEnd w:id="192"/>
      <w:r>
        <w:rPr>
          <w:color w:val="000000" w:themeColor="text1"/>
          <w:highlight w:val="none"/>
        </w:rPr>
      </w:r>
      <w:bookmarkEnd w:id="195"/>
      <w:r>
        <w:rPr>
          <w:rFonts w:hint="eastAsia" w:ascii="黑体" w:hAnsi="黑体" w:eastAsia="黑体"/>
          <w:color w:val="000000" w:themeColor="text1"/>
          <w:sz w:val="36"/>
          <w:szCs w:val="36"/>
          <w:highlight w:val="none"/>
        </w:rPr>
        <w:t xml:space="preserve">投标文件内容与格式</w:t>
      </w:r>
      <w:r>
        <w:rPr>
          <w:rFonts w:hint="eastAsia" w:ascii="黑体" w:hAnsi="黑体" w:eastAsia="黑体"/>
          <w:color w:val="000000" w:themeColor="text1"/>
          <w:sz w:val="36"/>
          <w:szCs w:val="36"/>
          <w:highlight w:val="none"/>
        </w:rPr>
      </w:r>
      <w:r>
        <w:rPr>
          <w:color w:val="000000" w:themeColor="text1"/>
          <w:highlight w:val="none"/>
        </w:rPr>
      </w:r>
    </w:p>
    <w:p>
      <w:pPr>
        <w:pStyle w:val="1039"/>
        <w:ind w:firstLine="602"/>
        <w:spacing w:before="0" w:after="0" w:line="500" w:lineRule="exact"/>
        <w:rPr>
          <w:rFonts w:hint="eastAsia" w:cs="Arial"/>
          <w:b/>
          <w:color w:val="000000" w:themeColor="text1"/>
          <w:sz w:val="30"/>
          <w:szCs w:val="30"/>
          <w:highlight w:val="none"/>
        </w:rPr>
      </w:pPr>
      <w:r>
        <w:rPr>
          <w:color w:val="000000" w:themeColor="text1"/>
          <w:highlight w:val="none"/>
        </w:rPr>
      </w:r>
      <w:bookmarkStart w:id="196" w:name="_Hlt26671244"/>
      <w:r>
        <w:rPr>
          <w:color w:val="000000" w:themeColor="text1"/>
          <w:highlight w:val="none"/>
        </w:rPr>
      </w:r>
      <w:bookmarkEnd w:id="196"/>
      <w:r>
        <w:rPr>
          <w:color w:val="000000" w:themeColor="text1"/>
          <w:highlight w:val="none"/>
        </w:rPr>
      </w:r>
      <w:bookmarkStart w:id="197" w:name="_Toc120614282"/>
      <w:r>
        <w:rPr>
          <w:color w:val="000000" w:themeColor="text1"/>
          <w:highlight w:val="none"/>
        </w:rPr>
      </w:r>
      <w:bookmarkStart w:id="198" w:name="_Toc26554094"/>
      <w:r>
        <w:rPr>
          <w:color w:val="000000" w:themeColor="text1"/>
          <w:highlight w:val="none"/>
        </w:rPr>
      </w:r>
      <w:bookmarkStart w:id="199" w:name="_Toc49090576"/>
      <w:r>
        <w:rPr>
          <w:color w:val="000000" w:themeColor="text1"/>
          <w:highlight w:val="none"/>
        </w:rPr>
      </w:r>
      <w:bookmarkStart w:id="200" w:name="_Hlt26955039"/>
      <w:r>
        <w:rPr>
          <w:color w:val="000000" w:themeColor="text1"/>
          <w:highlight w:val="none"/>
        </w:rPr>
      </w:r>
      <w:bookmarkEnd w:id="200"/>
      <w:r>
        <w:rPr>
          <w:rFonts w:hint="eastAsia" w:cs="Arial"/>
          <w:b/>
          <w:color w:val="000000" w:themeColor="text1"/>
          <w:sz w:val="30"/>
          <w:szCs w:val="30"/>
          <w:highlight w:val="none"/>
        </w:rPr>
        <w:t xml:space="preserve">第一部分  投标文件内容</w:t>
      </w:r>
      <w:r>
        <w:rPr>
          <w:rFonts w:hint="eastAsia" w:cs="Arial"/>
          <w:b/>
          <w:color w:val="000000" w:themeColor="text1"/>
          <w:sz w:val="30"/>
          <w:szCs w:val="30"/>
          <w:highlight w:val="none"/>
        </w:rPr>
      </w:r>
      <w:r>
        <w:rPr>
          <w:color w:val="000000" w:themeColor="text1"/>
          <w:highlight w:val="none"/>
        </w:rPr>
      </w:r>
    </w:p>
    <w:p>
      <w:pPr>
        <w:pStyle w:val="1039"/>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rPr>
          <w:rFonts w:hint="eastAsia" w:cs="Arial"/>
          <w:b/>
          <w:color w:val="000000" w:themeColor="text1"/>
          <w:sz w:val="28"/>
          <w:szCs w:val="28"/>
          <w:highlight w:val="none"/>
        </w:rPr>
      </w:r>
      <w:r>
        <w:rPr>
          <w:color w:val="000000" w:themeColor="text1"/>
          <w:highlight w:val="none"/>
        </w:rP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39"/>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rPr>
                <w:rFonts w:hint="eastAsia" w:ascii="宋体" w:hAnsi="宋体" w:cs="宋体"/>
                <w:b/>
                <w:color w:val="000000" w:themeColor="text1"/>
                <w:highlight w:val="none"/>
              </w:rPr>
            </w:r>
            <w:r>
              <w:rPr>
                <w:color w:val="000000" w:themeColor="text1"/>
                <w:highlight w:val="none"/>
              </w:rPr>
            </w:r>
          </w:p>
        </w:tc>
        <w:tc>
          <w:tcPr>
            <w:tcW w:w="6104" w:type="dxa"/>
            <w:vAlign w:val="center"/>
            <w:textDirection w:val="lrTb"/>
            <w:noWrap w:val="false"/>
          </w:tcPr>
          <w:p>
            <w:pPr>
              <w:pStyle w:val="1039"/>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rPr>
                <w:rFonts w:hint="eastAsia" w:ascii="宋体" w:hAnsi="宋体" w:cs="宋体"/>
                <w:b/>
                <w:color w:val="000000" w:themeColor="text1"/>
                <w:highlight w:val="none"/>
              </w:rPr>
            </w:r>
            <w:r>
              <w:rPr>
                <w:color w:val="000000" w:themeColor="text1"/>
                <w:highlight w:val="none"/>
              </w:rPr>
            </w:r>
          </w:p>
        </w:tc>
        <w:tc>
          <w:tcPr>
            <w:tcW w:w="2449" w:type="dxa"/>
            <w:vAlign w:val="center"/>
            <w:textDirection w:val="lrTb"/>
            <w:noWrap w:val="false"/>
          </w:tcPr>
          <w:p>
            <w:pPr>
              <w:pStyle w:val="1039"/>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rFonts w:hint="eastAsia" w:ascii="宋体" w:hAnsi="宋体" w:cs="宋体"/>
                <w:b/>
                <w:color w:val="000000" w:themeColor="text1"/>
                <w:highlight w:val="none"/>
              </w:rPr>
            </w:r>
            <w:r>
              <w:rPr>
                <w:color w:val="000000" w:themeColor="text1"/>
                <w:highlight w:val="none"/>
              </w:rPr>
            </w:r>
          </w:p>
        </w:tc>
      </w:tr>
      <w:tr>
        <w:trPr>
          <w:trHeight w:val="1335"/>
        </w:trPr>
        <w:tc>
          <w:tcPr>
            <w:tcW w:w="719" w:type="dxa"/>
            <w:vAlign w:val="center"/>
            <w:textDirection w:val="lrTb"/>
            <w:noWrap w:val="false"/>
          </w:tcPr>
          <w:p>
            <w:pPr>
              <w:pStyle w:val="103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103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color w:val="000000" w:themeColor="text1"/>
                <w:highlight w:val="none"/>
              </w:rPr>
            </w:r>
            <w:r>
              <w:rPr>
                <w:color w:val="000000" w:themeColor="text1"/>
                <w:highlight w:val="none"/>
              </w:rPr>
            </w:r>
          </w:p>
        </w:tc>
        <w:tc>
          <w:tcPr>
            <w:tcW w:w="2449" w:type="dxa"/>
            <w:vAlign w:val="center"/>
            <w:vMerge w:val="restart"/>
            <w:textDirection w:val="lrTb"/>
            <w:noWrap w:val="false"/>
          </w:tcPr>
          <w:p>
            <w:pPr>
              <w:pStyle w:val="1039"/>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rPr>
                <w:rFonts w:hint="eastAsia" w:ascii="宋体" w:hAnsi="宋体" w:cs="宋体"/>
                <w:color w:val="000000" w:themeColor="text1"/>
                <w:highlight w:val="none"/>
              </w:rPr>
            </w:r>
            <w:r>
              <w:rPr>
                <w:color w:val="000000" w:themeColor="text1"/>
                <w:highlight w:val="none"/>
              </w:rPr>
            </w:r>
          </w:p>
        </w:tc>
      </w:tr>
      <w:tr>
        <w:trPr>
          <w:trHeight w:val="812"/>
        </w:trPr>
        <w:tc>
          <w:tcPr>
            <w:tcW w:w="719" w:type="dxa"/>
            <w:vAlign w:val="center"/>
            <w:textDirection w:val="lrTb"/>
            <w:noWrap w:val="false"/>
          </w:tcPr>
          <w:p>
            <w:pPr>
              <w:pStyle w:val="103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103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1039"/>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103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103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8"/>
                <w:rFonts w:hint="eastAsia" w:ascii="宋体" w:hAnsi="宋体" w:cs="宋体"/>
                <w:color w:val="000000" w:themeColor="text1"/>
                <w:sz w:val="24"/>
                <w:szCs w:val="24"/>
                <w:highlight w:val="none"/>
              </w:rPr>
              <w:t xml:space="preserve">。</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1039"/>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103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103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1039"/>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103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103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1039"/>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103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103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1039"/>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03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1039"/>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满足中小企业政策的证明文件（如有中小企业政策要求的）。</w:t>
            </w:r>
            <w:r>
              <w:rPr>
                <w:rFonts w:hint="eastAsia" w:ascii="宋体" w:hAnsi="宋体" w:cs="宋体"/>
                <w:color w:val="000000" w:themeColor="text1"/>
                <w:highlight w:val="none"/>
              </w:rPr>
            </w:r>
            <w:r>
              <w:rPr>
                <w:color w:val="000000" w:themeColor="text1"/>
                <w:highlight w:val="none"/>
              </w:rPr>
            </w:r>
          </w:p>
        </w:tc>
        <w:tc>
          <w:tcPr>
            <w:tcW w:w="2449" w:type="dxa"/>
            <w:vAlign w:val="center"/>
            <w:textDirection w:val="lrTb"/>
            <w:noWrap w:val="false"/>
          </w:tcPr>
          <w:p>
            <w:pPr>
              <w:pStyle w:val="1039"/>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落实政府采购政策需满足的资格要求，详见第一章《投标邀请》</w:t>
            </w:r>
            <w:r>
              <w:rPr>
                <w:rFonts w:ascii="宋体" w:hAnsi="宋体" w:cs="宋体"/>
                <w:color w:val="000000" w:themeColor="text1"/>
                <w:highlight w:val="none"/>
              </w:rPr>
            </w:r>
            <w:r>
              <w:rPr>
                <w:color w:val="000000" w:themeColor="text1"/>
                <w:highlight w:val="none"/>
              </w:rPr>
            </w:r>
          </w:p>
        </w:tc>
      </w:tr>
      <w:tr>
        <w:trPr>
          <w:trHeight w:val="726"/>
        </w:trPr>
        <w:tc>
          <w:tcPr>
            <w:tcW w:w="719" w:type="dxa"/>
            <w:vAlign w:val="center"/>
            <w:textDirection w:val="lrTb"/>
            <w:noWrap w:val="false"/>
          </w:tcPr>
          <w:p>
            <w:pPr>
              <w:pStyle w:val="1039"/>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rPr>
                <w:rFonts w:hint="eastAsia" w:ascii="宋体" w:hAnsi="宋体" w:cs="宋体"/>
                <w:bCs/>
                <w:color w:val="000000" w:themeColor="text1"/>
                <w:highlight w:val="none"/>
              </w:rPr>
            </w:r>
            <w:r>
              <w:rPr>
                <w:color w:val="000000" w:themeColor="text1"/>
                <w:highlight w:val="none"/>
              </w:rPr>
            </w:r>
          </w:p>
        </w:tc>
        <w:tc>
          <w:tcPr>
            <w:tcW w:w="6104" w:type="dxa"/>
            <w:vAlign w:val="center"/>
            <w:textDirection w:val="lrTb"/>
            <w:noWrap w:val="false"/>
          </w:tcPr>
          <w:p>
            <w:pPr>
              <w:pStyle w:val="1039"/>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w:t>
            </w:r>
            <w:r>
              <w:rPr>
                <w:rFonts w:hint="eastAsia" w:ascii="宋体" w:hAnsi="宋体" w:cs="宋体"/>
                <w:bCs/>
                <w:color w:val="000000" w:themeColor="text1"/>
                <w:highlight w:val="none"/>
              </w:rPr>
              <w:t xml:space="preserve">如有</w:t>
            </w:r>
            <w:r>
              <w:rPr>
                <w:rFonts w:hint="eastAsia" w:ascii="宋体" w:hAnsi="宋体" w:cs="宋体"/>
                <w:color w:val="000000" w:themeColor="text1"/>
                <w:highlight w:val="none"/>
              </w:rPr>
              <w:t xml:space="preserve">特定资格要求的）。</w:t>
            </w:r>
            <w:r>
              <w:rPr>
                <w:rFonts w:hint="eastAsia" w:ascii="宋体" w:hAnsi="宋体" w:cs="宋体"/>
                <w:bCs/>
                <w:color w:val="000000" w:themeColor="text1"/>
                <w:highlight w:val="none"/>
              </w:rPr>
            </w:r>
            <w:r>
              <w:rPr>
                <w:color w:val="000000" w:themeColor="text1"/>
                <w:highlight w:val="none"/>
              </w:rPr>
            </w:r>
          </w:p>
        </w:tc>
        <w:tc>
          <w:tcPr>
            <w:tcW w:w="2449" w:type="dxa"/>
            <w:vAlign w:val="center"/>
            <w:textDirection w:val="lrTb"/>
            <w:noWrap w:val="false"/>
          </w:tcPr>
          <w:p>
            <w:pPr>
              <w:pStyle w:val="1039"/>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rPr>
                <w:rFonts w:hint="eastAsia" w:ascii="宋体" w:hAnsi="宋体" w:cs="宋体"/>
                <w:bCs/>
                <w:color w:val="000000" w:themeColor="text1"/>
                <w:highlight w:val="none"/>
              </w:rPr>
            </w:r>
            <w:r>
              <w:rPr>
                <w:color w:val="000000" w:themeColor="text1"/>
                <w:highlight w:val="none"/>
              </w:rPr>
            </w:r>
          </w:p>
        </w:tc>
      </w:tr>
      <w:tr>
        <w:trPr>
          <w:trHeight w:val="632"/>
        </w:trPr>
        <w:tc>
          <w:tcPr>
            <w:tcW w:w="719" w:type="dxa"/>
            <w:vAlign w:val="center"/>
            <w:textDirection w:val="lrTb"/>
            <w:noWrap w:val="false"/>
          </w:tcPr>
          <w:p>
            <w:pPr>
              <w:pStyle w:val="1039"/>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rPr>
                <w:rFonts w:hint="eastAsia" w:ascii="宋体" w:hAnsi="宋体" w:cs="宋体"/>
                <w:bCs/>
                <w:color w:val="000000" w:themeColor="text1"/>
                <w:highlight w:val="none"/>
              </w:rPr>
            </w:r>
            <w:r>
              <w:rPr>
                <w:color w:val="000000" w:themeColor="text1"/>
                <w:highlight w:val="none"/>
              </w:rPr>
            </w:r>
          </w:p>
        </w:tc>
        <w:tc>
          <w:tcPr>
            <w:gridSpan w:val="2"/>
            <w:tcW w:w="8553" w:type="dxa"/>
            <w:vAlign w:val="center"/>
            <w:textDirection w:val="lrTb"/>
            <w:noWrap w:val="false"/>
          </w:tcPr>
          <w:p>
            <w:pPr>
              <w:pStyle w:val="1039"/>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w:t>
            </w:r>
            <w:r>
              <w:rPr>
                <w:rFonts w:hint="eastAsia" w:ascii="宋体" w:hAnsi="宋体"/>
                <w:color w:val="000000" w:themeColor="text1"/>
                <w:highlight w:val="none"/>
              </w:rPr>
              <w:t xml:space="preserve">如接受联合体投标且投标人为联合体时须提供</w:t>
            </w:r>
            <w:r>
              <w:rPr>
                <w:rFonts w:hint="eastAsia" w:ascii="宋体" w:hAnsi="宋体" w:cs="宋体"/>
                <w:bCs/>
                <w:color w:val="000000" w:themeColor="text1"/>
                <w:highlight w:val="none"/>
              </w:rPr>
              <w:t xml:space="preserve">，格式自拟）。</w:t>
            </w:r>
            <w:r>
              <w:rPr>
                <w:rFonts w:hint="eastAsia" w:ascii="宋体" w:hAnsi="宋体" w:cs="宋体"/>
                <w:color w:val="000000" w:themeColor="text1"/>
                <w:highlight w:val="none"/>
              </w:rPr>
            </w:r>
            <w:r>
              <w:rPr>
                <w:color w:val="000000" w:themeColor="text1"/>
                <w:highlight w:val="none"/>
              </w:rPr>
            </w:r>
          </w:p>
        </w:tc>
      </w:tr>
    </w:tbl>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rFonts w:hint="eastAsia" w:ascii="宋体" w:hAnsi="宋体"/>
          <w:color w:val="000000" w:themeColor="text1"/>
          <w:sz w:val="24"/>
          <w:szCs w:val="24"/>
          <w:highlight w:val="none"/>
        </w:rPr>
      </w:r>
      <w:r>
        <w:rPr>
          <w:color w:val="000000" w:themeColor="text1"/>
          <w:highlight w:val="none"/>
        </w:rPr>
      </w:r>
    </w:p>
    <w:p>
      <w:pPr>
        <w:pStyle w:val="952"/>
        <w:numPr>
          <w:ilvl w:val="0"/>
          <w:numId w:val="33"/>
        </w:num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如遇年检、换证，则必须提供法定年检、换证单位出具的有效证明扫描件。</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），必须提供相关政策规定或相关单位出具的有效证明扫描件；如因新成立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themeColor="text1"/>
          <w:sz w:val="24"/>
          <w:szCs w:val="24"/>
          <w:highlight w:val="none"/>
        </w:rPr>
      </w:r>
      <w:r>
        <w:rPr>
          <w:color w:val="000000" w:themeColor="text1"/>
          <w:highlight w:val="none"/>
        </w:rPr>
      </w:r>
    </w:p>
    <w:p>
      <w:pPr>
        <w:pStyle w:val="952"/>
        <w:numPr>
          <w:ilvl w:val="0"/>
          <w:numId w:val="33"/>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themeColor="text1"/>
          <w:sz w:val="24"/>
          <w:szCs w:val="24"/>
          <w:highlight w:val="none"/>
        </w:rPr>
      </w:r>
      <w:r>
        <w:rPr>
          <w:color w:val="000000" w:themeColor="text1"/>
          <w:highlight w:val="none"/>
        </w:rPr>
      </w:r>
    </w:p>
    <w:p>
      <w:pPr>
        <w:pStyle w:val="952"/>
        <w:numPr>
          <w:ilvl w:val="0"/>
          <w:numId w:val="33"/>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rPr>
          <w:rFonts w:hint="eastAsia" w:ascii="宋体" w:hAnsi="宋体"/>
          <w:color w:val="000000" w:themeColor="text1"/>
          <w:sz w:val="24"/>
          <w:szCs w:val="24"/>
          <w:highlight w:val="none"/>
        </w:rPr>
      </w:r>
      <w:r>
        <w:rPr>
          <w:color w:val="000000" w:themeColor="text1"/>
          <w:highlight w:val="none"/>
        </w:rPr>
      </w:r>
    </w:p>
    <w:p>
      <w:pPr>
        <w:pStyle w:val="952"/>
        <w:numPr>
          <w:ilvl w:val="0"/>
          <w:numId w:val="33"/>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themeColor="text1"/>
          <w:sz w:val="24"/>
          <w:szCs w:val="24"/>
          <w:highlight w:val="none"/>
        </w:rPr>
      </w:r>
      <w:r>
        <w:rPr>
          <w:color w:val="000000" w:themeColor="text1"/>
          <w:highlight w:val="none"/>
        </w:rPr>
      </w:r>
    </w:p>
    <w:p>
      <w:pPr>
        <w:pStyle w:val="952"/>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rPr>
          <w:rFonts w:hint="eastAsia"/>
          <w:b/>
          <w:color w:val="000000" w:themeColor="text1"/>
          <w:sz w:val="28"/>
          <w:szCs w:val="28"/>
          <w:highlight w:val="none"/>
        </w:rPr>
      </w:r>
      <w:r>
        <w:rPr>
          <w:color w:val="000000" w:themeColor="text1"/>
          <w:highlight w:val="none"/>
        </w:rPr>
      </w:r>
    </w:p>
    <w:p>
      <w:pPr>
        <w:pStyle w:val="952"/>
        <w:rPr>
          <w:b/>
          <w:color w:val="000000" w:themeColor="text1"/>
          <w:sz w:val="28"/>
          <w:szCs w:val="28"/>
          <w:highlight w:val="none"/>
        </w:rPr>
      </w:pPr>
      <w:r>
        <w:rPr>
          <w:rFonts w:hint="eastAsia"/>
          <w:b/>
          <w:color w:val="000000" w:themeColor="text1"/>
          <w:sz w:val="28"/>
          <w:szCs w:val="28"/>
          <w:highlight w:val="none"/>
        </w:rPr>
        <w:t xml:space="preserve">（一）符合性证明文件</w:t>
      </w:r>
      <w:r>
        <w:rPr>
          <w:b/>
          <w:color w:val="000000" w:themeColor="text1"/>
          <w:sz w:val="28"/>
          <w:szCs w:val="28"/>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39"/>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rPr>
                <w:rFonts w:hint="eastAsia" w:cs="Arial"/>
                <w:b/>
                <w:color w:val="000000" w:themeColor="text1"/>
                <w:highlight w:val="none"/>
              </w:rPr>
            </w:r>
            <w:r>
              <w:rPr>
                <w:color w:val="000000" w:themeColor="text1"/>
                <w:highlight w:val="none"/>
              </w:rPr>
            </w:r>
          </w:p>
        </w:tc>
        <w:tc>
          <w:tcPr>
            <w:tcW w:w="6095" w:type="dxa"/>
            <w:vAlign w:val="center"/>
            <w:textDirection w:val="lrTb"/>
            <w:noWrap w:val="false"/>
          </w:tcPr>
          <w:p>
            <w:pPr>
              <w:pStyle w:val="1039"/>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rPr>
                <w:rFonts w:hint="eastAsia" w:cs="Arial"/>
                <w:b/>
                <w:color w:val="000000" w:themeColor="text1"/>
                <w:highlight w:val="none"/>
              </w:rPr>
            </w:r>
            <w:r>
              <w:rPr>
                <w:color w:val="000000" w:themeColor="text1"/>
                <w:highlight w:val="none"/>
              </w:rPr>
            </w:r>
          </w:p>
        </w:tc>
        <w:tc>
          <w:tcPr>
            <w:tcW w:w="1979" w:type="dxa"/>
            <w:vAlign w:val="center"/>
            <w:textDirection w:val="lrTb"/>
            <w:noWrap w:val="false"/>
          </w:tcPr>
          <w:p>
            <w:pPr>
              <w:pStyle w:val="1039"/>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rPr>
                <w:rFonts w:hint="eastAsia" w:cs="Arial"/>
                <w:b/>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1039"/>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rPr>
                <w:rFonts w:hint="eastAsia" w:ascii="宋体" w:hAnsi="宋体" w:cs="Arial"/>
                <w:color w:val="000000" w:themeColor="text1"/>
                <w:highlight w:val="none"/>
              </w:rPr>
            </w:r>
            <w:r>
              <w:rPr>
                <w:color w:val="000000" w:themeColor="text1"/>
                <w:highlight w:val="none"/>
              </w:rPr>
            </w:r>
          </w:p>
        </w:tc>
        <w:tc>
          <w:tcPr>
            <w:tcW w:w="6095" w:type="dxa"/>
            <w:vAlign w:val="center"/>
            <w:textDirection w:val="lrTb"/>
            <w:noWrap w:val="false"/>
          </w:tcPr>
          <w:p>
            <w:pPr>
              <w:pStyle w:val="1039"/>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1039"/>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1039"/>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2</w:t>
            </w:r>
            <w:r>
              <w:rPr>
                <w:rFonts w:hint="eastAsia" w:ascii="宋体" w:hAnsi="宋体" w:cs="Arial"/>
                <w:color w:val="000000" w:themeColor="text1"/>
                <w:highlight w:val="none"/>
              </w:rPr>
            </w:r>
            <w:r>
              <w:rPr>
                <w:color w:val="000000" w:themeColor="text1"/>
                <w:highlight w:val="none"/>
              </w:rPr>
            </w:r>
          </w:p>
        </w:tc>
        <w:tc>
          <w:tcPr>
            <w:tcW w:w="6095" w:type="dxa"/>
            <w:vAlign w:val="center"/>
            <w:textDirection w:val="lrTb"/>
            <w:noWrap w:val="false"/>
          </w:tcPr>
          <w:p>
            <w:pPr>
              <w:pStyle w:val="1039"/>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承诺书（给定格式）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1039"/>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1039"/>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3</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1039"/>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1039"/>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1039"/>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4</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1039"/>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1039"/>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1039"/>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5</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1039"/>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rPr>
                <w:rFonts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1039"/>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1039"/>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6</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1039"/>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rPr>
                <w:rFonts w:hint="eastAsia" w:ascii="宋体" w:hAnsi="宋体"/>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1039"/>
              <w:ind w:firstLine="0"/>
              <w:jc w:val="center"/>
              <w:spacing w:before="0" w:after="0" w:line="240" w:lineRule="auto"/>
              <w:rPr>
                <w:rFonts w:hint="eastAsia" w:cs="Arial"/>
              </w:rPr>
            </w:pPr>
            <w:r>
              <w:rPr>
                <w:rFonts w:hint="eastAsia" w:cs="Arial"/>
              </w:rPr>
            </w:r>
            <w:r/>
          </w:p>
        </w:tc>
      </w:tr>
    </w:tbl>
    <w:p>
      <w:pPr>
        <w:pStyle w:val="952"/>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rFonts w:hint="eastAsia" w:ascii="宋体" w:hAnsi="宋体"/>
          <w:color w:val="000000" w:themeColor="text1"/>
          <w:sz w:val="24"/>
          <w:szCs w:val="24"/>
          <w:highlight w:val="none"/>
        </w:rPr>
      </w:r>
      <w:r>
        <w:rPr>
          <w:color w:val="000000" w:themeColor="text1"/>
          <w:highlight w:val="none"/>
        </w:rPr>
      </w:r>
    </w:p>
    <w:p>
      <w:pPr>
        <w:pStyle w:val="952"/>
        <w:numPr>
          <w:ilvl w:val="0"/>
          <w:numId w:val="34"/>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themeColor="text1"/>
          <w:sz w:val="24"/>
          <w:szCs w:val="24"/>
          <w:highlight w:val="none"/>
        </w:rPr>
      </w:r>
      <w:r>
        <w:rPr>
          <w:color w:val="000000" w:themeColor="text1"/>
          <w:highlight w:val="none"/>
        </w:rPr>
      </w:r>
    </w:p>
    <w:p>
      <w:pPr>
        <w:pStyle w:val="952"/>
        <w:numPr>
          <w:ilvl w:val="0"/>
          <w:numId w:val="34"/>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符合性证明文件第6项，《采购需求》中如有要求提供证明材料的，须按要求提供，否则投标文件无效。</w:t>
      </w:r>
      <w:r>
        <w:rPr>
          <w:rFonts w:hint="eastAsia" w:ascii="宋体" w:hAnsi="宋体"/>
          <w:color w:val="000000" w:themeColor="text1"/>
          <w:sz w:val="24"/>
          <w:szCs w:val="24"/>
          <w:highlight w:val="none"/>
        </w:rPr>
      </w:r>
      <w:r>
        <w:rPr>
          <w:color w:val="000000" w:themeColor="text1"/>
          <w:highlight w:val="none"/>
        </w:rPr>
      </w:r>
    </w:p>
    <w:p>
      <w:pPr>
        <w:pStyle w:val="952"/>
        <w:numPr>
          <w:ilvl w:val="0"/>
          <w:numId w:val="34"/>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p>
    <w:p>
      <w:pPr>
        <w:pStyle w:val="952"/>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rPr>
          <w:rFonts w:hint="eastAsia"/>
          <w:b/>
          <w:color w:val="000000" w:themeColor="text1"/>
          <w:sz w:val="28"/>
          <w:szCs w:val="28"/>
          <w:highlight w:val="none"/>
        </w:rPr>
      </w:r>
      <w:r>
        <w:rPr>
          <w:color w:val="000000" w:themeColor="text1"/>
          <w:highlight w:val="none"/>
        </w:rPr>
      </w:r>
    </w:p>
    <w:p>
      <w:pPr>
        <w:pStyle w:val="952"/>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rPr>
          <w:rFonts w:hint="eastAsia" w:ascii="宋体" w:hAnsi="宋体"/>
          <w:color w:val="000000" w:themeColor="text1"/>
          <w:sz w:val="24"/>
          <w:szCs w:val="24"/>
          <w:highlight w:val="none"/>
        </w:rPr>
      </w:r>
      <w:r>
        <w:rPr>
          <w:color w:val="000000" w:themeColor="text1"/>
          <w:highlight w:val="none"/>
        </w:rPr>
      </w:r>
    </w:p>
    <w:p>
      <w:pPr>
        <w:pStyle w:val="952"/>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rPr>
          <w:rFonts w:hint="eastAsia" w:ascii="宋体" w:hAnsi="宋体" w:cs="宋体"/>
          <w:color w:val="000000" w:themeColor="text1"/>
          <w:sz w:val="24"/>
          <w:szCs w:val="24"/>
          <w:highlight w:val="none"/>
        </w:rPr>
      </w:r>
      <w:r>
        <w:rPr>
          <w:color w:val="000000" w:themeColor="text1"/>
          <w:highlight w:val="none"/>
        </w:rPr>
      </w:r>
    </w:p>
    <w:p>
      <w:pPr>
        <w:pStyle w:val="952"/>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rPr>
          <w:rFonts w:hint="eastAsia" w:cs="Arial"/>
          <w:b/>
          <w:color w:val="000000" w:themeColor="text1"/>
          <w:sz w:val="30"/>
          <w:szCs w:val="30"/>
          <w:highlight w:val="none"/>
        </w:rPr>
      </w:r>
      <w:r>
        <w:rPr>
          <w:color w:val="000000" w:themeColor="text1"/>
          <w:highlight w:val="none"/>
        </w:rPr>
      </w:r>
    </w:p>
    <w:p>
      <w:pPr>
        <w:pStyle w:val="1039"/>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rPr>
          <w:rFonts w:cs="Arial"/>
          <w:b/>
          <w:color w:val="000000" w:themeColor="text1"/>
          <w:sz w:val="28"/>
          <w:szCs w:val="28"/>
          <w:highlight w:val="none"/>
        </w:rPr>
      </w:r>
      <w:r>
        <w:rPr>
          <w:color w:val="000000" w:themeColor="text1"/>
          <w:highlight w:val="none"/>
        </w:rPr>
      </w:r>
    </w:p>
    <w:p>
      <w:pPr>
        <w:pStyle w:val="952"/>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952"/>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952"/>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952"/>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952"/>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952"/>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952"/>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952"/>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rPr>
          <w:rFonts w:hint="eastAsia" w:ascii="黑体" w:hAnsi="华文中宋" w:eastAsia="黑体"/>
          <w:bCs/>
          <w:color w:val="000000" w:themeColor="text1"/>
          <w:sz w:val="30"/>
          <w:szCs w:val="30"/>
          <w:highlight w:val="none"/>
        </w:rPr>
        <w:t xml:space="preserve">JSZC-320200-JZCG-G2025-0155</w:t>
      </w:r>
      <w:r>
        <w:rPr>
          <w:rFonts w:hint="eastAsia" w:ascii="黑体" w:hAnsi="华文中宋" w:eastAsia="黑体"/>
          <w:bCs/>
          <w:color w:val="000000" w:themeColor="text1"/>
          <w:sz w:val="30"/>
          <w:szCs w:val="30"/>
          <w:highlight w:val="none"/>
        </w:rPr>
      </w:r>
      <w:r>
        <w:rPr>
          <w:color w:val="000000" w:themeColor="text1"/>
          <w:highlight w:val="none"/>
        </w:rPr>
      </w:r>
    </w:p>
    <w:p>
      <w:pPr>
        <w:pStyle w:val="952"/>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rPr>
          <w:rFonts w:hint="eastAsia" w:ascii="黑体" w:hAnsi="华文中宋" w:eastAsia="黑体"/>
          <w:bCs/>
          <w:color w:val="000000" w:themeColor="text1"/>
          <w:sz w:val="30"/>
          <w:szCs w:val="30"/>
          <w:highlight w:val="none"/>
        </w:rPr>
        <w:t xml:space="preserve">太湖流域水文水资源监测中心水文巡测基地设施设备改建计算存储及水情会商设备采购</w:t>
      </w:r>
      <w:r>
        <w:rPr>
          <w:rFonts w:hint="eastAsia" w:ascii="黑体" w:hAnsi="华文中宋" w:eastAsia="黑体"/>
          <w:bCs/>
          <w:color w:val="000000" w:themeColor="text1"/>
          <w:sz w:val="30"/>
          <w:szCs w:val="30"/>
          <w:highlight w:val="none"/>
        </w:rPr>
      </w:r>
      <w:r>
        <w:rPr>
          <w:color w:val="000000" w:themeColor="text1"/>
          <w:highlight w:val="none"/>
        </w:rPr>
      </w:r>
    </w:p>
    <w:p>
      <w:pPr>
        <w:pStyle w:val="952"/>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rPr>
          <w:rFonts w:hint="eastAsia" w:ascii="黑体" w:hAnsi="华文中宋" w:eastAsia="黑体"/>
          <w:bCs/>
          <w:color w:val="000000" w:themeColor="text1"/>
          <w:sz w:val="30"/>
          <w:szCs w:val="30"/>
          <w:highlight w:val="none"/>
        </w:rPr>
      </w:r>
      <w:r>
        <w:rPr>
          <w:color w:val="000000" w:themeColor="text1"/>
          <w:highlight w:val="none"/>
        </w:rPr>
      </w:r>
    </w:p>
    <w:p>
      <w:pPr>
        <w:pStyle w:val="952"/>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rPr>
          <w:rFonts w:ascii="黑体" w:hAnsi="华文中宋" w:eastAsia="黑体"/>
          <w:bCs/>
          <w:color w:val="000000" w:themeColor="text1"/>
          <w:sz w:val="30"/>
          <w:szCs w:val="30"/>
          <w:highlight w:val="none"/>
        </w:rPr>
      </w:r>
      <w:r>
        <w:rPr>
          <w:color w:val="000000" w:themeColor="text1"/>
          <w:highlight w:val="none"/>
        </w:rPr>
      </w:r>
    </w:p>
    <w:p>
      <w:pPr>
        <w:pStyle w:val="952"/>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rPr>
          <w:rFonts w:hint="eastAsia" w:ascii="Arial" w:hAnsi="Arial"/>
          <w:b/>
          <w:color w:val="000000" w:themeColor="text1"/>
          <w:sz w:val="28"/>
          <w:szCs w:val="28"/>
          <w:highlight w:val="none"/>
        </w:rPr>
      </w:r>
      <w:r>
        <w:rPr>
          <w:color w:val="000000" w:themeColor="text1"/>
          <w:highlight w:val="none"/>
        </w:rPr>
      </w:r>
    </w:p>
    <w:p>
      <w:pPr>
        <w:pStyle w:val="952"/>
        <w:jc w:val="center"/>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rPr>
          <w:rFonts w:ascii="宋体" w:hAnsi="宋体"/>
          <w:color w:val="000000" w:themeColor="text1"/>
          <w:sz w:val="24"/>
          <w:highlight w:val="none"/>
          <w:shd w:val="clear" w:color="ffffff" w:fill="d9d9d9"/>
        </w:rPr>
      </w:r>
      <w:r>
        <w:rPr>
          <w:color w:val="000000" w:themeColor="text1"/>
          <w:highlight w:val="none"/>
        </w:rPr>
      </w:r>
    </w:p>
    <w:p>
      <w:pPr>
        <w:pStyle w:val="1037"/>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ascii="宋体" w:hAnsi="宋体"/>
          <w:bCs/>
          <w:color w:val="000000" w:themeColor="text1"/>
          <w:sz w:val="24"/>
          <w:szCs w:val="24"/>
          <w:highlight w:val="none"/>
        </w:rPr>
        <w:t xml:space="preserve">JSZC-320200-JZCG-G2025-0155</w:t>
      </w:r>
      <w:r>
        <w:rPr>
          <w:rFonts w:hint="eastAsia" w:ascii="宋体" w:hAnsi="宋体"/>
          <w:bCs/>
          <w:color w:val="000000" w:themeColor="text1"/>
          <w:sz w:val="24"/>
          <w:szCs w:val="24"/>
          <w:highlight w:val="none"/>
        </w:rPr>
        <w:t xml:space="preserve">项目，兹授权：</w:t>
      </w:r>
      <w:r>
        <w:rPr>
          <w:rFonts w:hint="eastAsia"/>
          <w:color w:val="000000" w:themeColor="text1"/>
          <w:sz w:val="24"/>
          <w:szCs w:val="24"/>
          <w:highlight w:val="none"/>
        </w:rPr>
      </w:r>
      <w:r>
        <w:rPr>
          <w:color w:val="000000" w:themeColor="text1"/>
          <w:highlight w:val="none"/>
        </w:rPr>
      </w:r>
    </w:p>
    <w:p>
      <w:pPr>
        <w:pStyle w:val="1037"/>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rFonts w:hint="eastAsia"/>
          <w:color w:val="000000" w:themeColor="text1"/>
          <w:sz w:val="24"/>
          <w:szCs w:val="24"/>
          <w:highlight w:val="none"/>
        </w:rPr>
      </w:r>
      <w:r>
        <w:rPr>
          <w:color w:val="000000" w:themeColor="text1"/>
          <w:highlight w:val="none"/>
        </w:rPr>
      </w:r>
    </w:p>
    <w:p>
      <w:pPr>
        <w:pStyle w:val="1037"/>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rFonts w:hint="eastAsia"/>
          <w:color w:val="000000" w:themeColor="text1"/>
          <w:sz w:val="24"/>
          <w:szCs w:val="24"/>
          <w:highlight w:val="none"/>
        </w:rPr>
      </w:r>
      <w:r>
        <w:rPr>
          <w:color w:val="000000" w:themeColor="text1"/>
          <w:highlight w:val="none"/>
        </w:rPr>
      </w:r>
    </w:p>
    <w:p>
      <w:pPr>
        <w:pStyle w:val="1037"/>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rPr>
          <w:rFonts w:hint="eastAsia"/>
          <w:color w:val="000000" w:themeColor="text1"/>
          <w:sz w:val="24"/>
          <w:szCs w:val="24"/>
          <w:highlight w:val="none"/>
        </w:rPr>
      </w:r>
      <w:r>
        <w:rPr>
          <w:color w:val="000000" w:themeColor="text1"/>
          <w:highlight w:val="none"/>
        </w:rPr>
      </w:r>
    </w:p>
    <w:p>
      <w:pPr>
        <w:pStyle w:val="1037"/>
        <w:ind w:firstLine="480"/>
        <w:tabs>
          <w:tab w:val="left" w:pos="360" w:leader="none"/>
        </w:tabs>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rPr>
          <w:rFonts w:hint="eastAsia" w:ascii="宋体" w:hAnsi="宋体"/>
          <w:bCs/>
          <w:color w:val="000000" w:themeColor="text1"/>
          <w:sz w:val="24"/>
          <w:szCs w:val="24"/>
          <w:highlight w:val="none"/>
        </w:rPr>
      </w:r>
      <w:r>
        <w:rPr>
          <w:color w:val="000000" w:themeColor="text1"/>
          <w:highlight w:val="none"/>
        </w:rPr>
      </w:r>
    </w:p>
    <w:p>
      <w:pPr>
        <w:pStyle w:val="1037"/>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特此授权委托。</w:t>
      </w:r>
      <w:r>
        <w:rPr>
          <w:rFonts w:hint="eastAsia"/>
          <w:color w:val="000000" w:themeColor="text1"/>
          <w:sz w:val="24"/>
          <w:szCs w:val="24"/>
          <w:highlight w:val="none"/>
        </w:rPr>
      </w:r>
      <w:r>
        <w:rPr>
          <w:color w:val="000000" w:themeColor="text1"/>
          <w:highlight w:val="none"/>
        </w:rPr>
      </w:r>
    </w:p>
    <w:p>
      <w:pPr>
        <w:pStyle w:val="1037"/>
        <w:ind w:firstLine="0"/>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rPr>
          <w:rFonts w:hint="eastAsia"/>
          <w:color w:val="000000" w:themeColor="text1"/>
          <w:sz w:val="24"/>
          <w:szCs w:val="24"/>
          <w:highlight w:val="none"/>
          <w:u w:val="single"/>
        </w:rPr>
      </w:r>
      <w:r>
        <w:rPr>
          <w:color w:val="000000" w:themeColor="text1"/>
          <w:highlight w:val="none"/>
        </w:rPr>
      </w:r>
    </w:p>
    <w:p>
      <w:pPr>
        <w:pStyle w:val="1037"/>
        <w:ind w:firstLine="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r>
      <w:r>
        <w:rPr>
          <w:color w:val="000000" w:themeColor="text1"/>
          <w:highlight w:val="none"/>
        </w:rPr>
      </w:r>
    </w:p>
    <w:p>
      <w:pPr>
        <w:pStyle w:val="1037"/>
        <w:ind w:firstLine="0"/>
        <w:tabs>
          <w:tab w:val="left" w:pos="360" w:leader="none"/>
        </w:tabs>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themeColor="text1"/>
          <w:sz w:val="24"/>
          <w:szCs w:val="24"/>
          <w:highlight w:val="none"/>
        </w:rPr>
      </w:r>
      <w:r>
        <w:rPr>
          <w:color w:val="000000" w:themeColor="text1"/>
          <w:highlight w:val="none"/>
        </w:rPr>
      </w:r>
    </w:p>
    <w:p>
      <w:pPr>
        <w:pStyle w:val="1037"/>
        <w:ind w:firstLine="0"/>
        <w:tabs>
          <w:tab w:val="left" w:pos="360" w:leader="none"/>
        </w:tabs>
        <w:rPr>
          <w:rFonts w:hint="eastAsia"/>
          <w:color w:val="000000" w:themeColor="text1"/>
          <w:sz w:val="21"/>
          <w:szCs w:val="21"/>
          <w:highlight w:val="none"/>
        </w:rPr>
      </w:pPr>
      <w:r>
        <w:rPr>
          <w:rFonts w:hint="eastAsia"/>
          <w:color w:val="000000" w:themeColor="text1"/>
          <w:sz w:val="21"/>
          <w:szCs w:val="21"/>
          <w:highlight w:val="none"/>
        </w:rPr>
      </w:r>
      <w:r>
        <w:rPr>
          <w:color w:val="000000" w:themeColor="text1"/>
          <w:highlight w:val="none"/>
        </w:rPr>
      </w:r>
    </w:p>
    <w:p>
      <w:pPr>
        <w:pStyle w:val="1037"/>
        <w:ind w:firstLine="0"/>
        <w:spacing w:line="360" w:lineRule="auto"/>
        <w:tabs>
          <w:tab w:val="left" w:pos="360" w:leader="none"/>
        </w:tabs>
        <w:rPr>
          <w:rFonts w:hint="eastAsia"/>
          <w:color w:val="000000" w:themeColor="text1"/>
          <w:sz w:val="21"/>
          <w:szCs w:val="21"/>
          <w:highlight w:val="none"/>
        </w:rPr>
      </w:pPr>
      <w:r>
        <w:rPr>
          <w:rFonts w:hint="eastAsia"/>
          <w:color w:val="000000" w:themeColor="text1"/>
          <w:sz w:val="21"/>
          <w:szCs w:val="21"/>
          <w:highlight w:val="none"/>
        </w:rPr>
        <w:t xml:space="preserve">说明：</w:t>
      </w:r>
      <w:r>
        <w:rPr>
          <w:rFonts w:hint="eastAsia"/>
          <w:color w:val="000000" w:themeColor="text1"/>
          <w:sz w:val="21"/>
          <w:szCs w:val="21"/>
          <w:highlight w:val="none"/>
        </w:rPr>
      </w:r>
      <w:r>
        <w:rPr>
          <w:color w:val="000000" w:themeColor="text1"/>
          <w:highlight w:val="none"/>
        </w:rPr>
      </w:r>
    </w:p>
    <w:p>
      <w:pPr>
        <w:pStyle w:val="1037"/>
        <w:numPr>
          <w:ilvl w:val="0"/>
          <w:numId w:val="35"/>
        </w:numPr>
        <w:ind w:firstLine="420"/>
        <w:spacing w:line="360" w:lineRule="auto"/>
        <w:tabs>
          <w:tab w:val="left" w:pos="360" w:leader="none"/>
        </w:tabs>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r>
      <w:r>
        <w:rPr>
          <w:color w:val="000000" w:themeColor="text1"/>
          <w:highlight w:val="none"/>
        </w:rPr>
      </w:r>
    </w:p>
    <w:p>
      <w:pPr>
        <w:pStyle w:val="1037"/>
        <w:numPr>
          <w:ilvl w:val="0"/>
          <w:numId w:val="35"/>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themeColor="text1"/>
          <w:sz w:val="21"/>
          <w:szCs w:val="21"/>
          <w:highlight w:val="none"/>
        </w:rPr>
      </w:r>
      <w:r>
        <w:rPr>
          <w:color w:val="000000" w:themeColor="text1"/>
          <w:highlight w:val="none"/>
        </w:rPr>
      </w:r>
    </w:p>
    <w:p>
      <w:pPr>
        <w:pStyle w:val="1037"/>
        <w:numPr>
          <w:ilvl w:val="0"/>
          <w:numId w:val="35"/>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r>
      <w:r>
        <w:rPr>
          <w:color w:val="000000" w:themeColor="text1"/>
          <w:highlight w:val="none"/>
        </w:rPr>
      </w:r>
    </w:p>
    <w:p>
      <w:pPr>
        <w:pStyle w:val="1037"/>
        <w:numPr>
          <w:ilvl w:val="0"/>
          <w:numId w:val="35"/>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themeColor="text1"/>
          <w:sz w:val="21"/>
          <w:szCs w:val="21"/>
          <w:highlight w:val="none"/>
        </w:rPr>
      </w:r>
      <w:r>
        <w:rPr>
          <w:color w:val="000000" w:themeColor="text1"/>
          <w:highlight w:val="none"/>
        </w:rPr>
      </w:r>
    </w:p>
    <w:p>
      <w:pPr>
        <w:pStyle w:val="1037"/>
        <w:ind w:firstLine="0"/>
        <w:tabs>
          <w:tab w:val="left" w:pos="360" w:leader="none"/>
        </w:tabs>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rPr>
          <w:rFonts w:hint="eastAsia" w:ascii="宋体" w:hAnsi="宋体" w:cs="宋体"/>
          <w:b/>
          <w:color w:val="000000" w:themeColor="text1"/>
          <w:szCs w:val="28"/>
          <w:highlight w:val="none"/>
        </w:rPr>
      </w:r>
      <w:r>
        <w:rPr>
          <w:color w:val="000000" w:themeColor="text1"/>
          <w:highlight w:val="none"/>
        </w:rPr>
      </w:r>
    </w:p>
    <w:p>
      <w:pPr>
        <w:pStyle w:val="952"/>
        <w:jc w:val="center"/>
        <w:rPr>
          <w:rFonts w:ascii="黑体" w:eastAsia="黑体"/>
          <w:bCs/>
          <w:color w:val="000000" w:themeColor="text1"/>
          <w:sz w:val="28"/>
          <w:szCs w:val="28"/>
          <w:highlight w:val="none"/>
        </w:rPr>
        <w:outlineLvl w:val="0"/>
      </w:pPr>
      <w:r>
        <w:rPr>
          <w:color w:val="000000" w:themeColor="text1"/>
          <w:highlight w:val="none"/>
        </w:rPr>
      </w:r>
      <w:bookmarkStart w:id="201" w:name="报价方关于资格的声明函（格式）"/>
      <w:r>
        <w:rPr>
          <w:color w:val="000000" w:themeColor="text1"/>
          <w:highlight w:val="none"/>
        </w:rPr>
      </w:r>
      <w:bookmarkEnd w:id="201"/>
      <w:r>
        <w:rPr>
          <w:rFonts w:hint="eastAsia" w:ascii="黑体" w:eastAsia="黑体"/>
          <w:bCs/>
          <w:color w:val="000000" w:themeColor="text1"/>
          <w:sz w:val="28"/>
          <w:szCs w:val="28"/>
          <w:highlight w:val="none"/>
        </w:rPr>
        <w:t xml:space="preserve">资格声明函</w:t>
      </w:r>
      <w:r>
        <w:rPr>
          <w:rFonts w:ascii="黑体" w:eastAsia="黑体"/>
          <w:bCs/>
          <w:color w:val="000000" w:themeColor="text1"/>
          <w:sz w:val="28"/>
          <w:szCs w:val="28"/>
          <w:highlight w:val="none"/>
        </w:rPr>
      </w:r>
      <w:r>
        <w:rPr>
          <w:color w:val="000000" w:themeColor="text1"/>
          <w:highlight w:val="none"/>
        </w:rPr>
      </w:r>
    </w:p>
    <w:p>
      <w:pPr>
        <w:pStyle w:val="952"/>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952"/>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无锡市公共资源交易中心：</w:t>
      </w:r>
      <w:r>
        <w:rPr>
          <w:rFonts w:ascii="宋体"/>
          <w:bCs/>
          <w:color w:val="000000" w:themeColor="text1"/>
          <w:sz w:val="24"/>
          <w:szCs w:val="24"/>
          <w:highlight w:val="none"/>
        </w:rPr>
      </w:r>
      <w:r>
        <w:rPr>
          <w:color w:val="000000" w:themeColor="text1"/>
          <w:highlight w:val="none"/>
        </w:rPr>
      </w:r>
    </w:p>
    <w:p>
      <w:pPr>
        <w:pStyle w:val="952"/>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rPr>
        <w:t xml:space="preserve">JSZC-320200-JZCG-G2025-0155</w:t>
      </w:r>
      <w:r>
        <w:rPr>
          <w:rFonts w:hint="eastAsia" w:ascii="宋体" w:hAnsi="宋体"/>
          <w:bCs/>
          <w:color w:val="000000" w:themeColor="text1"/>
          <w:sz w:val="24"/>
          <w:szCs w:val="24"/>
          <w:highlight w:val="none"/>
        </w:rPr>
        <w:t xml:space="preserve">进行投标，并</w:t>
      </w:r>
      <w:r>
        <w:rPr>
          <w:rFonts w:hint="eastAsia" w:ascii="宋体" w:hAnsi="宋体"/>
          <w:bCs/>
          <w:color w:val="000000" w:themeColor="text1"/>
          <w:sz w:val="24"/>
          <w:szCs w:val="24"/>
          <w:highlight w:val="none"/>
        </w:rPr>
        <w:t xml:space="preserve">作如下声明</w:t>
      </w:r>
      <w:r>
        <w:rPr>
          <w:rFonts w:ascii="宋体" w:hAnsi="宋体"/>
          <w:bCs/>
          <w:color w:val="000000" w:themeColor="text1"/>
          <w:sz w:val="24"/>
          <w:szCs w:val="24"/>
          <w:highlight w:val="none"/>
        </w:rPr>
      </w:r>
      <w:r>
        <w:rPr>
          <w:color w:val="000000" w:themeColor="text1"/>
          <w:highlight w:val="none"/>
        </w:rPr>
      </w:r>
    </w:p>
    <w:p>
      <w:pPr>
        <w:pStyle w:val="952"/>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themeColor="text1"/>
          <w:sz w:val="24"/>
          <w:szCs w:val="24"/>
          <w:highlight w:val="none"/>
        </w:rPr>
      </w:r>
      <w:r>
        <w:rPr>
          <w:color w:val="000000" w:themeColor="text1"/>
          <w:highlight w:val="none"/>
        </w:rPr>
      </w:r>
    </w:p>
    <w:p>
      <w:pPr>
        <w:pStyle w:val="952"/>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themeColor="text1"/>
          <w:sz w:val="24"/>
          <w:szCs w:val="24"/>
          <w:highlight w:val="none"/>
        </w:rPr>
      </w:r>
      <w:r>
        <w:rPr>
          <w:color w:val="000000" w:themeColor="text1"/>
          <w:highlight w:val="none"/>
        </w:rPr>
      </w:r>
    </w:p>
    <w:p>
      <w:pPr>
        <w:pStyle w:val="952"/>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952"/>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ascii="宋体"/>
          <w:bCs/>
          <w:color w:val="000000" w:themeColor="text1"/>
          <w:sz w:val="24"/>
          <w:szCs w:val="24"/>
          <w:highlight w:val="none"/>
        </w:rPr>
      </w:r>
      <w:r>
        <w:rPr>
          <w:color w:val="000000" w:themeColor="text1"/>
          <w:highlight w:val="none"/>
        </w:rPr>
      </w:r>
    </w:p>
    <w:p>
      <w:pPr>
        <w:pStyle w:val="952"/>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四、中小企业声明函（给定格式）：</w:t>
      </w:r>
      <w:r>
        <w:rPr>
          <w:rFonts w:hint="eastAsia" w:ascii="宋体" w:hAnsi="宋体" w:cs="宋体"/>
          <w:b/>
          <w:color w:val="000000" w:themeColor="text1"/>
          <w:sz w:val="28"/>
          <w:szCs w:val="28"/>
          <w:highlight w:val="none"/>
        </w:rPr>
      </w:r>
      <w:r>
        <w:rPr>
          <w:color w:val="000000" w:themeColor="text1"/>
          <w:highlight w:val="none"/>
        </w:rPr>
      </w:r>
    </w:p>
    <w:p>
      <w:pPr>
        <w:pStyle w:val="952"/>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中小企业声明函（货物）</w:t>
      </w:r>
      <w:r>
        <w:rPr>
          <w:rFonts w:ascii="黑体" w:eastAsia="黑体"/>
          <w:bCs/>
          <w:color w:val="000000" w:themeColor="text1"/>
          <w:sz w:val="28"/>
          <w:szCs w:val="28"/>
          <w:highlight w:val="none"/>
        </w:rPr>
      </w:r>
      <w:r>
        <w:rPr>
          <w:color w:val="000000" w:themeColor="text1"/>
          <w:highlight w:val="none"/>
        </w:rPr>
      </w:r>
    </w:p>
    <w:p>
      <w:pPr>
        <w:pStyle w:val="952"/>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采购活动，提供的货物全部由符合政策要求的中小企业制造。相关企业 （含联合体中的中小企业、签订分包意向协议的中小企业）的具体情况如下：</w:t>
      </w:r>
      <w:r>
        <w:rPr>
          <w:rFonts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 </w:t>
      </w:r>
      <w:r>
        <w:rPr>
          <w:rFonts w:ascii="宋体" w:hAnsi="宋体"/>
          <w:bCs/>
          <w:color w:val="000000" w:themeColor="text1"/>
          <w:sz w:val="24"/>
          <w:szCs w:val="24"/>
          <w:highlight w:val="none"/>
          <w:u w:val="single"/>
        </w:rPr>
        <w:t xml:space="preserve">（标的名称）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 行业</w:t>
      </w:r>
      <w:r>
        <w:rPr>
          <w:rFonts w:ascii="宋体" w:hAnsi="宋体"/>
          <w:bCs/>
          <w:color w:val="000000" w:themeColor="text1"/>
          <w:sz w:val="24"/>
          <w:szCs w:val="24"/>
          <w:highlight w:val="none"/>
        </w:rPr>
        <w:t xml:space="preserve">；制造商为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（中型企业、小 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 行业</w:t>
      </w:r>
      <w:r>
        <w:rPr>
          <w:rFonts w:ascii="宋体" w:hAnsi="宋体"/>
          <w:bCs/>
          <w:color w:val="000000" w:themeColor="text1"/>
          <w:sz w:val="24"/>
          <w:szCs w:val="24"/>
          <w:highlight w:val="none"/>
        </w:rPr>
        <w:t xml:space="preserve">；制造商为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（中型企业、小 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952"/>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bCs/>
          <w:color w:val="000000" w:themeColor="text1"/>
          <w:sz w:val="24"/>
          <w:szCs w:val="24"/>
          <w:highlight w:val="none"/>
        </w:rPr>
      </w:r>
      <w:r>
        <w:rPr>
          <w:color w:val="000000" w:themeColor="text1"/>
          <w:highlight w:val="none"/>
        </w:rPr>
      </w:r>
    </w:p>
    <w:p>
      <w:pPr>
        <w:pStyle w:val="952"/>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rPr>
          <w:rFonts w:ascii="宋体" w:hAnsi="宋体"/>
          <w:bCs/>
          <w:color w:val="000000" w:themeColor="text1"/>
          <w:sz w:val="24"/>
          <w:szCs w:val="24"/>
          <w:highlight w:val="none"/>
        </w:rPr>
      </w:r>
      <w:r>
        <w:rPr>
          <w:color w:val="000000" w:themeColor="text1"/>
          <w:highlight w:val="none"/>
        </w:rPr>
      </w:r>
    </w:p>
    <w:p>
      <w:pPr>
        <w:pStyle w:val="952"/>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952"/>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952"/>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000000" w:themeColor="text1"/>
          <w:highlight w:val="none"/>
        </w:rPr>
      </w:r>
      <w:r>
        <w:rPr>
          <w:color w:val="000000" w:themeColor="text1"/>
          <w:highlight w:val="none"/>
        </w:rPr>
      </w:r>
    </w:p>
    <w:p>
      <w:pPr>
        <w:pStyle w:val="952"/>
        <w:ind w:firstLine="420"/>
        <w:spacing w:line="360" w:lineRule="auto"/>
        <w:rPr>
          <w:color w:val="000000" w:themeColor="text1"/>
          <w:highlight w:val="none"/>
        </w:rPr>
      </w:pPr>
      <w:r>
        <w:rPr>
          <w:rFonts w:hint="eastAsia"/>
          <w:color w:val="000000" w:themeColor="text1"/>
          <w:highlight w:val="none"/>
        </w:rPr>
        <w:t xml:space="preserve">（2）从业人员、营业收入、资产总额填报上一年度数据，无上一年度数据的新成立企业可不填报。</w:t>
      </w:r>
      <w:r>
        <w:rPr>
          <w:color w:val="000000" w:themeColor="text1"/>
          <w:highlight w:val="none"/>
        </w:rPr>
      </w:r>
    </w:p>
    <w:p>
      <w:pPr>
        <w:pStyle w:val="952"/>
        <w:ind w:firstLine="420"/>
        <w:spacing w:line="360" w:lineRule="auto"/>
        <w:rPr>
          <w:color w:val="000000" w:themeColor="text1"/>
          <w:highlight w:val="none"/>
        </w:rPr>
      </w:pPr>
      <w:r>
        <w:rPr>
          <w:rFonts w:hint="eastAsia"/>
          <w:color w:val="000000" w:themeColor="text1"/>
          <w:highlight w:val="none"/>
        </w:rPr>
        <w:t xml:space="preserve">（3）在货物采购项目中，供应商提供的货物既有中小企业制造货物，也有大型企业制造货物的，不享受本办法规定的中小企业扶持政策。</w:t>
      </w:r>
      <w:r>
        <w:rPr>
          <w:color w:val="000000" w:themeColor="text1"/>
          <w:highlight w:val="none"/>
        </w:rPr>
      </w:r>
    </w:p>
    <w:p>
      <w:pPr>
        <w:pStyle w:val="952"/>
        <w:ind w:firstLine="420"/>
        <w:spacing w:line="360" w:lineRule="auto"/>
        <w:rPr>
          <w:rFonts w:hint="eastAsia"/>
          <w:color w:val="000000" w:themeColor="text1"/>
          <w:highlight w:val="none"/>
        </w:rPr>
      </w:pPr>
      <w:r>
        <w:rPr>
          <w:rFonts w:hint="eastAsia"/>
          <w:color w:val="000000" w:themeColor="text1"/>
          <w:highlight w:val="none"/>
        </w:rPr>
        <w:t xml:space="preserve">（4）中标供应商的《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themeColor="text1"/>
          <w:highlight w:val="none"/>
        </w:rPr>
      </w:r>
      <w:r>
        <w:rPr>
          <w:color w:val="000000" w:themeColor="text1"/>
          <w:highlight w:val="none"/>
        </w:rPr>
      </w:r>
    </w:p>
    <w:p>
      <w:pPr>
        <w:pStyle w:val="952"/>
        <w:spacing w:line="360" w:lineRule="auto"/>
        <w:rPr>
          <w:color w:val="000000" w:themeColor="text1"/>
          <w:highlight w:val="none"/>
        </w:rPr>
      </w:pPr>
      <w:r>
        <w:rPr>
          <w:color w:val="000000" w:themeColor="text1"/>
          <w:highlight w:val="none"/>
        </w:rPr>
      </w:r>
      <w:r>
        <w:rPr>
          <w:color w:val="000000" w:themeColor="text1"/>
          <w:highlight w:val="none"/>
        </w:rPr>
      </w:r>
    </w:p>
    <w:p>
      <w:pPr>
        <w:pStyle w:val="952"/>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952"/>
        <w:ind w:firstLine="420"/>
        <w:spacing w:line="360" w:lineRule="auto"/>
        <w:rPr>
          <w:color w:val="000000" w:themeColor="text1"/>
          <w:highlight w:val="none"/>
        </w:rPr>
      </w:pPr>
      <w:r>
        <w:rPr>
          <w:color w:val="000000" w:themeColor="text1"/>
          <w:highlight w:val="none"/>
        </w:rPr>
      </w:r>
      <w:r>
        <w:rPr>
          <w:color w:val="000000" w:themeColor="text1"/>
          <w:highlight w:val="none"/>
        </w:rPr>
      </w:r>
    </w:p>
    <w:p>
      <w:pPr>
        <w:pStyle w:val="952"/>
        <w:spacing w:line="360" w:lineRule="auto"/>
        <w:rPr>
          <w:rFonts w:hint="eastAsia" w:ascii="宋体" w:hAnsi="宋体" w:cs="宋体"/>
          <w:b/>
          <w:color w:val="000000" w:themeColor="text1"/>
          <w:sz w:val="28"/>
          <w:szCs w:val="28"/>
          <w:highlight w:val="none"/>
        </w:rPr>
      </w:pPr>
      <w:r>
        <w:rPr>
          <w:color w:val="000000" w:themeColor="text1"/>
          <w:highlight w:val="none"/>
        </w:rPr>
        <w:br w:type="page" w:clear="all"/>
      </w: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rPr>
          <w:rFonts w:hint="eastAsia" w:ascii="宋体" w:hAnsi="宋体" w:cs="宋体"/>
          <w:b/>
          <w:color w:val="000000" w:themeColor="text1"/>
          <w:sz w:val="28"/>
          <w:szCs w:val="28"/>
          <w:highlight w:val="none"/>
        </w:rPr>
      </w:r>
      <w:r>
        <w:rPr>
          <w:color w:val="000000" w:themeColor="text1"/>
          <w:highlight w:val="none"/>
        </w:rPr>
      </w:r>
    </w:p>
    <w:p>
      <w:pPr>
        <w:pStyle w:val="952"/>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rPr>
          <w:color w:val="000000" w:themeColor="text1"/>
          <w:highlight w:val="none"/>
        </w:rPr>
      </w:r>
    </w:p>
    <w:p>
      <w:pPr>
        <w:pStyle w:val="952"/>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rFonts w:ascii="黑体" w:eastAsia="黑体"/>
          <w:bCs/>
          <w:color w:val="000000" w:themeColor="text1"/>
          <w:sz w:val="28"/>
          <w:szCs w:val="28"/>
          <w:highlight w:val="none"/>
        </w:rPr>
      </w:r>
      <w:r>
        <w:rPr>
          <w:color w:val="000000" w:themeColor="text1"/>
          <w:highlight w:val="none"/>
        </w:rPr>
      </w:r>
    </w:p>
    <w:p>
      <w:pPr>
        <w:pStyle w:val="952"/>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952"/>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themeColor="text1"/>
          <w:sz w:val="24"/>
          <w:szCs w:val="24"/>
          <w:highlight w:val="none"/>
        </w:rPr>
      </w:r>
      <w:r>
        <w:rPr>
          <w:color w:val="000000" w:themeColor="text1"/>
          <w:highlight w:val="none"/>
        </w:rPr>
      </w:r>
    </w:p>
    <w:p>
      <w:pPr>
        <w:pStyle w:val="952"/>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rFonts w:ascii="宋体" w:hAnsi="宋体"/>
          <w:bCs/>
          <w:color w:val="000000" w:themeColor="text1"/>
          <w:sz w:val="24"/>
          <w:szCs w:val="24"/>
          <w:highlight w:val="none"/>
        </w:rPr>
      </w:r>
      <w:r>
        <w:rPr>
          <w:color w:val="000000" w:themeColor="text1"/>
          <w:highlight w:val="none"/>
        </w:rPr>
      </w:r>
    </w:p>
    <w:p>
      <w:pPr>
        <w:pStyle w:val="952"/>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952"/>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952"/>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rFonts w:ascii="宋体" w:hAnsi="宋体"/>
          <w:bCs/>
          <w:color w:val="000000" w:themeColor="text1"/>
          <w:sz w:val="24"/>
          <w:szCs w:val="24"/>
          <w:highlight w:val="none"/>
        </w:rPr>
      </w:r>
      <w:r>
        <w:rPr>
          <w:color w:val="000000" w:themeColor="text1"/>
          <w:highlight w:val="none"/>
        </w:rPr>
      </w:r>
    </w:p>
    <w:p>
      <w:pPr>
        <w:pStyle w:val="952"/>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952"/>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rPr>
          <w:rFonts w:hint="eastAsia"/>
          <w:b/>
          <w:color w:val="000000" w:themeColor="text1"/>
          <w:sz w:val="28"/>
          <w:szCs w:val="28"/>
          <w:highlight w:val="none"/>
        </w:rPr>
      </w:r>
      <w:r>
        <w:rPr>
          <w:color w:val="000000" w:themeColor="text1"/>
          <w:highlight w:val="none"/>
        </w:rPr>
      </w:r>
    </w:p>
    <w:p>
      <w:pPr>
        <w:pStyle w:val="952"/>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p>
    <w:p>
      <w:pPr>
        <w:pStyle w:val="952"/>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rPr>
          <w:rFonts w:ascii="宋体"/>
          <w:bCs/>
          <w:color w:val="000000" w:themeColor="text1"/>
          <w:sz w:val="24"/>
          <w:szCs w:val="24"/>
          <w:highlight w:val="none"/>
        </w:rPr>
      </w:r>
      <w:r>
        <w:rPr>
          <w:color w:val="000000" w:themeColor="text1"/>
          <w:highlight w:val="none"/>
        </w:rPr>
      </w:r>
    </w:p>
    <w:p>
      <w:pPr>
        <w:pStyle w:val="952"/>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致无锡市公共资源交易中心：</w:t>
      </w:r>
      <w:r>
        <w:rPr>
          <w:rFonts w:ascii="宋体"/>
          <w:bCs/>
          <w:color w:val="000000" w:themeColor="text1"/>
          <w:sz w:val="24"/>
          <w:szCs w:val="24"/>
          <w:highlight w:val="none"/>
        </w:rPr>
      </w:r>
      <w:r>
        <w:rPr>
          <w:color w:val="000000" w:themeColor="text1"/>
          <w:highlight w:val="none"/>
        </w:rPr>
      </w:r>
    </w:p>
    <w:p>
      <w:pPr>
        <w:pStyle w:val="952"/>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952"/>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rPr>
        <w:t xml:space="preserve">JSZC-320200-JZCG-G2025-0155</w:t>
      </w:r>
      <w:r>
        <w:rPr>
          <w:rFonts w:hint="eastAsia" w:ascii="宋体" w:hAnsi="宋体"/>
          <w:bCs/>
          <w:color w:val="000000" w:themeColor="text1"/>
          <w:sz w:val="24"/>
          <w:szCs w:val="24"/>
          <w:highlight w:val="none"/>
        </w:rPr>
        <w:t xml:space="preserve">招标文件，经仔细阅读和研究，我方决定参加此项目的投标。</w:t>
      </w:r>
      <w:r>
        <w:rPr>
          <w:rFonts w:ascii="宋体"/>
          <w:bCs/>
          <w:color w:val="000000" w:themeColor="text1"/>
          <w:sz w:val="24"/>
          <w:szCs w:val="24"/>
          <w:highlight w:val="none"/>
        </w:rPr>
      </w:r>
      <w:r>
        <w:rPr>
          <w:color w:val="000000" w:themeColor="text1"/>
          <w:highlight w:val="none"/>
        </w:rPr>
      </w:r>
    </w:p>
    <w:p>
      <w:pPr>
        <w:pStyle w:val="952"/>
        <w:numPr>
          <w:ilvl w:val="0"/>
          <w:numId w:val="36"/>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rPr>
          <w:rFonts w:ascii="宋体"/>
          <w:bCs/>
          <w:color w:val="000000" w:themeColor="text1"/>
          <w:sz w:val="24"/>
          <w:szCs w:val="24"/>
          <w:highlight w:val="none"/>
        </w:rPr>
      </w:r>
      <w:r>
        <w:rPr>
          <w:color w:val="000000" w:themeColor="text1"/>
          <w:highlight w:val="none"/>
        </w:rPr>
      </w:r>
    </w:p>
    <w:p>
      <w:pPr>
        <w:pStyle w:val="952"/>
        <w:numPr>
          <w:ilvl w:val="0"/>
          <w:numId w:val="36"/>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26"/>
          <w:bCs/>
          <w:color w:val="000000" w:themeColor="text1"/>
          <w:highlight w:val="none"/>
        </w:rPr>
      </w:pPr>
      <w:r>
        <w:rPr>
          <w:rFonts w:hint="eastAsia" w:ascii="宋体" w:hAnsi="宋体"/>
          <w:bCs/>
          <w:color w:val="000000" w:themeColor="text1"/>
          <w:sz w:val="24"/>
          <w:szCs w:val="24"/>
          <w:highlight w:val="none"/>
        </w:rPr>
        <w:t xml:space="preserve">我方愿意提供无锡市公共资源交易中心在招标文件中要求的文件、资料。</w:t>
      </w:r>
      <w:r>
        <w:rPr>
          <w:rStyle w:val="1026"/>
          <w:bCs/>
          <w:color w:val="000000" w:themeColor="text1"/>
          <w:highlight w:val="none"/>
        </w:rPr>
      </w:r>
      <w:r>
        <w:rPr>
          <w:color w:val="000000" w:themeColor="text1"/>
          <w:highlight w:val="none"/>
        </w:rPr>
      </w:r>
    </w:p>
    <w:p>
      <w:pPr>
        <w:pStyle w:val="952"/>
        <w:numPr>
          <w:ilvl w:val="0"/>
          <w:numId w:val="3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rPr>
          <w:rFonts w:ascii="宋体"/>
          <w:bCs/>
          <w:color w:val="000000" w:themeColor="text1"/>
          <w:sz w:val="24"/>
          <w:szCs w:val="24"/>
          <w:highlight w:val="none"/>
        </w:rPr>
      </w:r>
      <w:r>
        <w:rPr>
          <w:color w:val="000000" w:themeColor="text1"/>
          <w:highlight w:val="none"/>
        </w:rPr>
      </w:r>
    </w:p>
    <w:p>
      <w:pPr>
        <w:pStyle w:val="952"/>
        <w:numPr>
          <w:ilvl w:val="0"/>
          <w:numId w:val="3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rPr>
          <w:rFonts w:ascii="宋体"/>
          <w:bCs/>
          <w:color w:val="000000" w:themeColor="text1"/>
          <w:sz w:val="24"/>
          <w:szCs w:val="24"/>
          <w:highlight w:val="none"/>
        </w:rPr>
      </w:r>
      <w:r>
        <w:rPr>
          <w:color w:val="000000" w:themeColor="text1"/>
          <w:highlight w:val="none"/>
        </w:rPr>
      </w:r>
    </w:p>
    <w:p>
      <w:pPr>
        <w:pStyle w:val="952"/>
        <w:numPr>
          <w:ilvl w:val="0"/>
          <w:numId w:val="3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rPr>
          <w:rFonts w:ascii="宋体"/>
          <w:bCs/>
          <w:color w:val="000000" w:themeColor="text1"/>
          <w:sz w:val="24"/>
          <w:szCs w:val="24"/>
          <w:highlight w:val="none"/>
        </w:rPr>
      </w:r>
      <w:r>
        <w:rPr>
          <w:color w:val="000000" w:themeColor="text1"/>
          <w:highlight w:val="none"/>
        </w:rPr>
      </w:r>
    </w:p>
    <w:p>
      <w:pPr>
        <w:pStyle w:val="952"/>
        <w:numPr>
          <w:ilvl w:val="0"/>
          <w:numId w:val="3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rPr>
          <w:rFonts w:ascii="宋体"/>
          <w:bCs/>
          <w:color w:val="000000" w:themeColor="text1"/>
          <w:sz w:val="24"/>
          <w:szCs w:val="24"/>
          <w:highlight w:val="none"/>
        </w:rPr>
      </w:r>
      <w:r>
        <w:rPr>
          <w:color w:val="000000" w:themeColor="text1"/>
          <w:highlight w:val="none"/>
        </w:rPr>
      </w:r>
    </w:p>
    <w:p>
      <w:pPr>
        <w:pStyle w:val="952"/>
        <w:numPr>
          <w:ilvl w:val="0"/>
          <w:numId w:val="3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rPr>
          <w:rFonts w:ascii="宋体"/>
          <w:bCs/>
          <w:color w:val="000000" w:themeColor="text1"/>
          <w:sz w:val="24"/>
          <w:szCs w:val="24"/>
          <w:highlight w:val="none"/>
        </w:rPr>
      </w:r>
      <w:r>
        <w:rPr>
          <w:color w:val="000000" w:themeColor="text1"/>
          <w:highlight w:val="none"/>
        </w:rPr>
      </w:r>
    </w:p>
    <w:p>
      <w:pPr>
        <w:pStyle w:val="952"/>
        <w:numPr>
          <w:ilvl w:val="0"/>
          <w:numId w:val="3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themeColor="text1"/>
          <w:sz w:val="24"/>
          <w:szCs w:val="24"/>
          <w:highlight w:val="none"/>
        </w:rPr>
      </w:r>
      <w:r>
        <w:rPr>
          <w:color w:val="000000" w:themeColor="text1"/>
          <w:highlight w:val="none"/>
        </w:rPr>
      </w:r>
    </w:p>
    <w:p>
      <w:pPr>
        <w:pStyle w:val="952"/>
        <w:numPr>
          <w:ilvl w:val="0"/>
          <w:numId w:val="3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themeColor="text1"/>
          <w:sz w:val="24"/>
          <w:szCs w:val="24"/>
          <w:highlight w:val="none"/>
        </w:rPr>
      </w:r>
      <w:r>
        <w:rPr>
          <w:color w:val="000000" w:themeColor="text1"/>
          <w:highlight w:val="none"/>
        </w:rPr>
      </w:r>
    </w:p>
    <w:p>
      <w:pPr>
        <w:pStyle w:val="952"/>
        <w:numPr>
          <w:ilvl w:val="0"/>
          <w:numId w:val="3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themeColor="text1"/>
          <w:sz w:val="24"/>
          <w:szCs w:val="24"/>
          <w:highlight w:val="none"/>
        </w:rPr>
      </w:r>
      <w:r>
        <w:rPr>
          <w:color w:val="000000" w:themeColor="text1"/>
          <w:highlight w:val="none"/>
        </w:rPr>
      </w:r>
    </w:p>
    <w:p>
      <w:pPr>
        <w:pStyle w:val="952"/>
        <w:ind w:firstLine="72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952"/>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rPr>
          <w:rFonts w:ascii="宋体"/>
          <w:bCs/>
          <w:color w:val="000000" w:themeColor="text1"/>
          <w:sz w:val="24"/>
          <w:szCs w:val="24"/>
          <w:highlight w:val="none"/>
        </w:rPr>
      </w:r>
      <w:r>
        <w:rPr>
          <w:color w:val="000000" w:themeColor="text1"/>
          <w:highlight w:val="none"/>
        </w:rPr>
      </w:r>
    </w:p>
    <w:p>
      <w:pPr>
        <w:pStyle w:val="952"/>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r>
      <w:r>
        <w:rPr>
          <w:color w:val="000000" w:themeColor="text1"/>
          <w:highlight w:val="none"/>
        </w:rPr>
      </w:r>
    </w:p>
    <w:p>
      <w:pPr>
        <w:pStyle w:val="952"/>
        <w:spacing w:line="4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hint="eastAsia" w:ascii="宋体" w:hAnsi="宋体"/>
          <w:bCs/>
          <w:color w:val="000000" w:themeColor="text1"/>
          <w:sz w:val="24"/>
          <w:szCs w:val="24"/>
          <w:highlight w:val="none"/>
        </w:rPr>
      </w:r>
      <w:r>
        <w:rPr>
          <w:color w:val="000000" w:themeColor="text1"/>
          <w:highlight w:val="none"/>
        </w:rPr>
      </w:r>
    </w:p>
    <w:p>
      <w:pPr>
        <w:pStyle w:val="952"/>
        <w:spacing w:line="360" w:lineRule="auto"/>
        <w:rPr>
          <w:rFonts w:hint="eastAsia"/>
          <w:b/>
          <w:color w:val="000000" w:themeColor="text1"/>
          <w:sz w:val="28"/>
          <w:szCs w:val="28"/>
          <w:highlight w:val="none"/>
        </w:rPr>
      </w:pPr>
      <w:r>
        <w:rPr>
          <w:rFonts w:hint="eastAsia"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rPr>
          <w:rFonts w:hint="eastAsia"/>
          <w:b/>
          <w:color w:val="000000" w:themeColor="text1"/>
          <w:sz w:val="28"/>
          <w:szCs w:val="28"/>
          <w:highlight w:val="none"/>
        </w:rPr>
      </w:r>
      <w:r>
        <w:rPr>
          <w:color w:val="000000" w:themeColor="text1"/>
          <w:highlight w:val="none"/>
        </w:rPr>
      </w:r>
    </w:p>
    <w:p>
      <w:pPr>
        <w:pStyle w:val="952"/>
        <w:jc w:val="center"/>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rPr>
          <w:rFonts w:hint="eastAsia" w:ascii="黑体" w:eastAsia="黑体"/>
          <w:bCs/>
          <w:color w:val="000000" w:themeColor="text1"/>
          <w:sz w:val="28"/>
          <w:szCs w:val="28"/>
          <w:highlight w:val="none"/>
        </w:rPr>
      </w:r>
      <w:r>
        <w:rPr>
          <w:color w:val="000000" w:themeColor="text1"/>
          <w:highlight w:val="none"/>
        </w:rPr>
      </w:r>
    </w:p>
    <w:p>
      <w:pPr>
        <w:pStyle w:val="952"/>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投标人</w:t>
      </w:r>
      <w:r>
        <w:rPr>
          <w:rFonts w:hint="eastAsia" w:ascii="宋体" w:hAnsi="宋体"/>
          <w:color w:val="000000" w:themeColor="text1"/>
          <w:sz w:val="24"/>
          <w:szCs w:val="24"/>
          <w:highlight w:val="none"/>
        </w:rPr>
        <w:t xml:space="preserve">名称）针对本项目</w:t>
      </w:r>
      <w:r>
        <w:rPr>
          <w:rFonts w:hint="eastAsia" w:ascii="宋体" w:hAnsi="宋体"/>
          <w:bCs/>
          <w:color w:val="000000" w:themeColor="text1"/>
          <w:sz w:val="24"/>
          <w:szCs w:val="24"/>
          <w:highlight w:val="none"/>
        </w:rPr>
        <w:t xml:space="preserve">JSZC-320200-JZCG-G2025-0155</w:t>
      </w:r>
      <w:r>
        <w:rPr>
          <w:rFonts w:hint="eastAsia" w:ascii="宋体" w:hAnsi="宋体"/>
          <w:color w:val="000000" w:themeColor="text1"/>
          <w:sz w:val="24"/>
          <w:szCs w:val="24"/>
          <w:highlight w:val="none"/>
        </w:rPr>
        <w:t xml:space="preserve">在此承诺：</w:t>
      </w:r>
      <w:r>
        <w:rPr>
          <w:rFonts w:ascii="宋体" w:hAnsi="宋体"/>
          <w:color w:val="000000" w:themeColor="text1"/>
          <w:sz w:val="24"/>
          <w:szCs w:val="24"/>
          <w:highlight w:val="none"/>
        </w:rPr>
      </w:r>
      <w:r>
        <w:rPr>
          <w:color w:val="000000" w:themeColor="text1"/>
          <w:highlight w:val="none"/>
        </w:rPr>
      </w:r>
    </w:p>
    <w:p>
      <w:pPr>
        <w:pStyle w:val="952"/>
        <w:ind w:firstLine="480"/>
        <w:spacing w:line="480" w:lineRule="auto"/>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对本项目所提供的货物均为原厂全新合格品，提供的服务符合招标文件要求。</w:t>
      </w:r>
      <w:r>
        <w:rPr>
          <w:rFonts w:ascii="宋体" w:hAnsi="宋体"/>
          <w:bCs/>
          <w:color w:val="000000" w:themeColor="text1"/>
          <w:sz w:val="24"/>
          <w:szCs w:val="24"/>
          <w:highlight w:val="none"/>
        </w:rPr>
      </w:r>
      <w:r>
        <w:rPr>
          <w:color w:val="000000" w:themeColor="text1"/>
          <w:highlight w:val="none"/>
        </w:rPr>
      </w:r>
    </w:p>
    <w:p>
      <w:pPr>
        <w:pStyle w:val="952"/>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2.本项目中如有涉及商品包装、快递包装要求的，本公司（单位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）对于中标产品的包装将严格按《关于印发〈商品包装政府采购需求标准（试行）〉、〈快递包装政府采购需求标准（试行）〉的通知》（财办库〔2020〕123号）文件执行。</w:t>
      </w:r>
      <w:r>
        <w:rPr>
          <w:rFonts w:hint="eastAsia" w:ascii="宋体"/>
          <w:bCs/>
          <w:color w:val="000000" w:themeColor="text1"/>
          <w:sz w:val="24"/>
          <w:szCs w:val="24"/>
          <w:highlight w:val="none"/>
        </w:rPr>
      </w:r>
      <w:r>
        <w:rPr>
          <w:color w:val="000000" w:themeColor="text1"/>
          <w:highlight w:val="none"/>
        </w:rPr>
      </w:r>
    </w:p>
    <w:p>
      <w:pPr>
        <w:pStyle w:val="952"/>
        <w:ind w:firstLine="480"/>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3.本项目中如有涉及数据中心相关设备、运维服务的，本公司（单位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themeColor="text1"/>
          <w:sz w:val="24"/>
          <w:szCs w:val="24"/>
          <w:highlight w:val="none"/>
        </w:rPr>
      </w:r>
      <w:r>
        <w:rPr>
          <w:color w:val="000000" w:themeColor="text1"/>
          <w:highlight w:val="none"/>
        </w:rPr>
      </w:r>
    </w:p>
    <w:p>
      <w:pPr>
        <w:pStyle w:val="952"/>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将按规定执行国家和我省VOCs含量限制标准；如非强制性标准的，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themeColor="text1"/>
          <w:sz w:val="24"/>
          <w:szCs w:val="24"/>
          <w:highlight w:val="none"/>
        </w:rPr>
      </w:r>
      <w:r>
        <w:rPr>
          <w:color w:val="000000" w:themeColor="text1"/>
          <w:highlight w:val="none"/>
        </w:rPr>
      </w:r>
    </w:p>
    <w:p>
      <w:pPr>
        <w:pStyle w:val="952"/>
        <w:ind w:firstLine="480"/>
        <w:spacing w:line="480" w:lineRule="auto"/>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）将所投产品符合相关要求和标准。在满足</w:t>
      </w:r>
      <w:r>
        <w:rPr>
          <w:rFonts w:hint="eastAsia" w:ascii="宋体" w:hAnsi="宋体" w:cs="宋体"/>
          <w:color w:val="000000" w:themeColor="text1"/>
          <w:sz w:val="24"/>
          <w:szCs w:val="24"/>
          <w:highlight w:val="none"/>
        </w:rPr>
        <w:t xml:space="preserve">《需求标准》的前提下，如招标文件中对七种软硬件有其他要求的，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）所投产品将</w:t>
      </w:r>
      <w:r>
        <w:rPr>
          <w:rFonts w:hint="eastAsia" w:ascii="宋体" w:hAnsi="宋体" w:cs="宋体"/>
          <w:color w:val="000000" w:themeColor="text1"/>
          <w:sz w:val="24"/>
          <w:szCs w:val="24"/>
          <w:highlight w:val="none"/>
        </w:rPr>
        <w:t xml:space="preserve">满足招标文件要求。如采购人在</w:t>
      </w:r>
      <w:r>
        <w:rPr>
          <w:rFonts w:hint="eastAsia" w:ascii="宋体"/>
          <w:bCs/>
          <w:color w:val="000000" w:themeColor="text1"/>
          <w:sz w:val="24"/>
          <w:szCs w:val="24"/>
          <w:highlight w:val="none"/>
        </w:rPr>
        <w:t xml:space="preserve">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）将予以配合。</w:t>
      </w:r>
      <w:r>
        <w:rPr>
          <w:rFonts w:hint="eastAsia" w:ascii="宋体" w:hAnsi="宋体" w:cs="宋体"/>
          <w:color w:val="000000" w:themeColor="text1"/>
          <w:sz w:val="24"/>
          <w:szCs w:val="24"/>
          <w:highlight w:val="none"/>
        </w:rPr>
      </w:r>
      <w:r>
        <w:rPr>
          <w:color w:val="000000" w:themeColor="text1"/>
          <w:highlight w:val="none"/>
        </w:rPr>
      </w:r>
    </w:p>
    <w:p>
      <w:pPr>
        <w:pStyle w:val="952"/>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p>
    <w:p>
      <w:pPr>
        <w:pStyle w:val="952"/>
        <w:ind w:firstLine="480"/>
        <w:spacing w:line="480" w:lineRule="auto"/>
        <w:rPr>
          <w:rFonts w:hint="eastAsia" w:ascii="宋体"/>
          <w:bCs/>
          <w:color w:val="000000" w:themeColor="text1"/>
          <w:sz w:val="24"/>
          <w:szCs w:val="24"/>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（投标人如有其他承诺的可在此处添加）</w:t>
      </w:r>
      <w:r>
        <w:rPr>
          <w:rFonts w:hint="eastAsia" w:ascii="宋体"/>
          <w:bCs/>
          <w:color w:val="000000" w:themeColor="text1"/>
          <w:sz w:val="24"/>
          <w:szCs w:val="24"/>
          <w:highlight w:val="none"/>
        </w:rPr>
      </w:r>
      <w:r>
        <w:rPr>
          <w:color w:val="000000" w:themeColor="text1"/>
          <w:highlight w:val="none"/>
        </w:rPr>
      </w:r>
    </w:p>
    <w:p>
      <w:pPr>
        <w:pStyle w:val="952"/>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p>
    <w:p>
      <w:pPr>
        <w:pStyle w:val="952"/>
        <w:ind w:firstLine="480"/>
        <w:spacing w:line="480" w:lineRule="auto"/>
        <w:rPr>
          <w:rFonts w:ascii="宋体" w:hAnsi="宋体"/>
          <w:color w:val="000000" w:themeColor="text1"/>
          <w:sz w:val="24"/>
          <w:szCs w:val="20"/>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rPr>
          <w:rFonts w:ascii="宋体" w:hAnsi="宋体"/>
          <w:color w:val="000000" w:themeColor="text1"/>
          <w:sz w:val="24"/>
          <w:szCs w:val="20"/>
          <w:highlight w:val="none"/>
        </w:rPr>
      </w:r>
      <w:r>
        <w:rPr>
          <w:color w:val="000000" w:themeColor="text1"/>
          <w:highlight w:val="none"/>
        </w:rPr>
      </w:r>
    </w:p>
    <w:p>
      <w:pPr>
        <w:pStyle w:val="952"/>
        <w:ind w:firstLine="5400"/>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952"/>
        <w:ind w:firstLine="372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ascii="宋体" w:hAnsi="宋体"/>
          <w:bCs/>
          <w:color w:val="000000" w:themeColor="text1"/>
          <w:sz w:val="24"/>
          <w:szCs w:val="24"/>
          <w:highlight w:val="none"/>
        </w:rPr>
      </w:r>
      <w:r>
        <w:rPr>
          <w:color w:val="000000" w:themeColor="text1"/>
          <w:highlight w:val="none"/>
        </w:rPr>
      </w:r>
    </w:p>
    <w:p>
      <w:pPr>
        <w:pStyle w:val="952"/>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rPr>
          <w:rFonts w:hint="eastAsia"/>
          <w:b/>
          <w:color w:val="000000" w:themeColor="text1"/>
          <w:sz w:val="28"/>
          <w:szCs w:val="28"/>
          <w:highlight w:val="none"/>
        </w:rPr>
      </w:r>
      <w:r>
        <w:rPr>
          <w:color w:val="000000" w:themeColor="text1"/>
          <w:highlight w:val="none"/>
        </w:rPr>
      </w:r>
    </w:p>
    <w:p>
      <w:pPr>
        <w:pStyle w:val="952"/>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rPr>
          <w:color w:val="000000" w:themeColor="text1"/>
          <w:highlight w:val="none"/>
        </w:rPr>
      </w:r>
    </w:p>
    <w:p>
      <w:pPr>
        <w:pStyle w:val="952"/>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rPr>
          <w:rFonts w:ascii="黑体" w:eastAsia="黑体"/>
          <w:bCs/>
          <w:color w:val="000000" w:themeColor="text1"/>
          <w:sz w:val="28"/>
          <w:szCs w:val="28"/>
          <w:highlight w:val="none"/>
        </w:rPr>
      </w:r>
      <w:r>
        <w:rPr>
          <w:color w:val="000000" w:themeColor="text1"/>
          <w:highlight w:val="none"/>
        </w:rPr>
      </w:r>
    </w:p>
    <w:p>
      <w:pPr>
        <w:pStyle w:val="952"/>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952"/>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w:t>
      </w:r>
      <w:r>
        <w:rPr>
          <w:rFonts w:hint="eastAsia" w:ascii="黑体" w:eastAsia="黑体"/>
          <w:bCs/>
          <w:color w:val="000000" w:themeColor="text1"/>
          <w:sz w:val="24"/>
          <w:szCs w:val="24"/>
          <w:highlight w:val="none"/>
        </w:rPr>
      </w:r>
      <w:r>
        <w:rPr>
          <w:color w:val="000000" w:themeColor="text1"/>
          <w:highlight w:val="none"/>
        </w:rPr>
      </w:r>
    </w:p>
    <w:p>
      <w:pPr>
        <w:pStyle w:val="952"/>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952"/>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rPr>
        <w:t xml:space="preserve">JSZC-320200-JZCG-G2025-0155</w:t>
      </w:r>
      <w:r>
        <w:rPr>
          <w:rFonts w:hint="eastAsia" w:ascii="黑体" w:eastAsia="黑体"/>
          <w:bCs/>
          <w:color w:val="000000" w:themeColor="text1"/>
          <w:sz w:val="24"/>
          <w:szCs w:val="24"/>
          <w:highlight w:val="none"/>
        </w:rPr>
      </w:r>
      <w:r>
        <w:rPr>
          <w:color w:val="000000" w:themeColor="text1"/>
          <w:highlight w:val="none"/>
        </w:rP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52"/>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rPr>
                <w:rFonts w:ascii="宋体"/>
                <w:b/>
                <w:bCs/>
                <w:color w:val="000000" w:themeColor="text1"/>
                <w:sz w:val="24"/>
                <w:szCs w:val="24"/>
                <w:highlight w:val="none"/>
              </w:rPr>
            </w:r>
            <w:r>
              <w:rPr>
                <w:color w:val="000000" w:themeColor="text1"/>
                <w:highlight w:val="none"/>
              </w:rPr>
            </w:r>
          </w:p>
        </w:tc>
        <w:tc>
          <w:tcPr>
            <w:tcW w:w="3188" w:type="dxa"/>
            <w:vAlign w:val="center"/>
            <w:textDirection w:val="lrTb"/>
            <w:noWrap w:val="false"/>
          </w:tcPr>
          <w:p>
            <w:pPr>
              <w:pStyle w:val="952"/>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小写</w:t>
            </w:r>
            <w:r>
              <w:rPr>
                <w:rFonts w:ascii="宋体" w:hAnsi="宋体"/>
                <w:b/>
                <w:bCs/>
                <w:color w:val="000000" w:themeColor="text1"/>
                <w:sz w:val="24"/>
                <w:szCs w:val="24"/>
                <w:highlight w:val="none"/>
              </w:rPr>
              <w:t xml:space="preserve">)</w:t>
            </w:r>
            <w:r>
              <w:rPr>
                <w:rFonts w:ascii="宋体"/>
                <w:b/>
                <w:bCs/>
                <w:color w:val="000000" w:themeColor="text1"/>
                <w:sz w:val="24"/>
                <w:szCs w:val="24"/>
                <w:highlight w:val="none"/>
              </w:rPr>
            </w:r>
            <w:r>
              <w:rPr>
                <w:color w:val="000000" w:themeColor="text1"/>
                <w:highlight w:val="none"/>
              </w:rPr>
            </w:r>
          </w:p>
        </w:tc>
      </w:tr>
      <w:tr>
        <w:trPr>
          <w:cantSplit/>
          <w:trHeight w:val="1630"/>
        </w:trPr>
        <w:tc>
          <w:tcPr>
            <w:tcW w:w="5697" w:type="dxa"/>
            <w:vAlign w:val="center"/>
            <w:textDirection w:val="lrTb"/>
            <w:noWrap w:val="false"/>
          </w:tcPr>
          <w:p>
            <w:pPr>
              <w:pStyle w:val="1065"/>
              <w:jc w:val="center"/>
              <w:spacing w:line="400" w:lineRule="exact"/>
              <w:rPr>
                <w:rFonts w:hint="eastAsia" w:hAnsi="宋体"/>
                <w:bCs/>
                <w:color w:val="000000" w:themeColor="text1"/>
                <w:szCs w:val="24"/>
                <w:highlight w:val="none"/>
              </w:rPr>
            </w:pPr>
            <w:r>
              <w:rPr>
                <w:rFonts w:hint="eastAsia" w:hAnsi="宋体"/>
                <w:bCs/>
                <w:color w:val="000000" w:themeColor="text1"/>
                <w:szCs w:val="24"/>
                <w:highlight w:val="none"/>
              </w:rPr>
              <w:t xml:space="preserve">太湖流域水文水资源监测中心水文巡测基地设施设备改建计算存储及水情会商设备采购</w:t>
            </w:r>
            <w:r>
              <w:rPr>
                <w:rFonts w:hint="eastAsia" w:hAnsi="宋体"/>
                <w:bCs/>
                <w:color w:val="000000" w:themeColor="text1"/>
                <w:szCs w:val="24"/>
                <w:highlight w:val="none"/>
              </w:rPr>
            </w:r>
            <w:r>
              <w:rPr>
                <w:color w:val="000000" w:themeColor="text1"/>
                <w:highlight w:val="none"/>
              </w:rPr>
            </w:r>
          </w:p>
        </w:tc>
        <w:tc>
          <w:tcPr>
            <w:tcW w:w="3188" w:type="dxa"/>
            <w:vAlign w:val="center"/>
            <w:textDirection w:val="lrTb"/>
            <w:noWrap w:val="false"/>
          </w:tcPr>
          <w:p>
            <w:pPr>
              <w:pStyle w:val="1065"/>
              <w:jc w:val="center"/>
              <w:rPr>
                <w:rFonts w:hAnsi="宋体"/>
                <w:b/>
                <w:color w:val="000000" w:themeColor="text1"/>
                <w:szCs w:val="24"/>
                <w:highlight w:val="none"/>
              </w:rPr>
            </w:pPr>
            <w:r>
              <w:rPr>
                <w:rFonts w:hAnsi="宋体"/>
                <w:b/>
                <w:color w:val="000000" w:themeColor="text1"/>
                <w:szCs w:val="24"/>
                <w:highlight w:val="none"/>
              </w:rPr>
            </w:r>
            <w:r>
              <w:rPr>
                <w:color w:val="000000" w:themeColor="text1"/>
                <w:highlight w:val="none"/>
              </w:rPr>
            </w:r>
          </w:p>
        </w:tc>
      </w:tr>
      <w:tr>
        <w:trPr>
          <w:cantSplit/>
          <w:trHeight w:val="780"/>
        </w:trPr>
        <w:tc>
          <w:tcPr>
            <w:gridSpan w:val="2"/>
            <w:tcW w:w="8885" w:type="dxa"/>
            <w:vAlign w:val="center"/>
            <w:textDirection w:val="lrTb"/>
            <w:noWrap w:val="false"/>
          </w:tcPr>
          <w:p>
            <w:pPr>
              <w:pStyle w:val="952"/>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t xml:space="preserve"> </w:t>
            </w:r>
            <w:r>
              <w:rPr>
                <w:rFonts w:ascii="宋体"/>
                <w:bCs/>
                <w:color w:val="000000" w:themeColor="text1"/>
                <w:sz w:val="24"/>
                <w:szCs w:val="24"/>
                <w:highlight w:val="none"/>
              </w:rPr>
            </w:r>
            <w:r>
              <w:rPr>
                <w:color w:val="000000" w:themeColor="text1"/>
                <w:highlight w:val="none"/>
              </w:rPr>
            </w:r>
          </w:p>
        </w:tc>
      </w:tr>
    </w:tbl>
    <w:p>
      <w:pPr>
        <w:pStyle w:val="952"/>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黑体" w:eastAsia="黑体"/>
          <w:bCs/>
          <w:color w:val="000000" w:themeColor="text1"/>
          <w:sz w:val="24"/>
          <w:szCs w:val="24"/>
          <w:highlight w:val="none"/>
        </w:rPr>
      </w:r>
      <w:r>
        <w:rPr>
          <w:color w:val="000000" w:themeColor="text1"/>
          <w:highlight w:val="none"/>
        </w:rPr>
      </w:r>
    </w:p>
    <w:p>
      <w:pPr>
        <w:pStyle w:val="952"/>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952"/>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952"/>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themeColor="text1"/>
          <w:sz w:val="24"/>
          <w:szCs w:val="24"/>
          <w:highlight w:val="none"/>
        </w:rPr>
      </w:r>
      <w:r>
        <w:rPr>
          <w:color w:val="000000" w:themeColor="text1"/>
          <w:highlight w:val="none"/>
        </w:rPr>
      </w:r>
    </w:p>
    <w:p>
      <w:pPr>
        <w:pStyle w:val="952"/>
        <w:spacing w:line="360" w:lineRule="auto"/>
        <w:rPr>
          <w:rFonts w:hint="eastAsia"/>
          <w:b/>
          <w:color w:val="000000" w:themeColor="text1"/>
          <w:sz w:val="28"/>
          <w:szCs w:val="28"/>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九、分项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r>
        <w:rPr>
          <w:rFonts w:hint="eastAsia"/>
          <w:b/>
          <w:color w:val="000000" w:themeColor="text1"/>
          <w:sz w:val="28"/>
          <w:szCs w:val="28"/>
          <w:highlight w:val="none"/>
        </w:rPr>
      </w:r>
      <w:r>
        <w:rPr>
          <w:color w:val="000000" w:themeColor="text1"/>
          <w:highlight w:val="none"/>
        </w:rPr>
      </w:r>
    </w:p>
    <w:p>
      <w:pPr>
        <w:pStyle w:val="952"/>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p>
    <w:p>
      <w:pPr>
        <w:pStyle w:val="952"/>
        <w:jc w:val="center"/>
        <w:spacing w:line="400" w:lineRule="exact"/>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分项报价表</w:t>
      </w:r>
      <w:r>
        <w:rPr>
          <w:rFonts w:ascii="黑体" w:eastAsia="黑体"/>
          <w:bCs/>
          <w:color w:val="000000" w:themeColor="text1"/>
          <w:sz w:val="28"/>
          <w:szCs w:val="28"/>
          <w:highlight w:val="none"/>
        </w:rPr>
      </w:r>
      <w:r>
        <w:rPr>
          <w:color w:val="000000" w:themeColor="text1"/>
          <w:highlight w:val="none"/>
        </w:rPr>
      </w:r>
    </w:p>
    <w:p>
      <w:pPr>
        <w:pStyle w:val="952"/>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rPr>
        <w:t xml:space="preserve">JSZC-320200-JZCG-G2025-0155</w:t>
      </w:r>
      <w:r>
        <w:rPr>
          <w:rFonts w:hint="eastAsia" w:ascii="黑体" w:eastAsia="黑体"/>
          <w:bCs/>
          <w:color w:val="000000" w:themeColor="text1"/>
          <w:sz w:val="24"/>
          <w:szCs w:val="24"/>
          <w:highlight w:val="none"/>
        </w:rPr>
      </w:r>
      <w:r>
        <w:rPr>
          <w:color w:val="000000" w:themeColor="text1"/>
          <w:highlight w:val="none"/>
        </w:rP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pStyle w:val="952"/>
              <w:jc w:val="center"/>
              <w:spacing w:before="5"/>
              <w:rPr>
                <w:color w:val="000000" w:themeColor="text1"/>
                <w:sz w:val="18"/>
                <w:highlight w:val="none"/>
              </w:rPr>
            </w:pPr>
            <w:r>
              <w:rPr>
                <w:rFonts w:hint="eastAsia"/>
                <w:color w:val="000000" w:themeColor="text1"/>
                <w:sz w:val="18"/>
                <w:highlight w:val="none"/>
              </w:rPr>
              <w:t xml:space="preserve">序号</w:t>
            </w:r>
            <w:r>
              <w:rPr>
                <w:color w:val="000000" w:themeColor="text1"/>
                <w:sz w:val="18"/>
                <w:highlight w:val="none"/>
              </w:rPr>
            </w:r>
            <w:r>
              <w:rPr>
                <w:color w:val="000000" w:themeColor="text1"/>
                <w:highlight w:val="none"/>
              </w:rPr>
            </w:r>
          </w:p>
        </w:tc>
        <w:tc>
          <w:tcPr>
            <w:tcMar>
              <w:left w:w="15" w:type="dxa"/>
              <w:top w:w="15" w:type="dxa"/>
              <w:right w:w="15" w:type="dxa"/>
              <w:bottom w:w="0" w:type="dxa"/>
            </w:tcMar>
            <w:tcW w:w="1050" w:type="dxa"/>
            <w:vAlign w:val="center"/>
            <w:textDirection w:val="lrTb"/>
            <w:noWrap/>
          </w:tcPr>
          <w:p>
            <w:pPr>
              <w:pStyle w:val="952"/>
              <w:jc w:val="center"/>
              <w:spacing w:before="5"/>
              <w:rPr>
                <w:color w:val="000000" w:themeColor="text1"/>
                <w:sz w:val="18"/>
                <w:highlight w:val="none"/>
              </w:rPr>
            </w:pPr>
            <w:r>
              <w:rPr>
                <w:rFonts w:hint="eastAsia"/>
                <w:color w:val="000000" w:themeColor="text1"/>
                <w:sz w:val="18"/>
                <w:highlight w:val="none"/>
              </w:rPr>
              <w:t xml:space="preserve">名称</w:t>
            </w:r>
            <w:r>
              <w:rPr>
                <w:color w:val="000000" w:themeColor="text1"/>
                <w:sz w:val="18"/>
                <w:highlight w:val="none"/>
              </w:rPr>
            </w:r>
            <w:r>
              <w:rPr>
                <w:color w:val="000000" w:themeColor="text1"/>
                <w:highlight w:val="none"/>
              </w:rPr>
            </w:r>
          </w:p>
        </w:tc>
        <w:tc>
          <w:tcPr>
            <w:tcMar>
              <w:left w:w="15" w:type="dxa"/>
              <w:top w:w="15" w:type="dxa"/>
              <w:right w:w="15" w:type="dxa"/>
              <w:bottom w:w="0" w:type="dxa"/>
            </w:tcMar>
            <w:tcW w:w="945" w:type="dxa"/>
            <w:vAlign w:val="center"/>
            <w:textDirection w:val="lrTb"/>
            <w:noWrap/>
          </w:tcPr>
          <w:p>
            <w:pPr>
              <w:pStyle w:val="952"/>
              <w:jc w:val="center"/>
              <w:spacing w:before="5"/>
              <w:rPr>
                <w:color w:val="000000" w:themeColor="text1"/>
                <w:sz w:val="18"/>
                <w:highlight w:val="none"/>
              </w:rPr>
            </w:pPr>
            <w:r>
              <w:rPr>
                <w:rFonts w:hint="eastAsia"/>
                <w:color w:val="000000" w:themeColor="text1"/>
                <w:sz w:val="18"/>
                <w:highlight w:val="none"/>
              </w:rPr>
              <w:t xml:space="preserve">品牌型号</w:t>
            </w:r>
            <w:r>
              <w:rPr>
                <w:color w:val="000000" w:themeColor="text1"/>
                <w:sz w:val="18"/>
                <w:highlight w:val="none"/>
              </w:rPr>
            </w:r>
            <w:r>
              <w:rPr>
                <w:color w:val="000000" w:themeColor="text1"/>
                <w:highlight w:val="none"/>
              </w:rPr>
            </w:r>
          </w:p>
        </w:tc>
        <w:tc>
          <w:tcPr>
            <w:tcMar>
              <w:left w:w="15" w:type="dxa"/>
              <w:top w:w="15" w:type="dxa"/>
              <w:right w:w="15" w:type="dxa"/>
              <w:bottom w:w="0" w:type="dxa"/>
            </w:tcMar>
            <w:tcW w:w="3045" w:type="dxa"/>
            <w:vAlign w:val="center"/>
            <w:textDirection w:val="lrTb"/>
            <w:noWrap/>
          </w:tcPr>
          <w:p>
            <w:pPr>
              <w:pStyle w:val="952"/>
              <w:jc w:val="center"/>
              <w:spacing w:before="5"/>
              <w:rPr>
                <w:color w:val="000000" w:themeColor="text1"/>
                <w:sz w:val="18"/>
                <w:highlight w:val="none"/>
              </w:rPr>
            </w:pPr>
            <w:r>
              <w:rPr>
                <w:rFonts w:hint="eastAsia"/>
                <w:color w:val="000000" w:themeColor="text1"/>
                <w:sz w:val="18"/>
                <w:highlight w:val="none"/>
              </w:rPr>
              <w:t xml:space="preserve">性能指标</w:t>
            </w:r>
            <w:r>
              <w:rPr>
                <w:color w:val="000000" w:themeColor="text1"/>
                <w:sz w:val="18"/>
                <w:highlight w:val="none"/>
              </w:rPr>
            </w:r>
            <w:r>
              <w:rPr>
                <w:color w:val="000000" w:themeColor="text1"/>
                <w:highlight w:val="none"/>
              </w:rPr>
            </w:r>
          </w:p>
        </w:tc>
        <w:tc>
          <w:tcPr>
            <w:tcMar>
              <w:left w:w="15" w:type="dxa"/>
              <w:top w:w="15" w:type="dxa"/>
              <w:right w:w="15" w:type="dxa"/>
              <w:bottom w:w="0" w:type="dxa"/>
            </w:tcMar>
            <w:tcW w:w="599" w:type="dxa"/>
            <w:vAlign w:val="center"/>
            <w:textDirection w:val="lrTb"/>
            <w:noWrap w:val="false"/>
          </w:tcPr>
          <w:p>
            <w:pPr>
              <w:pStyle w:val="952"/>
              <w:jc w:val="center"/>
              <w:spacing w:before="5"/>
              <w:rPr>
                <w:color w:val="000000" w:themeColor="text1"/>
                <w:sz w:val="18"/>
                <w:highlight w:val="none"/>
              </w:rPr>
            </w:pPr>
            <w:r>
              <w:rPr>
                <w:rFonts w:hint="eastAsia"/>
                <w:color w:val="000000" w:themeColor="text1"/>
                <w:sz w:val="18"/>
                <w:highlight w:val="none"/>
              </w:rPr>
              <w:t xml:space="preserve">数量</w:t>
            </w:r>
            <w:r>
              <w:rPr>
                <w:color w:val="000000" w:themeColor="text1"/>
                <w:sz w:val="18"/>
                <w:highlight w:val="none"/>
              </w:rPr>
            </w:r>
            <w:r>
              <w:rPr>
                <w:color w:val="000000" w:themeColor="text1"/>
                <w:highlight w:val="none"/>
              </w:rPr>
            </w:r>
          </w:p>
        </w:tc>
        <w:tc>
          <w:tcPr>
            <w:tcW w:w="1276" w:type="dxa"/>
            <w:vAlign w:val="center"/>
            <w:textDirection w:val="lrTb"/>
            <w:noWrap w:val="false"/>
          </w:tcPr>
          <w:p>
            <w:pPr>
              <w:pStyle w:val="952"/>
              <w:jc w:val="center"/>
              <w:spacing w:before="5"/>
              <w:rPr>
                <w:color w:val="000000" w:themeColor="text1"/>
                <w:sz w:val="18"/>
                <w:highlight w:val="none"/>
              </w:rPr>
            </w:pPr>
            <w:r>
              <w:rPr>
                <w:rFonts w:hint="eastAsia"/>
                <w:color w:val="000000" w:themeColor="text1"/>
                <w:sz w:val="18"/>
                <w:highlight w:val="none"/>
              </w:rPr>
              <w:t xml:space="preserve">产地</w:t>
            </w:r>
            <w:r>
              <w:rPr>
                <w:color w:val="000000" w:themeColor="text1"/>
                <w:sz w:val="18"/>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952"/>
              <w:jc w:val="center"/>
              <w:spacing w:before="5"/>
              <w:rPr>
                <w:color w:val="000000" w:themeColor="text1"/>
                <w:sz w:val="18"/>
                <w:highlight w:val="none"/>
              </w:rPr>
            </w:pPr>
            <w:r>
              <w:rPr>
                <w:rFonts w:hint="eastAsia"/>
                <w:color w:val="000000" w:themeColor="text1"/>
                <w:sz w:val="18"/>
                <w:highlight w:val="none"/>
              </w:rPr>
              <w:t xml:space="preserve">质保期</w:t>
            </w:r>
            <w:r>
              <w:rPr>
                <w:color w:val="000000" w:themeColor="text1"/>
                <w:sz w:val="18"/>
                <w:highlight w:val="none"/>
              </w:rPr>
            </w:r>
            <w:r>
              <w:rPr>
                <w:color w:val="000000" w:themeColor="text1"/>
                <w:highlight w:val="none"/>
              </w:rPr>
            </w:r>
          </w:p>
        </w:tc>
        <w:tc>
          <w:tcPr>
            <w:tcW w:w="709" w:type="dxa"/>
            <w:vAlign w:val="center"/>
            <w:textDirection w:val="lrTb"/>
            <w:noWrap w:val="false"/>
          </w:tcPr>
          <w:p>
            <w:pPr>
              <w:pStyle w:val="952"/>
              <w:jc w:val="center"/>
              <w:spacing w:before="5"/>
              <w:rPr>
                <w:color w:val="000000" w:themeColor="text1"/>
                <w:sz w:val="18"/>
                <w:highlight w:val="none"/>
              </w:rPr>
            </w:pPr>
            <w:r>
              <w:rPr>
                <w:rFonts w:hint="eastAsia"/>
                <w:color w:val="000000" w:themeColor="text1"/>
                <w:sz w:val="18"/>
                <w:highlight w:val="none"/>
              </w:rPr>
              <w:t xml:space="preserve">单报价</w:t>
            </w:r>
            <w:r>
              <w:rPr>
                <w:color w:val="000000" w:themeColor="text1"/>
                <w:sz w:val="18"/>
                <w:highlight w:val="none"/>
              </w:rPr>
            </w:r>
            <w:r>
              <w:rPr>
                <w:color w:val="000000" w:themeColor="text1"/>
                <w:highlight w:val="none"/>
              </w:rPr>
            </w:r>
          </w:p>
        </w:tc>
        <w:tc>
          <w:tcPr>
            <w:tcW w:w="939" w:type="dxa"/>
            <w:vAlign w:val="center"/>
            <w:textDirection w:val="lrTb"/>
            <w:noWrap w:val="false"/>
          </w:tcPr>
          <w:p>
            <w:pPr>
              <w:pStyle w:val="952"/>
              <w:jc w:val="center"/>
              <w:spacing w:before="5"/>
              <w:rPr>
                <w:color w:val="000000" w:themeColor="text1"/>
                <w:sz w:val="18"/>
                <w:highlight w:val="none"/>
              </w:rPr>
            </w:pPr>
            <w:r>
              <w:rPr>
                <w:rFonts w:hint="eastAsia"/>
                <w:color w:val="000000" w:themeColor="text1"/>
                <w:sz w:val="18"/>
                <w:highlight w:val="none"/>
              </w:rPr>
              <w:t xml:space="preserve">分项总报价</w:t>
            </w:r>
            <w:r>
              <w:rPr>
                <w:color w:val="000000" w:themeColor="text1"/>
                <w:sz w:val="18"/>
                <w:highlight w:val="none"/>
              </w:rPr>
            </w:r>
            <w:r>
              <w:rPr>
                <w:color w:val="000000" w:themeColor="text1"/>
                <w:highlight w:val="none"/>
              </w:rPr>
            </w:r>
          </w:p>
        </w:tc>
      </w:tr>
      <w:tr>
        <w:trPr>
          <w:cantSplit/>
          <w:trHeight w:val="717"/>
        </w:trPr>
        <w:tc>
          <w:tcPr>
            <w:tcMar>
              <w:left w:w="15" w:type="dxa"/>
              <w:top w:w="15" w:type="dxa"/>
              <w:right w:w="15" w:type="dxa"/>
              <w:bottom w:w="0" w:type="dxa"/>
            </w:tcMar>
            <w:tcW w:w="420" w:type="dxa"/>
            <w:vAlign w:val="center"/>
            <w:textDirection w:val="lrTb"/>
            <w:noWrap/>
          </w:tcPr>
          <w:p>
            <w:pPr>
              <w:pStyle w:val="1001"/>
              <w:spacing w:before="5"/>
              <w:tabs>
                <w:tab w:val="clear" w:pos="4153" w:leader="none"/>
                <w:tab w:val="clear" w:pos="8306" w:leader="none"/>
              </w:tabs>
              <w:rPr>
                <w:rFonts w:ascii="宋体"/>
                <w:color w:val="000000" w:themeColor="text1"/>
                <w:highlight w:val="none"/>
              </w:rPr>
              <w:pBdr>
                <w:bottom w:val="none" w:color="000000" w:sz="0" w:space="0"/>
              </w:pBdr>
            </w:pPr>
            <w:r>
              <w:rPr>
                <w:rFonts w:hint="eastAsia" w:ascii="宋体"/>
                <w:color w:val="000000" w:themeColor="text1"/>
                <w:highlight w:val="none"/>
                <w:lang w:val="en-US" w:eastAsia="zh-CN"/>
              </w:rPr>
              <w:t xml:space="preserve">1</w:t>
            </w:r>
            <w:r>
              <w:rPr>
                <w:rFonts w:ascii="宋体"/>
                <w:color w:val="000000" w:themeColor="text1"/>
                <w:highlight w:val="none"/>
                <w:lang w:val="en-US" w:eastAsia="zh-CN"/>
              </w:rPr>
            </w:r>
            <w:r>
              <w:rPr>
                <w:color w:val="000000" w:themeColor="text1"/>
                <w:highlight w:val="none"/>
              </w:rPr>
            </w:r>
          </w:p>
        </w:tc>
        <w:tc>
          <w:tcPr>
            <w:tcMar>
              <w:left w:w="15" w:type="dxa"/>
              <w:top w:w="15" w:type="dxa"/>
              <w:right w:w="15" w:type="dxa"/>
              <w:bottom w:w="0" w:type="dxa"/>
            </w:tcMar>
            <w:tcW w:w="1050" w:type="dxa"/>
            <w:vAlign w:val="center"/>
            <w:textDirection w:val="lrTb"/>
            <w:noWrap/>
          </w:tcPr>
          <w:p>
            <w:pPr>
              <w:pStyle w:val="1001"/>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lang w:val="en-US" w:eastAsia="zh-CN"/>
              </w:rPr>
            </w:r>
            <w:r>
              <w:rPr>
                <w:color w:val="000000" w:themeColor="text1"/>
                <w:highlight w:val="none"/>
              </w:rPr>
            </w:r>
          </w:p>
        </w:tc>
        <w:tc>
          <w:tcPr>
            <w:tcMar>
              <w:left w:w="15" w:type="dxa"/>
              <w:top w:w="15" w:type="dxa"/>
              <w:right w:w="15" w:type="dxa"/>
              <w:bottom w:w="0" w:type="dxa"/>
            </w:tcMar>
            <w:tcW w:w="945" w:type="dxa"/>
            <w:vAlign w:val="center"/>
            <w:textDirection w:val="lrTb"/>
            <w:noWrap w:val="false"/>
          </w:tcPr>
          <w:p>
            <w:pPr>
              <w:pStyle w:val="1001"/>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lang w:val="en-US" w:eastAsia="zh-CN"/>
              </w:rPr>
            </w:r>
            <w:r>
              <w:rPr>
                <w:color w:val="000000" w:themeColor="text1"/>
                <w:highlight w:val="none"/>
              </w:rPr>
            </w:r>
          </w:p>
        </w:tc>
        <w:tc>
          <w:tcPr>
            <w:tcMar>
              <w:left w:w="15" w:type="dxa"/>
              <w:top w:w="15" w:type="dxa"/>
              <w:right w:w="15" w:type="dxa"/>
              <w:bottom w:w="0" w:type="dxa"/>
            </w:tcMar>
            <w:tcW w:w="3045" w:type="dxa"/>
            <w:vAlign w:val="top"/>
            <w:textDirection w:val="lrTb"/>
            <w:noWrap w:val="false"/>
          </w:tcPr>
          <w:p>
            <w:pPr>
              <w:pStyle w:val="952"/>
              <w:jc w:val="center"/>
              <w:rPr>
                <w:rFonts w:ascii="宋体"/>
                <w:bCs/>
                <w:color w:val="000000" w:themeColor="text1"/>
                <w:sz w:val="18"/>
                <w:highlight w:val="none"/>
              </w:rPr>
            </w:pPr>
            <w:r>
              <w:rPr>
                <w:rFonts w:ascii="宋体"/>
                <w:bCs/>
                <w:color w:val="000000" w:themeColor="text1"/>
                <w:sz w:val="18"/>
                <w:highlight w:val="none"/>
              </w:rPr>
            </w:r>
            <w:r>
              <w:rPr>
                <w:color w:val="000000" w:themeColor="text1"/>
                <w:highlight w:val="none"/>
              </w:rPr>
            </w:r>
          </w:p>
        </w:tc>
        <w:tc>
          <w:tcPr>
            <w:tcMar>
              <w:left w:w="15" w:type="dxa"/>
              <w:top w:w="15" w:type="dxa"/>
              <w:right w:w="15" w:type="dxa"/>
              <w:bottom w:w="0" w:type="dxa"/>
            </w:tcMar>
            <w:tcW w:w="599" w:type="dxa"/>
            <w:vAlign w:val="center"/>
            <w:textDirection w:val="lrTb"/>
            <w:noWrap w:val="false"/>
          </w:tcPr>
          <w:p>
            <w:pPr>
              <w:pStyle w:val="952"/>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952"/>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952"/>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952"/>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939" w:type="dxa"/>
            <w:vAlign w:val="center"/>
            <w:textDirection w:val="lrTb"/>
            <w:noWrap w:val="false"/>
          </w:tcPr>
          <w:p>
            <w:pPr>
              <w:pStyle w:val="952"/>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952"/>
              <w:jc w:val="center"/>
              <w:rPr>
                <w:rFonts w:ascii="宋体"/>
                <w:color w:val="000000" w:themeColor="text1"/>
                <w:sz w:val="18"/>
                <w:highlight w:val="none"/>
              </w:rPr>
            </w:pPr>
            <w:r>
              <w:rPr>
                <w:rFonts w:hint="eastAsia" w:ascii="宋体"/>
                <w:color w:val="000000" w:themeColor="text1"/>
                <w:sz w:val="18"/>
                <w:highlight w:val="none"/>
              </w:rPr>
              <w:t xml:space="preserve">2</w:t>
            </w:r>
            <w:r>
              <w:rPr>
                <w:rFonts w:ascii="宋体"/>
                <w:color w:val="000000" w:themeColor="text1"/>
                <w:sz w:val="18"/>
                <w:highlight w:val="none"/>
              </w:rPr>
            </w:r>
            <w:r>
              <w:rPr>
                <w:color w:val="000000" w:themeColor="text1"/>
                <w:highlight w:val="none"/>
              </w:rPr>
            </w:r>
          </w:p>
        </w:tc>
        <w:tc>
          <w:tcPr>
            <w:tcMar>
              <w:left w:w="15" w:type="dxa"/>
              <w:top w:w="15" w:type="dxa"/>
              <w:right w:w="15" w:type="dxa"/>
              <w:bottom w:w="0" w:type="dxa"/>
            </w:tcMar>
            <w:tcW w:w="1050" w:type="dxa"/>
            <w:vAlign w:val="center"/>
            <w:textDirection w:val="lrTb"/>
            <w:noWrap/>
          </w:tcPr>
          <w:p>
            <w:pPr>
              <w:pStyle w:val="952"/>
              <w:jc w:val="center"/>
              <w:rPr>
                <w:rFonts w:ascii="宋体"/>
                <w:color w:val="000000" w:themeColor="text1"/>
                <w:highlight w:val="none"/>
              </w:rPr>
            </w:pPr>
            <w:r>
              <w:rPr>
                <w:rFonts w:ascii="宋体"/>
                <w:color w:val="000000" w:themeColor="text1"/>
                <w:highlight w:val="none"/>
              </w:rPr>
            </w:r>
            <w:r>
              <w:rPr>
                <w:color w:val="000000" w:themeColor="text1"/>
                <w:highlight w:val="none"/>
              </w:rPr>
            </w:r>
          </w:p>
        </w:tc>
        <w:tc>
          <w:tcPr>
            <w:tcMar>
              <w:left w:w="15" w:type="dxa"/>
              <w:top w:w="15" w:type="dxa"/>
              <w:right w:w="15" w:type="dxa"/>
              <w:bottom w:w="0" w:type="dxa"/>
            </w:tcMar>
            <w:tcW w:w="945" w:type="dxa"/>
            <w:vAlign w:val="center"/>
            <w:textDirection w:val="lrTb"/>
            <w:noWrap w:val="false"/>
          </w:tcPr>
          <w:p>
            <w:pPr>
              <w:pStyle w:val="1001"/>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lang w:val="en-US" w:eastAsia="zh-CN"/>
              </w:rPr>
            </w:r>
            <w:r>
              <w:rPr>
                <w:color w:val="000000" w:themeColor="text1"/>
                <w:highlight w:val="none"/>
              </w:rPr>
            </w:r>
          </w:p>
        </w:tc>
        <w:tc>
          <w:tcPr>
            <w:tcMar>
              <w:left w:w="15" w:type="dxa"/>
              <w:top w:w="15" w:type="dxa"/>
              <w:right w:w="15" w:type="dxa"/>
              <w:bottom w:w="0" w:type="dxa"/>
            </w:tcMar>
            <w:tcW w:w="3045" w:type="dxa"/>
            <w:vAlign w:val="center"/>
            <w:textDirection w:val="lrTb"/>
            <w:noWrap w:val="false"/>
          </w:tcPr>
          <w:p>
            <w:pPr>
              <w:pStyle w:val="952"/>
              <w:jc w:val="center"/>
              <w:rPr>
                <w:rFonts w:ascii="宋体"/>
                <w:bCs/>
                <w:color w:val="000000" w:themeColor="text1"/>
                <w:sz w:val="18"/>
                <w:highlight w:val="none"/>
              </w:rPr>
            </w:pPr>
            <w:r>
              <w:rPr>
                <w:rFonts w:ascii="宋体"/>
                <w:bCs/>
                <w:color w:val="000000" w:themeColor="text1"/>
                <w:sz w:val="18"/>
                <w:highlight w:val="none"/>
              </w:rPr>
            </w:r>
            <w:r>
              <w:rPr>
                <w:color w:val="000000" w:themeColor="text1"/>
                <w:highlight w:val="none"/>
              </w:rPr>
            </w:r>
          </w:p>
        </w:tc>
        <w:tc>
          <w:tcPr>
            <w:tcMar>
              <w:left w:w="15" w:type="dxa"/>
              <w:top w:w="15" w:type="dxa"/>
              <w:right w:w="15" w:type="dxa"/>
              <w:bottom w:w="0" w:type="dxa"/>
            </w:tcMar>
            <w:tcW w:w="599" w:type="dxa"/>
            <w:vAlign w:val="center"/>
            <w:textDirection w:val="lrTb"/>
            <w:noWrap w:val="false"/>
          </w:tcPr>
          <w:p>
            <w:pPr>
              <w:pStyle w:val="952"/>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952"/>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952"/>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952"/>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939" w:type="dxa"/>
            <w:vAlign w:val="center"/>
            <w:textDirection w:val="lrTb"/>
            <w:noWrap w:val="false"/>
          </w:tcPr>
          <w:p>
            <w:pPr>
              <w:pStyle w:val="952"/>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952"/>
              <w:jc w:val="center"/>
              <w:rPr>
                <w:rFonts w:ascii="宋体"/>
                <w:color w:val="000000" w:themeColor="text1"/>
                <w:sz w:val="18"/>
                <w:highlight w:val="none"/>
              </w:rPr>
            </w:pPr>
            <w:r>
              <w:rPr>
                <w:rFonts w:ascii="宋体"/>
                <w:color w:val="000000" w:themeColor="text1"/>
                <w:sz w:val="18"/>
                <w:highlight w:val="none"/>
              </w:rPr>
            </w:r>
            <w:r>
              <w:rPr>
                <w:color w:val="000000" w:themeColor="text1"/>
                <w:highlight w:val="none"/>
              </w:rPr>
            </w:r>
          </w:p>
        </w:tc>
        <w:tc>
          <w:tcPr>
            <w:tcMar>
              <w:left w:w="15" w:type="dxa"/>
              <w:top w:w="15" w:type="dxa"/>
              <w:right w:w="15" w:type="dxa"/>
              <w:bottom w:w="0" w:type="dxa"/>
            </w:tcMar>
            <w:tcW w:w="1050" w:type="dxa"/>
            <w:vAlign w:val="center"/>
            <w:textDirection w:val="lrTb"/>
            <w:noWrap/>
          </w:tcPr>
          <w:p>
            <w:pPr>
              <w:pStyle w:val="952"/>
              <w:jc w:val="center"/>
              <w:rPr>
                <w:rFonts w:ascii="宋体"/>
                <w:color w:val="000000" w:themeColor="text1"/>
                <w:highlight w:val="none"/>
              </w:rPr>
            </w:pPr>
            <w:r>
              <w:rPr>
                <w:rFonts w:ascii="宋体"/>
                <w:color w:val="000000" w:themeColor="text1"/>
                <w:highlight w:val="none"/>
              </w:rPr>
              <w:t xml:space="preserve">……</w:t>
            </w:r>
            <w:r>
              <w:rPr>
                <w:rFonts w:ascii="宋体"/>
                <w:color w:val="000000" w:themeColor="text1"/>
                <w:highlight w:val="none"/>
              </w:rPr>
            </w:r>
            <w:r>
              <w:rPr>
                <w:color w:val="000000" w:themeColor="text1"/>
                <w:highlight w:val="none"/>
              </w:rPr>
            </w:r>
          </w:p>
        </w:tc>
        <w:tc>
          <w:tcPr>
            <w:tcMar>
              <w:left w:w="15" w:type="dxa"/>
              <w:top w:w="15" w:type="dxa"/>
              <w:right w:w="15" w:type="dxa"/>
              <w:bottom w:w="0" w:type="dxa"/>
            </w:tcMar>
            <w:tcW w:w="945" w:type="dxa"/>
            <w:vAlign w:val="center"/>
            <w:textDirection w:val="lrTb"/>
            <w:noWrap w:val="false"/>
          </w:tcPr>
          <w:p>
            <w:pPr>
              <w:pStyle w:val="1001"/>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lang w:val="en-US" w:eastAsia="zh-CN"/>
              </w:rPr>
            </w:r>
            <w:r>
              <w:rPr>
                <w:color w:val="000000" w:themeColor="text1"/>
                <w:highlight w:val="none"/>
              </w:rPr>
            </w:r>
          </w:p>
        </w:tc>
        <w:tc>
          <w:tcPr>
            <w:tcMar>
              <w:left w:w="15" w:type="dxa"/>
              <w:top w:w="15" w:type="dxa"/>
              <w:right w:w="15" w:type="dxa"/>
              <w:bottom w:w="0" w:type="dxa"/>
            </w:tcMar>
            <w:tcW w:w="3045" w:type="dxa"/>
            <w:vAlign w:val="center"/>
            <w:textDirection w:val="lrTb"/>
            <w:noWrap w:val="false"/>
          </w:tcPr>
          <w:p>
            <w:pPr>
              <w:pStyle w:val="952"/>
              <w:jc w:val="center"/>
              <w:rPr>
                <w:rFonts w:ascii="宋体"/>
                <w:bCs/>
                <w:color w:val="000000" w:themeColor="text1"/>
                <w:sz w:val="18"/>
                <w:highlight w:val="none"/>
              </w:rPr>
            </w:pPr>
            <w:r>
              <w:rPr>
                <w:rFonts w:ascii="宋体"/>
                <w:bCs/>
                <w:color w:val="000000" w:themeColor="text1"/>
                <w:sz w:val="18"/>
                <w:highlight w:val="none"/>
              </w:rPr>
            </w:r>
            <w:r>
              <w:rPr>
                <w:color w:val="000000" w:themeColor="text1"/>
                <w:highlight w:val="none"/>
              </w:rPr>
            </w:r>
          </w:p>
        </w:tc>
        <w:tc>
          <w:tcPr>
            <w:tcMar>
              <w:left w:w="15" w:type="dxa"/>
              <w:top w:w="15" w:type="dxa"/>
              <w:right w:w="15" w:type="dxa"/>
              <w:bottom w:w="0" w:type="dxa"/>
            </w:tcMar>
            <w:tcW w:w="599" w:type="dxa"/>
            <w:vAlign w:val="center"/>
            <w:textDirection w:val="lrTb"/>
            <w:noWrap w:val="false"/>
          </w:tcPr>
          <w:p>
            <w:pPr>
              <w:pStyle w:val="952"/>
              <w:jc w:val="center"/>
              <w:rPr>
                <w:rFonts w:hint="eastAsia" w:ascii="黑体" w:eastAsia="黑体"/>
                <w:b/>
                <w:bCs/>
                <w:color w:val="000000" w:themeColor="text1"/>
                <w:highlight w:val="none"/>
              </w:rPr>
            </w:pPr>
            <w:r>
              <w:rPr>
                <w:rFonts w:hint="eastAsia" w:ascii="黑体" w:eastAsia="黑体"/>
                <w:b/>
                <w:bCs/>
                <w:color w:val="000000" w:themeColor="text1"/>
                <w:highlight w:val="none"/>
              </w:rPr>
            </w:r>
            <w:r>
              <w:rPr>
                <w:color w:val="000000" w:themeColor="text1"/>
                <w:highlight w:val="none"/>
              </w:rPr>
            </w:r>
          </w:p>
        </w:tc>
        <w:tc>
          <w:tcPr>
            <w:tcW w:w="1276" w:type="dxa"/>
            <w:vAlign w:val="center"/>
            <w:textDirection w:val="lrTb"/>
            <w:noWrap w:val="false"/>
          </w:tcPr>
          <w:p>
            <w:pPr>
              <w:pStyle w:val="952"/>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952"/>
              <w:jc w:val="center"/>
              <w:rPr>
                <w:rFonts w:hint="eastAsia" w:ascii="黑体" w:eastAsia="黑体"/>
                <w:b/>
                <w:bCs/>
                <w:color w:val="000000" w:themeColor="text1"/>
                <w:highlight w:val="none"/>
              </w:rPr>
            </w:pPr>
            <w:r>
              <w:rPr>
                <w:rFonts w:hint="eastAsia" w:ascii="黑体" w:eastAsia="黑体"/>
                <w:b/>
                <w:bCs/>
                <w:color w:val="000000" w:themeColor="text1"/>
                <w:highlight w:val="none"/>
              </w:rPr>
            </w:r>
            <w:r>
              <w:rPr>
                <w:color w:val="000000" w:themeColor="text1"/>
                <w:highlight w:val="none"/>
              </w:rPr>
            </w:r>
          </w:p>
        </w:tc>
        <w:tc>
          <w:tcPr>
            <w:tcW w:w="709" w:type="dxa"/>
            <w:vAlign w:val="center"/>
            <w:textDirection w:val="lrTb"/>
            <w:noWrap w:val="false"/>
          </w:tcPr>
          <w:p>
            <w:pPr>
              <w:pStyle w:val="952"/>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939" w:type="dxa"/>
            <w:vAlign w:val="center"/>
            <w:textDirection w:val="lrTb"/>
            <w:noWrap w:val="false"/>
          </w:tcPr>
          <w:p>
            <w:pPr>
              <w:pStyle w:val="952"/>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bl>
    <w:p>
      <w:pPr>
        <w:pStyle w:val="952"/>
        <w:spacing w:before="5" w:line="560" w:lineRule="atLeast"/>
        <w:rPr>
          <w:b/>
          <w:bCs/>
          <w:color w:val="000000" w:themeColor="text1"/>
          <w:sz w:val="24"/>
          <w:szCs w:val="24"/>
          <w:highlight w:val="none"/>
        </w:rPr>
      </w:pPr>
      <w:r>
        <w:rPr>
          <w:rFonts w:hint="eastAsia"/>
          <w:b/>
          <w:bCs/>
          <w:color w:val="000000" w:themeColor="text1"/>
          <w:sz w:val="24"/>
          <w:szCs w:val="24"/>
          <w:highlight w:val="none"/>
        </w:rPr>
        <w:t xml:space="preserve">投标人名称（盖章）：</w:t>
      </w:r>
      <w:r>
        <w:rPr>
          <w:b/>
          <w:bCs/>
          <w:color w:val="000000" w:themeColor="text1"/>
          <w:sz w:val="24"/>
          <w:szCs w:val="24"/>
          <w:highlight w:val="none"/>
        </w:rPr>
      </w:r>
      <w:r>
        <w:rPr>
          <w:color w:val="000000" w:themeColor="text1"/>
          <w:highlight w:val="none"/>
        </w:rPr>
      </w:r>
    </w:p>
    <w:p>
      <w:pPr>
        <w:pStyle w:val="952"/>
        <w:spacing w:line="400" w:lineRule="exact"/>
        <w:rPr>
          <w:rFonts w:hint="eastAsia" w:ascii="宋体" w:hAnsi="宋体"/>
          <w:b/>
          <w:color w:val="000000" w:themeColor="text1"/>
          <w:highlight w:val="none"/>
        </w:rPr>
        <w:outlineLvl w:val="0"/>
      </w:pPr>
      <w:r>
        <w:rPr>
          <w:rFonts w:hint="eastAsia" w:ascii="宋体" w:hAnsi="宋体"/>
          <w:b/>
          <w:color w:val="000000" w:themeColor="text1"/>
          <w:highlight w:val="none"/>
        </w:rPr>
      </w:r>
      <w:r>
        <w:rPr>
          <w:color w:val="000000" w:themeColor="text1"/>
          <w:highlight w:val="none"/>
        </w:rPr>
      </w:r>
    </w:p>
    <w:p>
      <w:pPr>
        <w:pStyle w:val="952"/>
        <w:spacing w:line="400" w:lineRule="exact"/>
        <w:rPr>
          <w:rFonts w:ascii="宋体"/>
          <w:bCs/>
          <w:color w:val="000000" w:themeColor="text1"/>
          <w:highlight w:val="none"/>
        </w:rPr>
        <w:outlineLvl w:val="0"/>
      </w:pPr>
      <w:r>
        <w:rPr>
          <w:rFonts w:hint="eastAsia" w:ascii="宋体" w:hAnsi="宋体"/>
          <w:b/>
          <w:color w:val="000000" w:themeColor="text1"/>
          <w:highlight w:val="none"/>
        </w:rPr>
        <w:t xml:space="preserve">注：</w:t>
      </w:r>
      <w:r>
        <w:rPr>
          <w:rFonts w:hint="eastAsia" w:ascii="宋体" w:hAnsi="宋体"/>
          <w:bCs/>
          <w:color w:val="000000" w:themeColor="text1"/>
          <w:highlight w:val="none"/>
        </w:rPr>
        <w:t xml:space="preserve">（</w:t>
      </w:r>
      <w:r>
        <w:rPr>
          <w:rFonts w:ascii="宋体" w:hAnsi="宋体"/>
          <w:bCs/>
          <w:color w:val="000000" w:themeColor="text1"/>
          <w:highlight w:val="none"/>
        </w:rPr>
        <w:t xml:space="preserve">1</w:t>
      </w:r>
      <w:r>
        <w:rPr>
          <w:rFonts w:hint="eastAsia" w:ascii="宋体" w:hAnsi="宋体"/>
          <w:bCs/>
          <w:color w:val="000000" w:themeColor="text1"/>
          <w:highlight w:val="none"/>
        </w:rPr>
        <w:t xml:space="preserve">）</w:t>
      </w:r>
      <w:r>
        <w:rPr>
          <w:rFonts w:hint="eastAsia" w:ascii="宋体"/>
          <w:bCs/>
          <w:color w:val="000000" w:themeColor="text1"/>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themeColor="text1"/>
          <w:highlight w:val="none"/>
        </w:rPr>
      </w:r>
      <w:r>
        <w:rPr>
          <w:color w:val="000000" w:themeColor="text1"/>
          <w:highlight w:val="none"/>
        </w:rPr>
      </w:r>
    </w:p>
    <w:p>
      <w:pPr>
        <w:pStyle w:val="952"/>
        <w:ind w:firstLine="315"/>
        <w:spacing w:line="400" w:lineRule="exact"/>
        <w:rPr>
          <w:rFonts w:asci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2</w:t>
      </w:r>
      <w:r>
        <w:rPr>
          <w:rFonts w:hint="eastAsia" w:ascii="宋体" w:hAnsi="宋体"/>
          <w:bCs/>
          <w:color w:val="000000" w:themeColor="text1"/>
          <w:highlight w:val="none"/>
        </w:rPr>
        <w:t xml:space="preserve">）投标人应当根据“采购需求”的内容在上表中详细填写；</w:t>
      </w:r>
      <w:r>
        <w:rPr>
          <w:rFonts w:ascii="宋体"/>
          <w:bCs/>
          <w:color w:val="000000" w:themeColor="text1"/>
          <w:highlight w:val="none"/>
        </w:rPr>
      </w:r>
      <w:r>
        <w:rPr>
          <w:color w:val="000000" w:themeColor="text1"/>
          <w:highlight w:val="none"/>
        </w:rPr>
      </w:r>
    </w:p>
    <w:p>
      <w:pPr>
        <w:pStyle w:val="952"/>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3</w:t>
      </w:r>
      <w:r>
        <w:rPr>
          <w:rFonts w:hint="eastAsia" w:ascii="宋体" w:hAnsi="宋体"/>
          <w:bCs/>
          <w:color w:val="000000" w:themeColor="text1"/>
          <w:highlight w:val="none"/>
        </w:rPr>
        <w:t xml:space="preserve">）表格不够可自行延长。</w:t>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Start w:id="202" w:name="_Toc120614284"/>
      <w:r>
        <w:rPr>
          <w:rFonts w:hint="eastAsia" w:ascii="宋体" w:hAnsi="宋体"/>
          <w:bCs/>
          <w:color w:val="000000" w:themeColor="text1"/>
          <w:highlight w:val="none"/>
        </w:rPr>
      </w:r>
      <w:r>
        <w:rPr>
          <w:color w:val="000000" w:themeColor="text1"/>
          <w:highlight w:val="none"/>
        </w:rPr>
      </w:r>
    </w:p>
    <w:p>
      <w:pPr>
        <w:pStyle w:val="952"/>
        <w:spacing w:line="360" w:lineRule="auto"/>
        <w:rPr>
          <w:rFonts w:hint="eastAsia"/>
          <w:b/>
          <w:color w:val="000000" w:themeColor="text1"/>
          <w:sz w:val="28"/>
          <w:szCs w:val="28"/>
          <w:highlight w:val="none"/>
        </w:rPr>
      </w:pPr>
      <w:r>
        <w:rPr>
          <w:rFonts w:hint="eastAsia" w:ascii="宋体" w:hAnsi="宋体"/>
          <w:bCs/>
          <w:color w:val="000000" w:themeColor="text1"/>
          <w:highlight w:val="none"/>
        </w:rPr>
        <w:br w:type="page" w:clear="all"/>
      </w:r>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rPr>
          <w:rFonts w:hint="eastAsia"/>
          <w:b/>
          <w:color w:val="000000" w:themeColor="text1"/>
          <w:sz w:val="28"/>
          <w:szCs w:val="28"/>
          <w:highlight w:val="none"/>
        </w:rPr>
      </w:r>
      <w:r>
        <w:rPr>
          <w:color w:val="000000" w:themeColor="text1"/>
          <w:highlight w:val="none"/>
        </w:rPr>
      </w:r>
    </w:p>
    <w:p>
      <w:pPr>
        <w:pStyle w:val="952"/>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952"/>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rPr>
          <w:rFonts w:ascii="黑体" w:eastAsia="黑体"/>
          <w:bCs/>
          <w:color w:val="000000" w:themeColor="text1"/>
          <w:sz w:val="28"/>
          <w:szCs w:val="28"/>
          <w:highlight w:val="none"/>
        </w:rPr>
      </w:r>
      <w:r>
        <w:rPr>
          <w:color w:val="000000" w:themeColor="text1"/>
          <w:highlight w:val="none"/>
        </w:rPr>
      </w:r>
    </w:p>
    <w:p>
      <w:pPr>
        <w:pStyle w:val="952"/>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952"/>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952"/>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rPr>
        <w:t xml:space="preserve">JSZC-320200-JZCG-G2025-0155</w:t>
      </w:r>
      <w:r>
        <w:rPr>
          <w:rFonts w:hint="eastAsia" w:ascii="黑体" w:eastAsia="黑体"/>
          <w:bCs/>
          <w:color w:val="000000" w:themeColor="text1"/>
          <w:sz w:val="24"/>
          <w:szCs w:val="24"/>
          <w:highlight w:val="none"/>
        </w:rPr>
      </w:r>
      <w:r>
        <w:rPr>
          <w:color w:val="000000" w:themeColor="text1"/>
          <w:highlight w:val="none"/>
        </w:rP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52"/>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2"/>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2"/>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52"/>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rPr>
                <w:rFonts w:ascii="宋体"/>
                <w:b/>
                <w:bCs/>
                <w:color w:val="000000" w:themeColor="text1"/>
                <w:sz w:val="24"/>
                <w:szCs w:val="24"/>
                <w:highlight w:val="none"/>
              </w:rPr>
            </w:r>
            <w:r>
              <w:rPr>
                <w:color w:val="000000" w:themeColor="text1"/>
                <w:highlight w:val="non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52"/>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2"/>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2"/>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52"/>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r>
    </w:tbl>
    <w:p>
      <w:pPr>
        <w:pStyle w:val="952"/>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宋体" w:eastAsia="黑体"/>
          <w:b/>
          <w:color w:val="000000" w:themeColor="text1"/>
          <w:sz w:val="24"/>
          <w:szCs w:val="24"/>
          <w:highlight w:val="none"/>
        </w:rPr>
      </w:r>
      <w:r>
        <w:rPr>
          <w:color w:val="000000" w:themeColor="text1"/>
          <w:highlight w:val="none"/>
        </w:rPr>
      </w:r>
    </w:p>
    <w:p>
      <w:pPr>
        <w:pStyle w:val="952"/>
        <w:rPr>
          <w:rFonts w:ascii="宋体"/>
          <w:bCs/>
          <w:color w:val="000000" w:themeColor="text1"/>
          <w:sz w:val="30"/>
          <w:highlight w:val="none"/>
        </w:rPr>
      </w:pPr>
      <w:r>
        <w:rPr>
          <w:rFonts w:ascii="宋体"/>
          <w:bCs/>
          <w:color w:val="000000" w:themeColor="text1"/>
          <w:sz w:val="30"/>
          <w:highlight w:val="none"/>
        </w:rPr>
      </w:r>
      <w:r>
        <w:rPr>
          <w:color w:val="000000" w:themeColor="text1"/>
          <w:highlight w:val="none"/>
        </w:rPr>
      </w:r>
    </w:p>
    <w:p>
      <w:pPr>
        <w:pStyle w:val="952"/>
        <w:ind w:firstLine="420"/>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rPr>
          <w:rFonts w:ascii="宋体" w:hAnsi="宋体"/>
          <w:bCs/>
          <w:color w:val="000000" w:themeColor="text1"/>
          <w:sz w:val="24"/>
          <w:szCs w:val="24"/>
          <w:highlight w:val="none"/>
        </w:rPr>
      </w:r>
      <w:r>
        <w:rPr>
          <w:color w:val="000000" w:themeColor="text1"/>
          <w:highlight w:val="none"/>
        </w:rPr>
      </w:r>
    </w:p>
    <w:p>
      <w:pPr>
        <w:pStyle w:val="952"/>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）如无任何技术偏离，请于本表 “偏离说明”中注明“无偏离”；</w:t>
      </w:r>
      <w:r>
        <w:rPr>
          <w:rFonts w:ascii="宋体" w:hAnsi="宋体"/>
          <w:bCs/>
          <w:color w:val="000000" w:themeColor="text1"/>
          <w:sz w:val="24"/>
          <w:szCs w:val="24"/>
          <w:highlight w:val="none"/>
        </w:rPr>
      </w:r>
      <w:r>
        <w:rPr>
          <w:color w:val="000000" w:themeColor="text1"/>
          <w:highlight w:val="none"/>
        </w:rPr>
      </w:r>
    </w:p>
    <w:p>
      <w:pPr>
        <w:pStyle w:val="952"/>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（3）如有技术偏离项，请于本表中列明偏离内容，如需要可自行延长，其余无偏离内容不须赘述。</w:t>
      </w:r>
      <w:bookmarkEnd w:id="189"/>
      <w:r>
        <w:rPr>
          <w:color w:val="000000" w:themeColor="text1"/>
          <w:highlight w:val="none"/>
        </w:rPr>
      </w:r>
      <w:bookmarkEnd w:id="190"/>
      <w:r>
        <w:rPr>
          <w:color w:val="000000" w:themeColor="text1"/>
          <w:highlight w:val="none"/>
        </w:rPr>
      </w:r>
      <w:bookmarkEnd w:id="202"/>
      <w:r>
        <w:rPr>
          <w:color w:val="000000" w:themeColor="text1"/>
          <w:highlight w:val="none"/>
        </w:rPr>
      </w:r>
      <w:bookmarkStart w:id="203" w:name="_格式2__法定代表人授权书"/>
      <w:r>
        <w:rPr>
          <w:color w:val="000000" w:themeColor="text1"/>
          <w:highlight w:val="none"/>
        </w:rPr>
      </w:r>
      <w:bookmarkEnd w:id="203"/>
      <w:r>
        <w:rPr>
          <w:color w:val="000000" w:themeColor="text1"/>
          <w:highlight w:val="none"/>
        </w:rPr>
      </w:r>
      <w:bookmarkStart w:id="204" w:name="_Hlt26609389"/>
      <w:r>
        <w:rPr>
          <w:color w:val="000000" w:themeColor="text1"/>
          <w:highlight w:val="none"/>
        </w:rPr>
      </w:r>
      <w:bookmarkEnd w:id="204"/>
      <w:r>
        <w:rPr>
          <w:color w:val="000000" w:themeColor="text1"/>
          <w:highlight w:val="none"/>
        </w:rPr>
      </w:r>
      <w:bookmarkStart w:id="205" w:name="_Hlt26955066"/>
      <w:r>
        <w:rPr>
          <w:color w:val="000000" w:themeColor="text1"/>
          <w:highlight w:val="none"/>
        </w:rPr>
      </w:r>
      <w:bookmarkEnd w:id="205"/>
      <w:r>
        <w:rPr>
          <w:color w:val="000000" w:themeColor="text1"/>
          <w:highlight w:val="none"/>
        </w:rPr>
      </w:r>
      <w:bookmarkStart w:id="206" w:name="_Hlt26671374"/>
      <w:r>
        <w:rPr>
          <w:color w:val="000000" w:themeColor="text1"/>
          <w:highlight w:val="none"/>
        </w:rPr>
      </w:r>
      <w:bookmarkEnd w:id="206"/>
      <w:r>
        <w:rPr>
          <w:rFonts w:hint="eastAsia" w:ascii="宋体" w:hAnsi="宋体"/>
          <w:bCs/>
          <w:color w:val="000000" w:themeColor="text1"/>
          <w:sz w:val="24"/>
          <w:szCs w:val="24"/>
          <w:highlight w:val="none"/>
        </w:rPr>
      </w:r>
      <w:r>
        <w:rPr>
          <w:color w:val="000000" w:themeColor="text1"/>
          <w:highlight w:val="none"/>
        </w:rPr>
      </w:r>
    </w:p>
    <w:p>
      <w:pPr>
        <w:pStyle w:val="952"/>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highlight w:val="none"/>
        </w:rPr>
      </w:r>
    </w:p>
    <w:p>
      <w:pPr>
        <w:pStyle w:val="952"/>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r>
      <w:r>
        <w:rPr>
          <w:color w:val="000000" w:themeColor="text1"/>
          <w:highlight w:val="none"/>
        </w:rPr>
      </w:r>
    </w:p>
    <w:p>
      <w:pPr>
        <w:pStyle w:val="952"/>
        <w:spacing w:line="360" w:lineRule="auto"/>
        <w:rPr>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十一、项目人员配置清单（格式）</w:t>
      </w:r>
      <w:r>
        <w:rPr>
          <w:b/>
          <w:color w:val="000000" w:themeColor="text1"/>
          <w:sz w:val="28"/>
          <w:szCs w:val="28"/>
          <w:highlight w:val="none"/>
        </w:rPr>
      </w:r>
      <w:r>
        <w:rPr>
          <w:color w:val="000000" w:themeColor="text1"/>
          <w:highlight w:val="none"/>
        </w:rPr>
      </w:r>
    </w:p>
    <w:p>
      <w:pPr>
        <w:pStyle w:val="952"/>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952"/>
        <w:jc w:val="center"/>
        <w:spacing w:line="400" w:lineRule="exact"/>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项目人员配置清单</w:t>
      </w:r>
      <w:r>
        <w:rPr>
          <w:rFonts w:hint="eastAsia" w:ascii="黑体" w:eastAsia="黑体"/>
          <w:bCs/>
          <w:color w:val="000000" w:themeColor="text1"/>
          <w:sz w:val="28"/>
          <w:szCs w:val="28"/>
          <w:highlight w:val="none"/>
        </w:rPr>
      </w:r>
      <w:r>
        <w:rPr>
          <w:color w:val="000000" w:themeColor="text1"/>
          <w:highlight w:val="none"/>
        </w:rPr>
      </w:r>
    </w:p>
    <w:p>
      <w:pPr>
        <w:pStyle w:val="952"/>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952"/>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rPr>
        <w:t xml:space="preserve">JSZC-320200-JZCG-G2025-0155</w:t>
      </w:r>
      <w:r>
        <w:rPr>
          <w:rFonts w:hint="eastAsia" w:ascii="黑体" w:eastAsia="黑体"/>
          <w:bCs/>
          <w:color w:val="000000" w:themeColor="text1"/>
          <w:sz w:val="24"/>
          <w:szCs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52"/>
              <w:jc w:val="center"/>
              <w:rPr>
                <w:b/>
                <w:color w:val="000000" w:themeColor="text1"/>
                <w:sz w:val="24"/>
                <w:highlight w:val="none"/>
              </w:rPr>
            </w:pPr>
            <w:r>
              <w:rPr>
                <w:rFonts w:hint="eastAsia"/>
                <w:b/>
                <w:color w:val="000000" w:themeColor="text1"/>
                <w:sz w:val="24"/>
                <w:highlight w:val="none"/>
              </w:rPr>
              <w:t xml:space="preserve">序号</w:t>
            </w:r>
            <w:r>
              <w:rPr>
                <w:b/>
                <w:color w:val="000000" w:themeColor="text1"/>
                <w:sz w:val="24"/>
                <w:highlight w:val="none"/>
              </w:rPr>
            </w:r>
            <w:r>
              <w:rPr>
                <w:color w:val="000000" w:themeColor="text1"/>
                <w:highlight w:val="none"/>
              </w:rPr>
            </w:r>
          </w:p>
        </w:tc>
        <w:tc>
          <w:tcPr>
            <w:tcW w:w="1476" w:type="dxa"/>
            <w:vAlign w:val="center"/>
            <w:textDirection w:val="lrTb"/>
            <w:noWrap w:val="false"/>
          </w:tcPr>
          <w:p>
            <w:pPr>
              <w:pStyle w:val="952"/>
              <w:jc w:val="center"/>
              <w:rPr>
                <w:b/>
                <w:color w:val="000000" w:themeColor="text1"/>
                <w:sz w:val="24"/>
                <w:highlight w:val="none"/>
              </w:rPr>
            </w:pPr>
            <w:r>
              <w:rPr>
                <w:rFonts w:hint="eastAsia"/>
                <w:b/>
                <w:color w:val="000000" w:themeColor="text1"/>
                <w:sz w:val="24"/>
                <w:highlight w:val="none"/>
              </w:rPr>
              <w:t xml:space="preserve">姓名</w:t>
            </w:r>
            <w:r>
              <w:rPr>
                <w:b/>
                <w:color w:val="000000" w:themeColor="text1"/>
                <w:sz w:val="24"/>
                <w:highlight w:val="none"/>
              </w:rPr>
            </w:r>
            <w:r>
              <w:rPr>
                <w:color w:val="000000" w:themeColor="text1"/>
                <w:highlight w:val="none"/>
              </w:rPr>
            </w:r>
          </w:p>
        </w:tc>
        <w:tc>
          <w:tcPr>
            <w:tcW w:w="720" w:type="dxa"/>
            <w:vAlign w:val="center"/>
            <w:textDirection w:val="lrTb"/>
            <w:noWrap w:val="false"/>
          </w:tcPr>
          <w:p>
            <w:pPr>
              <w:pStyle w:val="952"/>
              <w:jc w:val="center"/>
              <w:rPr>
                <w:b/>
                <w:color w:val="000000" w:themeColor="text1"/>
                <w:sz w:val="24"/>
                <w:highlight w:val="none"/>
              </w:rPr>
            </w:pPr>
            <w:r>
              <w:rPr>
                <w:rFonts w:hint="eastAsia"/>
                <w:b/>
                <w:color w:val="000000" w:themeColor="text1"/>
                <w:sz w:val="24"/>
                <w:highlight w:val="none"/>
              </w:rPr>
              <w:t xml:space="preserve">年龄</w:t>
            </w:r>
            <w:r>
              <w:rPr>
                <w:b/>
                <w:color w:val="000000" w:themeColor="text1"/>
                <w:sz w:val="24"/>
                <w:highlight w:val="none"/>
              </w:rPr>
            </w:r>
            <w:r>
              <w:rPr>
                <w:color w:val="000000" w:themeColor="text1"/>
                <w:highlight w:val="none"/>
              </w:rPr>
            </w:r>
          </w:p>
        </w:tc>
        <w:tc>
          <w:tcPr>
            <w:tcW w:w="2520" w:type="dxa"/>
            <w:vAlign w:val="center"/>
            <w:textDirection w:val="lrTb"/>
            <w:noWrap w:val="false"/>
          </w:tcPr>
          <w:p>
            <w:pPr>
              <w:pStyle w:val="952"/>
              <w:jc w:val="center"/>
              <w:rPr>
                <w:b/>
                <w:color w:val="000000" w:themeColor="text1"/>
                <w:sz w:val="24"/>
                <w:highlight w:val="none"/>
              </w:rPr>
            </w:pPr>
            <w:r>
              <w:rPr>
                <w:rFonts w:hint="eastAsia"/>
                <w:b/>
                <w:color w:val="000000" w:themeColor="text1"/>
                <w:sz w:val="24"/>
                <w:highlight w:val="none"/>
              </w:rPr>
              <w:t xml:space="preserve">本项目职责</w:t>
            </w:r>
            <w:r>
              <w:rPr>
                <w:b/>
                <w:color w:val="000000" w:themeColor="text1"/>
                <w:sz w:val="24"/>
                <w:highlight w:val="none"/>
              </w:rPr>
            </w:r>
            <w:r>
              <w:rPr>
                <w:color w:val="000000" w:themeColor="text1"/>
                <w:highlight w:val="none"/>
              </w:rPr>
            </w:r>
          </w:p>
        </w:tc>
        <w:tc>
          <w:tcPr>
            <w:tcW w:w="3274" w:type="dxa"/>
            <w:vAlign w:val="center"/>
            <w:textDirection w:val="lrTb"/>
            <w:noWrap w:val="false"/>
          </w:tcPr>
          <w:p>
            <w:pPr>
              <w:pStyle w:val="952"/>
              <w:jc w:val="center"/>
              <w:rPr>
                <w:b/>
                <w:color w:val="000000" w:themeColor="text1"/>
                <w:sz w:val="24"/>
                <w:highlight w:val="none"/>
              </w:rPr>
            </w:pPr>
            <w:r>
              <w:rPr>
                <w:rFonts w:hint="eastAsia"/>
                <w:b/>
                <w:color w:val="000000" w:themeColor="text1"/>
                <w:sz w:val="24"/>
                <w:highlight w:val="none"/>
              </w:rPr>
              <w:t xml:space="preserve">人员证书名称</w:t>
            </w:r>
            <w:r>
              <w:rPr>
                <w:b/>
                <w:color w:val="000000" w:themeColor="text1"/>
                <w:sz w:val="24"/>
                <w:highlight w:val="none"/>
              </w:rPr>
            </w:r>
            <w:r>
              <w:rPr>
                <w:color w:val="000000" w:themeColor="text1"/>
                <w:highlight w:val="none"/>
              </w:rPr>
            </w:r>
          </w:p>
        </w:tc>
      </w:tr>
      <w:tr>
        <w:trPr>
          <w:trHeight w:val="680"/>
        </w:trPr>
        <w:tc>
          <w:tcPr>
            <w:tcW w:w="704"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952"/>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bl>
    <w:p>
      <w:pPr>
        <w:pStyle w:val="952"/>
        <w:rPr>
          <w:b/>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b/>
          <w:bCs/>
          <w:color w:val="000000" w:themeColor="text1"/>
          <w:sz w:val="24"/>
          <w:szCs w:val="24"/>
          <w:highlight w:val="none"/>
        </w:rPr>
      </w:r>
      <w:r>
        <w:rPr>
          <w:color w:val="000000" w:themeColor="text1"/>
          <w:highlight w:val="none"/>
        </w:rPr>
      </w:r>
    </w:p>
    <w:p>
      <w:pPr>
        <w:pStyle w:val="952"/>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p>
    <w:p>
      <w:pPr>
        <w:pStyle w:val="952"/>
        <w:rPr>
          <w:rFonts w:ascii="宋体" w:hAnsi="宋体"/>
          <w:bCs/>
          <w:color w:val="000000" w:themeColor="text1"/>
          <w:highlight w:val="none"/>
        </w:rPr>
      </w:pPr>
      <w:r>
        <w:rPr>
          <w:rFonts w:hint="eastAsia" w:ascii="宋体" w:hAnsi="宋体"/>
          <w:bCs/>
          <w:color w:val="000000" w:themeColor="text1"/>
          <w:highlight w:val="none"/>
        </w:rPr>
        <w:t xml:space="preserve">注：1. 表格不够可自行延长。</w:t>
      </w:r>
      <w:r>
        <w:rPr>
          <w:rFonts w:ascii="宋体" w:hAnsi="宋体"/>
          <w:bCs/>
          <w:color w:val="000000" w:themeColor="text1"/>
          <w:highlight w:val="none"/>
        </w:rPr>
      </w:r>
      <w:r>
        <w:rPr>
          <w:color w:val="000000" w:themeColor="text1"/>
          <w:highlight w:val="none"/>
        </w:rPr>
      </w:r>
    </w:p>
    <w:p>
      <w:pPr>
        <w:pStyle w:val="952"/>
        <w:ind w:firstLine="420"/>
        <w:rPr>
          <w:color w:val="000000" w:themeColor="text1"/>
          <w:highlight w:val="none"/>
        </w:rPr>
      </w:pPr>
      <w:r>
        <w:rPr>
          <w:rFonts w:hint="eastAsia" w:ascii="宋体" w:hAnsi="宋体"/>
          <w:bCs/>
          <w:color w:val="000000" w:themeColor="text1"/>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themeColor="text1"/>
          <w:highlight w:val="none"/>
        </w:rPr>
      </w:r>
    </w:p>
    <w:p>
      <w:pPr>
        <w:pStyle w:val="952"/>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rPr>
        <w:rStyle w:val="1024"/>
      </w:rPr>
      <w:framePr w:wrap="around" w:vAnchor="text" w:hAnchor="margin" w:xAlign="center" w:y="1"/>
    </w:pPr>
    <w:r>
      <w:fldChar w:fldCharType="begin"/>
    </w:r>
    <w:r>
      <w:rPr>
        <w:rStyle w:val="1024"/>
      </w:rPr>
      <w:instrText xml:space="preserve">PAGE  </w:instrText>
    </w:r>
    <w:r>
      <w:fldChar w:fldCharType="separate"/>
    </w:r>
    <w:r>
      <w:rPr>
        <w:rStyle w:val="1024"/>
      </w:rPr>
      <w:t xml:space="preserve">13</w:t>
    </w:r>
    <w:r>
      <w:fldChar w:fldCharType="end"/>
    </w:r>
    <w:r>
      <w:rPr>
        <w:rStyle w:val="1024"/>
      </w:rPr>
    </w:r>
    <w:r/>
  </w:p>
  <w:p>
    <w:pPr>
      <w:pStyle w:val="99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rPr>
        <w:rStyle w:val="1024"/>
        <w:rFonts w:ascii="宋体" w:hAnsi="宋体"/>
      </w:rPr>
      <w:framePr w:wrap="around" w:vAnchor="text" w:hAnchor="margin" w:xAlign="center" w:y="1"/>
    </w:pPr>
    <w:r>
      <w:rPr>
        <w:rFonts w:ascii="宋体" w:hAnsi="宋体"/>
      </w:rPr>
      <w:fldChar w:fldCharType="begin"/>
    </w:r>
    <w:r>
      <w:rPr>
        <w:rStyle w:val="1024"/>
        <w:rFonts w:ascii="宋体" w:hAnsi="宋体"/>
      </w:rPr>
      <w:instrText xml:space="preserve">PAGE  </w:instrText>
    </w:r>
    <w:r>
      <w:rPr>
        <w:rFonts w:ascii="宋体" w:hAnsi="宋体"/>
      </w:rPr>
      <w:fldChar w:fldCharType="separate"/>
    </w:r>
    <w:r>
      <w:rPr>
        <w:rStyle w:val="1024"/>
        <w:rFonts w:ascii="宋体" w:hAnsi="宋体"/>
      </w:rPr>
      <w:t xml:space="preserve">１２</w:t>
    </w:r>
    <w:r>
      <w:rPr>
        <w:rFonts w:ascii="宋体" w:hAnsi="宋体"/>
      </w:rPr>
      <w:fldChar w:fldCharType="end"/>
    </w:r>
    <w:r>
      <w:rPr>
        <w:rStyle w:val="1024"/>
        <w:rFonts w:ascii="宋体" w:hAnsi="宋体"/>
      </w:rPr>
    </w:r>
    <w:r/>
  </w:p>
  <w:p>
    <w:pPr>
      <w:pStyle w:val="999"/>
      <w:jc w:val="center"/>
      <w:tabs>
        <w:tab w:val="center" w:pos="4153" w:leader="none"/>
        <w:tab w:val="right" w:pos="8306" w:leader="none"/>
      </w:tabs>
      <w:rPr>
        <w:rFonts w:hint="eastAsia"/>
      </w:rPr>
    </w:pPr>
    <w:r>
      <w:rPr>
        <w:sz w:val="20"/>
      </w:rPr>
      <w:t xml:space="preserve"> </w: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rPr>
        <w:rStyle w:val="1024"/>
      </w:rPr>
      <w:framePr w:wrap="around" w:vAnchor="text" w:hAnchor="margin" w:xAlign="center" w:y="1"/>
    </w:pPr>
    <w:r>
      <w:fldChar w:fldCharType="begin"/>
    </w:r>
    <w:r>
      <w:rPr>
        <w:rStyle w:val="1024"/>
      </w:rPr>
      <w:instrText xml:space="preserve">PAGE  </w:instrText>
    </w:r>
    <w:r>
      <w:fldChar w:fldCharType="separate"/>
    </w:r>
    <w:r>
      <w:rPr>
        <w:rStyle w:val="1024"/>
      </w:rPr>
      <w:t xml:space="preserve">1</w:t>
    </w:r>
    <w:r>
      <w:fldChar w:fldCharType="end"/>
    </w:r>
    <w:r>
      <w:rPr>
        <w:rStyle w:val="1024"/>
      </w:rPr>
    </w:r>
    <w:r/>
  </w:p>
  <w:p>
    <w:pPr>
      <w:pStyle w:val="9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952"/>
        <w:ind w:left="1080" w:hanging="1080"/>
        <w:tabs>
          <w:tab w:val="num" w:pos="1080" w:leader="none"/>
        </w:tabs>
      </w:pPr>
      <w:rPr>
        <w:rFonts w:hint="eastAsia" w:cs="Times New Roman"/>
      </w:rPr>
    </w:lvl>
    <w:lvl w:ilvl="1">
      <w:start w:val="1"/>
      <w:numFmt w:val="decimal"/>
      <w:isLgl w:val="false"/>
      <w:suff w:val="tab"/>
      <w:lvlText w:val="%2."/>
      <w:lvlJc w:val="left"/>
      <w:pPr>
        <w:pStyle w:val="95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52"/>
        <w:ind w:left="1260" w:hanging="420"/>
        <w:tabs>
          <w:tab w:val="num" w:pos="1260" w:leader="none"/>
        </w:tabs>
      </w:pPr>
      <w:rPr>
        <w:rFonts w:cs="Times New Roman"/>
      </w:rPr>
    </w:lvl>
    <w:lvl w:ilvl="3">
      <w:start w:val="1"/>
      <w:numFmt w:val="decimal"/>
      <w:isLgl w:val="false"/>
      <w:suff w:val="tab"/>
      <w:lvlText w:val="%4."/>
      <w:lvlJc w:val="left"/>
      <w:pPr>
        <w:pStyle w:val="952"/>
        <w:ind w:left="1680" w:hanging="420"/>
        <w:tabs>
          <w:tab w:val="num" w:pos="1680" w:leader="none"/>
        </w:tabs>
      </w:pPr>
      <w:rPr>
        <w:rFonts w:cs="Times New Roman"/>
      </w:rPr>
    </w:lvl>
    <w:lvl w:ilvl="4">
      <w:start w:val="1"/>
      <w:numFmt w:val="lowerLetter"/>
      <w:isLgl w:val="false"/>
      <w:suff w:val="tab"/>
      <w:lvlText w:val="%5)"/>
      <w:lvlJc w:val="left"/>
      <w:pPr>
        <w:pStyle w:val="952"/>
        <w:ind w:left="2100" w:hanging="420"/>
        <w:tabs>
          <w:tab w:val="num" w:pos="2100" w:leader="none"/>
        </w:tabs>
      </w:pPr>
      <w:rPr>
        <w:rFonts w:cs="Times New Roman"/>
      </w:rPr>
    </w:lvl>
    <w:lvl w:ilvl="5">
      <w:start w:val="1"/>
      <w:numFmt w:val="lowerRoman"/>
      <w:isLgl w:val="false"/>
      <w:suff w:val="tab"/>
      <w:lvlText w:val="%6."/>
      <w:lvlJc w:val="right"/>
      <w:pPr>
        <w:pStyle w:val="952"/>
        <w:ind w:left="2520" w:hanging="420"/>
        <w:tabs>
          <w:tab w:val="num" w:pos="2520" w:leader="none"/>
        </w:tabs>
      </w:pPr>
      <w:rPr>
        <w:rFonts w:cs="Times New Roman"/>
      </w:rPr>
    </w:lvl>
    <w:lvl w:ilvl="6">
      <w:start w:val="1"/>
      <w:numFmt w:val="decimal"/>
      <w:isLgl w:val="false"/>
      <w:suff w:val="tab"/>
      <w:lvlText w:val="%7."/>
      <w:lvlJc w:val="left"/>
      <w:pPr>
        <w:pStyle w:val="952"/>
        <w:ind w:left="2940" w:hanging="420"/>
        <w:tabs>
          <w:tab w:val="num" w:pos="2940" w:leader="none"/>
        </w:tabs>
      </w:pPr>
      <w:rPr>
        <w:rFonts w:cs="Times New Roman"/>
      </w:rPr>
    </w:lvl>
    <w:lvl w:ilvl="7">
      <w:start w:val="1"/>
      <w:numFmt w:val="lowerLetter"/>
      <w:isLgl w:val="false"/>
      <w:suff w:val="tab"/>
      <w:lvlText w:val="%8)"/>
      <w:lvlJc w:val="left"/>
      <w:pPr>
        <w:pStyle w:val="952"/>
        <w:ind w:left="3360" w:hanging="420"/>
        <w:tabs>
          <w:tab w:val="num" w:pos="3360" w:leader="none"/>
        </w:tabs>
      </w:pPr>
      <w:rPr>
        <w:rFonts w:cs="Times New Roman"/>
      </w:rPr>
    </w:lvl>
    <w:lvl w:ilvl="8">
      <w:start w:val="1"/>
      <w:numFmt w:val="lowerRoman"/>
      <w:isLgl w:val="false"/>
      <w:suff w:val="tab"/>
      <w:lvlText w:val="%9."/>
      <w:lvlJc w:val="right"/>
      <w:pPr>
        <w:pStyle w:val="952"/>
        <w:ind w:left="3780" w:hanging="420"/>
        <w:tabs>
          <w:tab w:val="num" w:pos="3780" w:leader="none"/>
        </w:tabs>
      </w:pPr>
      <w:rPr>
        <w:rFonts w:cs="Times New Roman"/>
      </w:rPr>
    </w:lvl>
  </w:abstractNum>
  <w:abstractNum w:abstractNumId="6">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isLgl w:val="false"/>
      <w:suff w:val="tab"/>
      <w:lvlText w:val="%1)"/>
      <w:lvlJc w:val="left"/>
      <w:pPr>
        <w:pStyle w:val="952"/>
        <w:tabs>
          <w:tab w:val="num" w:pos="312" w:leader="none"/>
        </w:tabs>
      </w:pPr>
    </w:lvl>
    <w:lvl w:ilvl="1">
      <w:start w:val="1"/>
      <w:numFmt w:val="bullet"/>
      <w:isLgl w:val="false"/>
      <w:suff w:val="tab"/>
      <w:lvlText w:val="o"/>
      <w:lvlJc w:val="left"/>
      <w:pPr>
        <w:pStyle w:val="952"/>
        <w:ind w:left="1440" w:hanging="360"/>
      </w:pPr>
      <w:rPr>
        <w:rFonts w:ascii="Courier New" w:hAnsi="Courier New" w:eastAsia="Courier New" w:cs="Courier New"/>
      </w:rPr>
    </w:lvl>
    <w:lvl w:ilvl="2">
      <w:start w:val="1"/>
      <w:numFmt w:val="bullet"/>
      <w:isLgl w:val="false"/>
      <w:suff w:val="tab"/>
      <w:lvlText w:val="§"/>
      <w:lvlJc w:val="left"/>
      <w:pPr>
        <w:pStyle w:val="952"/>
        <w:ind w:left="2160" w:hanging="360"/>
      </w:pPr>
      <w:rPr>
        <w:rFonts w:ascii="Wingdings" w:hAnsi="Wingdings" w:eastAsia="Wingdings" w:cs="Wingdings"/>
      </w:rPr>
    </w:lvl>
    <w:lvl w:ilvl="3">
      <w:start w:val="1"/>
      <w:numFmt w:val="bullet"/>
      <w:isLgl w:val="false"/>
      <w:suff w:val="tab"/>
      <w:lvlText w:val="·"/>
      <w:lvlJc w:val="left"/>
      <w:pPr>
        <w:pStyle w:val="952"/>
        <w:ind w:left="2880" w:hanging="360"/>
      </w:pPr>
      <w:rPr>
        <w:rFonts w:ascii="Symbol" w:hAnsi="Symbol" w:eastAsia="Symbol" w:cs="Symbol"/>
      </w:rPr>
    </w:lvl>
    <w:lvl w:ilvl="4">
      <w:start w:val="1"/>
      <w:numFmt w:val="bullet"/>
      <w:isLgl w:val="false"/>
      <w:suff w:val="tab"/>
      <w:lvlText w:val="o"/>
      <w:lvlJc w:val="left"/>
      <w:pPr>
        <w:pStyle w:val="952"/>
        <w:ind w:left="3600" w:hanging="360"/>
      </w:pPr>
      <w:rPr>
        <w:rFonts w:ascii="Courier New" w:hAnsi="Courier New" w:eastAsia="Courier New" w:cs="Courier New"/>
      </w:rPr>
    </w:lvl>
    <w:lvl w:ilvl="5">
      <w:start w:val="1"/>
      <w:numFmt w:val="bullet"/>
      <w:isLgl w:val="false"/>
      <w:suff w:val="tab"/>
      <w:lvlText w:val="§"/>
      <w:lvlJc w:val="left"/>
      <w:pPr>
        <w:pStyle w:val="952"/>
        <w:ind w:left="4320" w:hanging="360"/>
      </w:pPr>
      <w:rPr>
        <w:rFonts w:ascii="Wingdings" w:hAnsi="Wingdings" w:eastAsia="Wingdings" w:cs="Wingdings"/>
      </w:rPr>
    </w:lvl>
    <w:lvl w:ilvl="6">
      <w:start w:val="1"/>
      <w:numFmt w:val="bullet"/>
      <w:isLgl w:val="false"/>
      <w:suff w:val="tab"/>
      <w:lvlText w:val="·"/>
      <w:lvlJc w:val="left"/>
      <w:pPr>
        <w:pStyle w:val="952"/>
        <w:ind w:left="5040" w:hanging="360"/>
      </w:pPr>
      <w:rPr>
        <w:rFonts w:ascii="Symbol" w:hAnsi="Symbol" w:eastAsia="Symbol" w:cs="Symbol"/>
      </w:rPr>
    </w:lvl>
    <w:lvl w:ilvl="7">
      <w:start w:val="1"/>
      <w:numFmt w:val="bullet"/>
      <w:isLgl w:val="false"/>
      <w:suff w:val="tab"/>
      <w:lvlText w:val="o"/>
      <w:lvlJc w:val="left"/>
      <w:pPr>
        <w:pStyle w:val="952"/>
        <w:ind w:left="5760" w:hanging="360"/>
      </w:pPr>
      <w:rPr>
        <w:rFonts w:ascii="Courier New" w:hAnsi="Courier New" w:eastAsia="Courier New" w:cs="Courier New"/>
      </w:rPr>
    </w:lvl>
    <w:lvl w:ilvl="8">
      <w:start w:val="1"/>
      <w:numFmt w:val="bullet"/>
      <w:isLgl w:val="false"/>
      <w:suff w:val="tab"/>
      <w:lvlText w:val="§"/>
      <w:lvlJc w:val="left"/>
      <w:pPr>
        <w:pStyle w:val="952"/>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lowerLetter"/>
      <w:isLgl w:val="false"/>
      <w:suff w:val="space"/>
      <w:lvlText w:val="%1)"/>
      <w:lvlJc w:val="left"/>
      <w:pPr>
        <w:pStyle w:val="952"/>
      </w:pPr>
    </w:lvl>
    <w:lvl w:ilvl="1">
      <w:start w:val="1"/>
      <w:numFmt w:val="bullet"/>
      <w:isLgl w:val="false"/>
      <w:suff w:val="tab"/>
      <w:lvlText w:val="o"/>
      <w:lvlJc w:val="left"/>
      <w:pPr>
        <w:pStyle w:val="952"/>
        <w:ind w:left="1440" w:hanging="360"/>
      </w:pPr>
      <w:rPr>
        <w:rFonts w:ascii="Courier New" w:hAnsi="Courier New" w:eastAsia="Courier New" w:cs="Courier New"/>
      </w:rPr>
    </w:lvl>
    <w:lvl w:ilvl="2">
      <w:start w:val="1"/>
      <w:numFmt w:val="bullet"/>
      <w:isLgl w:val="false"/>
      <w:suff w:val="tab"/>
      <w:lvlText w:val="§"/>
      <w:lvlJc w:val="left"/>
      <w:pPr>
        <w:pStyle w:val="952"/>
        <w:ind w:left="2160" w:hanging="360"/>
      </w:pPr>
      <w:rPr>
        <w:rFonts w:ascii="Wingdings" w:hAnsi="Wingdings" w:eastAsia="Wingdings" w:cs="Wingdings"/>
      </w:rPr>
    </w:lvl>
    <w:lvl w:ilvl="3">
      <w:start w:val="1"/>
      <w:numFmt w:val="bullet"/>
      <w:isLgl w:val="false"/>
      <w:suff w:val="tab"/>
      <w:lvlText w:val="·"/>
      <w:lvlJc w:val="left"/>
      <w:pPr>
        <w:pStyle w:val="952"/>
        <w:ind w:left="2880" w:hanging="360"/>
      </w:pPr>
      <w:rPr>
        <w:rFonts w:ascii="Symbol" w:hAnsi="Symbol" w:eastAsia="Symbol" w:cs="Symbol"/>
      </w:rPr>
    </w:lvl>
    <w:lvl w:ilvl="4">
      <w:start w:val="1"/>
      <w:numFmt w:val="bullet"/>
      <w:isLgl w:val="false"/>
      <w:suff w:val="tab"/>
      <w:lvlText w:val="o"/>
      <w:lvlJc w:val="left"/>
      <w:pPr>
        <w:pStyle w:val="952"/>
        <w:ind w:left="3600" w:hanging="360"/>
      </w:pPr>
      <w:rPr>
        <w:rFonts w:ascii="Courier New" w:hAnsi="Courier New" w:eastAsia="Courier New" w:cs="Courier New"/>
      </w:rPr>
    </w:lvl>
    <w:lvl w:ilvl="5">
      <w:start w:val="1"/>
      <w:numFmt w:val="bullet"/>
      <w:isLgl w:val="false"/>
      <w:suff w:val="tab"/>
      <w:lvlText w:val="§"/>
      <w:lvlJc w:val="left"/>
      <w:pPr>
        <w:pStyle w:val="952"/>
        <w:ind w:left="4320" w:hanging="360"/>
      </w:pPr>
      <w:rPr>
        <w:rFonts w:ascii="Wingdings" w:hAnsi="Wingdings" w:eastAsia="Wingdings" w:cs="Wingdings"/>
      </w:rPr>
    </w:lvl>
    <w:lvl w:ilvl="6">
      <w:start w:val="1"/>
      <w:numFmt w:val="bullet"/>
      <w:isLgl w:val="false"/>
      <w:suff w:val="tab"/>
      <w:lvlText w:val="·"/>
      <w:lvlJc w:val="left"/>
      <w:pPr>
        <w:pStyle w:val="952"/>
        <w:ind w:left="5040" w:hanging="360"/>
      </w:pPr>
      <w:rPr>
        <w:rFonts w:ascii="Symbol" w:hAnsi="Symbol" w:eastAsia="Symbol" w:cs="Symbol"/>
      </w:rPr>
    </w:lvl>
    <w:lvl w:ilvl="7">
      <w:start w:val="1"/>
      <w:numFmt w:val="bullet"/>
      <w:isLgl w:val="false"/>
      <w:suff w:val="tab"/>
      <w:lvlText w:val="o"/>
      <w:lvlJc w:val="left"/>
      <w:pPr>
        <w:pStyle w:val="952"/>
        <w:ind w:left="5760" w:hanging="360"/>
      </w:pPr>
      <w:rPr>
        <w:rFonts w:ascii="Courier New" w:hAnsi="Courier New" w:eastAsia="Courier New" w:cs="Courier New"/>
      </w:rPr>
    </w:lvl>
    <w:lvl w:ilvl="8">
      <w:start w:val="1"/>
      <w:numFmt w:val="bullet"/>
      <w:isLgl w:val="false"/>
      <w:suff w:val="tab"/>
      <w:lvlText w:val="§"/>
      <w:lvlJc w:val="left"/>
      <w:pPr>
        <w:pStyle w:val="952"/>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upperLetter"/>
      <w:pStyle w:val="1031"/>
      <w:isLgl w:val="false"/>
      <w:suff w:val="tab"/>
      <w:lvlText w:val="附录%1."/>
      <w:lvlJc w:val="left"/>
      <w:pPr>
        <w:pStyle w:val="95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1）"/>
      <w:lvlJc w:val="left"/>
      <w:pPr>
        <w:pStyle w:val="952"/>
        <w:ind w:left="1080" w:hanging="1080"/>
        <w:tabs>
          <w:tab w:val="num" w:pos="1080" w:leader="none"/>
        </w:tabs>
      </w:pPr>
      <w:rPr>
        <w:rFonts w:hint="eastAsia" w:cs="Times New Roman"/>
      </w:rPr>
    </w:lvl>
    <w:lvl w:ilvl="1">
      <w:start w:val="1"/>
      <w:numFmt w:val="decimal"/>
      <w:isLgl w:val="false"/>
      <w:suff w:val="tab"/>
      <w:lvlText w:val="%2."/>
      <w:lvlJc w:val="left"/>
      <w:pPr>
        <w:pStyle w:val="95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52"/>
        <w:ind w:left="1260" w:hanging="420"/>
        <w:tabs>
          <w:tab w:val="num" w:pos="1260" w:leader="none"/>
        </w:tabs>
      </w:pPr>
      <w:rPr>
        <w:rFonts w:cs="Times New Roman"/>
      </w:rPr>
    </w:lvl>
    <w:lvl w:ilvl="3">
      <w:start w:val="1"/>
      <w:numFmt w:val="decimal"/>
      <w:isLgl w:val="false"/>
      <w:suff w:val="tab"/>
      <w:lvlText w:val="%4."/>
      <w:lvlJc w:val="left"/>
      <w:pPr>
        <w:pStyle w:val="952"/>
        <w:ind w:left="1680" w:hanging="420"/>
        <w:tabs>
          <w:tab w:val="num" w:pos="1680" w:leader="none"/>
        </w:tabs>
      </w:pPr>
      <w:rPr>
        <w:rFonts w:cs="Times New Roman"/>
      </w:rPr>
    </w:lvl>
    <w:lvl w:ilvl="4">
      <w:start w:val="1"/>
      <w:numFmt w:val="lowerLetter"/>
      <w:isLgl w:val="false"/>
      <w:suff w:val="tab"/>
      <w:lvlText w:val="%5)"/>
      <w:lvlJc w:val="left"/>
      <w:pPr>
        <w:pStyle w:val="952"/>
        <w:ind w:left="2100" w:hanging="420"/>
        <w:tabs>
          <w:tab w:val="num" w:pos="2100" w:leader="none"/>
        </w:tabs>
      </w:pPr>
      <w:rPr>
        <w:rFonts w:cs="Times New Roman"/>
      </w:rPr>
    </w:lvl>
    <w:lvl w:ilvl="5">
      <w:start w:val="1"/>
      <w:numFmt w:val="lowerRoman"/>
      <w:isLgl w:val="false"/>
      <w:suff w:val="tab"/>
      <w:lvlText w:val="%6."/>
      <w:lvlJc w:val="right"/>
      <w:pPr>
        <w:pStyle w:val="952"/>
        <w:ind w:left="2520" w:hanging="420"/>
        <w:tabs>
          <w:tab w:val="num" w:pos="2520" w:leader="none"/>
        </w:tabs>
      </w:pPr>
      <w:rPr>
        <w:rFonts w:cs="Times New Roman"/>
      </w:rPr>
    </w:lvl>
    <w:lvl w:ilvl="6">
      <w:start w:val="1"/>
      <w:numFmt w:val="decimal"/>
      <w:isLgl w:val="false"/>
      <w:suff w:val="tab"/>
      <w:lvlText w:val="%7."/>
      <w:lvlJc w:val="left"/>
      <w:pPr>
        <w:pStyle w:val="952"/>
        <w:ind w:left="2940" w:hanging="420"/>
        <w:tabs>
          <w:tab w:val="num" w:pos="2940" w:leader="none"/>
        </w:tabs>
      </w:pPr>
      <w:rPr>
        <w:rFonts w:cs="Times New Roman"/>
      </w:rPr>
    </w:lvl>
    <w:lvl w:ilvl="7">
      <w:start w:val="1"/>
      <w:numFmt w:val="lowerLetter"/>
      <w:isLgl w:val="false"/>
      <w:suff w:val="tab"/>
      <w:lvlText w:val="%8)"/>
      <w:lvlJc w:val="left"/>
      <w:pPr>
        <w:pStyle w:val="952"/>
        <w:ind w:left="3360" w:hanging="420"/>
        <w:tabs>
          <w:tab w:val="num" w:pos="3360" w:leader="none"/>
        </w:tabs>
      </w:pPr>
      <w:rPr>
        <w:rFonts w:cs="Times New Roman"/>
      </w:rPr>
    </w:lvl>
    <w:lvl w:ilvl="8">
      <w:start w:val="1"/>
      <w:numFmt w:val="lowerRoman"/>
      <w:isLgl w:val="false"/>
      <w:suff w:val="tab"/>
      <w:lvlText w:val="%9."/>
      <w:lvlJc w:val="right"/>
      <w:pPr>
        <w:pStyle w:val="952"/>
        <w:ind w:left="3780" w:hanging="420"/>
        <w:tabs>
          <w:tab w:val="num" w:pos="3780" w:leader="none"/>
        </w:tabs>
      </w:pPr>
      <w:rPr>
        <w:rFonts w:cs="Times New Roman"/>
      </w:rPr>
    </w:lvl>
  </w:abstractNum>
  <w:abstractNum w:abstractNumId="18">
    <w:multiLevelType w:val="hybridMultilevel"/>
    <w:lvl w:ilvl="0">
      <w:start w:val="2"/>
      <w:numFmt w:val="chineseCounting"/>
      <w:isLgl w:val="false"/>
      <w:suff w:val="nothing"/>
      <w:lvlText w:val="%1、"/>
      <w:lvlJc w:val="left"/>
      <w:pPr>
        <w:pStyle w:val="9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3"/>
      <w:numFmt w:val="decimal"/>
      <w:isLgl w:val="false"/>
      <w:suff w:val="nothing"/>
      <w:lvlText w:val="%1、"/>
      <w:lvlJc w:val="left"/>
      <w:pPr>
        <w:pStyle w:val="9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048"/>
      <w:isLgl w:val="false"/>
      <w:suff w:val="tab"/>
      <w:lvlText w:val="%1."/>
      <w:lvlJc w:val="left"/>
      <w:pPr>
        <w:pStyle w:val="952"/>
        <w:ind w:left="709" w:hanging="709"/>
        <w:tabs>
          <w:tab w:val="num" w:pos="709" w:leader="none"/>
        </w:tabs>
      </w:pPr>
      <w:rPr>
        <w:rFonts w:hint="eastAsia"/>
      </w:rPr>
    </w:lvl>
    <w:lvl w:ilvl="1">
      <w:start w:val="1"/>
      <w:numFmt w:val="decimal"/>
      <w:isLgl w:val="false"/>
      <w:suff w:val="tab"/>
      <w:lvlText w:val="%1.%2"/>
      <w:lvlJc w:val="left"/>
      <w:pPr>
        <w:pStyle w:val="952"/>
        <w:ind w:left="709" w:hanging="709"/>
        <w:tabs>
          <w:tab w:val="num" w:pos="709" w:leader="none"/>
        </w:tabs>
      </w:pPr>
      <w:rPr>
        <w:rFonts w:hint="eastAsia"/>
      </w:rPr>
    </w:lvl>
    <w:lvl w:ilvl="2">
      <w:start w:val="1"/>
      <w:numFmt w:val="decimal"/>
      <w:isLgl w:val="false"/>
      <w:suff w:val="tab"/>
      <w:lvlText w:val="%1.%2.%3."/>
      <w:lvlJc w:val="left"/>
      <w:pPr>
        <w:pStyle w:val="952"/>
        <w:ind w:left="425" w:hanging="425"/>
        <w:tabs>
          <w:tab w:val="num" w:pos="425" w:leader="none"/>
        </w:tabs>
      </w:pPr>
      <w:rPr>
        <w:rFonts w:hint="eastAsia"/>
      </w:rPr>
    </w:lvl>
    <w:lvl w:ilvl="3">
      <w:start w:val="1"/>
      <w:numFmt w:val="decimal"/>
      <w:isLgl w:val="false"/>
      <w:suff w:val="tab"/>
      <w:lvlText w:val="%1.%2.%3.%4."/>
      <w:lvlJc w:val="left"/>
      <w:pPr>
        <w:pStyle w:val="952"/>
        <w:ind w:left="851" w:hanging="851"/>
        <w:tabs>
          <w:tab w:val="num" w:pos="851" w:leader="none"/>
        </w:tabs>
      </w:pPr>
      <w:rPr>
        <w:rFonts w:hint="eastAsia"/>
      </w:rPr>
    </w:lvl>
    <w:lvl w:ilvl="4">
      <w:start w:val="1"/>
      <w:numFmt w:val="decimal"/>
      <w:isLgl w:val="false"/>
      <w:suff w:val="tab"/>
      <w:lvlText w:val="%1.%2.%3.%4.%5."/>
      <w:lvlJc w:val="left"/>
      <w:pPr>
        <w:pStyle w:val="952"/>
        <w:ind w:left="992" w:hanging="992"/>
        <w:tabs>
          <w:tab w:val="num" w:pos="992" w:leader="none"/>
        </w:tabs>
      </w:pPr>
      <w:rPr>
        <w:rFonts w:hint="eastAsia"/>
      </w:rPr>
    </w:lvl>
    <w:lvl w:ilvl="5">
      <w:start w:val="1"/>
      <w:numFmt w:val="decimal"/>
      <w:isLgl w:val="false"/>
      <w:suff w:val="tab"/>
      <w:lvlText w:val="%1.%2.%3.%4.%5.%6."/>
      <w:lvlJc w:val="left"/>
      <w:pPr>
        <w:pStyle w:val="952"/>
        <w:ind w:left="1134" w:hanging="1134"/>
        <w:tabs>
          <w:tab w:val="num" w:pos="1134" w:leader="none"/>
        </w:tabs>
      </w:pPr>
      <w:rPr>
        <w:rFonts w:hint="eastAsia"/>
      </w:rPr>
    </w:lvl>
    <w:lvl w:ilvl="6">
      <w:start w:val="1"/>
      <w:numFmt w:val="decimal"/>
      <w:isLgl w:val="false"/>
      <w:suff w:val="tab"/>
      <w:lvlText w:val="%1.%2.%3.%4.%5.%6.%7."/>
      <w:lvlJc w:val="left"/>
      <w:pPr>
        <w:pStyle w:val="952"/>
        <w:ind w:left="1276" w:hanging="1276"/>
        <w:tabs>
          <w:tab w:val="num" w:pos="1276" w:leader="none"/>
        </w:tabs>
      </w:pPr>
      <w:rPr>
        <w:rFonts w:hint="eastAsia"/>
      </w:rPr>
    </w:lvl>
    <w:lvl w:ilvl="7">
      <w:start w:val="1"/>
      <w:numFmt w:val="decimal"/>
      <w:isLgl w:val="false"/>
      <w:suff w:val="tab"/>
      <w:lvlText w:val="%1.%2.%3.%4.%5.%6.%7.%8."/>
      <w:lvlJc w:val="left"/>
      <w:pPr>
        <w:pStyle w:val="952"/>
        <w:ind w:left="1418" w:hanging="1418"/>
        <w:tabs>
          <w:tab w:val="num" w:pos="1418" w:leader="none"/>
        </w:tabs>
      </w:pPr>
      <w:rPr>
        <w:rFonts w:hint="eastAsia"/>
      </w:rPr>
    </w:lvl>
    <w:lvl w:ilvl="8">
      <w:start w:val="1"/>
      <w:numFmt w:val="decimal"/>
      <w:isLgl w:val="false"/>
      <w:suff w:val="tab"/>
      <w:lvlText w:val="%1.%2.%3.%4.%5.%6.%7.%8.%9."/>
      <w:lvlJc w:val="left"/>
      <w:pPr>
        <w:pStyle w:val="952"/>
        <w:ind w:left="1559" w:hanging="1559"/>
        <w:tabs>
          <w:tab w:val="num" w:pos="1559" w:leader="none"/>
        </w:tabs>
      </w:pPr>
      <w:rPr>
        <w:rFonts w:hint="eastAsia"/>
      </w:rPr>
    </w:lvl>
  </w:abstractNum>
  <w:abstractNum w:abstractNumId="25">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lowerLetter"/>
      <w:isLgl w:val="false"/>
      <w:suff w:val="nothing"/>
      <w:lvlText w:val="%1）"/>
      <w:lvlJc w:val="left"/>
      <w:pPr>
        <w:pStyle w:val="952"/>
      </w:pPr>
    </w:lvl>
    <w:lvl w:ilvl="1">
      <w:start w:val="1"/>
      <w:numFmt w:val="bullet"/>
      <w:isLgl w:val="false"/>
      <w:suff w:val="tab"/>
      <w:lvlText w:val="o"/>
      <w:lvlJc w:val="left"/>
      <w:pPr>
        <w:pStyle w:val="952"/>
        <w:ind w:left="1440" w:hanging="360"/>
      </w:pPr>
      <w:rPr>
        <w:rFonts w:ascii="Courier New" w:hAnsi="Courier New" w:eastAsia="Courier New" w:cs="Courier New"/>
      </w:rPr>
    </w:lvl>
    <w:lvl w:ilvl="2">
      <w:start w:val="1"/>
      <w:numFmt w:val="bullet"/>
      <w:isLgl w:val="false"/>
      <w:suff w:val="tab"/>
      <w:lvlText w:val="§"/>
      <w:lvlJc w:val="left"/>
      <w:pPr>
        <w:pStyle w:val="952"/>
        <w:ind w:left="2160" w:hanging="360"/>
      </w:pPr>
      <w:rPr>
        <w:rFonts w:ascii="Wingdings" w:hAnsi="Wingdings" w:eastAsia="Wingdings" w:cs="Wingdings"/>
      </w:rPr>
    </w:lvl>
    <w:lvl w:ilvl="3">
      <w:start w:val="1"/>
      <w:numFmt w:val="bullet"/>
      <w:isLgl w:val="false"/>
      <w:suff w:val="tab"/>
      <w:lvlText w:val="·"/>
      <w:lvlJc w:val="left"/>
      <w:pPr>
        <w:pStyle w:val="952"/>
        <w:ind w:left="2880" w:hanging="360"/>
      </w:pPr>
      <w:rPr>
        <w:rFonts w:ascii="Symbol" w:hAnsi="Symbol" w:eastAsia="Symbol" w:cs="Symbol"/>
      </w:rPr>
    </w:lvl>
    <w:lvl w:ilvl="4">
      <w:start w:val="1"/>
      <w:numFmt w:val="bullet"/>
      <w:isLgl w:val="false"/>
      <w:suff w:val="tab"/>
      <w:lvlText w:val="o"/>
      <w:lvlJc w:val="left"/>
      <w:pPr>
        <w:pStyle w:val="952"/>
        <w:ind w:left="3600" w:hanging="360"/>
      </w:pPr>
      <w:rPr>
        <w:rFonts w:ascii="Courier New" w:hAnsi="Courier New" w:eastAsia="Courier New" w:cs="Courier New"/>
      </w:rPr>
    </w:lvl>
    <w:lvl w:ilvl="5">
      <w:start w:val="1"/>
      <w:numFmt w:val="bullet"/>
      <w:isLgl w:val="false"/>
      <w:suff w:val="tab"/>
      <w:lvlText w:val="§"/>
      <w:lvlJc w:val="left"/>
      <w:pPr>
        <w:pStyle w:val="952"/>
        <w:ind w:left="4320" w:hanging="360"/>
      </w:pPr>
      <w:rPr>
        <w:rFonts w:ascii="Wingdings" w:hAnsi="Wingdings" w:eastAsia="Wingdings" w:cs="Wingdings"/>
      </w:rPr>
    </w:lvl>
    <w:lvl w:ilvl="6">
      <w:start w:val="1"/>
      <w:numFmt w:val="bullet"/>
      <w:isLgl w:val="false"/>
      <w:suff w:val="tab"/>
      <w:lvlText w:val="·"/>
      <w:lvlJc w:val="left"/>
      <w:pPr>
        <w:pStyle w:val="952"/>
        <w:ind w:left="5040" w:hanging="360"/>
      </w:pPr>
      <w:rPr>
        <w:rFonts w:ascii="Symbol" w:hAnsi="Symbol" w:eastAsia="Symbol" w:cs="Symbol"/>
      </w:rPr>
    </w:lvl>
    <w:lvl w:ilvl="7">
      <w:start w:val="1"/>
      <w:numFmt w:val="bullet"/>
      <w:isLgl w:val="false"/>
      <w:suff w:val="tab"/>
      <w:lvlText w:val="o"/>
      <w:lvlJc w:val="left"/>
      <w:pPr>
        <w:pStyle w:val="952"/>
        <w:ind w:left="5760" w:hanging="360"/>
      </w:pPr>
      <w:rPr>
        <w:rFonts w:ascii="Courier New" w:hAnsi="Courier New" w:eastAsia="Courier New" w:cs="Courier New"/>
      </w:rPr>
    </w:lvl>
    <w:lvl w:ilvl="8">
      <w:start w:val="1"/>
      <w:numFmt w:val="bullet"/>
      <w:isLgl w:val="false"/>
      <w:suff w:val="tab"/>
      <w:lvlText w:val="§"/>
      <w:lvlJc w:val="left"/>
      <w:pPr>
        <w:pStyle w:val="952"/>
        <w:ind w:left="6480" w:hanging="360"/>
      </w:pPr>
      <w:rPr>
        <w:rFonts w:ascii="Wingdings" w:hAnsi="Wingdings" w:eastAsia="Wingdings" w:cs="Wingdings"/>
      </w:rPr>
    </w:lvl>
  </w:abstractNum>
  <w:abstractNum w:abstractNumId="28">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chineseCountingThousand"/>
      <w:isLgl w:val="false"/>
      <w:suff w:val="nothing"/>
      <w:lvlText w:val="第%1章 "/>
      <w:lvlJc w:val="left"/>
      <w:pPr>
        <w:pStyle w:val="952"/>
        <w:ind w:left="0" w:firstLine="0"/>
      </w:pPr>
      <w:rPr>
        <w:rFonts w:hint="eastAsia"/>
      </w:rPr>
    </w:lvl>
    <w:lvl w:ilvl="1">
      <w:start w:val="1"/>
      <w:numFmt w:val="decimal"/>
      <w:isLgl w:val="false"/>
      <w:suff w:val="nothing"/>
      <w:lvlText w:val="%2、"/>
      <w:lvlJc w:val="left"/>
      <w:pPr>
        <w:pStyle w:val="952"/>
        <w:ind w:left="0" w:firstLine="0"/>
      </w:pPr>
      <w:rPr>
        <w:rFonts w:hint="eastAsia"/>
      </w:rPr>
    </w:lvl>
    <w:lvl w:ilvl="2">
      <w:start w:val="1"/>
      <w:numFmt w:val="decimal"/>
      <w:isLgl w:val="false"/>
      <w:suff w:val="nothing"/>
      <w:lvlText w:val="%2.%3 "/>
      <w:lvlJc w:val="left"/>
      <w:pPr>
        <w:pStyle w:val="952"/>
        <w:ind w:left="0" w:firstLine="0"/>
      </w:pPr>
      <w:rPr>
        <w:rFonts w:hint="eastAsia"/>
      </w:rPr>
    </w:lvl>
    <w:lvl w:ilvl="3">
      <w:start w:val="1"/>
      <w:numFmt w:val="decimal"/>
      <w:isLgl w:val="false"/>
      <w:suff w:val="nothing"/>
      <w:lvlText w:val="%2.%3.%4 "/>
      <w:lvlJc w:val="left"/>
      <w:pPr>
        <w:pStyle w:val="952"/>
        <w:ind w:left="0" w:firstLine="0"/>
      </w:pPr>
      <w:rPr>
        <w:rFonts w:hint="eastAsia"/>
      </w:rPr>
    </w:lvl>
    <w:lvl w:ilvl="4">
      <w:start w:val="1"/>
      <w:numFmt w:val="decimal"/>
      <w:isLgl w:val="false"/>
      <w:suff w:val="nothing"/>
      <w:lvlText w:val="%2.%3.%4.%5 "/>
      <w:lvlJc w:val="left"/>
      <w:pPr>
        <w:pStyle w:val="952"/>
        <w:ind w:left="0" w:firstLine="0"/>
      </w:pPr>
      <w:rPr>
        <w:rFonts w:hint="eastAsia"/>
      </w:rPr>
    </w:lvl>
    <w:lvl w:ilvl="5">
      <w:start w:val="1"/>
      <w:numFmt w:val="decimal"/>
      <w:pStyle w:val="958"/>
      <w:isLgl w:val="false"/>
      <w:suff w:val="nothing"/>
      <w:lvlText w:val=""/>
      <w:lvlJc w:val="left"/>
      <w:pPr>
        <w:pStyle w:val="952"/>
        <w:ind w:left="0" w:firstLine="0"/>
      </w:pPr>
      <w:rPr>
        <w:rFonts w:hint="eastAsia"/>
      </w:rPr>
    </w:lvl>
    <w:lvl w:ilvl="6">
      <w:start w:val="1"/>
      <w:numFmt w:val="decimal"/>
      <w:pStyle w:val="959"/>
      <w:isLgl w:val="false"/>
      <w:suff w:val="nothing"/>
      <w:lvlText w:val=""/>
      <w:lvlJc w:val="left"/>
      <w:pPr>
        <w:pStyle w:val="952"/>
        <w:ind w:left="0" w:firstLine="0"/>
      </w:pPr>
      <w:rPr>
        <w:rFonts w:hint="eastAsia"/>
      </w:rPr>
    </w:lvl>
    <w:lvl w:ilvl="7">
      <w:start w:val="1"/>
      <w:numFmt w:val="decimal"/>
      <w:pStyle w:val="960"/>
      <w:isLgl w:val="false"/>
      <w:suff w:val="nothing"/>
      <w:lvlText w:val=""/>
      <w:lvlJc w:val="left"/>
      <w:pPr>
        <w:pStyle w:val="952"/>
        <w:ind w:left="0" w:firstLine="0"/>
      </w:pPr>
      <w:rPr>
        <w:rFonts w:hint="eastAsia"/>
      </w:rPr>
    </w:lvl>
    <w:lvl w:ilvl="8">
      <w:start w:val="1"/>
      <w:numFmt w:val="decimal"/>
      <w:pStyle w:val="961"/>
      <w:isLgl w:val="false"/>
      <w:suff w:val="nothing"/>
      <w:lvlText w:val=""/>
      <w:lvlJc w:val="left"/>
      <w:pPr>
        <w:pStyle w:val="952"/>
        <w:ind w:left="0" w:firstLine="0"/>
      </w:pPr>
      <w:rPr>
        <w:rFonts w:hint="eastAsia"/>
      </w:rPr>
    </w:lvl>
  </w:abstractNum>
  <w:abstractNum w:abstractNumId="31">
    <w:multiLevelType w:val="hybridMultilevel"/>
    <w:lvl w:ilvl="0">
      <w:start w:val="1"/>
      <w:numFmt w:val="japaneseCounting"/>
      <w:isLgl w:val="false"/>
      <w:suff w:val="tab"/>
      <w:lvlText w:val="%1、"/>
      <w:lvlJc w:val="left"/>
      <w:pPr>
        <w:pStyle w:val="952"/>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52"/>
        <w:ind w:left="840" w:hanging="420"/>
        <w:tabs>
          <w:tab w:val="num" w:pos="840" w:leader="none"/>
        </w:tabs>
      </w:pPr>
      <w:rPr>
        <w:rFonts w:cs="Times New Roman"/>
      </w:rPr>
    </w:lvl>
    <w:lvl w:ilvl="2">
      <w:start w:val="10"/>
      <w:numFmt w:val="decimal"/>
      <w:isLgl w:val="false"/>
      <w:suff w:val="tab"/>
      <w:lvlText w:val="%3."/>
      <w:lvlJc w:val="left"/>
      <w:pPr>
        <w:pStyle w:val="952"/>
        <w:ind w:left="1200" w:hanging="360"/>
        <w:tabs>
          <w:tab w:val="num" w:pos="1200" w:leader="none"/>
        </w:tabs>
      </w:pPr>
      <w:rPr>
        <w:rFonts w:cs="Times New Roman"/>
      </w:rPr>
    </w:lvl>
    <w:lvl w:ilvl="3">
      <w:start w:val="1"/>
      <w:numFmt w:val="decimal"/>
      <w:isLgl w:val="false"/>
      <w:suff w:val="tab"/>
      <w:lvlText w:val="%4."/>
      <w:lvlJc w:val="left"/>
      <w:pPr>
        <w:pStyle w:val="952"/>
        <w:ind w:left="1680" w:hanging="420"/>
        <w:tabs>
          <w:tab w:val="num" w:pos="1680" w:leader="none"/>
        </w:tabs>
      </w:pPr>
      <w:rPr>
        <w:rFonts w:cs="Times New Roman"/>
      </w:rPr>
    </w:lvl>
    <w:lvl w:ilvl="4">
      <w:start w:val="1"/>
      <w:numFmt w:val="lowerLetter"/>
      <w:isLgl w:val="false"/>
      <w:suff w:val="tab"/>
      <w:lvlText w:val="%5)"/>
      <w:lvlJc w:val="left"/>
      <w:pPr>
        <w:pStyle w:val="952"/>
        <w:ind w:left="2100" w:hanging="420"/>
        <w:tabs>
          <w:tab w:val="num" w:pos="2100" w:leader="none"/>
        </w:tabs>
      </w:pPr>
      <w:rPr>
        <w:rFonts w:cs="Times New Roman"/>
      </w:rPr>
    </w:lvl>
    <w:lvl w:ilvl="5">
      <w:start w:val="1"/>
      <w:numFmt w:val="lowerRoman"/>
      <w:isLgl w:val="false"/>
      <w:suff w:val="tab"/>
      <w:lvlText w:val="%6."/>
      <w:lvlJc w:val="right"/>
      <w:pPr>
        <w:pStyle w:val="952"/>
        <w:ind w:left="2520" w:hanging="420"/>
        <w:tabs>
          <w:tab w:val="num" w:pos="2520" w:leader="none"/>
        </w:tabs>
      </w:pPr>
      <w:rPr>
        <w:rFonts w:cs="Times New Roman"/>
      </w:rPr>
    </w:lvl>
    <w:lvl w:ilvl="6">
      <w:start w:val="1"/>
      <w:numFmt w:val="decimal"/>
      <w:isLgl w:val="false"/>
      <w:suff w:val="tab"/>
      <w:lvlText w:val="%7."/>
      <w:lvlJc w:val="left"/>
      <w:pPr>
        <w:pStyle w:val="952"/>
        <w:ind w:left="2940" w:hanging="420"/>
        <w:tabs>
          <w:tab w:val="num" w:pos="2940" w:leader="none"/>
        </w:tabs>
      </w:pPr>
      <w:rPr>
        <w:rFonts w:cs="Times New Roman"/>
      </w:rPr>
    </w:lvl>
    <w:lvl w:ilvl="7">
      <w:start w:val="1"/>
      <w:numFmt w:val="lowerLetter"/>
      <w:isLgl w:val="false"/>
      <w:suff w:val="tab"/>
      <w:lvlText w:val="%8)"/>
      <w:lvlJc w:val="left"/>
      <w:pPr>
        <w:pStyle w:val="952"/>
        <w:ind w:left="3360" w:hanging="420"/>
        <w:tabs>
          <w:tab w:val="num" w:pos="3360" w:leader="none"/>
        </w:tabs>
      </w:pPr>
      <w:rPr>
        <w:rFonts w:cs="Times New Roman"/>
      </w:rPr>
    </w:lvl>
    <w:lvl w:ilvl="8">
      <w:start w:val="1"/>
      <w:numFmt w:val="lowerRoman"/>
      <w:isLgl w:val="false"/>
      <w:suff w:val="tab"/>
      <w:lvlText w:val="%9."/>
      <w:lvlJc w:val="right"/>
      <w:pPr>
        <w:pStyle w:val="952"/>
        <w:ind w:left="3780" w:hanging="420"/>
        <w:tabs>
          <w:tab w:val="num" w:pos="3780" w:leader="none"/>
        </w:tabs>
      </w:pPr>
      <w:rPr>
        <w:rFonts w:cs="Times New Roman"/>
      </w:rPr>
    </w:lvl>
  </w:abstractNum>
  <w:abstractNum w:abstractNumId="32">
    <w:multiLevelType w:val="hybridMultilevel"/>
    <w:lvl w:ilvl="0">
      <w:start w:val="1"/>
      <w:numFmt w:val="decimal"/>
      <w:isLgl w:val="false"/>
      <w:suff w:val="nothing"/>
      <w:lvlText w:val="（%1）"/>
      <w:lvlJc w:val="left"/>
      <w:pPr>
        <w:pStyle w:val="9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pStyle w:val="952"/>
        <w:ind w:left="420" w:hanging="420"/>
      </w:pPr>
    </w:lvl>
    <w:lvl w:ilvl="1">
      <w:start w:val="1"/>
      <w:numFmt w:val="lowerLetter"/>
      <w:isLgl w:val="false"/>
      <w:suff w:val="tab"/>
      <w:lvlText w:val="%2)"/>
      <w:lvlJc w:val="left"/>
      <w:pPr>
        <w:pStyle w:val="952"/>
        <w:ind w:left="840" w:hanging="420"/>
      </w:pPr>
    </w:lvl>
    <w:lvl w:ilvl="2">
      <w:start w:val="1"/>
      <w:numFmt w:val="lowerRoman"/>
      <w:isLgl w:val="false"/>
      <w:suff w:val="tab"/>
      <w:lvlText w:val="%3."/>
      <w:lvlJc w:val="right"/>
      <w:pPr>
        <w:pStyle w:val="952"/>
        <w:ind w:left="1260" w:hanging="420"/>
      </w:pPr>
    </w:lvl>
    <w:lvl w:ilvl="3">
      <w:start w:val="1"/>
      <w:numFmt w:val="decimal"/>
      <w:isLgl w:val="false"/>
      <w:suff w:val="tab"/>
      <w:lvlText w:val="%4."/>
      <w:lvlJc w:val="left"/>
      <w:pPr>
        <w:pStyle w:val="952"/>
        <w:ind w:left="1680" w:hanging="420"/>
      </w:pPr>
    </w:lvl>
    <w:lvl w:ilvl="4">
      <w:start w:val="1"/>
      <w:numFmt w:val="lowerLetter"/>
      <w:isLgl w:val="false"/>
      <w:suff w:val="tab"/>
      <w:lvlText w:val="%5)"/>
      <w:lvlJc w:val="left"/>
      <w:pPr>
        <w:pStyle w:val="952"/>
        <w:ind w:left="2100" w:hanging="420"/>
      </w:pPr>
    </w:lvl>
    <w:lvl w:ilvl="5">
      <w:start w:val="1"/>
      <w:numFmt w:val="lowerRoman"/>
      <w:isLgl w:val="false"/>
      <w:suff w:val="tab"/>
      <w:lvlText w:val="%6."/>
      <w:lvlJc w:val="right"/>
      <w:pPr>
        <w:pStyle w:val="952"/>
        <w:ind w:left="2520" w:hanging="420"/>
      </w:pPr>
    </w:lvl>
    <w:lvl w:ilvl="6">
      <w:start w:val="1"/>
      <w:numFmt w:val="decimal"/>
      <w:isLgl w:val="false"/>
      <w:suff w:val="tab"/>
      <w:lvlText w:val="%7."/>
      <w:lvlJc w:val="left"/>
      <w:pPr>
        <w:pStyle w:val="952"/>
        <w:ind w:left="2940" w:hanging="420"/>
      </w:pPr>
    </w:lvl>
    <w:lvl w:ilvl="7">
      <w:start w:val="1"/>
      <w:numFmt w:val="lowerLetter"/>
      <w:isLgl w:val="false"/>
      <w:suff w:val="tab"/>
      <w:lvlText w:val="%8)"/>
      <w:lvlJc w:val="left"/>
      <w:pPr>
        <w:pStyle w:val="952"/>
        <w:ind w:left="3360" w:hanging="420"/>
      </w:pPr>
    </w:lvl>
    <w:lvl w:ilvl="8">
      <w:start w:val="1"/>
      <w:numFmt w:val="lowerRoman"/>
      <w:isLgl w:val="false"/>
      <w:suff w:val="tab"/>
      <w:lvlText w:val="%9."/>
      <w:lvlJc w:val="right"/>
      <w:pPr>
        <w:pStyle w:val="952"/>
        <w:ind w:left="3780" w:hanging="420"/>
      </w:pPr>
    </w:lvl>
  </w:abstractNum>
  <w:abstractNum w:abstractNumId="34">
    <w:multiLevelType w:val="hybridMultilevel"/>
    <w:lvl w:ilvl="0">
      <w:start w:val="1"/>
      <w:numFmt w:val="japaneseCounting"/>
      <w:isLgl w:val="false"/>
      <w:suff w:val="tab"/>
      <w:lvlText w:val="第%1章"/>
      <w:lvlJc w:val="left"/>
      <w:pPr>
        <w:pStyle w:val="952"/>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pStyle w:val="952"/>
        <w:ind w:left="0" w:firstLine="2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0"/>
  </w:num>
  <w:num w:numId="2">
    <w:abstractNumId w:val="16"/>
  </w:num>
  <w:num w:numId="3">
    <w:abstractNumId w:val="24"/>
  </w:num>
  <w:num w:numId="4">
    <w:abstractNumId w:val="34"/>
  </w:num>
  <w:num w:numId="5">
    <w:abstractNumId w:val="33"/>
  </w:num>
  <w:num w:numId="6">
    <w:abstractNumId w:val="10"/>
  </w:num>
  <w:num w:numId="7">
    <w:abstractNumId w:val="27"/>
  </w:num>
  <w:num w:numId="8">
    <w:abstractNumId w:val="13"/>
  </w:num>
  <w:num w:numId="9">
    <w:abstractNumId w:val="21"/>
  </w:num>
  <w:num w:numId="10">
    <w:abstractNumId w:val="20"/>
  </w:num>
  <w:num w:numId="11">
    <w:abstractNumId w:val="4"/>
  </w:num>
  <w:num w:numId="12">
    <w:abstractNumId w:val="2"/>
  </w:num>
  <w:num w:numId="13">
    <w:abstractNumId w:val="28"/>
  </w:num>
  <w:num w:numId="14">
    <w:abstractNumId w:val="11"/>
  </w:num>
  <w:num w:numId="15">
    <w:abstractNumId w:val="1"/>
  </w:num>
  <w:num w:numId="16">
    <w:abstractNumId w:val="29"/>
  </w:num>
  <w:num w:numId="17">
    <w:abstractNumId w:val="35"/>
  </w:num>
  <w:num w:numId="18">
    <w:abstractNumId w:val="12"/>
  </w:num>
  <w:num w:numId="19">
    <w:abstractNumId w:val="22"/>
  </w:num>
  <w:num w:numId="20">
    <w:abstractNumId w:val="9"/>
  </w:num>
  <w:num w:numId="21">
    <w:abstractNumId w:val="23"/>
  </w:num>
  <w:num w:numId="22">
    <w:abstractNumId w:val="19"/>
  </w:num>
  <w:num w:numId="23">
    <w:abstractNumId w:val="8"/>
  </w:num>
  <w:num w:numId="24">
    <w:abstractNumId w:val="3"/>
  </w:num>
  <w:num w:numId="25">
    <w:abstractNumId w:val="25"/>
  </w:num>
  <w:num w:numId="26">
    <w:abstractNumId w:val="7"/>
  </w:num>
  <w:num w:numId="27">
    <w:abstractNumId w:val="26"/>
  </w:num>
  <w:num w:numId="28">
    <w:abstractNumId w:val="6"/>
  </w:num>
  <w:num w:numId="29">
    <w:abstractNumId w:val="14"/>
  </w:num>
  <w:num w:numId="30">
    <w:abstractNumId w:val="17"/>
  </w:num>
  <w:num w:numId="31">
    <w:abstractNumId w:val="5"/>
  </w:num>
  <w:num w:numId="32">
    <w:abstractNumId w:val="18"/>
  </w:num>
  <w:num w:numId="33">
    <w:abstractNumId w:val="15"/>
  </w:num>
  <w:num w:numId="34">
    <w:abstractNumId w:val="32"/>
  </w:num>
  <w:num w:numId="35">
    <w:abstractNumId w:val="0"/>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name w:val="Heading 1"/>
    <w:basedOn w:val="952"/>
    <w:next w:val="952"/>
    <w:link w:val="775"/>
    <w:uiPriority w:val="9"/>
    <w:qFormat/>
    <w:pPr>
      <w:keepLines/>
      <w:keepNext/>
      <w:spacing w:before="480" w:after="200"/>
      <w:outlineLvl w:val="0"/>
    </w:pPr>
    <w:rPr>
      <w:rFonts w:ascii="Arial" w:hAnsi="Arial" w:eastAsia="Arial" w:cs="Arial"/>
      <w:sz w:val="40"/>
      <w:szCs w:val="40"/>
    </w:rPr>
  </w:style>
  <w:style w:type="character" w:styleId="775">
    <w:name w:val="Heading 1 Char"/>
    <w:link w:val="774"/>
    <w:uiPriority w:val="9"/>
    <w:rPr>
      <w:rFonts w:ascii="Arial" w:hAnsi="Arial" w:eastAsia="Arial" w:cs="Arial"/>
      <w:sz w:val="40"/>
      <w:szCs w:val="40"/>
    </w:rPr>
  </w:style>
  <w:style w:type="paragraph" w:styleId="776">
    <w:name w:val="Heading 2"/>
    <w:basedOn w:val="952"/>
    <w:next w:val="952"/>
    <w:link w:val="777"/>
    <w:uiPriority w:val="9"/>
    <w:unhideWhenUsed/>
    <w:qFormat/>
    <w:pPr>
      <w:keepLines/>
      <w:keepNext/>
      <w:spacing w:before="360" w:after="200"/>
      <w:outlineLvl w:val="1"/>
    </w:pPr>
    <w:rPr>
      <w:rFonts w:ascii="Arial" w:hAnsi="Arial" w:eastAsia="Arial" w:cs="Arial"/>
      <w:sz w:val="34"/>
    </w:rPr>
  </w:style>
  <w:style w:type="character" w:styleId="777">
    <w:name w:val="Heading 2 Char"/>
    <w:link w:val="776"/>
    <w:uiPriority w:val="9"/>
    <w:rPr>
      <w:rFonts w:ascii="Arial" w:hAnsi="Arial" w:eastAsia="Arial" w:cs="Arial"/>
      <w:sz w:val="34"/>
    </w:rPr>
  </w:style>
  <w:style w:type="paragraph" w:styleId="778">
    <w:name w:val="Heading 3"/>
    <w:basedOn w:val="952"/>
    <w:next w:val="952"/>
    <w:link w:val="779"/>
    <w:uiPriority w:val="9"/>
    <w:unhideWhenUsed/>
    <w:qFormat/>
    <w:pPr>
      <w:keepLines/>
      <w:keepNext/>
      <w:spacing w:before="320" w:after="200"/>
      <w:outlineLvl w:val="2"/>
    </w:pPr>
    <w:rPr>
      <w:rFonts w:ascii="Arial" w:hAnsi="Arial" w:eastAsia="Arial" w:cs="Arial"/>
      <w:sz w:val="30"/>
      <w:szCs w:val="30"/>
    </w:rPr>
  </w:style>
  <w:style w:type="character" w:styleId="779">
    <w:name w:val="Heading 3 Char"/>
    <w:link w:val="778"/>
    <w:uiPriority w:val="9"/>
    <w:rPr>
      <w:rFonts w:ascii="Arial" w:hAnsi="Arial" w:eastAsia="Arial" w:cs="Arial"/>
      <w:sz w:val="30"/>
      <w:szCs w:val="30"/>
    </w:rPr>
  </w:style>
  <w:style w:type="paragraph" w:styleId="780">
    <w:name w:val="Heading 4"/>
    <w:basedOn w:val="952"/>
    <w:next w:val="952"/>
    <w:link w:val="781"/>
    <w:uiPriority w:val="9"/>
    <w:unhideWhenUsed/>
    <w:qFormat/>
    <w:pPr>
      <w:keepLines/>
      <w:keepNext/>
      <w:spacing w:before="320" w:after="200"/>
      <w:outlineLvl w:val="3"/>
    </w:pPr>
    <w:rPr>
      <w:rFonts w:ascii="Arial" w:hAnsi="Arial" w:eastAsia="Arial" w:cs="Arial"/>
      <w:b/>
      <w:bCs/>
      <w:sz w:val="26"/>
      <w:szCs w:val="26"/>
    </w:rPr>
  </w:style>
  <w:style w:type="character" w:styleId="781">
    <w:name w:val="Heading 4 Char"/>
    <w:link w:val="780"/>
    <w:uiPriority w:val="9"/>
    <w:rPr>
      <w:rFonts w:ascii="Arial" w:hAnsi="Arial" w:eastAsia="Arial" w:cs="Arial"/>
      <w:b/>
      <w:bCs/>
      <w:sz w:val="26"/>
      <w:szCs w:val="26"/>
    </w:rPr>
  </w:style>
  <w:style w:type="paragraph" w:styleId="782">
    <w:name w:val="Heading 5"/>
    <w:basedOn w:val="952"/>
    <w:next w:val="952"/>
    <w:link w:val="783"/>
    <w:uiPriority w:val="9"/>
    <w:unhideWhenUsed/>
    <w:qFormat/>
    <w:pPr>
      <w:keepLines/>
      <w:keepNext/>
      <w:spacing w:before="320" w:after="200"/>
      <w:outlineLvl w:val="4"/>
    </w:pPr>
    <w:rPr>
      <w:rFonts w:ascii="Arial" w:hAnsi="Arial" w:eastAsia="Arial" w:cs="Arial"/>
      <w:b/>
      <w:bCs/>
      <w:sz w:val="24"/>
      <w:szCs w:val="24"/>
    </w:rPr>
  </w:style>
  <w:style w:type="character" w:styleId="783">
    <w:name w:val="Heading 5 Char"/>
    <w:link w:val="782"/>
    <w:uiPriority w:val="9"/>
    <w:rPr>
      <w:rFonts w:ascii="Arial" w:hAnsi="Arial" w:eastAsia="Arial" w:cs="Arial"/>
      <w:b/>
      <w:bCs/>
      <w:sz w:val="24"/>
      <w:szCs w:val="24"/>
    </w:rPr>
  </w:style>
  <w:style w:type="paragraph" w:styleId="784">
    <w:name w:val="Heading 6"/>
    <w:basedOn w:val="952"/>
    <w:next w:val="952"/>
    <w:link w:val="785"/>
    <w:uiPriority w:val="9"/>
    <w:unhideWhenUsed/>
    <w:qFormat/>
    <w:pPr>
      <w:keepLines/>
      <w:keepNext/>
      <w:spacing w:before="320" w:after="200"/>
      <w:outlineLvl w:val="5"/>
    </w:pPr>
    <w:rPr>
      <w:rFonts w:ascii="Arial" w:hAnsi="Arial" w:eastAsia="Arial" w:cs="Arial"/>
      <w:b/>
      <w:bCs/>
      <w:sz w:val="22"/>
      <w:szCs w:val="22"/>
    </w:rPr>
  </w:style>
  <w:style w:type="character" w:styleId="785">
    <w:name w:val="Heading 6 Char"/>
    <w:link w:val="784"/>
    <w:uiPriority w:val="9"/>
    <w:rPr>
      <w:rFonts w:ascii="Arial" w:hAnsi="Arial" w:eastAsia="Arial" w:cs="Arial"/>
      <w:b/>
      <w:bCs/>
      <w:sz w:val="22"/>
      <w:szCs w:val="22"/>
    </w:rPr>
  </w:style>
  <w:style w:type="paragraph" w:styleId="786">
    <w:name w:val="Heading 7"/>
    <w:basedOn w:val="952"/>
    <w:next w:val="952"/>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Heading 7 Char"/>
    <w:link w:val="786"/>
    <w:uiPriority w:val="9"/>
    <w:rPr>
      <w:rFonts w:ascii="Arial" w:hAnsi="Arial" w:eastAsia="Arial" w:cs="Arial"/>
      <w:b/>
      <w:bCs/>
      <w:i/>
      <w:iCs/>
      <w:sz w:val="22"/>
      <w:szCs w:val="22"/>
    </w:rPr>
  </w:style>
  <w:style w:type="paragraph" w:styleId="788">
    <w:name w:val="Heading 8"/>
    <w:basedOn w:val="952"/>
    <w:next w:val="952"/>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Heading 8 Char"/>
    <w:link w:val="788"/>
    <w:uiPriority w:val="9"/>
    <w:rPr>
      <w:rFonts w:ascii="Arial" w:hAnsi="Arial" w:eastAsia="Arial" w:cs="Arial"/>
      <w:i/>
      <w:iCs/>
      <w:sz w:val="22"/>
      <w:szCs w:val="22"/>
    </w:rPr>
  </w:style>
  <w:style w:type="paragraph" w:styleId="790">
    <w:name w:val="Heading 9"/>
    <w:basedOn w:val="952"/>
    <w:next w:val="952"/>
    <w:link w:val="791"/>
    <w:uiPriority w:val="9"/>
    <w:unhideWhenUsed/>
    <w:qFormat/>
    <w:pPr>
      <w:keepLines/>
      <w:keepNext/>
      <w:spacing w:before="320" w:after="200"/>
      <w:outlineLvl w:val="8"/>
    </w:pPr>
    <w:rPr>
      <w:rFonts w:ascii="Arial" w:hAnsi="Arial" w:eastAsia="Arial" w:cs="Arial"/>
      <w:i/>
      <w:iCs/>
      <w:sz w:val="21"/>
      <w:szCs w:val="21"/>
    </w:rPr>
  </w:style>
  <w:style w:type="character" w:styleId="791">
    <w:name w:val="Heading 9 Char"/>
    <w:link w:val="790"/>
    <w:uiPriority w:val="9"/>
    <w:rPr>
      <w:rFonts w:ascii="Arial" w:hAnsi="Arial" w:eastAsia="Arial" w:cs="Arial"/>
      <w:i/>
      <w:iCs/>
      <w:sz w:val="21"/>
      <w:szCs w:val="21"/>
    </w:rPr>
  </w:style>
  <w:style w:type="paragraph" w:styleId="792">
    <w:name w:val="List Paragraph"/>
    <w:basedOn w:val="952"/>
    <w:uiPriority w:val="34"/>
    <w:qFormat/>
    <w:pPr>
      <w:contextualSpacing/>
      <w:ind w:left="720"/>
    </w:pPr>
  </w:style>
  <w:style w:type="paragraph" w:styleId="793">
    <w:name w:val="No Spacing"/>
    <w:uiPriority w:val="1"/>
    <w:qFormat/>
    <w:pPr>
      <w:spacing w:before="0" w:after="0" w:line="240" w:lineRule="auto"/>
    </w:pPr>
  </w:style>
  <w:style w:type="paragraph" w:styleId="794">
    <w:name w:val="Title"/>
    <w:basedOn w:val="952"/>
    <w:next w:val="952"/>
    <w:link w:val="795"/>
    <w:uiPriority w:val="10"/>
    <w:qFormat/>
    <w:pPr>
      <w:contextualSpacing/>
      <w:spacing w:before="300" w:after="200"/>
    </w:pPr>
    <w:rPr>
      <w:sz w:val="48"/>
      <w:szCs w:val="48"/>
    </w:rPr>
  </w:style>
  <w:style w:type="character" w:styleId="795">
    <w:name w:val="Title Char"/>
    <w:link w:val="794"/>
    <w:uiPriority w:val="10"/>
    <w:rPr>
      <w:sz w:val="48"/>
      <w:szCs w:val="48"/>
    </w:rPr>
  </w:style>
  <w:style w:type="paragraph" w:styleId="796">
    <w:name w:val="Subtitle"/>
    <w:basedOn w:val="952"/>
    <w:next w:val="952"/>
    <w:link w:val="797"/>
    <w:uiPriority w:val="11"/>
    <w:qFormat/>
    <w:pPr>
      <w:spacing w:before="200" w:after="200"/>
    </w:pPr>
    <w:rPr>
      <w:sz w:val="24"/>
      <w:szCs w:val="24"/>
    </w:rPr>
  </w:style>
  <w:style w:type="character" w:styleId="797">
    <w:name w:val="Subtitle Char"/>
    <w:link w:val="796"/>
    <w:uiPriority w:val="11"/>
    <w:rPr>
      <w:sz w:val="24"/>
      <w:szCs w:val="24"/>
    </w:rPr>
  </w:style>
  <w:style w:type="paragraph" w:styleId="798">
    <w:name w:val="Quote"/>
    <w:basedOn w:val="952"/>
    <w:next w:val="952"/>
    <w:link w:val="799"/>
    <w:uiPriority w:val="29"/>
    <w:qFormat/>
    <w:pPr>
      <w:ind w:left="720" w:right="720"/>
    </w:pPr>
    <w:rPr>
      <w:i/>
    </w:rPr>
  </w:style>
  <w:style w:type="character" w:styleId="799">
    <w:name w:val="Quote Char"/>
    <w:link w:val="798"/>
    <w:uiPriority w:val="29"/>
    <w:rPr>
      <w:i/>
    </w:rPr>
  </w:style>
  <w:style w:type="paragraph" w:styleId="800">
    <w:name w:val="Intense Quote"/>
    <w:basedOn w:val="952"/>
    <w:next w:val="952"/>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Intense Quote Char"/>
    <w:link w:val="800"/>
    <w:uiPriority w:val="30"/>
    <w:rPr>
      <w:i/>
    </w:rPr>
  </w:style>
  <w:style w:type="paragraph" w:styleId="802">
    <w:name w:val="Header"/>
    <w:basedOn w:val="952"/>
    <w:link w:val="803"/>
    <w:uiPriority w:val="99"/>
    <w:unhideWhenUsed/>
    <w:pPr>
      <w:spacing w:after="0" w:line="240" w:lineRule="auto"/>
      <w:tabs>
        <w:tab w:val="center" w:pos="7143" w:leader="none"/>
        <w:tab w:val="right" w:pos="14287" w:leader="none"/>
      </w:tabs>
    </w:pPr>
  </w:style>
  <w:style w:type="character" w:styleId="803">
    <w:name w:val="Header Char"/>
    <w:link w:val="802"/>
    <w:uiPriority w:val="99"/>
  </w:style>
  <w:style w:type="paragraph" w:styleId="804">
    <w:name w:val="Footer"/>
    <w:basedOn w:val="952"/>
    <w:link w:val="807"/>
    <w:uiPriority w:val="99"/>
    <w:unhideWhenUsed/>
    <w:pPr>
      <w:spacing w:after="0" w:line="240" w:lineRule="auto"/>
      <w:tabs>
        <w:tab w:val="center" w:pos="7143" w:leader="none"/>
        <w:tab w:val="right" w:pos="14287" w:leader="none"/>
      </w:tabs>
    </w:pPr>
  </w:style>
  <w:style w:type="character" w:styleId="805">
    <w:name w:val="Footer Char"/>
    <w:link w:val="804"/>
    <w:uiPriority w:val="99"/>
  </w:style>
  <w:style w:type="paragraph" w:styleId="806">
    <w:name w:val="Caption"/>
    <w:basedOn w:val="952"/>
    <w:next w:val="952"/>
    <w:uiPriority w:val="35"/>
    <w:semiHidden/>
    <w:unhideWhenUsed/>
    <w:qFormat/>
    <w:pPr>
      <w:spacing w:line="276" w:lineRule="auto"/>
    </w:pPr>
    <w:rPr>
      <w:b/>
      <w:bCs/>
      <w:color w:val="4f81bd" w:themeColor="accent1"/>
      <w:sz w:val="18"/>
      <w:szCs w:val="18"/>
    </w:rPr>
  </w:style>
  <w:style w:type="character" w:styleId="807">
    <w:name w:val="Caption Char"/>
    <w:basedOn w:val="806"/>
    <w:link w:val="804"/>
    <w:uiPriority w:val="99"/>
  </w:style>
  <w:style w:type="table" w:styleId="8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4">
    <w:name w:val="Hyperlink"/>
    <w:uiPriority w:val="99"/>
    <w:unhideWhenUsed/>
    <w:rPr>
      <w:color w:val="0000ff" w:themeColor="hyperlink"/>
      <w:u w:val="single"/>
    </w:rPr>
  </w:style>
  <w:style w:type="paragraph" w:styleId="935">
    <w:name w:val="footnote text"/>
    <w:basedOn w:val="952"/>
    <w:link w:val="936"/>
    <w:uiPriority w:val="99"/>
    <w:semiHidden/>
    <w:unhideWhenUsed/>
    <w:pPr>
      <w:spacing w:after="40" w:line="240" w:lineRule="auto"/>
    </w:pPr>
    <w:rPr>
      <w:sz w:val="18"/>
    </w:rPr>
  </w:style>
  <w:style w:type="character" w:styleId="936">
    <w:name w:val="Footnote Text Char"/>
    <w:link w:val="935"/>
    <w:uiPriority w:val="99"/>
    <w:rPr>
      <w:sz w:val="18"/>
    </w:rPr>
  </w:style>
  <w:style w:type="character" w:styleId="937">
    <w:name w:val="footnote reference"/>
    <w:uiPriority w:val="99"/>
    <w:unhideWhenUsed/>
    <w:rPr>
      <w:vertAlign w:val="superscript"/>
    </w:rPr>
  </w:style>
  <w:style w:type="paragraph" w:styleId="938">
    <w:name w:val="endnote text"/>
    <w:basedOn w:val="952"/>
    <w:link w:val="939"/>
    <w:uiPriority w:val="99"/>
    <w:semiHidden/>
    <w:unhideWhenUsed/>
    <w:pPr>
      <w:spacing w:after="0" w:line="240" w:lineRule="auto"/>
    </w:pPr>
    <w:rPr>
      <w:sz w:val="20"/>
    </w:rPr>
  </w:style>
  <w:style w:type="character" w:styleId="939">
    <w:name w:val="Endnote Text Char"/>
    <w:link w:val="938"/>
    <w:uiPriority w:val="99"/>
    <w:rPr>
      <w:sz w:val="20"/>
    </w:rPr>
  </w:style>
  <w:style w:type="character" w:styleId="940">
    <w:name w:val="endnote reference"/>
    <w:uiPriority w:val="99"/>
    <w:semiHidden/>
    <w:unhideWhenUsed/>
    <w:rPr>
      <w:vertAlign w:val="superscript"/>
    </w:rPr>
  </w:style>
  <w:style w:type="paragraph" w:styleId="941">
    <w:name w:val="toc 1"/>
    <w:basedOn w:val="952"/>
    <w:next w:val="952"/>
    <w:uiPriority w:val="39"/>
    <w:unhideWhenUsed/>
    <w:pPr>
      <w:ind w:left="0" w:right="0" w:firstLine="0"/>
      <w:spacing w:after="57"/>
    </w:pPr>
  </w:style>
  <w:style w:type="paragraph" w:styleId="942">
    <w:name w:val="toc 2"/>
    <w:basedOn w:val="952"/>
    <w:next w:val="952"/>
    <w:uiPriority w:val="39"/>
    <w:unhideWhenUsed/>
    <w:pPr>
      <w:ind w:left="283" w:right="0" w:firstLine="0"/>
      <w:spacing w:after="57"/>
    </w:pPr>
  </w:style>
  <w:style w:type="paragraph" w:styleId="943">
    <w:name w:val="toc 3"/>
    <w:basedOn w:val="952"/>
    <w:next w:val="952"/>
    <w:uiPriority w:val="39"/>
    <w:unhideWhenUsed/>
    <w:pPr>
      <w:ind w:left="567" w:right="0" w:firstLine="0"/>
      <w:spacing w:after="57"/>
    </w:pPr>
  </w:style>
  <w:style w:type="paragraph" w:styleId="944">
    <w:name w:val="toc 4"/>
    <w:basedOn w:val="952"/>
    <w:next w:val="952"/>
    <w:uiPriority w:val="39"/>
    <w:unhideWhenUsed/>
    <w:pPr>
      <w:ind w:left="850" w:right="0" w:firstLine="0"/>
      <w:spacing w:after="57"/>
    </w:pPr>
  </w:style>
  <w:style w:type="paragraph" w:styleId="945">
    <w:name w:val="toc 5"/>
    <w:basedOn w:val="952"/>
    <w:next w:val="952"/>
    <w:uiPriority w:val="39"/>
    <w:unhideWhenUsed/>
    <w:pPr>
      <w:ind w:left="1134" w:right="0" w:firstLine="0"/>
      <w:spacing w:after="57"/>
    </w:pPr>
  </w:style>
  <w:style w:type="paragraph" w:styleId="946">
    <w:name w:val="toc 6"/>
    <w:basedOn w:val="952"/>
    <w:next w:val="952"/>
    <w:uiPriority w:val="39"/>
    <w:unhideWhenUsed/>
    <w:pPr>
      <w:ind w:left="1417" w:right="0" w:firstLine="0"/>
      <w:spacing w:after="57"/>
    </w:pPr>
  </w:style>
  <w:style w:type="paragraph" w:styleId="947">
    <w:name w:val="toc 7"/>
    <w:basedOn w:val="952"/>
    <w:next w:val="952"/>
    <w:uiPriority w:val="39"/>
    <w:unhideWhenUsed/>
    <w:pPr>
      <w:ind w:left="1701" w:right="0" w:firstLine="0"/>
      <w:spacing w:after="57"/>
    </w:pPr>
  </w:style>
  <w:style w:type="paragraph" w:styleId="948">
    <w:name w:val="toc 8"/>
    <w:basedOn w:val="952"/>
    <w:next w:val="952"/>
    <w:uiPriority w:val="39"/>
    <w:unhideWhenUsed/>
    <w:pPr>
      <w:ind w:left="1984" w:right="0" w:firstLine="0"/>
      <w:spacing w:after="57"/>
    </w:pPr>
  </w:style>
  <w:style w:type="paragraph" w:styleId="949">
    <w:name w:val="toc 9"/>
    <w:basedOn w:val="952"/>
    <w:next w:val="952"/>
    <w:uiPriority w:val="39"/>
    <w:unhideWhenUsed/>
    <w:pPr>
      <w:ind w:left="2268" w:right="0" w:firstLine="0"/>
      <w:spacing w:after="57"/>
    </w:pPr>
  </w:style>
  <w:style w:type="paragraph" w:styleId="950">
    <w:name w:val="TOC Heading"/>
    <w:uiPriority w:val="39"/>
    <w:unhideWhenUsed/>
  </w:style>
  <w:style w:type="paragraph" w:styleId="951">
    <w:name w:val="table of figures"/>
    <w:basedOn w:val="952"/>
    <w:next w:val="952"/>
    <w:uiPriority w:val="99"/>
    <w:unhideWhenUsed/>
    <w:pPr>
      <w:spacing w:after="0" w:afterAutospacing="0"/>
    </w:pPr>
  </w:style>
  <w:style w:type="paragraph" w:styleId="952" w:default="1">
    <w:name w:val="Normal"/>
    <w:next w:val="952"/>
    <w:link w:val="952"/>
    <w:qFormat/>
    <w:pPr>
      <w:jc w:val="both"/>
      <w:widowControl w:val="off"/>
    </w:pPr>
    <w:rPr>
      <w:sz w:val="21"/>
      <w:szCs w:val="21"/>
      <w:lang w:val="en-US" w:eastAsia="zh-CN" w:bidi="ar-SA"/>
    </w:rPr>
  </w:style>
  <w:style w:type="paragraph" w:styleId="953">
    <w:name w:val="标题 1"/>
    <w:basedOn w:val="952"/>
    <w:next w:val="952"/>
    <w:link w:val="964"/>
    <w:qFormat/>
    <w:pPr>
      <w:jc w:val="center"/>
      <w:keepNext/>
      <w:outlineLvl w:val="0"/>
    </w:pPr>
    <w:rPr>
      <w:rFonts w:ascii="楷体_GB2312" w:eastAsia="楷体_GB2312"/>
      <w:sz w:val="28"/>
      <w:szCs w:val="28"/>
    </w:rPr>
  </w:style>
  <w:style w:type="paragraph" w:styleId="954">
    <w:name w:val="标题 2"/>
    <w:basedOn w:val="952"/>
    <w:next w:val="966"/>
    <w:link w:val="965"/>
    <w:qFormat/>
    <w:pPr>
      <w:jc w:val="center"/>
      <w:keepLines/>
      <w:keepNext/>
      <w:spacing w:before="260" w:after="260" w:line="416" w:lineRule="auto"/>
      <w:outlineLvl w:val="1"/>
    </w:pPr>
    <w:rPr>
      <w:rFonts w:ascii="Arial" w:hAnsi="Arial" w:eastAsia="幼圆"/>
      <w:b/>
      <w:bCs/>
      <w:sz w:val="44"/>
      <w:szCs w:val="44"/>
    </w:rPr>
  </w:style>
  <w:style w:type="paragraph" w:styleId="955">
    <w:name w:val="标题 3"/>
    <w:basedOn w:val="952"/>
    <w:next w:val="966"/>
    <w:link w:val="968"/>
    <w:qFormat/>
    <w:pPr>
      <w:keepLines/>
      <w:keepNext/>
      <w:spacing w:before="260" w:after="260" w:line="416" w:lineRule="auto"/>
      <w:outlineLvl w:val="2"/>
    </w:pPr>
    <w:rPr>
      <w:b/>
      <w:bCs/>
      <w:sz w:val="32"/>
      <w:szCs w:val="32"/>
    </w:rPr>
  </w:style>
  <w:style w:type="paragraph" w:styleId="956">
    <w:name w:val="标题 4"/>
    <w:basedOn w:val="952"/>
    <w:next w:val="966"/>
    <w:link w:val="969"/>
    <w:qFormat/>
    <w:pPr>
      <w:keepLines/>
      <w:keepNext/>
      <w:spacing w:before="280" w:after="290" w:line="376" w:lineRule="auto"/>
      <w:outlineLvl w:val="3"/>
    </w:pPr>
    <w:rPr>
      <w:rFonts w:ascii="Arial" w:hAnsi="Arial" w:eastAsia="黑体"/>
      <w:b/>
      <w:bCs/>
      <w:sz w:val="28"/>
      <w:szCs w:val="28"/>
    </w:rPr>
  </w:style>
  <w:style w:type="paragraph" w:styleId="957">
    <w:name w:val="标题 5"/>
    <w:basedOn w:val="952"/>
    <w:next w:val="966"/>
    <w:link w:val="970"/>
    <w:qFormat/>
    <w:pPr>
      <w:keepNext/>
      <w:outlineLvl w:val="4"/>
    </w:pPr>
    <w:rPr>
      <w:rFonts w:ascii="宋体"/>
      <w:color w:val="000000"/>
      <w:sz w:val="28"/>
      <w:szCs w:val="28"/>
    </w:rPr>
  </w:style>
  <w:style w:type="paragraph" w:styleId="958">
    <w:name w:val="标题 6"/>
    <w:basedOn w:val="952"/>
    <w:next w:val="952"/>
    <w:link w:val="971"/>
    <w:qFormat/>
    <w:pPr>
      <w:numPr>
        <w:ilvl w:val="5"/>
        <w:numId w:val="1"/>
      </w:numPr>
      <w:keepLines/>
      <w:keepNext/>
      <w:spacing w:before="240" w:after="64" w:line="320" w:lineRule="auto"/>
      <w:outlineLvl w:val="5"/>
    </w:pPr>
    <w:rPr>
      <w:rFonts w:ascii="Arial" w:hAnsi="Arial" w:eastAsia="黑体"/>
      <w:b/>
      <w:bCs/>
      <w:sz w:val="24"/>
      <w:szCs w:val="24"/>
    </w:rPr>
  </w:style>
  <w:style w:type="paragraph" w:styleId="959">
    <w:name w:val="标题 7"/>
    <w:basedOn w:val="952"/>
    <w:next w:val="952"/>
    <w:link w:val="972"/>
    <w:qFormat/>
    <w:pPr>
      <w:numPr>
        <w:ilvl w:val="6"/>
        <w:numId w:val="1"/>
      </w:numPr>
      <w:keepLines/>
      <w:keepNext/>
      <w:spacing w:before="240" w:after="64" w:line="320" w:lineRule="auto"/>
      <w:outlineLvl w:val="6"/>
    </w:pPr>
    <w:rPr>
      <w:b/>
      <w:bCs/>
      <w:sz w:val="24"/>
      <w:szCs w:val="24"/>
    </w:rPr>
  </w:style>
  <w:style w:type="paragraph" w:styleId="960">
    <w:name w:val="标题 8"/>
    <w:basedOn w:val="952"/>
    <w:next w:val="952"/>
    <w:link w:val="973"/>
    <w:qFormat/>
    <w:pPr>
      <w:numPr>
        <w:ilvl w:val="7"/>
        <w:numId w:val="1"/>
      </w:numPr>
      <w:keepLines/>
      <w:keepNext/>
      <w:spacing w:before="240" w:after="64" w:line="320" w:lineRule="auto"/>
      <w:outlineLvl w:val="7"/>
    </w:pPr>
    <w:rPr>
      <w:rFonts w:ascii="Arial" w:hAnsi="Arial" w:eastAsia="黑体"/>
      <w:sz w:val="24"/>
      <w:szCs w:val="24"/>
    </w:rPr>
  </w:style>
  <w:style w:type="paragraph" w:styleId="961">
    <w:name w:val="标题 9"/>
    <w:basedOn w:val="952"/>
    <w:next w:val="952"/>
    <w:link w:val="974"/>
    <w:qFormat/>
    <w:pPr>
      <w:numPr>
        <w:ilvl w:val="8"/>
        <w:numId w:val="1"/>
      </w:numPr>
      <w:keepLines/>
      <w:keepNext/>
      <w:spacing w:before="240" w:after="64" w:line="320" w:lineRule="auto"/>
      <w:outlineLvl w:val="8"/>
    </w:pPr>
    <w:rPr>
      <w:rFonts w:ascii="Arial" w:hAnsi="Arial" w:eastAsia="黑体"/>
      <w:sz w:val="20"/>
    </w:rPr>
  </w:style>
  <w:style w:type="character" w:styleId="962">
    <w:name w:val="默认段落字体"/>
    <w:next w:val="962"/>
    <w:link w:val="952"/>
    <w:uiPriority w:val="1"/>
    <w:unhideWhenUsed/>
  </w:style>
  <w:style w:type="table" w:styleId="963">
    <w:name w:val="普通表格"/>
    <w:next w:val="963"/>
    <w:link w:val="952"/>
    <w:uiPriority w:val="99"/>
    <w:unhideWhenUsed/>
    <w:tblPr/>
  </w:style>
  <w:style w:type="character" w:styleId="964">
    <w:name w:val="标题 1 Char"/>
    <w:next w:val="964"/>
    <w:link w:val="953"/>
    <w:rPr>
      <w:rFonts w:ascii="楷体_GB2312" w:hAnsi="Times New Roman" w:eastAsia="楷体_GB2312" w:cs="Times New Roman"/>
      <w:sz w:val="28"/>
      <w:szCs w:val="28"/>
    </w:rPr>
  </w:style>
  <w:style w:type="character" w:styleId="965">
    <w:name w:val="标题 2 Char"/>
    <w:next w:val="965"/>
    <w:link w:val="954"/>
    <w:rPr>
      <w:rFonts w:ascii="Arial" w:hAnsi="Arial" w:eastAsia="幼圆" w:cs="Arial"/>
      <w:b/>
      <w:bCs/>
      <w:sz w:val="44"/>
      <w:szCs w:val="44"/>
    </w:rPr>
  </w:style>
  <w:style w:type="paragraph" w:styleId="966">
    <w:name w:val="正文缩进"/>
    <w:basedOn w:val="952"/>
    <w:next w:val="966"/>
    <w:link w:val="967"/>
    <w:pPr>
      <w:ind w:firstLine="420"/>
    </w:pPr>
    <w:rPr>
      <w:sz w:val="20"/>
    </w:rPr>
  </w:style>
  <w:style w:type="character" w:styleId="967">
    <w:name w:val="正文缩进 Char"/>
    <w:next w:val="967"/>
    <w:link w:val="966"/>
    <w:rPr>
      <w:rFonts w:ascii="Times New Roman" w:hAnsi="Times New Roman" w:eastAsia="宋体" w:cs="Times New Roman"/>
      <w:szCs w:val="21"/>
    </w:rPr>
  </w:style>
  <w:style w:type="character" w:styleId="968">
    <w:name w:val="标题 3 Char"/>
    <w:next w:val="968"/>
    <w:link w:val="955"/>
    <w:rPr>
      <w:rFonts w:ascii="Times New Roman" w:hAnsi="Times New Roman" w:eastAsia="宋体" w:cs="Times New Roman"/>
      <w:b/>
      <w:bCs/>
      <w:sz w:val="32"/>
      <w:szCs w:val="32"/>
    </w:rPr>
  </w:style>
  <w:style w:type="character" w:styleId="969">
    <w:name w:val="标题 4 Char"/>
    <w:next w:val="969"/>
    <w:link w:val="956"/>
    <w:rPr>
      <w:rFonts w:ascii="Arial" w:hAnsi="Arial" w:eastAsia="黑体" w:cs="Arial"/>
      <w:b/>
      <w:bCs/>
      <w:sz w:val="28"/>
      <w:szCs w:val="28"/>
    </w:rPr>
  </w:style>
  <w:style w:type="character" w:styleId="970">
    <w:name w:val="标题 5 Char"/>
    <w:next w:val="970"/>
    <w:link w:val="957"/>
    <w:rPr>
      <w:rFonts w:ascii="宋体" w:hAnsi="Times New Roman" w:eastAsia="宋体" w:cs="Times New Roman"/>
      <w:color w:val="000000"/>
      <w:sz w:val="28"/>
      <w:szCs w:val="28"/>
    </w:rPr>
  </w:style>
  <w:style w:type="character" w:styleId="971">
    <w:name w:val="标题 6 Char"/>
    <w:next w:val="971"/>
    <w:link w:val="958"/>
    <w:rPr>
      <w:rFonts w:ascii="Arial" w:hAnsi="Arial" w:eastAsia="黑体" w:cs="Times New Roman"/>
      <w:b/>
      <w:bCs/>
      <w:sz w:val="24"/>
      <w:szCs w:val="24"/>
    </w:rPr>
  </w:style>
  <w:style w:type="character" w:styleId="972">
    <w:name w:val="标题 7 Char"/>
    <w:next w:val="972"/>
    <w:link w:val="959"/>
    <w:rPr>
      <w:rFonts w:ascii="Times New Roman" w:hAnsi="Times New Roman" w:eastAsia="宋体" w:cs="Times New Roman"/>
      <w:b/>
      <w:bCs/>
      <w:sz w:val="24"/>
      <w:szCs w:val="24"/>
    </w:rPr>
  </w:style>
  <w:style w:type="character" w:styleId="973">
    <w:name w:val="标题 8 Char"/>
    <w:next w:val="973"/>
    <w:link w:val="960"/>
    <w:rPr>
      <w:rFonts w:ascii="Arial" w:hAnsi="Arial" w:eastAsia="黑体" w:cs="Times New Roman"/>
      <w:sz w:val="24"/>
      <w:szCs w:val="24"/>
    </w:rPr>
  </w:style>
  <w:style w:type="character" w:styleId="974">
    <w:name w:val="标题 9 Char"/>
    <w:next w:val="974"/>
    <w:link w:val="961"/>
    <w:rPr>
      <w:rFonts w:ascii="Arial" w:hAnsi="Arial" w:eastAsia="黑体" w:cs="Times New Roman"/>
      <w:szCs w:val="21"/>
    </w:rPr>
  </w:style>
  <w:style w:type="paragraph" w:styleId="975">
    <w:name w:val="列表 3"/>
    <w:basedOn w:val="952"/>
    <w:next w:val="975"/>
    <w:link w:val="952"/>
    <w:pPr>
      <w:ind w:left="100" w:hanging="200"/>
    </w:pPr>
  </w:style>
  <w:style w:type="paragraph" w:styleId="976">
    <w:name w:val="目录 7"/>
    <w:basedOn w:val="952"/>
    <w:next w:val="952"/>
    <w:link w:val="952"/>
    <w:semiHidden/>
    <w:pPr>
      <w:ind w:left="1260"/>
      <w:jc w:val="left"/>
    </w:pPr>
  </w:style>
  <w:style w:type="paragraph" w:styleId="977">
    <w:name w:val="文档结构图"/>
    <w:basedOn w:val="952"/>
    <w:next w:val="977"/>
    <w:link w:val="978"/>
    <w:semiHidden/>
    <w:pPr>
      <w:shd w:val="clear" w:color="auto" w:fill="000080"/>
    </w:pPr>
    <w:rPr>
      <w:sz w:val="20"/>
    </w:rPr>
  </w:style>
  <w:style w:type="character" w:styleId="978">
    <w:name w:val="文档结构图 Char"/>
    <w:next w:val="978"/>
    <w:link w:val="977"/>
    <w:semiHidden/>
    <w:rPr>
      <w:rFonts w:ascii="Times New Roman" w:hAnsi="Times New Roman" w:eastAsia="宋体" w:cs="Times New Roman"/>
      <w:szCs w:val="21"/>
      <w:shd w:val="clear" w:color="auto" w:fill="000080"/>
    </w:rPr>
  </w:style>
  <w:style w:type="paragraph" w:styleId="979">
    <w:name w:val="批注文字"/>
    <w:basedOn w:val="952"/>
    <w:next w:val="979"/>
    <w:link w:val="980"/>
    <w:semiHidden/>
    <w:pPr>
      <w:jc w:val="left"/>
    </w:pPr>
    <w:rPr>
      <w:sz w:val="20"/>
    </w:rPr>
  </w:style>
  <w:style w:type="character" w:styleId="980">
    <w:name w:val="批注文字 Char"/>
    <w:next w:val="980"/>
    <w:link w:val="979"/>
    <w:semiHidden/>
    <w:rPr>
      <w:rFonts w:ascii="Times New Roman" w:hAnsi="Times New Roman" w:eastAsia="宋体" w:cs="Times New Roman"/>
      <w:szCs w:val="21"/>
    </w:rPr>
  </w:style>
  <w:style w:type="paragraph" w:styleId="981">
    <w:name w:val="正文文本 3"/>
    <w:basedOn w:val="952"/>
    <w:next w:val="981"/>
    <w:link w:val="982"/>
    <w:rPr>
      <w:rFonts w:ascii="仿宋_GB2312" w:hAnsi="Arial" w:eastAsia="仿宋_GB2312"/>
      <w:sz w:val="32"/>
      <w:szCs w:val="32"/>
    </w:rPr>
  </w:style>
  <w:style w:type="character" w:styleId="982">
    <w:name w:val="正文文本 3 Char"/>
    <w:next w:val="982"/>
    <w:link w:val="981"/>
    <w:rPr>
      <w:rFonts w:ascii="仿宋_GB2312" w:hAnsi="Arial" w:eastAsia="仿宋_GB2312" w:cs="Times New Roman"/>
      <w:sz w:val="32"/>
      <w:szCs w:val="32"/>
    </w:rPr>
  </w:style>
  <w:style w:type="paragraph" w:styleId="983">
    <w:name w:val="正文文本"/>
    <w:basedOn w:val="952"/>
    <w:next w:val="983"/>
    <w:link w:val="984"/>
    <w:rPr>
      <w:rFonts w:ascii="楷体_GB2312" w:hAnsi="Arial" w:eastAsia="楷体_GB2312"/>
      <w:sz w:val="28"/>
      <w:szCs w:val="28"/>
    </w:rPr>
  </w:style>
  <w:style w:type="character" w:styleId="984">
    <w:name w:val="正文文本 Char"/>
    <w:next w:val="984"/>
    <w:link w:val="983"/>
    <w:rPr>
      <w:rFonts w:ascii="楷体_GB2312" w:hAnsi="Arial" w:eastAsia="楷体_GB2312" w:cs="Times New Roman"/>
      <w:sz w:val="28"/>
      <w:szCs w:val="28"/>
    </w:rPr>
  </w:style>
  <w:style w:type="paragraph" w:styleId="985">
    <w:name w:val="正文文本缩进"/>
    <w:basedOn w:val="952"/>
    <w:next w:val="985"/>
    <w:link w:val="986"/>
    <w:pPr>
      <w:ind w:firstLine="645"/>
    </w:pPr>
    <w:rPr>
      <w:rFonts w:ascii="楷体_GB2312" w:eastAsia="楷体_GB2312"/>
      <w:sz w:val="32"/>
      <w:szCs w:val="32"/>
    </w:rPr>
  </w:style>
  <w:style w:type="character" w:styleId="986">
    <w:name w:val="正文文本缩进 Char"/>
    <w:next w:val="986"/>
    <w:link w:val="985"/>
    <w:rPr>
      <w:rFonts w:ascii="楷体_GB2312" w:hAnsi="Times New Roman" w:eastAsia="楷体_GB2312" w:cs="Times New Roman"/>
      <w:sz w:val="32"/>
      <w:szCs w:val="32"/>
    </w:rPr>
  </w:style>
  <w:style w:type="paragraph" w:styleId="987">
    <w:name w:val="列表 2"/>
    <w:basedOn w:val="952"/>
    <w:next w:val="987"/>
    <w:link w:val="952"/>
    <w:pPr>
      <w:ind w:left="100" w:hanging="200"/>
    </w:pPr>
  </w:style>
  <w:style w:type="paragraph" w:styleId="988">
    <w:name w:val="目录 5"/>
    <w:basedOn w:val="952"/>
    <w:next w:val="952"/>
    <w:link w:val="952"/>
    <w:semiHidden/>
    <w:pPr>
      <w:ind w:left="840"/>
      <w:jc w:val="left"/>
    </w:pPr>
  </w:style>
  <w:style w:type="paragraph" w:styleId="989">
    <w:name w:val="目录 3"/>
    <w:basedOn w:val="952"/>
    <w:next w:val="952"/>
    <w:link w:val="952"/>
    <w:semiHidden/>
    <w:pPr>
      <w:ind w:left="420"/>
      <w:jc w:val="left"/>
    </w:pPr>
    <w:rPr>
      <w:i/>
      <w:iCs/>
      <w:szCs w:val="24"/>
    </w:rPr>
  </w:style>
  <w:style w:type="paragraph" w:styleId="990">
    <w:name w:val="纯文本"/>
    <w:basedOn w:val="952"/>
    <w:next w:val="990"/>
    <w:link w:val="991"/>
    <w:rPr>
      <w:rFonts w:ascii="宋体" w:hAnsi="Courier New"/>
      <w:sz w:val="20"/>
    </w:rPr>
  </w:style>
  <w:style w:type="character" w:styleId="991">
    <w:name w:val="纯文本 Char"/>
    <w:next w:val="991"/>
    <w:link w:val="990"/>
    <w:rPr>
      <w:rFonts w:ascii="宋体" w:hAnsi="Courier New" w:eastAsia="宋体" w:cs="Courier New"/>
      <w:szCs w:val="21"/>
    </w:rPr>
  </w:style>
  <w:style w:type="paragraph" w:styleId="992">
    <w:name w:val="目录 8"/>
    <w:basedOn w:val="952"/>
    <w:next w:val="952"/>
    <w:link w:val="952"/>
    <w:semiHidden/>
    <w:pPr>
      <w:ind w:left="1470"/>
      <w:jc w:val="left"/>
    </w:pPr>
  </w:style>
  <w:style w:type="paragraph" w:styleId="993">
    <w:name w:val="日期"/>
    <w:basedOn w:val="952"/>
    <w:next w:val="952"/>
    <w:link w:val="994"/>
    <w:rPr>
      <w:sz w:val="24"/>
      <w:szCs w:val="24"/>
    </w:rPr>
  </w:style>
  <w:style w:type="character" w:styleId="994">
    <w:name w:val="日期 Char"/>
    <w:next w:val="994"/>
    <w:link w:val="993"/>
    <w:rPr>
      <w:rFonts w:ascii="Times New Roman" w:hAnsi="Times New Roman" w:eastAsia="宋体" w:cs="Times New Roman"/>
      <w:sz w:val="24"/>
      <w:szCs w:val="24"/>
    </w:rPr>
  </w:style>
  <w:style w:type="paragraph" w:styleId="995">
    <w:name w:val="正文文本缩进 2"/>
    <w:basedOn w:val="952"/>
    <w:next w:val="995"/>
    <w:link w:val="996"/>
    <w:pPr>
      <w:ind w:left="630" w:firstLine="645"/>
    </w:pPr>
    <w:rPr>
      <w:rFonts w:ascii="Arial" w:hAnsi="Arial" w:eastAsia="仿宋_GB2312"/>
      <w:sz w:val="32"/>
      <w:szCs w:val="32"/>
    </w:rPr>
  </w:style>
  <w:style w:type="character" w:styleId="996">
    <w:name w:val="正文文本缩进 2 Char"/>
    <w:next w:val="996"/>
    <w:link w:val="995"/>
    <w:rPr>
      <w:rFonts w:ascii="Arial" w:hAnsi="Arial" w:eastAsia="仿宋_GB2312" w:cs="Arial"/>
      <w:sz w:val="32"/>
      <w:szCs w:val="32"/>
    </w:rPr>
  </w:style>
  <w:style w:type="paragraph" w:styleId="997">
    <w:name w:val="批注框文本"/>
    <w:basedOn w:val="952"/>
    <w:next w:val="997"/>
    <w:link w:val="998"/>
    <w:semiHidden/>
    <w:rPr>
      <w:sz w:val="18"/>
      <w:szCs w:val="18"/>
    </w:rPr>
  </w:style>
  <w:style w:type="character" w:styleId="998">
    <w:name w:val="批注框文本 Char"/>
    <w:next w:val="998"/>
    <w:link w:val="997"/>
    <w:semiHidden/>
    <w:rPr>
      <w:rFonts w:ascii="Times New Roman" w:hAnsi="Times New Roman" w:eastAsia="宋体" w:cs="Times New Roman"/>
      <w:sz w:val="18"/>
      <w:szCs w:val="18"/>
    </w:rPr>
  </w:style>
  <w:style w:type="paragraph" w:styleId="999">
    <w:name w:val="页脚"/>
    <w:basedOn w:val="952"/>
    <w:next w:val="999"/>
    <w:link w:val="1000"/>
    <w:pPr>
      <w:jc w:val="left"/>
      <w:tabs>
        <w:tab w:val="center" w:pos="4153" w:leader="none"/>
        <w:tab w:val="right" w:pos="8306" w:leader="none"/>
      </w:tabs>
    </w:pPr>
    <w:rPr>
      <w:sz w:val="18"/>
      <w:szCs w:val="18"/>
    </w:rPr>
  </w:style>
  <w:style w:type="character" w:styleId="1000">
    <w:name w:val="页脚 Char"/>
    <w:next w:val="1000"/>
    <w:link w:val="999"/>
    <w:rPr>
      <w:rFonts w:ascii="Times New Roman" w:hAnsi="Times New Roman" w:eastAsia="宋体" w:cs="Times New Roman"/>
      <w:sz w:val="18"/>
      <w:szCs w:val="18"/>
    </w:rPr>
  </w:style>
  <w:style w:type="paragraph" w:styleId="1001">
    <w:name w:val="页眉"/>
    <w:basedOn w:val="952"/>
    <w:next w:val="1001"/>
    <w:link w:val="1002"/>
    <w:uiPriority w:val="99"/>
    <w:qFormat/>
    <w:pPr>
      <w:jc w:val="center"/>
      <w:tabs>
        <w:tab w:val="center" w:pos="4153" w:leader="none"/>
        <w:tab w:val="right" w:pos="8306" w:leader="none"/>
      </w:tabs>
      <w:pBdr>
        <w:bottom w:val="single" w:color="000000" w:sz="6" w:space="1"/>
      </w:pBdr>
    </w:pPr>
    <w:rPr>
      <w:sz w:val="18"/>
      <w:szCs w:val="18"/>
    </w:rPr>
  </w:style>
  <w:style w:type="character" w:styleId="1002">
    <w:name w:val="页眉 Char"/>
    <w:next w:val="1002"/>
    <w:link w:val="1001"/>
    <w:uiPriority w:val="99"/>
    <w:qFormat/>
    <w:rPr>
      <w:rFonts w:ascii="Times New Roman" w:hAnsi="Times New Roman" w:eastAsia="宋体" w:cs="Times New Roman"/>
      <w:sz w:val="18"/>
      <w:szCs w:val="18"/>
    </w:rPr>
  </w:style>
  <w:style w:type="paragraph" w:styleId="1003">
    <w:name w:val="目录 1"/>
    <w:basedOn w:val="952"/>
    <w:next w:val="952"/>
    <w:link w:val="952"/>
    <w:semiHidden/>
    <w:pPr>
      <w:jc w:val="left"/>
      <w:spacing w:before="120" w:after="120" w:line="400" w:lineRule="exact"/>
      <w:tabs>
        <w:tab w:val="right" w:pos="8720" w:leader="dot"/>
      </w:tabs>
    </w:pPr>
    <w:rPr>
      <w:rFonts w:ascii="宋体" w:hAnsi="宋体"/>
      <w:caps/>
      <w:sz w:val="24"/>
      <w:szCs w:val="24"/>
    </w:rPr>
  </w:style>
  <w:style w:type="paragraph" w:styleId="1004">
    <w:name w:val="目录 4"/>
    <w:basedOn w:val="952"/>
    <w:next w:val="952"/>
    <w:link w:val="952"/>
    <w:semiHidden/>
    <w:pPr>
      <w:ind w:left="630"/>
      <w:jc w:val="left"/>
    </w:pPr>
  </w:style>
  <w:style w:type="paragraph" w:styleId="1005">
    <w:name w:val="列表"/>
    <w:basedOn w:val="952"/>
    <w:next w:val="1005"/>
    <w:link w:val="952"/>
    <w:pPr>
      <w:ind w:left="200" w:hanging="200"/>
    </w:pPr>
  </w:style>
  <w:style w:type="paragraph" w:styleId="1006">
    <w:name w:val="目录 6"/>
    <w:basedOn w:val="952"/>
    <w:next w:val="952"/>
    <w:link w:val="952"/>
    <w:semiHidden/>
    <w:pPr>
      <w:ind w:left="1050"/>
      <w:jc w:val="left"/>
    </w:pPr>
  </w:style>
  <w:style w:type="paragraph" w:styleId="1007">
    <w:name w:val="正文文本缩进 3"/>
    <w:basedOn w:val="952"/>
    <w:next w:val="1007"/>
    <w:link w:val="1008"/>
    <w:pPr>
      <w:ind w:left="645" w:firstLine="645"/>
    </w:pPr>
    <w:rPr>
      <w:rFonts w:ascii="Arial" w:hAnsi="Arial" w:eastAsia="仿宋_GB2312"/>
      <w:color w:val="ffff00"/>
      <w:sz w:val="32"/>
      <w:szCs w:val="32"/>
    </w:rPr>
  </w:style>
  <w:style w:type="character" w:styleId="1008">
    <w:name w:val="正文文本缩进 3 Char"/>
    <w:next w:val="1008"/>
    <w:link w:val="1007"/>
    <w:rPr>
      <w:rFonts w:ascii="Arial" w:hAnsi="Arial" w:eastAsia="仿宋_GB2312" w:cs="Arial"/>
      <w:color w:val="ffff00"/>
      <w:sz w:val="32"/>
      <w:szCs w:val="32"/>
    </w:rPr>
  </w:style>
  <w:style w:type="paragraph" w:styleId="1009">
    <w:name w:val="图表目录"/>
    <w:basedOn w:val="952"/>
    <w:next w:val="952"/>
    <w:link w:val="952"/>
    <w:semiHidden/>
    <w:pPr>
      <w:ind w:left="840" w:hanging="420"/>
    </w:pPr>
  </w:style>
  <w:style w:type="paragraph" w:styleId="1010">
    <w:name w:val="目录 2"/>
    <w:basedOn w:val="952"/>
    <w:next w:val="952"/>
    <w:link w:val="952"/>
    <w:semiHidden/>
    <w:pPr>
      <w:ind w:left="210"/>
      <w:jc w:val="left"/>
    </w:pPr>
    <w:rPr>
      <w:smallCaps/>
      <w:szCs w:val="24"/>
    </w:rPr>
  </w:style>
  <w:style w:type="paragraph" w:styleId="1011">
    <w:name w:val="目录 9"/>
    <w:basedOn w:val="952"/>
    <w:next w:val="952"/>
    <w:link w:val="952"/>
    <w:semiHidden/>
    <w:pPr>
      <w:ind w:left="1680"/>
      <w:jc w:val="left"/>
    </w:pPr>
  </w:style>
  <w:style w:type="paragraph" w:styleId="1012">
    <w:name w:val="正文文本 2"/>
    <w:basedOn w:val="952"/>
    <w:next w:val="1012"/>
    <w:link w:val="1013"/>
    <w:pPr>
      <w:jc w:val="center"/>
      <w:widowControl/>
    </w:pPr>
    <w:rPr>
      <w:rFonts w:ascii="楷体_GB2312" w:eastAsia="楷体_GB2312"/>
      <w:sz w:val="28"/>
      <w:szCs w:val="28"/>
    </w:rPr>
  </w:style>
  <w:style w:type="character" w:styleId="1013">
    <w:name w:val="正文文本 2 Char"/>
    <w:next w:val="1013"/>
    <w:link w:val="1012"/>
    <w:rPr>
      <w:rFonts w:ascii="楷体_GB2312" w:hAnsi="Times New Roman" w:eastAsia="楷体_GB2312" w:cs="Times New Roman"/>
      <w:sz w:val="28"/>
      <w:szCs w:val="28"/>
    </w:rPr>
  </w:style>
  <w:style w:type="paragraph" w:styleId="1014">
    <w:name w:val="普通(网站)"/>
    <w:basedOn w:val="952"/>
    <w:next w:val="1014"/>
    <w:link w:val="952"/>
    <w:uiPriority w:val="99"/>
    <w:pPr>
      <w:jc w:val="left"/>
      <w:spacing w:before="100" w:beforeAutospacing="1" w:after="100" w:afterAutospacing="1"/>
      <w:widowControl/>
    </w:pPr>
    <w:rPr>
      <w:rFonts w:ascii="宋体" w:hAnsi="宋体" w:cs="宋体"/>
      <w:sz w:val="24"/>
      <w:szCs w:val="24"/>
    </w:rPr>
  </w:style>
  <w:style w:type="paragraph" w:styleId="1015">
    <w:name w:val="索引 1"/>
    <w:basedOn w:val="952"/>
    <w:next w:val="952"/>
    <w:link w:val="952"/>
    <w:semiHidden/>
    <w:pPr>
      <w:spacing w:line="240" w:lineRule="atLeast"/>
    </w:pPr>
    <w:rPr>
      <w:b/>
      <w:bCs/>
    </w:rPr>
  </w:style>
  <w:style w:type="paragraph" w:styleId="1016">
    <w:name w:val="批注主题"/>
    <w:basedOn w:val="979"/>
    <w:next w:val="979"/>
    <w:link w:val="1017"/>
    <w:semiHidden/>
    <w:rPr>
      <w:b/>
      <w:bCs/>
    </w:rPr>
  </w:style>
  <w:style w:type="character" w:styleId="1017">
    <w:name w:val="批注主题 Char"/>
    <w:next w:val="1017"/>
    <w:link w:val="1016"/>
    <w:semiHidden/>
    <w:rPr>
      <w:rFonts w:ascii="Times New Roman" w:hAnsi="Times New Roman" w:eastAsia="宋体" w:cs="Times New Roman"/>
      <w:b/>
      <w:bCs/>
      <w:szCs w:val="21"/>
    </w:rPr>
  </w:style>
  <w:style w:type="paragraph" w:styleId="1018">
    <w:name w:val="正文首行缩进"/>
    <w:basedOn w:val="952"/>
    <w:next w:val="1018"/>
    <w:link w:val="1019"/>
    <w:pPr>
      <w:ind w:firstLine="200"/>
      <w:spacing w:line="360" w:lineRule="auto"/>
    </w:pPr>
    <w:rPr>
      <w:rFonts w:ascii="仿宋_GB2312" w:eastAsia="仿宋_GB2312"/>
      <w:sz w:val="30"/>
      <w:szCs w:val="30"/>
    </w:rPr>
  </w:style>
  <w:style w:type="character" w:styleId="1019">
    <w:name w:val="正文首行缩进 Char"/>
    <w:next w:val="1019"/>
    <w:link w:val="1018"/>
    <w:rPr>
      <w:rFonts w:ascii="仿宋_GB2312" w:hAnsi="Times New Roman" w:eastAsia="仿宋_GB2312" w:cs="Times New Roman"/>
      <w:sz w:val="30"/>
      <w:szCs w:val="30"/>
    </w:rPr>
  </w:style>
  <w:style w:type="paragraph" w:styleId="1020">
    <w:name w:val="正文首行缩进 2"/>
    <w:basedOn w:val="985"/>
    <w:next w:val="1020"/>
    <w:link w:val="1021"/>
    <w:pPr>
      <w:ind w:firstLine="420"/>
      <w:spacing w:line="360" w:lineRule="auto"/>
    </w:pPr>
    <w:rPr>
      <w:rFonts w:ascii="宋体" w:hAnsi="宋体" w:eastAsia="宋体"/>
      <w:szCs w:val="20"/>
    </w:rPr>
  </w:style>
  <w:style w:type="character" w:styleId="1021">
    <w:name w:val="正文首行缩进 2 Char"/>
    <w:next w:val="1021"/>
    <w:link w:val="1020"/>
    <w:rPr>
      <w:rFonts w:ascii="宋体" w:hAnsi="宋体" w:eastAsia="宋体" w:cs="Times New Roman"/>
      <w:sz w:val="32"/>
      <w:szCs w:val="20"/>
    </w:rPr>
  </w:style>
  <w:style w:type="table" w:styleId="1022">
    <w:name w:val="网格型"/>
    <w:basedOn w:val="963"/>
    <w:next w:val="1022"/>
    <w:link w:val="952"/>
    <w:pPr>
      <w:jc w:val="both"/>
      <w:widowControl w:val="off"/>
    </w:pPr>
    <w:rPr>
      <w:rFonts w:ascii="Times New Roman" w:hAnsi="Times New Roman" w:eastAsia="宋体" w:cs="Times New Roman"/>
      <w:sz w:val="20"/>
      <w:szCs w:val="20"/>
    </w:rPr>
    <w:tblPr/>
  </w:style>
  <w:style w:type="character" w:styleId="1023">
    <w:name w:val="要点"/>
    <w:next w:val="1023"/>
    <w:link w:val="952"/>
    <w:qFormat/>
    <w:rPr>
      <w:b/>
      <w:bCs/>
    </w:rPr>
  </w:style>
  <w:style w:type="character" w:styleId="1024">
    <w:name w:val="页码"/>
    <w:basedOn w:val="962"/>
    <w:next w:val="1024"/>
    <w:link w:val="952"/>
  </w:style>
  <w:style w:type="character" w:styleId="1025">
    <w:name w:val="已访问的超链接"/>
    <w:next w:val="1025"/>
    <w:link w:val="952"/>
    <w:rPr>
      <w:color w:val="800080"/>
      <w:u w:val="single"/>
    </w:rPr>
  </w:style>
  <w:style w:type="character" w:styleId="1026">
    <w:name w:val="HTML 打字机"/>
    <w:next w:val="1026"/>
    <w:link w:val="952"/>
    <w:uiPriority w:val="99"/>
    <w:rPr>
      <w:rFonts w:ascii="宋体" w:hAnsi="宋体" w:eastAsia="宋体" w:cs="宋体"/>
      <w:sz w:val="24"/>
      <w:szCs w:val="24"/>
    </w:rPr>
  </w:style>
  <w:style w:type="character" w:styleId="1027">
    <w:name w:val="超链接"/>
    <w:next w:val="1027"/>
    <w:link w:val="952"/>
    <w:rPr>
      <w:color w:val="0000ff"/>
      <w:u w:val="single"/>
    </w:rPr>
  </w:style>
  <w:style w:type="character" w:styleId="1028">
    <w:name w:val="批注引用"/>
    <w:next w:val="1028"/>
    <w:link w:val="952"/>
    <w:semiHidden/>
    <w:rPr>
      <w:sz w:val="21"/>
      <w:szCs w:val="21"/>
    </w:rPr>
  </w:style>
  <w:style w:type="character" w:styleId="1029">
    <w:name w:val="font5 Char"/>
    <w:next w:val="1029"/>
    <w:link w:val="952"/>
    <w:rPr>
      <w:rFonts w:ascii="宋体" w:hAnsi="宋体" w:eastAsia="宋体"/>
      <w:sz w:val="28"/>
      <w:szCs w:val="28"/>
      <w:lang w:val="en-US" w:eastAsia="zh-CN" w:bidi="ar-SA"/>
    </w:rPr>
  </w:style>
  <w:style w:type="character" w:styleId="1030">
    <w:name w:val="二级目录 Char"/>
    <w:next w:val="1030"/>
    <w:link w:val="1031"/>
    <w:rPr>
      <w:b/>
      <w:sz w:val="30"/>
      <w:szCs w:val="28"/>
      <w:lang w:val="en-US" w:eastAsia="zh-CN" w:bidi="ar-SA"/>
    </w:rPr>
  </w:style>
  <w:style w:type="paragraph" w:styleId="1031">
    <w:name w:val="二级目录"/>
    <w:next w:val="952"/>
    <w:link w:val="1030"/>
    <w:pPr>
      <w:numPr>
        <w:ilvl w:val="0"/>
        <w:numId w:val="2"/>
      </w:numPr>
      <w:tabs>
        <w:tab w:val="left" w:pos="907" w:leader="none"/>
        <w:tab w:val="left" w:pos="1145" w:leader="none"/>
      </w:tabs>
      <w:outlineLvl w:val="1"/>
    </w:pPr>
    <w:rPr>
      <w:b/>
      <w:sz w:val="30"/>
      <w:szCs w:val="28"/>
      <w:lang w:val="en-US" w:eastAsia="zh-CN" w:bidi="ar-SA"/>
    </w:rPr>
  </w:style>
  <w:style w:type="character" w:styleId="1032">
    <w:name w:val="列出段落 Char,Bullet List Char,numbered Char,FooterText Char,List Paragraph1 Char,Paragraphe de liste1 Char"/>
    <w:next w:val="1032"/>
    <w:link w:val="1033"/>
    <w:rPr>
      <w:rFonts w:ascii="Calibri" w:hAnsi="Calibri"/>
      <w:sz w:val="24"/>
      <w:szCs w:val="24"/>
      <w:lang w:eastAsia="en-US" w:bidi="en-US"/>
    </w:rPr>
  </w:style>
  <w:style w:type="paragraph" w:styleId="1033">
    <w:name w:val="列出段落1"/>
    <w:basedOn w:val="952"/>
    <w:next w:val="1033"/>
    <w:link w:val="1032"/>
    <w:qFormat/>
    <w:pPr>
      <w:contextualSpacing/>
      <w:ind w:left="720"/>
      <w:jc w:val="left"/>
      <w:widowControl/>
    </w:pPr>
    <w:rPr>
      <w:rFonts w:ascii="Calibri" w:hAnsi="Calibri"/>
      <w:sz w:val="24"/>
      <w:szCs w:val="24"/>
      <w:lang w:eastAsia="en-US" w:bidi="en-US"/>
    </w:rPr>
  </w:style>
  <w:style w:type="paragraph" w:styleId="1034">
    <w:name w:val="Body Text(ch)"/>
    <w:basedOn w:val="952"/>
    <w:next w:val="983"/>
    <w:link w:val="952"/>
    <w:pPr>
      <w:spacing w:after="120"/>
    </w:pPr>
    <w:rPr>
      <w:rFonts w:ascii="宋体" w:hAnsi="Arial"/>
      <w:bCs/>
      <w:iCs/>
      <w:szCs w:val="24"/>
    </w:rPr>
  </w:style>
  <w:style w:type="paragraph" w:styleId="1035">
    <w:name w:val="xl27"/>
    <w:basedOn w:val="952"/>
    <w:next w:val="1035"/>
    <w:link w:val="9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6">
    <w:name w:val="xl26"/>
    <w:basedOn w:val="952"/>
    <w:next w:val="1036"/>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7">
    <w:name w:val="Char"/>
    <w:basedOn w:val="952"/>
    <w:next w:val="1037"/>
    <w:link w:val="952"/>
    <w:pPr>
      <w:ind w:firstLine="200"/>
      <w:tabs>
        <w:tab w:val="left" w:pos="360" w:leader="none"/>
      </w:tabs>
    </w:pPr>
    <w:rPr>
      <w:sz w:val="28"/>
      <w:szCs w:val="30"/>
    </w:rPr>
  </w:style>
  <w:style w:type="paragraph" w:styleId="1038">
    <w:name w:val=" Char"/>
    <w:basedOn w:val="977"/>
    <w:next w:val="1038"/>
    <w:link w:val="952"/>
    <w:rPr>
      <w:rFonts w:ascii="Tahoma" w:hAnsi="Tahoma"/>
      <w:sz w:val="24"/>
      <w:szCs w:val="24"/>
    </w:rPr>
  </w:style>
  <w:style w:type="paragraph" w:styleId="1039">
    <w:name w:val="普通正文"/>
    <w:basedOn w:val="952"/>
    <w:next w:val="1039"/>
    <w:link w:val="952"/>
    <w:pPr>
      <w:ind w:firstLine="480"/>
      <w:jc w:val="left"/>
      <w:spacing w:before="120" w:after="120" w:line="360" w:lineRule="auto"/>
    </w:pPr>
    <w:rPr>
      <w:rFonts w:ascii="Arial" w:hAnsi="Arial"/>
      <w:sz w:val="24"/>
      <w:szCs w:val="24"/>
    </w:rPr>
  </w:style>
  <w:style w:type="paragraph" w:styleId="1040">
    <w:name w:val="table_lines"/>
    <w:basedOn w:val="952"/>
    <w:next w:val="1040"/>
    <w:link w:val="952"/>
    <w:pPr>
      <w:jc w:val="left"/>
      <w:widowControl/>
    </w:pPr>
    <w:rPr>
      <w:sz w:val="20"/>
      <w:szCs w:val="20"/>
      <w:lang w:val="de-DE" w:eastAsia="de-DE"/>
    </w:rPr>
  </w:style>
  <w:style w:type="paragraph" w:styleId="1041">
    <w:name w:val="附录1"/>
    <w:next w:val="1041"/>
    <w:link w:val="952"/>
    <w:pPr>
      <w:numPr>
        <w:ilvl w:val="0"/>
        <w:numId w:val="2"/>
      </w:numPr>
      <w:spacing w:before="240" w:line="600" w:lineRule="atLeast"/>
      <w:tabs>
        <w:tab w:val="left" w:pos="907" w:leader="none"/>
      </w:tabs>
    </w:pPr>
    <w:rPr>
      <w:b/>
      <w:i/>
      <w:sz w:val="28"/>
      <w:lang w:val="en-US" w:eastAsia="zh-CN" w:bidi="ar-SA"/>
    </w:rPr>
  </w:style>
  <w:style w:type="paragraph" w:styleId="1042">
    <w:name w:val="font7"/>
    <w:basedOn w:val="952"/>
    <w:next w:val="1042"/>
    <w:link w:val="952"/>
    <w:pPr>
      <w:jc w:val="left"/>
      <w:spacing w:before="100" w:beforeAutospacing="1" w:after="100" w:afterAutospacing="1"/>
      <w:widowControl/>
    </w:pPr>
    <w:rPr>
      <w:rFonts w:hint="eastAsia" w:ascii="宋体" w:hAnsi="宋体"/>
      <w:sz w:val="18"/>
      <w:szCs w:val="18"/>
    </w:rPr>
  </w:style>
  <w:style w:type="paragraph" w:styleId="1043">
    <w:name w:val=" Char Char Char Char"/>
    <w:basedOn w:val="977"/>
    <w:next w:val="1043"/>
    <w:link w:val="952"/>
    <w:pPr>
      <w:spacing w:line="360" w:lineRule="auto"/>
    </w:pPr>
    <w:rPr>
      <w:rFonts w:ascii="Tahoma" w:hAnsi="Tahoma"/>
      <w:sz w:val="24"/>
      <w:szCs w:val="24"/>
    </w:rPr>
  </w:style>
  <w:style w:type="paragraph" w:styleId="1044">
    <w:name w:val="列出段落"/>
    <w:basedOn w:val="952"/>
    <w:next w:val="1044"/>
    <w:link w:val="952"/>
    <w:uiPriority w:val="99"/>
    <w:qFormat/>
    <w:pPr>
      <w:contextualSpacing/>
      <w:ind w:left="720"/>
      <w:jc w:val="left"/>
      <w:widowControl/>
    </w:pPr>
    <w:rPr>
      <w:rFonts w:ascii="Calibri" w:hAnsi="Calibri"/>
      <w:sz w:val="24"/>
      <w:szCs w:val="24"/>
      <w:lang w:eastAsia="en-US" w:bidi="en-US"/>
    </w:rPr>
  </w:style>
  <w:style w:type="paragraph" w:styleId="1045">
    <w:name w:val="4"/>
    <w:basedOn w:val="952"/>
    <w:next w:val="1007"/>
    <w:link w:val="952"/>
    <w:pPr>
      <w:ind w:firstLine="420"/>
      <w:spacing w:line="360" w:lineRule="auto"/>
    </w:pPr>
    <w:rPr>
      <w:color w:val="ff0000"/>
      <w:sz w:val="24"/>
      <w:szCs w:val="24"/>
    </w:rPr>
  </w:style>
  <w:style w:type="paragraph" w:styleId="1046">
    <w:name w:val="普通 (Web)"/>
    <w:basedOn w:val="952"/>
    <w:next w:val="1046"/>
    <w:link w:val="952"/>
    <w:pPr>
      <w:jc w:val="left"/>
      <w:spacing w:before="100" w:beforeAutospacing="1" w:after="100" w:afterAutospacing="1"/>
      <w:widowControl/>
    </w:pPr>
    <w:rPr>
      <w:rFonts w:ascii="宋体" w:hAnsi="宋体"/>
      <w:sz w:val="24"/>
      <w:szCs w:val="24"/>
    </w:rPr>
  </w:style>
  <w:style w:type="paragraph" w:styleId="1047">
    <w:name w:val=" Char Char Char Char Char Char Char Char Char Char"/>
    <w:basedOn w:val="952"/>
    <w:next w:val="1047"/>
    <w:link w:val="952"/>
    <w:pPr>
      <w:spacing w:line="360" w:lineRule="auto"/>
    </w:pPr>
    <w:rPr>
      <w:sz w:val="24"/>
      <w:szCs w:val="20"/>
    </w:rPr>
  </w:style>
  <w:style w:type="paragraph" w:styleId="1048">
    <w:name w:val="样式1"/>
    <w:basedOn w:val="952"/>
    <w:next w:val="1048"/>
    <w:link w:val="952"/>
    <w:pPr>
      <w:numPr>
        <w:ilvl w:val="0"/>
        <w:numId w:val="3"/>
      </w:numPr>
      <w:tabs>
        <w:tab w:val="left" w:pos="709" w:leader="none"/>
      </w:tabs>
    </w:pPr>
    <w:rPr>
      <w:rFonts w:ascii="宋体" w:hAnsi="宋体"/>
    </w:rPr>
  </w:style>
  <w:style w:type="paragraph" w:styleId="1049">
    <w:name w:val="font6"/>
    <w:basedOn w:val="952"/>
    <w:next w:val="1049"/>
    <w:link w:val="952"/>
    <w:pPr>
      <w:jc w:val="left"/>
      <w:spacing w:before="100" w:beforeAutospacing="1" w:after="100" w:afterAutospacing="1"/>
      <w:widowControl/>
    </w:pPr>
    <w:rPr>
      <w:rFonts w:hint="eastAsia" w:ascii="宋体" w:hAnsi="宋体"/>
      <w:sz w:val="28"/>
      <w:szCs w:val="28"/>
      <w:u w:val="single"/>
    </w:rPr>
  </w:style>
  <w:style w:type="paragraph" w:styleId="1050">
    <w:name w:val="xl25"/>
    <w:basedOn w:val="952"/>
    <w:next w:val="1050"/>
    <w:link w:val="95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1">
    <w:name w:val="图标"/>
    <w:basedOn w:val="952"/>
    <w:next w:val="952"/>
    <w:link w:val="95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2">
    <w:name w:val="标题3"/>
    <w:basedOn w:val="952"/>
    <w:next w:val="952"/>
    <w:link w:val="952"/>
    <w:pPr>
      <w:ind w:firstLine="624"/>
      <w:spacing w:line="590" w:lineRule="atLeast"/>
    </w:pPr>
    <w:rPr>
      <w:rFonts w:ascii="方正黑体_GBK" w:eastAsia="方正黑体_GBK"/>
      <w:sz w:val="32"/>
      <w:szCs w:val="32"/>
    </w:rPr>
  </w:style>
  <w:style w:type="paragraph" w:styleId="1053">
    <w:name w:val="xl24"/>
    <w:basedOn w:val="952"/>
    <w:next w:val="1053"/>
    <w:link w:val="9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name w:val="xl29"/>
    <w:basedOn w:val="952"/>
    <w:next w:val="1054"/>
    <w:link w:val="95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5">
    <w:name w:val="Char Char Char Char Char Char Char Char"/>
    <w:basedOn w:val="952"/>
    <w:next w:val="1055"/>
    <w:link w:val="952"/>
    <w:pPr>
      <w:jc w:val="left"/>
      <w:spacing w:after="160" w:line="240" w:lineRule="exact"/>
      <w:widowControl/>
    </w:pPr>
    <w:rPr>
      <w:rFonts w:ascii="Verdana" w:hAnsi="Verdana"/>
      <w:sz w:val="20"/>
      <w:szCs w:val="20"/>
      <w:lang w:eastAsia="en-US"/>
    </w:rPr>
  </w:style>
  <w:style w:type="paragraph" w:styleId="1056">
    <w:name w:val="xl28"/>
    <w:basedOn w:val="952"/>
    <w:next w:val="1056"/>
    <w:link w:val="95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7">
    <w:name w:val=" Char Char Char Char Char Char Char Char"/>
    <w:basedOn w:val="952"/>
    <w:next w:val="1057"/>
    <w:link w:val="952"/>
    <w:pPr>
      <w:jc w:val="left"/>
      <w:spacing w:after="160" w:line="240" w:lineRule="exact"/>
      <w:widowControl/>
    </w:pPr>
    <w:rPr>
      <w:rFonts w:ascii="Verdana" w:hAnsi="Verdana"/>
      <w:sz w:val="20"/>
      <w:szCs w:val="20"/>
      <w:lang w:eastAsia="en-US"/>
    </w:rPr>
  </w:style>
  <w:style w:type="paragraph" w:styleId="1058">
    <w:name w:val="xl30"/>
    <w:basedOn w:val="952"/>
    <w:next w:val="1058"/>
    <w:link w:val="952"/>
    <w:pPr>
      <w:jc w:val="center"/>
      <w:spacing w:before="100" w:beforeAutospacing="1" w:after="100" w:afterAutospacing="1"/>
      <w:widowControl/>
    </w:pPr>
    <w:rPr>
      <w:rFonts w:ascii="宋体" w:hAnsi="宋体"/>
      <w:b/>
      <w:bCs/>
      <w:sz w:val="36"/>
      <w:szCs w:val="36"/>
    </w:rPr>
  </w:style>
  <w:style w:type="paragraph" w:styleId="1059">
    <w:name w:val="Char Char Char Char"/>
    <w:basedOn w:val="977"/>
    <w:next w:val="1059"/>
    <w:link w:val="952"/>
    <w:pPr>
      <w:spacing w:line="360" w:lineRule="auto"/>
    </w:pPr>
    <w:rPr>
      <w:rFonts w:ascii="Tahoma" w:hAnsi="Tahoma"/>
      <w:sz w:val="24"/>
      <w:szCs w:val="24"/>
    </w:rPr>
  </w:style>
  <w:style w:type="paragraph" w:styleId="1060">
    <w:name w:val="table_1stline"/>
    <w:basedOn w:val="952"/>
    <w:next w:val="1060"/>
    <w:link w:val="952"/>
    <w:pPr>
      <w:jc w:val="left"/>
      <w:spacing w:before="120"/>
      <w:widowControl/>
    </w:pPr>
    <w:rPr>
      <w:bCs/>
      <w:sz w:val="20"/>
      <w:szCs w:val="20"/>
      <w:lang w:val="de-DE" w:eastAsia="de-DE"/>
    </w:rPr>
  </w:style>
  <w:style w:type="paragraph" w:styleId="1061">
    <w:name w:val="font5"/>
    <w:basedOn w:val="952"/>
    <w:next w:val="1061"/>
    <w:link w:val="952"/>
    <w:pPr>
      <w:jc w:val="left"/>
      <w:spacing w:before="100" w:beforeAutospacing="1" w:after="100" w:afterAutospacing="1"/>
      <w:widowControl/>
    </w:pPr>
    <w:rPr>
      <w:rFonts w:hint="eastAsia" w:ascii="宋体" w:hAnsi="宋体"/>
      <w:sz w:val="28"/>
      <w:szCs w:val="28"/>
    </w:rPr>
  </w:style>
  <w:style w:type="paragraph" w:styleId="1062">
    <w:name w:val="标题1"/>
    <w:basedOn w:val="952"/>
    <w:next w:val="952"/>
    <w:link w:val="95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3">
    <w:name w:val="修订"/>
    <w:next w:val="1063"/>
    <w:link w:val="952"/>
    <w:uiPriority w:val="99"/>
    <w:semiHidden/>
    <w:rPr>
      <w:sz w:val="21"/>
      <w:szCs w:val="21"/>
      <w:lang w:val="en-US" w:eastAsia="zh-CN" w:bidi="ar-SA"/>
    </w:rPr>
  </w:style>
  <w:style w:type="paragraph" w:styleId="1064">
    <w:name w:val="无间隔"/>
    <w:next w:val="1064"/>
    <w:link w:val="952"/>
    <w:uiPriority w:val="99"/>
    <w:qFormat/>
    <w:pPr>
      <w:jc w:val="both"/>
      <w:widowControl w:val="off"/>
    </w:pPr>
    <w:rPr>
      <w:sz w:val="21"/>
      <w:szCs w:val="21"/>
      <w:lang w:val="en-US" w:eastAsia="zh-CN" w:bidi="ar-SA"/>
    </w:rPr>
  </w:style>
  <w:style w:type="paragraph" w:styleId="1065">
    <w:name w:val="普通文字"/>
    <w:basedOn w:val="952"/>
    <w:next w:val="952"/>
    <w:link w:val="952"/>
    <w:uiPriority w:val="99"/>
    <w:rPr>
      <w:rFonts w:ascii="宋体" w:hAnsi="Times New Roman" w:eastAsia="宋体" w:cs="Times New Roman"/>
      <w:sz w:val="24"/>
      <w:szCs w:val="20"/>
      <w:u w:val="none"/>
    </w:rPr>
  </w:style>
  <w:style w:type="paragraph" w:styleId="1066">
    <w:name w:val="目录 111"/>
    <w:basedOn w:val="952"/>
    <w:next w:val="952"/>
    <w:link w:val="952"/>
    <w:uiPriority w:val="39"/>
    <w:unhideWhenUsed/>
    <w:qFormat/>
    <w:pPr>
      <w:jc w:val="left"/>
      <w:spacing w:after="100" w:line="259" w:lineRule="auto"/>
      <w:widowControl/>
    </w:pPr>
    <w:rPr>
      <w:rFonts w:ascii="Calibri" w:hAnsi="Calibri" w:eastAsia="宋体"/>
      <w:sz w:val="22"/>
      <w:szCs w:val="22"/>
    </w:r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吴冰梦</cp:lastModifiedBy>
  <cp:revision>5</cp:revision>
  <dcterms:created xsi:type="dcterms:W3CDTF">2025-09-17T02:45:00Z</dcterms:created>
  <dcterms:modified xsi:type="dcterms:W3CDTF">2025-09-24T01:59:55Z</dcterms:modified>
</cp:coreProperties>
</file>