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lang w:eastAsia="zh-CN"/>
        </w:rPr>
        <w:tab/>
      </w:r>
      <w:r>
        <w:rPr>
          <w:rFonts w:hint="eastAsia" w:ascii="宋体" w:hAnsi="宋体" w:cs="宋体"/>
          <w:b/>
          <w:bCs/>
          <w:color w:val="auto"/>
          <w:sz w:val="36"/>
          <w:highlight w:val="none"/>
          <w:lang w:eastAsia="zh-CN"/>
        </w:rPr>
        <w:t xml:space="preserve">JSZC-321000-JSWC-G2026-0004</w:t>
      </w:r>
      <w:r>
        <w:rPr>
          <w:rFonts w:hint="eastAsia" w:ascii="宋体" w:hAnsi="宋体" w:cs="宋体"/>
          <w:b/>
          <w:bCs/>
          <w:color w:val="auto"/>
          <w:sz w:val="36"/>
          <w:highlight w:val="none"/>
        </w:rPr>
        <w:t xml:space="preserve">号</w:t>
      </w:r>
      <w:r/>
    </w:p>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扬州市中医院新院区医疗辅助配套设施项目</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w:t>
      </w:r>
      <w:r>
        <w:rPr>
          <w:rFonts w:hint="eastAsia" w:ascii="宋体" w:hAnsi="宋体" w:cs="宋体"/>
          <w:b/>
          <w:bCs/>
          <w:color w:val="auto"/>
          <w:sz w:val="36"/>
          <w:highlight w:val="none"/>
        </w:rPr>
        <w:t xml:space="preserve">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color w:val="auto"/>
          <w:highlight w:val="none"/>
        </w:rPr>
        <mc:AlternateContent>
          <mc:Choice Requires="wpg">
            <w:drawing>
              <wp:inline xmlns:wp="http://schemas.openxmlformats.org/drawingml/2006/wordprocessingDrawing" distT="0" distB="0" distL="0" distR="0">
                <wp:extent cx="5266690" cy="2222500"/>
                <wp:effectExtent l="0" t="0" r="1016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266690" cy="222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175.0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ind w:firstLine="1134"/>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扬州市中医院</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发放日期：</w:t>
      </w:r>
      <w:bookmarkStart w:id="0" w:name="EB59c3faf64f2a4bd092a206fb1d0c3c03"/>
      <w:r>
        <w:rPr>
          <w:rFonts w:hint="eastAsia" w:ascii="宋体" w:hAnsi="宋体" w:cs="宋体"/>
          <w:b/>
          <w:bCs/>
          <w:color w:val="auto"/>
          <w:sz w:val="32"/>
          <w:szCs w:val="32"/>
          <w:highlight w:val="none"/>
          <w:lang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12</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793"/>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hint="eastAsia"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63"/>
        <w:jc w:val="center"/>
        <w:spacing w:line="360" w:lineRule="auto"/>
        <w:rPr>
          <w:rFonts w:hint="eastAsia"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第一章 招标公告</w:t>
      </w:r>
      <w:bookmarkEnd w:id="1"/>
      <w:r/>
      <w:bookmarkEnd w:id="2"/>
      <w:r/>
      <w:r/>
    </w:p>
    <w:p>
      <w:pPr>
        <w:ind w:firstLine="420"/>
        <w:spacing w:line="360" w:lineRule="auto"/>
        <w:tabs>
          <w:tab w:val="left" w:pos="266" w:leader="none"/>
        </w:tabs>
        <w:rPr>
          <w:rFonts w:hint="eastAsia"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扬州市中医院</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扬州市中医院新院区医疗辅助配套设施项目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扬州市中医院新院区医疗辅助配套设施项目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“扬州市政府采购网”、“江苏省政府采购网”、“中国政府采购网”自行免费下载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 12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JSZC-321000-JSWC-G2026-0004</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扬州市中医院新院区医疗辅助配套设施项目</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3.预算金额：</w:t>
      </w:r>
      <w:r>
        <w:rPr>
          <w:rFonts w:hint="eastAsia" w:ascii="宋体" w:hAnsi="宋体" w:cs="宋体"/>
          <w:color w:val="auto"/>
          <w:highlight w:val="none"/>
          <w:u w:val="single"/>
          <w:lang w:val="en-US" w:eastAsia="zh-CN"/>
        </w:rPr>
        <w:t xml:space="preserve">129.2388</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4.本项目设置最高限价：</w:t>
      </w:r>
      <w:r>
        <w:rPr>
          <w:rFonts w:hint="eastAsia" w:ascii="宋体" w:hAnsi="宋体" w:cs="宋体"/>
          <w:color w:val="auto"/>
          <w:highlight w:val="none"/>
          <w:u w:val="single"/>
          <w:lang w:val="en-US" w:eastAsia="zh-CN"/>
        </w:rPr>
        <w:t xml:space="preserve">129.2388</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详见招标文件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6.供货期：</w:t>
      </w:r>
      <w:bookmarkStart w:id="5" w:name="_Toc38985264"/>
      <w:r>
        <w:rPr>
          <w:rFonts w:hint="eastAsia" w:ascii="宋体" w:hAnsi="宋体" w:eastAsia="宋体" w:cs="宋体"/>
          <w:color w:val="auto"/>
          <w:sz w:val="21"/>
          <w:szCs w:val="22"/>
          <w:highlight w:val="none"/>
          <w:lang w:val="en-US" w:eastAsia="zh-CN" w:bidi="ar-SA"/>
        </w:rPr>
        <w:t xml:space="preserve">详见招标文件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投标人近三个月内任意一月依法纳税的缴款凭证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lang w:val="en-US" w:eastAsia="zh-CN"/>
        </w:rPr>
        <w:t xml:space="preserve">2024年度）</w:t>
      </w:r>
      <w:r>
        <w:rPr>
          <w:rFonts w:hint="eastAsia" w:ascii="宋体" w:hAnsi="宋体" w:cs="宋体"/>
          <w:i/>
          <w:iCs/>
          <w:color w:val="auto"/>
          <w:szCs w:val="21"/>
          <w:highlight w:val="none"/>
          <w:u w:val="single"/>
        </w:rPr>
        <w:t xml:space="preserve">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eastAsia="宋体" w:cs="宋体"/>
          <w:bCs/>
          <w:i/>
          <w:iCs/>
          <w:color w:val="auto"/>
          <w:highlight w:val="none"/>
          <w:u w:val="singl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eastAsia="zh-CN"/>
        </w:rPr>
        <w:t xml:space="preserve">根据《政府采购促进中小企业发展管理办法》（财库〔2020〕46 号）规定，本项目专门面向中小企业采购，供应商谈判响应时须提供《中小企业声明函》，《中小企业声明函》不符合要求或未提供的，响应文件无效。</w:t>
      </w:r>
      <w:r/>
    </w:p>
    <w:p>
      <w:pPr>
        <w:ind w:firstLine="420"/>
        <w:spacing w:line="360" w:lineRule="auto"/>
        <w:rPr>
          <w:rFonts w:hint="eastAsia" w:ascii="宋体" w:hAnsi="宋体" w:cs="宋体"/>
          <w:bCs/>
          <w:i w:val="0"/>
          <w:iCs/>
          <w:color w:val="auto"/>
          <w:szCs w:val="21"/>
          <w:highlight w:val="none"/>
          <w:u w:val="non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hint="eastAsia"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420"/>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点30分</w:t>
      </w:r>
      <w:r>
        <w:rPr>
          <w:rFonts w:hint="eastAsia" w:ascii="宋体" w:hAnsi="宋体" w:cs="宋体"/>
          <w:bCs/>
          <w:color w:val="auto"/>
          <w:highlight w:val="none"/>
        </w:rPr>
        <w:t xml:space="preserve">（北京时间）</w:t>
      </w:r>
      <w:r/>
    </w:p>
    <w:p>
      <w:pPr>
        <w:ind w:firstLine="420"/>
        <w:spacing w:line="360" w:lineRule="auto"/>
        <w:rPr>
          <w:rFonts w:hint="eastAsia"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cs="宋体"/>
          <w:b/>
          <w:bCs/>
          <w:color w:val="auto"/>
          <w:highlight w:val="none"/>
        </w:rPr>
      </w:pPr>
      <w:r/>
      <w:bookmarkStart w:id="7" w:name="_Toc38985267"/>
      <w:r>
        <w:rPr>
          <w:rFonts w:hint="eastAsia" w:ascii="宋体" w:hAnsi="宋体" w:cs="宋体"/>
          <w:b/>
          <w:bCs/>
          <w:color w:val="auto"/>
          <w:highlight w:val="none"/>
        </w:rPr>
        <w:t xml:space="preserve">五、公告期限</w:t>
      </w:r>
      <w:bookmarkEnd w:id="7"/>
      <w:r/>
      <w:r/>
    </w:p>
    <w:p>
      <w:pPr>
        <w:ind w:firstLine="420"/>
        <w:spacing w:line="360" w:lineRule="auto"/>
        <w:rPr>
          <w:rFonts w:hint="eastAsia"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spacing w:line="360" w:lineRule="auto"/>
        <w:tabs>
          <w:tab w:val="left" w:pos="266" w:leader="none"/>
        </w:tabs>
        <w:rPr>
          <w:rFonts w:hint="eastAsia" w:ascii="宋体" w:hAnsi="宋体" w:cs="宋体"/>
          <w:b/>
          <w:bCs/>
          <w:color w:val="auto"/>
          <w:highlight w:val="none"/>
        </w:rPr>
      </w:pPr>
      <w:r/>
      <w:bookmarkStart w:id="9" w:name="_Toc28359010"/>
      <w:r/>
      <w:bookmarkStart w:id="10"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八、本次招标联系方式</w:t>
      </w:r>
      <w:bookmarkEnd w:id="11"/>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pStyle w:val="1030"/>
        <w:ind w:firstLine="420"/>
        <w:jc w:val="left"/>
        <w:spacing w:line="360" w:lineRule="auto"/>
        <w:rPr>
          <w:rFonts w:hint="eastAsia" w:ascii="宋体" w:hAnsi="宋体" w:eastAsia="宋体" w:cs="宋体"/>
          <w:color w:val="auto"/>
          <w:szCs w:val="21"/>
          <w:highlight w:val="none"/>
          <w:lang w:eastAsia="zh-CN"/>
        </w:rPr>
      </w:pPr>
      <w:r/>
      <w:bookmarkStart w:id="12" w:name="_Toc28359086"/>
      <w:r/>
      <w:bookmarkStart w:id="13" w:name="_Toc28359009"/>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扬州市中医院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址：扬州市邗江区文昌中路577号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联系方式：0514-87326203</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址：扬州市维扬路106-1#扬州商城国际大厦19F1922室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rFonts w:hint="eastAsia"/>
          <w:color w:val="auto"/>
          <w:highlight w:val="none"/>
        </w:rPr>
      </w:pPr>
      <w:r>
        <w:rPr>
          <w:rFonts w:hint="eastAsia" w:ascii="宋体" w:hAnsi="宋体" w:cs="宋体"/>
          <w:color w:val="auto"/>
          <w:highlight w:val="none"/>
        </w:rPr>
        <w:t xml:space="preserve">联系方式：18652401357</w:t>
      </w:r>
      <w:r/>
    </w:p>
    <w:p>
      <w:pPr>
        <w:pStyle w:val="763"/>
        <w:jc w:val="center"/>
        <w:spacing w:line="24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firstLine="422"/>
        <w:spacing w:line="440" w:lineRule="exact"/>
        <w:rPr>
          <w:rFonts w:hint="eastAsia"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JSZC-321000-JSWC-G2026-0004</w:t>
      </w:r>
      <w:r>
        <w:rPr>
          <w:rFonts w:hint="eastAsia" w:ascii="宋体" w:hAnsi="宋体"/>
          <w:bCs/>
          <w:color w:val="auto"/>
          <w:szCs w:val="21"/>
          <w:highlight w:val="none"/>
        </w:rPr>
        <w:t xml:space="preserve">号项目。</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4.2本次采购由中标人在领取中标通知书前分别根据国家计委印发的《招标代理服务收费管理暂行办法》(计价格【2002】1980号文)货物类*</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0%标准一次性支付给代理机构代理服务费。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代理服务费开户银行：江苏银行扬州广陵支行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开户帐号：05</w:t>
      </w:r>
      <w:r>
        <w:rPr>
          <w:rFonts w:hint="eastAsia" w:ascii="宋体" w:hAnsi="宋体" w:cs="宋体"/>
          <w:color w:val="auto"/>
          <w:highlight w:val="none"/>
          <w:lang w:eastAsia="zh-CN"/>
        </w:rPr>
        <w:t xml:space="preserve">0004</w:t>
      </w:r>
      <w:r>
        <w:rPr>
          <w:rFonts w:hint="eastAsia" w:ascii="宋体" w:hAnsi="宋体" w:cs="宋体"/>
          <w:color w:val="auto"/>
          <w:highlight w:val="none"/>
        </w:rPr>
        <w:t xml:space="preserve">40900000685</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12、分项报价表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12.3其它费用处理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12.4投标货币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auto"/>
          <w:szCs w:val="21"/>
          <w:highlight w:val="none"/>
        </w:rPr>
      </w:pPr>
      <w:r/>
      <w:bookmarkStart w:id="15" w:name="_Toc513029225"/>
      <w:r/>
      <w:bookmarkStart w:id="16" w:name="_Toc16938541"/>
      <w:r/>
      <w:bookmarkStart w:id="17" w:name="_Toc462564084"/>
      <w:r/>
      <w:bookmarkStart w:id="18" w:name="_Toc20823297"/>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513029226"/>
      <w:r/>
      <w:bookmarkStart w:id="20" w:name="_Toc16938542"/>
      <w:r/>
      <w:bookmarkStart w:id="21" w:name="_Toc20823298"/>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firstLine="420"/>
        <w:spacing w:line="360" w:lineRule="auto"/>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auto"/>
          <w:szCs w:val="21"/>
          <w:highlight w:val="none"/>
        </w:rPr>
      </w:pPr>
      <w:r/>
      <w:bookmarkStart w:id="22" w:name="_Toc20823299"/>
      <w:r/>
      <w:bookmarkStart w:id="23" w:name="_Toc513029227"/>
      <w:r/>
      <w:bookmarkStart w:id="24" w:name="_Toc16938543"/>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b/>
          <w:color w:val="auto"/>
          <w:szCs w:val="21"/>
          <w:highlight w:val="none"/>
        </w:rPr>
      </w:pPr>
      <w:r/>
      <w:bookmarkStart w:id="25" w:name="_Toc20823300"/>
      <w:r/>
      <w:bookmarkStart w:id="26" w:name="_Toc513029228"/>
      <w:r/>
      <w:bookmarkStart w:id="27" w:name="_Toc16938544"/>
      <w:r>
        <w:rPr>
          <w:rFonts w:hint="eastAsia" w:ascii="宋体" w:hAnsi="宋体"/>
          <w:b/>
          <w:color w:val="auto"/>
          <w:szCs w:val="21"/>
          <w:highlight w:val="none"/>
        </w:rPr>
        <w:t xml:space="preserve">20、投标文件的撤回和修改</w:t>
      </w:r>
      <w:bookmarkEnd w:id="25"/>
      <w:r/>
      <w:bookmarkEnd w:id="26"/>
      <w:r/>
      <w:bookmarkEnd w:id="27"/>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color w:val="auto"/>
          <w:highlight w:val="none"/>
        </w:rPr>
      </w:pPr>
      <w:r>
        <w:rPr>
          <w:rFonts w:hint="eastAsia" w:ascii="宋体" w:hAnsi="宋体"/>
          <w:bCs/>
          <w:color w:val="auto"/>
          <w:szCs w:val="21"/>
          <w:highlight w:val="none"/>
        </w:rPr>
        <w:t xml:space="preserve">26.1.10 异常低价投标（响应）</w:t>
      </w:r>
      <w:r/>
    </w:p>
    <w:p>
      <w:pPr>
        <w:ind w:firstLine="420"/>
        <w:spacing w:line="360" w:lineRule="auto"/>
        <w:rPr>
          <w:color w:val="auto"/>
          <w:highlight w:val="none"/>
        </w:rPr>
      </w:pPr>
      <w:r>
        <w:rPr>
          <w:rFonts w:hint="eastAsia" w:ascii="宋体" w:hAnsi="宋体"/>
          <w:bCs/>
          <w:color w:val="auto"/>
          <w:szCs w:val="21"/>
          <w:highlight w:val="none"/>
        </w:rPr>
        <w:t xml:space="preserve">26.1.10.1 投标（响应）报价低于采购项目预算50%的，即投标（响应）报价&lt;采购项目预算×50%；</w:t>
      </w:r>
      <w:r/>
    </w:p>
    <w:p>
      <w:pPr>
        <w:ind w:firstLine="420"/>
        <w:spacing w:line="360" w:lineRule="auto"/>
        <w:rPr>
          <w:color w:val="auto"/>
          <w:highlight w:val="none"/>
        </w:rPr>
      </w:pPr>
      <w:r>
        <w:rPr>
          <w:rFonts w:hint="eastAsia" w:ascii="宋体" w:hAnsi="宋体"/>
          <w:bCs/>
          <w:color w:val="auto"/>
          <w:szCs w:val="21"/>
          <w:highlight w:val="none"/>
        </w:rPr>
        <w:t xml:space="preserve">26.1.10.2 投标（响应）报价低于采购项目最高限价45%的，即投标（响应）报价&lt;采购项目最高限价×45%；</w:t>
      </w:r>
      <w:r/>
    </w:p>
    <w:p>
      <w:pPr>
        <w:ind w:firstLine="420"/>
        <w:spacing w:line="360" w:lineRule="auto"/>
        <w:rPr>
          <w:color w:val="auto"/>
          <w:highlight w:val="none"/>
        </w:rPr>
      </w:pPr>
      <w:r>
        <w:rPr>
          <w:rFonts w:hint="eastAsia" w:ascii="宋体" w:hAnsi="宋体"/>
          <w:bCs/>
          <w:color w:val="auto"/>
          <w:szCs w:val="21"/>
          <w:highlight w:val="none"/>
        </w:rPr>
        <w:t xml:space="preserve">26.1.10.3 评审委员会认定的供应商报价过低、有可能影响产品质量或者不能诚信履约的其他情形。</w:t>
      </w:r>
      <w:r/>
    </w:p>
    <w:p>
      <w:pPr>
        <w:ind w:firstLine="420"/>
        <w:spacing w:line="360" w:lineRule="auto"/>
        <w:rPr>
          <w:rFonts w:hint="eastAsia" w:ascii="宋体" w:hAnsi="宋体"/>
          <w:color w:val="auto"/>
          <w:highlight w:val="none"/>
        </w:rPr>
      </w:pPr>
      <w:r>
        <w:rPr>
          <w:rFonts w:hint="eastAsia" w:ascii="宋体" w:hAnsi="宋体"/>
          <w:bCs/>
          <w:color w:val="auto"/>
          <w:szCs w:val="21"/>
          <w:highlight w:val="none"/>
        </w:rPr>
        <w:t xml:space="preserve">26.1.10.4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763"/>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785"/>
        <w:ind w:firstLine="420"/>
        <w:spacing w:line="360" w:lineRule="auto"/>
        <w:rPr>
          <w:rFonts w:hint="eastAsia"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785"/>
        <w:rPr>
          <w:rFonts w:hint="eastAsia" w:hAnsi="宋体" w:cs="宋体"/>
          <w:color w:val="auto"/>
          <w:highlight w:val="none"/>
        </w:rPr>
      </w:pPr>
      <w:r>
        <w:rPr>
          <w:rFonts w:hint="eastAsia" w:hAnsi="宋体" w:cs="宋体"/>
          <w:color w:val="auto"/>
          <w:highlight w:val="none"/>
        </w:rPr>
      </w:r>
      <w:r/>
    </w:p>
    <w:p>
      <w:pPr>
        <w:pStyle w:val="785"/>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扬州市政府采购合同</w:t>
      </w:r>
      <w:r>
        <w:rPr>
          <w:rFonts w:hAnsi="宋体"/>
          <w:b/>
          <w:bCs/>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扬州市中医院新院区医疗辅助配套设施项目</w:t>
      </w:r>
      <w:r>
        <w:rPr>
          <w:rFonts w:hint="eastAsia" w:hAnsi="宋体" w:cs="宋体"/>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编号：</w:t>
      </w:r>
      <w:r>
        <w:rPr>
          <w:rFonts w:hint="eastAsia" w:hAnsi="宋体" w:cs="宋体"/>
          <w:color w:val="auto"/>
          <w:highlight w:val="none"/>
          <w:lang w:eastAsia="zh-CN"/>
        </w:rPr>
        <w:t xml:space="preserve">JSZC-321000-JSWC-G2026-0004</w:t>
      </w:r>
      <w:r>
        <w:rPr>
          <w:rFonts w:hint="eastAsia" w:hAnsi="宋体" w:cs="宋体"/>
          <w:color w:val="auto"/>
          <w:sz w:val="21"/>
          <w:highlight w:val="none"/>
        </w:rPr>
        <w:t xml:space="preserve">号</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根据《中华人民共和国政府采购法》、《中华人民共和国民法典》等法律法规的规定，甲乙双方按照江苏唯诚建设咨询有限公司关于本项目招标结果签订本合同。</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1、合同标的</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785"/>
        <w:ind w:firstLine="420"/>
        <w:spacing w:before="120" w:after="120" w:line="360" w:lineRule="auto"/>
        <w:rPr>
          <w:rFonts w:hint="eastAsia"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本合同金额为（大写）：__________________元人民币（¥_____元）。</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785"/>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（3）供货一览表；                 （4）技术参数响应表；</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（5）服务承诺；                   （6）中标通知书；</w:t>
      </w:r>
      <w:r/>
    </w:p>
    <w:p>
      <w:pPr>
        <w:pStyle w:val="785"/>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785"/>
        <w:ind w:firstLine="422"/>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6、履约保证金</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本项目不收取履约保证金。</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7、转包或分包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8、质保期</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质保期：</w:t>
      </w:r>
      <w:r>
        <w:rPr>
          <w:rFonts w:hint="eastAsia" w:hAnsi="宋体" w:cs="宋体"/>
          <w:bCs/>
          <w:color w:val="auto"/>
          <w:sz w:val="21"/>
          <w:highlight w:val="none"/>
          <w:u w:val="single"/>
          <w:lang w:val="en-US" w:eastAsia="zh-CN"/>
        </w:rPr>
        <w:t xml:space="preserve">5</w:t>
      </w:r>
      <w:r>
        <w:rPr>
          <w:rFonts w:hint="eastAsia" w:hAnsi="宋体" w:cs="宋体"/>
          <w:bCs/>
          <w:color w:val="auto"/>
          <w:sz w:val="21"/>
          <w:highlight w:val="none"/>
          <w:u w:val="single"/>
        </w:rPr>
        <w:t xml:space="preserve">年</w:t>
      </w:r>
      <w:r>
        <w:rPr>
          <w:rFonts w:hint="eastAsia" w:hAnsi="宋体" w:cs="宋体"/>
          <w:bCs/>
          <w:color w:val="auto"/>
          <w:sz w:val="21"/>
          <w:highlight w:val="none"/>
        </w:rPr>
        <w:t xml:space="preserve">。（自交货验收合格之日起计）。</w:t>
      </w:r>
      <w:r/>
    </w:p>
    <w:p>
      <w:pPr>
        <w:pStyle w:val="785"/>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9、交货期、交货方式及交货地点</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9.1 交货期：中标后15日内完成合同签订，接到采购人通知后按照实际需求分批发，并在接到通知的30日内完成供货、安装。</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9.2 交货方式：按要求批次完成供货并在指定区域安装到位</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9.3 交货地点：扬州市中医院新院区（邗江区翠岗路400号），最终地点由采购人指定。</w:t>
      </w:r>
      <w:r/>
    </w:p>
    <w:p>
      <w:pPr>
        <w:pStyle w:val="785"/>
        <w:ind w:firstLine="420"/>
        <w:spacing w:before="120" w:after="120" w:line="360" w:lineRule="auto"/>
        <w:rPr>
          <w:rFonts w:hint="eastAsia" w:hAnsi="宋体" w:cs="宋体"/>
          <w:b/>
          <w:color w:val="auto"/>
          <w:sz w:val="21"/>
          <w:highlight w:val="none"/>
        </w:rPr>
      </w:pPr>
      <w:r>
        <w:rPr>
          <w:rFonts w:hint="eastAsia" w:hAnsi="宋体" w:cs="宋体"/>
          <w:b/>
          <w:color w:val="auto"/>
          <w:sz w:val="21"/>
          <w:highlight w:val="none"/>
        </w:rPr>
        <w:t xml:space="preserve">10、货款支付</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785"/>
        <w:ind w:firstLine="420"/>
        <w:spacing w:before="120" w:after="120" w:line="360" w:lineRule="auto"/>
        <w:rPr>
          <w:rFonts w:hint="eastAsia"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785"/>
        <w:ind w:firstLine="420"/>
        <w:spacing w:before="120" w:after="120" w:line="360" w:lineRule="auto"/>
        <w:rPr>
          <w:rFonts w:hint="eastAsia" w:ascii="宋体" w:hAnsi="宋体" w:eastAsia="宋体" w:cs="宋体"/>
          <w:b w:val="0"/>
          <w:bCs w:val="0"/>
          <w:color w:val="auto"/>
          <w:highlight w:val="none"/>
        </w:rPr>
      </w:pPr>
      <w:r>
        <w:rPr>
          <w:rFonts w:hint="eastAsia" w:hAnsi="宋体" w:cs="宋体"/>
          <w:bCs/>
          <w:color w:val="auto"/>
          <w:sz w:val="21"/>
          <w:highlight w:val="none"/>
        </w:rPr>
        <w:t xml:space="preserve">10.3 付款方式：</w:t>
      </w:r>
      <w:r>
        <w:rPr>
          <w:rFonts w:hint="eastAsia" w:ascii="宋体" w:hAnsi="宋体" w:eastAsia="宋体" w:cs="宋体"/>
          <w:b w:val="0"/>
          <w:bCs w:val="0"/>
          <w:color w:val="auto"/>
          <w:sz w:val="21"/>
          <w:szCs w:val="22"/>
          <w:highlight w:val="none"/>
        </w:rPr>
        <w:t xml:space="preserve">鉴于为采购人新院区项目，合同签订完成，并接采购人通知后，中标人按照实际需求分批安排发货事宜，并应在约定时间内完成供货。已接到发货通知设备，在收到中标人发票后10个工作日内采购人支付合同总额的30%;货到验收合格，收到中标人发票后10个工作日内采购人支付合同总额的60%，验收合格满一年，收到中标人发票后10个工作日内采购人付清剩余10%。</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11、税费</w:t>
      </w:r>
      <w:r/>
    </w:p>
    <w:p>
      <w:pPr>
        <w:pStyle w:val="785"/>
        <w:ind w:firstLine="420"/>
        <w:spacing w:before="120" w:after="120" w:line="360" w:lineRule="auto"/>
        <w:rPr>
          <w:rFonts w:hint="eastAsia"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16、不可抗力事件处理</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17、争议解决</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785"/>
        <w:ind w:firstLine="31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785"/>
        <w:ind w:left="420" w:hanging="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785"/>
        <w:ind w:left="315" w:firstLine="105"/>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18、合同其它</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785"/>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合同经双方法定代表人或授权代表签字并加盖单位公章，并经江苏唯诚建设咨询有限公司见证盖章后生效。</w:t>
      </w:r>
      <w:r/>
    </w:p>
    <w:p>
      <w:pPr>
        <w:pStyle w:val="785"/>
        <w:ind w:firstLine="420"/>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785"/>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本合同正本一式伍份，具有同等法律效力，甲方、乙方各执贰份、见证方执壹份。</w:t>
      </w:r>
      <w:r/>
    </w:p>
    <w:p>
      <w:pPr>
        <w:pStyle w:val="785"/>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785"/>
        <w:ind w:left="420" w:hanging="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扬州市中医院</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联系电话：                               联系电话：</w:t>
      </w:r>
      <w:r/>
    </w:p>
    <w:p>
      <w:pPr>
        <w:pStyle w:val="78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785"/>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见证方：江苏唯诚建设咨询有限公司</w:t>
      </w:r>
      <w:r/>
    </w:p>
    <w:p>
      <w:pPr>
        <w:pStyle w:val="785"/>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p>
      <w:pPr>
        <w:pStyle w:val="785"/>
        <w:ind w:firstLine="210"/>
        <w:spacing w:before="120" w:after="120" w:line="360" w:lineRule="auto"/>
        <w:rPr>
          <w:rFonts w:hint="eastAsia" w:hAnsi="宋体"/>
          <w:color w:val="auto"/>
          <w:sz w:val="21"/>
          <w:highlight w:val="none"/>
        </w:rPr>
      </w:pPr>
      <w:r>
        <w:rPr>
          <w:rFonts w:hint="eastAsia" w:hAnsi="宋体" w:cs="宋体"/>
          <w:color w:val="auto"/>
          <w:sz w:val="21"/>
          <w:highlight w:val="none"/>
        </w:rPr>
        <w:t xml:space="preserve">日期：     年   月   日</w:t>
      </w:r>
      <w:r/>
    </w:p>
    <w:p>
      <w:pPr>
        <w:pStyle w:val="763"/>
        <w:numPr>
          <w:ilvl w:val="0"/>
          <w:numId w:val="7"/>
        </w:numPr>
        <w:jc w:val="center"/>
        <w:rPr>
          <w:rFonts w:hint="eastAsia" w:ascii="宋体" w:hAnsi="宋体"/>
          <w:color w:val="auto"/>
          <w:sz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36"/>
          <w:highlight w:val="none"/>
        </w:rPr>
      </w:r>
      <w:r/>
    </w:p>
    <w:p>
      <w:pPr>
        <w:pStyle w:val="763"/>
        <w:numPr>
          <w:ilvl w:val="0"/>
          <w:numId w:val="7"/>
        </w:numPr>
        <w:jc w:val="center"/>
        <w:spacing w:line="240" w:lineRule="auto"/>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rPr>
      </w:pPr>
      <w:r/>
      <w:bookmarkStart w:id="29" w:name="_Toc497133122"/>
      <w:r>
        <w:rPr>
          <w:rFonts w:hint="eastAsia" w:ascii="宋体" w:hAnsi="宋体" w:eastAsia="宋体" w:cs="宋体"/>
          <w:b/>
          <w:bCs/>
          <w:color w:val="auto"/>
          <w:sz w:val="21"/>
          <w:szCs w:val="21"/>
          <w:highlight w:val="none"/>
        </w:rPr>
        <w:t xml:space="preserve">一、项目属性</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如本项目采购产品被财政部、国家发改委、生态环境部等列入“节能产品政府采购品目清单”强制采购范围，投标文件中必须提供国家确定的认证机构出具的、处于有效期之内的该节能产品认证证书。</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供应商对于投标产品的包装应按照“财办库〔2020〕123号《关于印发《商品包装政府采购需求标准（试行）》、《快递包装政府采购需求标准（试行）》的通知》”执行。</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lang w:val="en-US" w:eastAsia="zh-CN" w:bidi="ar-SA"/>
        </w:rPr>
        <w:t xml:space="preserve">3.</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lang w:val="en-US" w:eastAsia="zh-CN" w:bidi="ar-SA"/>
        </w:rPr>
        <w:t xml:space="preserve">3</w:t>
      </w:r>
      <w:r>
        <w:rPr>
          <w:rFonts w:hint="eastAsia" w:ascii="宋体" w:hAnsi="宋体" w:eastAsia="宋体" w:cs="宋体"/>
          <w:b/>
          <w:bCs/>
          <w:color w:val="auto"/>
          <w:sz w:val="21"/>
          <w:szCs w:val="22"/>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采购标的清单</w:t>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7813"/>
        <w:gridCol w:w="3980"/>
      </w:tblGrid>
      <w:tr>
        <w:trPr>
          <w:cantSplit/>
          <w:jc w:val="center"/>
          <w:trHeight w:val="567"/>
        </w:trPr>
        <w:tc>
          <w:tcPr>
            <w:tcW w:w="83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275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140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567"/>
        </w:trPr>
        <w:tc>
          <w:tcPr>
            <w:tcW w:w="83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56"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afafa"/>
              </w:rPr>
              <w:t xml:space="preserve">扬州市中医院新院区医疗辅助配套设施</w:t>
            </w:r>
            <w:r/>
          </w:p>
        </w:tc>
        <w:tc>
          <w:tcPr>
            <w:tcW w:w="140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4．核心产品</w:t>
      </w:r>
      <w:r/>
    </w:p>
    <w:tbl>
      <w:tblPr>
        <w:tblStyle w:val="80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03"/>
        <w:gridCol w:w="10268"/>
      </w:tblGrid>
      <w:tr>
        <w:trPr>
          <w:trHeight w:val="567"/>
        </w:trPr>
        <w:tc>
          <w:tcPr>
            <w:tcMar>
              <w:left w:w="108" w:type="dxa"/>
              <w:top w:w="0" w:type="dxa"/>
              <w:right w:w="108" w:type="dxa"/>
              <w:bottom w:w="0" w:type="dxa"/>
            </w:tcMar>
            <w:tcW w:w="1377"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w:t>
            </w:r>
            <w:r/>
          </w:p>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包号</w:t>
            </w:r>
            <w:r/>
          </w:p>
        </w:tc>
        <w:tc>
          <w:tcPr>
            <w:tcMar>
              <w:left w:w="108" w:type="dxa"/>
              <w:top w:w="0" w:type="dxa"/>
              <w:right w:w="108" w:type="dxa"/>
              <w:bottom w:w="0" w:type="dxa"/>
            </w:tcMar>
            <w:tcW w:w="3622"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w:t>
            </w:r>
            <w:r/>
          </w:p>
        </w:tc>
      </w:tr>
      <w:tr>
        <w:trPr>
          <w:trHeight w:val="567"/>
        </w:trPr>
        <w:tc>
          <w:tcPr>
            <w:tcMar>
              <w:left w:w="108" w:type="dxa"/>
              <w:top w:w="0" w:type="dxa"/>
              <w:right w:w="108" w:type="dxa"/>
              <w:bottom w:w="0" w:type="dxa"/>
            </w:tcMar>
            <w:tcW w:w="1377" w:type="pct"/>
            <w:vAlign w:val="top"/>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3622" w:type="pct"/>
            <w:vAlign w:val="top"/>
            <w:textDirection w:val="lrTb"/>
            <w:noWrap w:val="false"/>
          </w:tcPr>
          <w:p>
            <w:pPr>
              <w:jc w:val="center"/>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医用环保治疗柜</w:t>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技术要求是指对采购标的功能和质量要求，包括性能、材料、结构、外观、安全，或者服务内容和标准等。其中斜体且有下划线部分为实质性要求。</w:t>
      </w:r>
      <w:r/>
    </w:p>
    <w:p>
      <w:pPr>
        <w:ind w:firstLine="422"/>
        <w:keepLines w:val="0"/>
        <w:keepNext w:val="0"/>
        <w:pageBreakBefore w:val="0"/>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、技术需求</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tbl>
      <w:tblPr>
        <w:tblStyle w:val="773"/>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612"/>
        <w:gridCol w:w="1047"/>
        <w:gridCol w:w="837"/>
        <w:gridCol w:w="731"/>
        <w:gridCol w:w="8723"/>
        <w:gridCol w:w="2213"/>
      </w:tblGrid>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参考图片</w: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污洗及打包柜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一套包括（污洗置物架：1600*350*500mm，污洗柜：1600*600*1100mm，冷热双控水龙头*1，拖把池：1200*600*1800mm，普通水龙头*2）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2、主要板材厚度：台面、水池板厚度≥1.0mm；侧板、门板厚度≥0.8mm；加强管料用≥1.0mm；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3、柜门为双层结构，带缓冲功能；底脚为4个可调圆管脚，离地120mm高；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5、功能配置：304不锈钢缓冲铰链等；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▲不锈钢：需符合GB/T 3325、GB/T 10125、GB/T 6461、YB∕T4171、GB/T 3280、GB/T 4340.1、QB/T 4371检测标准；检测内容：①抗盐雾：合格；</w:t>
            </w:r>
            <w:r>
              <w:rPr>
                <w:rFonts w:ascii="宋体" w:hAnsi="宋体" w:eastAsia="宋体" w:cs="宋体"/>
                <w:color w:val="auto"/>
                <w:sz w:val="21"/>
                <w:szCs w:val="21"/>
                <w:highlight w:val="none"/>
              </w:rPr>
              <w:t xml:space="preserve">②化学成分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符合</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③</w:t>
            </w:r>
            <w:r>
              <w:rPr>
                <w:rFonts w:hint="eastAsia" w:ascii="宋体" w:hAnsi="宋体" w:cs="宋体"/>
                <w:color w:val="auto"/>
                <w:szCs w:val="21"/>
                <w:highlight w:val="none"/>
                <w:lang w:bidi="ar"/>
              </w:rPr>
              <w:t xml:space="preserve">铜加速乙酸盐雾（CASS）试验≥40小时后，外观评级10级，保护评级10级；</w:t>
            </w:r>
            <w:r>
              <w:rPr>
                <w:rFonts w:hint="eastAsia" w:ascii="宋体" w:hAnsi="宋体" w:cs="宋体"/>
                <w:color w:val="auto"/>
                <w:szCs w:val="21"/>
                <w:highlight w:val="none"/>
                <w:lang w:val="en-US" w:eastAsia="zh-CN" w:bidi="ar"/>
              </w:rPr>
              <w:t xml:space="preserve">④</w:t>
            </w:r>
            <w:r>
              <w:rPr>
                <w:rFonts w:hint="eastAsia" w:ascii="宋体" w:hAnsi="宋体" w:cs="宋体"/>
                <w:color w:val="auto"/>
                <w:szCs w:val="21"/>
                <w:highlight w:val="none"/>
                <w:lang w:bidi="ar"/>
              </w:rPr>
              <w:t xml:space="preserve">抗菌性能：抑菌率≥99.9%；</w:t>
            </w:r>
            <w:r>
              <w:rPr>
                <w:rFonts w:hint="eastAsia" w:ascii="宋体" w:hAnsi="宋体" w:cs="宋体"/>
                <w:color w:val="auto"/>
                <w:szCs w:val="21"/>
                <w:highlight w:val="none"/>
                <w:lang w:val="en-US" w:eastAsia="zh-CN" w:bidi="ar"/>
              </w:rPr>
              <w:t xml:space="preserve">⑤</w:t>
            </w:r>
            <w:r>
              <w:rPr>
                <w:rFonts w:hint="eastAsia" w:ascii="宋体" w:hAnsi="宋体" w:cs="宋体"/>
                <w:color w:val="auto"/>
                <w:szCs w:val="21"/>
                <w:highlight w:val="none"/>
                <w:lang w:bidi="ar"/>
              </w:rPr>
              <w:t xml:space="preserve">力学性能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。注：提供第三方产品监督检测机构（检测报告至少带CMA标识）出具检测报告，否则不予认可。         </w:t>
            </w:r>
            <w:r>
              <w:rPr>
                <w:rFonts w:hint="eastAsia" w:ascii="宋体" w:hAnsi="宋体" w:cs="宋体"/>
                <w:color w:val="auto"/>
                <w:szCs w:val="21"/>
                <w:highlight w:val="none"/>
                <w:lang w:bidi="ar"/>
              </w:rPr>
              <w:t xml:space="preserve">                                                                                                                                                                                                 ▲侧板：GB/T228.1、GB/T231.1、GB/T15248、GB/T5028、QB/T4371；检测内容：①力学性能：</w:t>
            </w:r>
            <w:r>
              <w:rPr>
                <w:rFonts w:ascii="宋体" w:hAnsi="宋体" w:eastAsia="宋体" w:cs="宋体"/>
                <w:i w:val="0"/>
                <w:iCs w:val="0"/>
                <w:color w:val="auto"/>
                <w:sz w:val="21"/>
                <w:szCs w:val="21"/>
                <w:highlight w:val="none"/>
              </w:rPr>
              <w:t xml:space="preserve">规定塑性延伸强度，抗拉强度，断后伸长率</w:t>
            </w:r>
            <w:r>
              <w:rPr>
                <w:rFonts w:hint="eastAsia" w:ascii="宋体" w:hAnsi="宋体" w:cs="宋体"/>
                <w:i w:val="0"/>
                <w:iCs w:val="0"/>
                <w:color w:val="auto"/>
                <w:sz w:val="21"/>
                <w:szCs w:val="21"/>
                <w:highlight w:val="none"/>
                <w:lang w:val="en-US" w:eastAsia="zh-CN"/>
              </w:rPr>
              <w:t xml:space="preserve">均符合</w:t>
            </w:r>
            <w:r>
              <w:rPr>
                <w:rFonts w:hint="eastAsia" w:ascii="宋体" w:hAnsi="宋体" w:cs="宋体"/>
                <w:color w:val="auto"/>
                <w:szCs w:val="21"/>
                <w:highlight w:val="none"/>
                <w:lang w:bidi="ar"/>
              </w:rPr>
              <w:t xml:space="preserve">；②布氏硬度HBW</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符合</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③</w:t>
            </w:r>
            <w:r>
              <w:rPr>
                <w:rFonts w:hint="eastAsia" w:ascii="宋体" w:hAnsi="宋体" w:cs="宋体"/>
                <w:color w:val="auto"/>
                <w:szCs w:val="21"/>
                <w:highlight w:val="none"/>
                <w:lang w:bidi="ar"/>
              </w:rPr>
              <w:t xml:space="preserve">疲劳试验：</w:t>
            </w:r>
            <w:r>
              <w:rPr>
                <w:rFonts w:hint="eastAsia" w:ascii="宋体" w:hAnsi="宋体" w:cs="宋体"/>
                <w:color w:val="auto"/>
                <w:szCs w:val="21"/>
                <w:highlight w:val="none"/>
                <w:lang w:val="en-US" w:eastAsia="zh-CN" w:bidi="ar"/>
              </w:rPr>
              <w:t xml:space="preserve">符合</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④</w:t>
            </w:r>
            <w:r>
              <w:rPr>
                <w:rFonts w:hint="eastAsia" w:ascii="宋体" w:hAnsi="宋体" w:cs="宋体"/>
                <w:color w:val="auto"/>
                <w:szCs w:val="21"/>
                <w:highlight w:val="none"/>
                <w:lang w:bidi="ar"/>
              </w:rPr>
              <w:t xml:space="preserve">抗菌性能：抑菌率≥99.9%；</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▲门板：需符合GB/T4340.1、GB/T15970.5、GB/T3075、GB/T15711、GB/T22315、QB/T4371；检测内容：</w:t>
            </w:r>
            <w:r>
              <w:rPr>
                <w:rFonts w:ascii="宋体" w:hAnsi="宋体" w:eastAsia="宋体" w:cs="宋体"/>
                <w:i w:val="0"/>
                <w:iCs w:val="0"/>
                <w:color w:val="auto"/>
                <w:sz w:val="21"/>
                <w:szCs w:val="21"/>
                <w:highlight w:val="none"/>
              </w:rPr>
              <w:t xml:space="preserve">①维氏硬度HV10</w:t>
            </w:r>
            <w:r>
              <w:rPr>
                <w:rFonts w:hint="eastAsia" w:ascii="宋体" w:hAnsi="宋体" w:cs="宋体"/>
                <w:i w:val="0"/>
                <w:iCs w:val="0"/>
                <w:color w:val="auto"/>
                <w:sz w:val="21"/>
                <w:szCs w:val="21"/>
                <w:highlight w:val="none"/>
                <w:lang w:eastAsia="zh-CN"/>
              </w:rPr>
              <w:t xml:space="preserve">、</w:t>
            </w:r>
            <w:r>
              <w:rPr>
                <w:rFonts w:ascii="宋体" w:hAnsi="宋体" w:eastAsia="宋体" w:cs="宋体"/>
                <w:i w:val="0"/>
                <w:iCs w:val="0"/>
                <w:color w:val="auto"/>
                <w:sz w:val="21"/>
                <w:szCs w:val="21"/>
                <w:highlight w:val="none"/>
              </w:rPr>
              <w:t xml:space="preserve">非金属夹杂物</w:t>
            </w:r>
            <w:r>
              <w:rPr>
                <w:rFonts w:hint="eastAsia" w:ascii="宋体" w:hAnsi="宋体" w:cs="宋体"/>
                <w:i w:val="0"/>
                <w:iCs w:val="0"/>
                <w:color w:val="auto"/>
                <w:sz w:val="21"/>
                <w:szCs w:val="21"/>
                <w:highlight w:val="none"/>
                <w:lang w:eastAsia="zh-CN"/>
              </w:rPr>
              <w:t xml:space="preserve">、</w:t>
            </w:r>
            <w:r>
              <w:rPr>
                <w:rFonts w:ascii="宋体" w:hAnsi="宋体" w:eastAsia="宋体" w:cs="宋体"/>
                <w:i w:val="0"/>
                <w:iCs w:val="0"/>
                <w:color w:val="auto"/>
                <w:sz w:val="21"/>
                <w:szCs w:val="21"/>
                <w:highlight w:val="none"/>
              </w:rPr>
              <w:t xml:space="preserve">弹性模量均符合</w:t>
            </w:r>
            <w:r>
              <w:rPr>
                <w:rFonts w:hint="eastAsia" w:ascii="宋体" w:hAnsi="宋体" w:cs="宋体"/>
                <w:color w:val="auto"/>
                <w:szCs w:val="21"/>
                <w:highlight w:val="none"/>
                <w:lang w:bidi="ar"/>
              </w:rPr>
              <w:t xml:space="preserve">；②疲劳试验</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符合</w:t>
            </w:r>
            <w:r>
              <w:rPr>
                <w:rFonts w:hint="eastAsia" w:ascii="宋体" w:hAnsi="宋体" w:cs="宋体"/>
                <w:color w:val="auto"/>
                <w:szCs w:val="21"/>
                <w:highlight w:val="none"/>
                <w:lang w:bidi="ar"/>
              </w:rPr>
              <w:t xml:space="preserve">；③应力腐蚀试验</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符合；④抗菌性能：抑菌率≥99</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009015" cy="1379220"/>
                      <wp:effectExtent l="0" t="0" r="635" b="11430"/>
                      <wp:docPr id="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pic:cNvPicPr>
                                <a:picLocks noChangeAspect="1"/>
                              </pic:cNvPicPr>
                              <pic:nvPr/>
                            </pic:nvPicPr>
                            <pic:blipFill>
                              <a:blip r:embed="rId17"/>
                              <a:stretch/>
                            </pic:blipFill>
                            <pic:spPr bwMode="auto">
                              <a:xfrm>
                                <a:off x="0" y="0"/>
                                <a:ext cx="1009015" cy="13792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108.6pt;mso-wrap-distance-left:0.0pt;mso-wrap-distance-top:0.0pt;mso-wrap-distance-right:0.0pt;mso-wrap-distance-bottom:0.0pt;" stroked="f" strokeweight="0.75pt">
                      <v:path textboxrect="0,0,0,0"/>
                      <v:imagedata r:id="rId17" o:title=""/>
                    </v:shape>
                  </w:pict>
                </mc:Fallback>
              </mc:AlternateConten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797560" cy="927100"/>
                      <wp:effectExtent l="0" t="0" r="2540" b="6350"/>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pic:cNvPicPr>
                                <a:picLocks noChangeAspect="1"/>
                              </pic:cNvPicPr>
                              <pic:nvPr/>
                            </pic:nvPicPr>
                            <pic:blipFill>
                              <a:blip r:embed="rId18"/>
                              <a:stretch/>
                            </pic:blipFill>
                            <pic:spPr bwMode="auto">
                              <a:xfrm>
                                <a:off x="0" y="0"/>
                                <a:ext cx="797560" cy="927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8pt;height:73.0pt;mso-wrap-distance-left:0.0pt;mso-wrap-distance-top:0.0pt;mso-wrap-distance-right:0.0pt;mso-wrap-distance-bottom:0.0pt;" stroked="f" strokeweight="0.75pt">
                      <v:path textboxrect="0,0,0,0"/>
                      <v:imagedata r:id="rId18"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一套包括（治疗柜上柜（玻璃门）：2000*350*550mm；治疗柜中柜：2000*350*600mm；治疗柜下柜：2000*630*840mm；输液柜：470*650*2000mm；0.7米LED感应灯*2；治疗柜台面：2000*650*12）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▲复合亚克力人造石（台面板）：GB/T 32487、QB/T 4371</w:t>
            </w:r>
            <w:r>
              <w:rPr>
                <w:rFonts w:hint="eastAsia" w:ascii="宋体" w:hAnsi="宋体" w:cs="宋体"/>
                <w:color w:val="auto"/>
                <w:szCs w:val="21"/>
                <w:highlight w:val="none"/>
                <w:lang w:eastAsia="zh-CN" w:bidi="ar"/>
              </w:rPr>
              <w:t xml:space="preserve">、JC/T 908</w:t>
            </w:r>
            <w:r>
              <w:rPr>
                <w:rFonts w:hint="eastAsia" w:ascii="宋体" w:hAnsi="宋体" w:cs="宋体"/>
                <w:color w:val="auto"/>
                <w:szCs w:val="21"/>
                <w:highlight w:val="none"/>
                <w:lang w:bidi="ar"/>
              </w:rPr>
              <w:t xml:space="preserve">；检测内容：①塑料件外观均符合要求；②生物实验台面耐污染</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；③抗菌性能：抑菌率≥99.9%；</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▲电解钢板：需符合GB/T 3325、GB/T 230.1、GB/T 35607、QB/T 1951.2、GB 8624、QB/T 4371检测标准；检测内容：①金属喷漆(塑)涂层理化性能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符合要求</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合格；②金属喷漆(塑)涂层硬度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合格；③抗菌性能：抑菌率≥99.9%。</w:t>
            </w:r>
            <w:r>
              <w:rPr>
                <w:rFonts w:hint="eastAsia" w:ascii="宋体" w:hAnsi="宋体" w:cs="宋体"/>
                <w:color w:val="auto"/>
                <w:szCs w:val="21"/>
                <w:highlight w:val="none"/>
                <w:lang w:val="en-US" w:eastAsia="zh-CN" w:bidi="ar"/>
              </w:rPr>
              <w:t xml:space="preserve">④</w:t>
            </w:r>
            <w:r>
              <w:rPr>
                <w:rFonts w:hint="eastAsia" w:ascii="宋体" w:hAnsi="宋体" w:cs="宋体"/>
                <w:color w:val="auto"/>
                <w:szCs w:val="21"/>
                <w:highlight w:val="none"/>
                <w:lang w:bidi="ar"/>
              </w:rPr>
              <w:t xml:space="preserve">家具涂层可迁移元素</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w:t>
            </w:r>
            <w:r>
              <w:rPr>
                <w:rFonts w:hint="eastAsia" w:ascii="宋体" w:hAnsi="宋体" w:cs="宋体"/>
                <w:color w:val="auto"/>
                <w:szCs w:val="21"/>
                <w:highlight w:val="none"/>
                <w:lang w:val="en-US" w:eastAsia="zh-CN" w:bidi="ar"/>
              </w:rPr>
              <w:t xml:space="preserve">⑤</w:t>
            </w:r>
            <w:r>
              <w:rPr>
                <w:rFonts w:hint="eastAsia" w:ascii="宋体" w:hAnsi="宋体" w:cs="宋体"/>
                <w:color w:val="auto"/>
                <w:szCs w:val="21"/>
                <w:highlight w:val="none"/>
                <w:lang w:bidi="ar"/>
              </w:rPr>
              <w:t xml:space="preserve">燃烧性能B1级：合格；注：提供第三方产品监督检测机构（检测报告至少带CMA标识）出具检测报告，否则不予认可。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▲塑粉：需符合HG/T2006、HG/T 3950、GB/T35602检测标准；检测内容：①外观:符合。②抗菌性能：抗细菌率≥99.9%；③铅、镉、六价铬、汞</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均符合。</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t xml:space="preserve">                                                         ▲不锈钢踢脚线：需符合GB/T 10125、GB/T 6461检测标准；检测内容：①乙酸盐雾试验≥40小时后，外观评级10级，保护评级10级；注：提供第三方产品监督检测机构（检测报告至少带CMA标识）出具检测报告，否则不予认可。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▲医用环保治疗柜：需符合GB/T 3325、HJ 2547、GB/T 1740检测标准；检测内容：①外观性能要求/金属件/喷涂层或喷漆(塑)涂层：均符合；②结构安全：符合；③结构和底架强度试验：符合；④活动部件关闭时的空载稳定性:非固定柜应无倾翻，活动部件打开时的空载稳定性:非固定柜应无倾翻，均符合；⑤理化性能要求/金属喷漆(塑)涂层：符合；⑥耐湿热（500h）</w:t>
            </w:r>
            <w:r>
              <w:rPr>
                <w:rFonts w:hint="eastAsia" w:ascii="宋体" w:hAnsi="宋体" w:cs="宋体"/>
                <w:color w:val="auto"/>
                <w:szCs w:val="21"/>
                <w:highlight w:val="none"/>
                <w:lang w:val="en-US" w:eastAsia="zh-CN" w:bidi="ar"/>
              </w:rPr>
              <w:t xml:space="preserve">符合</w:t>
            </w:r>
            <w:r>
              <w:rPr>
                <w:rFonts w:hint="eastAsia" w:ascii="宋体" w:hAnsi="宋体" w:cs="宋体"/>
                <w:color w:val="auto"/>
                <w:szCs w:val="21"/>
                <w:highlight w:val="none"/>
                <w:lang w:bidi="ar"/>
              </w:rPr>
              <w:t xml:space="preserve">；⑦可迁移元素限量：</w:t>
            </w:r>
            <w:r>
              <w:rPr>
                <w:rFonts w:hint="eastAsia" w:ascii="宋体" w:hAnsi="宋体" w:cs="宋体"/>
                <w:color w:val="auto"/>
                <w:szCs w:val="21"/>
                <w:highlight w:val="none"/>
                <w:lang w:val="en-US" w:eastAsia="zh-CN" w:bidi="ar"/>
              </w:rPr>
              <w:t xml:space="preserve">符合</w:t>
            </w: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1564640</wp:posOffset>
                      </wp:positionV>
                      <wp:extent cx="1180465" cy="781685"/>
                      <wp:effectExtent l="0" t="0" r="635" b="18415"/>
                      <wp:wrapNone/>
                      <wp:docPr id="7" name="图片_12"/>
                      <wp:cNvGraphicFramePr/>
                      <a:graphic xmlns:a="http://schemas.openxmlformats.org/drawingml/2006/main">
                        <a:graphicData uri="http://schemas.openxmlformats.org/drawingml/2006/picture">
                          <pic:pic xmlns:pic="http://schemas.openxmlformats.org/drawingml/2006/picture">
                            <pic:nvPicPr>
                              <pic:cNvPr id="7" name="图片_12"/>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5.2pt;mso-position-horizontal:absolute;mso-position-vertical-relative:text;margin-top:123.2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处置柜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一套包括（处置柜上柜（平板门）：1000*350*550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，处置柜下柜：800*630*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，垃圾处置柜：1000*630*</w:t>
            </w:r>
            <w:r>
              <w:rPr>
                <w:rFonts w:hint="eastAsia" w:ascii="宋体" w:hAnsi="宋体" w:cs="宋体"/>
                <w:i w:val="0"/>
                <w:iCs w:val="0"/>
                <w:color w:val="auto"/>
                <w:sz w:val="21"/>
                <w:szCs w:val="21"/>
                <w:highlight w:val="none"/>
                <w:u w:val="none"/>
                <w:lang w:val="en-US" w:eastAsia="zh-CN" w:bidi="ar"/>
              </w:rPr>
              <w:t xml:space="preserve">840mm</w:t>
            </w:r>
            <w:r>
              <w:rPr>
                <w:rFonts w:hint="eastAsia" w:ascii="宋体" w:hAnsi="宋体" w:eastAsia="宋体" w:cs="宋体"/>
                <w:i w:val="0"/>
                <w:iCs w:val="0"/>
                <w:color w:val="auto"/>
                <w:sz w:val="21"/>
                <w:szCs w:val="21"/>
                <w:highlight w:val="none"/>
                <w:u w:val="none"/>
                <w:lang w:val="en-US" w:eastAsia="zh-CN" w:bidi="ar"/>
              </w:rPr>
              <w:t xml:space="preserve">，垃圾处置不锈钢组件*2，处置柜台面：1800*650*12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，SUS304不锈钢踢脚线3米，304不锈钢台盆*1，有机玻璃挡水*1：700*500*380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，肘触式高抛水龙头*1）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1、台面板：采用优质医用复合亚克力人造石，其材料厚度≥12mm，边缘加厚30mm。具有易清洁、抗污垢、耐冲击、耐高温、具有阻燃性、无毒等特点；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2、柜体：采用一级电解钢板，整体厚度≥1.0mm；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3、优质五金配件：304不锈钢缓冲铰链、三节导轨、优质锁具；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▲304不锈钢铰链：需符合QB/T 2189、QB/T 3826、QB/T 3832、QB/T 3827、GB/T 10125、GB/T 6461、QB/T 4371检测标准；检测内容：①过载：垂直静载荷、水平静载荷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符合要求；②功能：操作力</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垂直静载荷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下沉量</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③抗菌性能：抑菌率≥99.9%；注：提供第三方产品监督检测机构（检测报告至少带CMA标识）出具检测报告，否则不予认可。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▲导轨：需符合GB/T 700、GB/T 4336、GB/T 35607、QB/T 2454、QB/T 4371检测标准；检测内容：①功能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垂直向下静载荷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水平侧向静载荷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拉出安全性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猛关或猛开</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符合要求；②家具涂层可迁移元素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合格；③化学成分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合格；④抗菌性能：抑菌率≥99.9%。注：提供第三方产品监督检测机构（检测报告至少带CMA标识）出具检测报告，否则不予认可。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▲锁具：需符合GB21556、QB/T1621检测标准；检测内容：①保密度：锁舌伸出长度≥10mm；②牢固度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合格；③灵活度</w:t>
            </w:r>
            <w:r>
              <w:rPr>
                <w:rFonts w:hint="eastAsia" w:ascii="宋体" w:hAnsi="宋体" w:cs="宋体"/>
                <w:i w:val="0"/>
                <w:iCs w:val="0"/>
                <w:color w:val="auto"/>
                <w:sz w:val="21"/>
                <w:szCs w:val="21"/>
                <w:highlight w:val="none"/>
                <w:u w:val="none"/>
                <w:lang w:val="en-US" w:eastAsia="zh-CN" w:bidi="ar"/>
              </w:rPr>
              <w:t xml:space="preserve">：合</w:t>
            </w:r>
            <w:r>
              <w:rPr>
                <w:rFonts w:hint="eastAsia" w:ascii="宋体" w:hAnsi="宋体" w:eastAsia="宋体" w:cs="宋体"/>
                <w:i w:val="0"/>
                <w:iCs w:val="0"/>
                <w:color w:val="auto"/>
                <w:sz w:val="21"/>
                <w:szCs w:val="21"/>
                <w:highlight w:val="none"/>
                <w:u w:val="none"/>
                <w:lang w:val="en-US" w:eastAsia="zh-CN" w:bidi="ar"/>
              </w:rPr>
              <w:t xml:space="preserve">格；④外观质量符合要求；⑤锁头结构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锁舌伸出长度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锁头固定连接静拉力</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锁头固定连接扭矩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锁芯拔动件扭矩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锁舌侧向静载荷</w:t>
            </w:r>
            <w:r>
              <w:rPr>
                <w:rFonts w:hint="eastAsia" w:ascii="宋体" w:hAnsi="宋体" w:cs="宋体"/>
                <w:i w:val="0"/>
                <w:iCs w:val="0"/>
                <w:color w:val="auto"/>
                <w:sz w:val="21"/>
                <w:szCs w:val="21"/>
                <w:highlight w:val="none"/>
                <w:u w:val="none"/>
                <w:lang w:val="en-US" w:eastAsia="zh-CN" w:bidi="ar"/>
              </w:rPr>
              <w:t xml:space="preserve">、各铆接件承受静拉力、</w:t>
            </w:r>
            <w:r>
              <w:rPr>
                <w:rFonts w:hint="eastAsia" w:ascii="宋体" w:hAnsi="宋体" w:eastAsia="宋体" w:cs="宋体"/>
                <w:i w:val="0"/>
                <w:iCs w:val="0"/>
                <w:color w:val="auto"/>
                <w:sz w:val="21"/>
                <w:szCs w:val="21"/>
                <w:highlight w:val="none"/>
                <w:u w:val="none"/>
                <w:lang w:val="en-US" w:eastAsia="zh-CN" w:bidi="ar"/>
              </w:rPr>
              <w:t xml:space="preserve">使用寿命均</w:t>
            </w:r>
            <w:r>
              <w:rPr>
                <w:rFonts w:hint="eastAsia" w:ascii="宋体" w:hAnsi="宋体" w:cs="宋体"/>
                <w:i w:val="0"/>
                <w:iCs w:val="0"/>
                <w:color w:val="auto"/>
                <w:sz w:val="21"/>
                <w:szCs w:val="21"/>
                <w:highlight w:val="none"/>
                <w:u w:val="none"/>
                <w:lang w:val="en-US" w:eastAsia="zh-CN" w:bidi="ar"/>
              </w:rPr>
              <w:t xml:space="preserve">符合要求</w:t>
            </w:r>
            <w:r>
              <w:rPr>
                <w:rFonts w:hint="eastAsia" w:ascii="宋体" w:hAnsi="宋体" w:eastAsia="宋体" w:cs="宋体"/>
                <w:i w:val="0"/>
                <w:iCs w:val="0"/>
                <w:color w:val="auto"/>
                <w:sz w:val="21"/>
                <w:szCs w:val="21"/>
                <w:highlight w:val="none"/>
                <w:u w:val="none"/>
                <w:lang w:val="en-US" w:eastAsia="zh-CN" w:bidi="ar"/>
              </w:rPr>
              <w:t xml:space="preserve">；注：提供第三方产品监督检测机构（检测报告至少带CMA标识）出具检测报告，否则不予认可。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4、拉手：一字折弯拉手；                                                     </w:t>
            </w:r>
            <w:r>
              <w:rPr>
                <w:rFonts w:hint="eastAsia" w:ascii="宋体" w:hAnsi="宋体" w:eastAsia="宋体" w:cs="宋体"/>
                <w:i w:val="0"/>
                <w:iCs w:val="0"/>
                <w:color w:val="auto"/>
                <w:sz w:val="21"/>
                <w:szCs w:val="21"/>
                <w:highlight w:val="none"/>
                <w:u w:val="none"/>
                <w:lang w:val="en-US" w:eastAsia="zh-CN" w:bidi="ar"/>
              </w:rPr>
              <w:t xml:space="preserve">                                                                                                                                                               ▲拉手：需符合GB/T 3325、GB/T 700、GB/T 35607、GB/T 4336、GB/T 228.1检测标准；检测内容：①金属喷漆(塑)涂层理化性能：符合要求；②家具涂层可迁移元素</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；③化学成分</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；④屈服强度、抗拉强度、断后伸长率</w:t>
            </w:r>
            <w:r>
              <w:rPr>
                <w:rFonts w:hint="eastAsia" w:ascii="宋体" w:hAnsi="宋体" w:cs="宋体"/>
                <w:i w:val="0"/>
                <w:iCs w:val="0"/>
                <w:color w:val="auto"/>
                <w:sz w:val="21"/>
                <w:szCs w:val="21"/>
                <w:highlight w:val="none"/>
                <w:u w:val="none"/>
                <w:lang w:val="en-US" w:eastAsia="zh-CN" w:bidi="ar"/>
              </w:rPr>
              <w:t xml:space="preserve">：合格；</w:t>
            </w:r>
            <w:r>
              <w:rPr>
                <w:rFonts w:hint="eastAsia" w:ascii="宋体" w:hAnsi="宋体" w:eastAsia="宋体" w:cs="宋体"/>
                <w:i w:val="0"/>
                <w:iCs w:val="0"/>
                <w:color w:val="auto"/>
                <w:sz w:val="21"/>
                <w:szCs w:val="21"/>
                <w:highlight w:val="none"/>
                <w:u w:val="none"/>
                <w:lang w:val="en-US" w:eastAsia="zh-CN" w:bidi="ar"/>
              </w:rPr>
              <w:t xml:space="preserve">注：提供第三方产品监督检测机构（检测报告至少带CMA标识）出具检测报告，否则不予认可。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5、粉末：采用优质环氧树脂抑菌粉末静电喷涂；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6、踢脚线：踢脚线部分采用≥0.8mm厚304油磨拉丝不锈钢板制作，比柜体前端面缩进尺寸为20mm，高150mm，操作时无抵脚感，符合人体工程学原理；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7、地柜可选择配置：双抽双开门柜、单抽单开门柜、双开门柜、单开门柜、水槽柜；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8、配置：抽屉及门板配嵌入式标签卡槽，中柜及上下柜内都有可调节层板，水槽处设亚克力挡水装置，亚克力厚度≥8mm；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9、垃圾柜工艺：一体成形PP垃圾盖、一体成形304不锈钢投放口、一体成形PP脚踏板、304不锈钢脚踏转动装置两根支撑杆支撑PP盖墙面开启方式、脚踏转动装置无裸露并有预留检修口；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10、柜子工艺：整体采用电阻焊接工艺，门与柜体的连接采用插销式门轴结构或铰链，门采用双层加工工艺，上柜柜门内嵌钢化玻璃，厚度≥5mm。                                                                         </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-55245</wp:posOffset>
                      </wp:positionV>
                      <wp:extent cx="1180465" cy="781685"/>
                      <wp:effectExtent l="0" t="0" r="635" b="18415"/>
                      <wp:wrapNone/>
                      <wp:docPr id="8" name="图片_11"/>
                      <wp:cNvGraphicFramePr/>
                      <a:graphic xmlns:a="http://schemas.openxmlformats.org/drawingml/2006/main">
                        <a:graphicData uri="http://schemas.openxmlformats.org/drawingml/2006/picture">
                          <pic:pic xmlns:pic="http://schemas.openxmlformats.org/drawingml/2006/picture">
                            <pic:nvPicPr>
                              <pic:cNvPr id="8" name="图片_11"/>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0pt;mso-position-horizontal:absolute;mso-position-vertical-relative:text;margin-top:-4.3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一套包括（配药柜下柜：1200*630*840mm，配药柜台面：1200*650*12mm，SUS304不锈钢踢脚线1.8米，304不锈钢台盆*1，有机玻璃挡水*1：700*500*380mm，肘触式高抛水龙头*1）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359410</wp:posOffset>
                      </wp:positionV>
                      <wp:extent cx="1201420" cy="564515"/>
                      <wp:effectExtent l="0" t="0" r="17780" b="6985"/>
                      <wp:wrapNone/>
                      <wp:docPr id="9" name="图片_19"/>
                      <wp:cNvGraphicFramePr/>
                      <a:graphic xmlns:a="http://schemas.openxmlformats.org/drawingml/2006/main">
                        <a:graphicData uri="http://schemas.openxmlformats.org/drawingml/2006/picture">
                          <pic:pic xmlns:pic="http://schemas.openxmlformats.org/drawingml/2006/picture">
                            <pic:nvPicPr>
                              <pic:cNvPr id="9" name="图片_19"/>
                              <pic:cNvPicPr/>
                              <pic:nvPr/>
                            </pic:nvPicPr>
                            <pic:blipFill>
                              <a:blip r:embed="rId20"/>
                              <a:stretch/>
                            </pic:blipFill>
                            <pic:spPr bwMode="auto">
                              <a:xfrm>
                                <a:off x="0" y="0"/>
                                <a:ext cx="1201420"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5.2pt;mso-position-horizontal:absolute;mso-position-vertical-relative:text;margin-top:28.3pt;mso-position-vertical:absolute;width:94.6pt;height:44.4pt;mso-wrap-distance-left:9.0pt;mso-wrap-distance-top:0.0pt;mso-wrap-distance-right:9.0pt;mso-wrap-distance-bottom:0.0pt;" stroked="f">
                      <v:path textboxrect="0,0,0,0"/>
                      <v:imagedata r:id="rId20"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一套包括（治疗柜上柜（玻璃门）：1200*350*550mm，治疗柜中柜：1200*350*600mm，治疗柜下柜：1200*630*840mm，0.7米LED感应灯*2，治疗柜台面：1200*650*12mm）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78105</wp:posOffset>
                      </wp:positionH>
                      <wp:positionV relativeFrom="paragraph">
                        <wp:posOffset>573405</wp:posOffset>
                      </wp:positionV>
                      <wp:extent cx="1180465" cy="781685"/>
                      <wp:effectExtent l="0" t="0" r="635" b="18415"/>
                      <wp:wrapNone/>
                      <wp:docPr id="10" name="图片_3"/>
                      <wp:cNvGraphicFramePr/>
                      <a:graphic xmlns:a="http://schemas.openxmlformats.org/drawingml/2006/main">
                        <a:graphicData uri="http://schemas.openxmlformats.org/drawingml/2006/picture">
                          <pic:pic xmlns:pic="http://schemas.openxmlformats.org/drawingml/2006/picture">
                            <pic:nvPicPr>
                              <pic:cNvPr id="10" name="图片_3"/>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6.1pt;mso-position-horizontal:absolute;mso-position-vertical-relative:text;margin-top:45.1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一套包括（治疗柜上柜（玻璃门）：2400*350*550mm，治疗柜中柜：2400*350*600mm，治疗柜下柜：2400*630*840mm，0.7米LED感应灯*2，治疗柜台面：2400*650*12mm，SUS304不锈钢踢脚线3.6米）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58420</wp:posOffset>
                      </wp:positionH>
                      <wp:positionV relativeFrom="paragraph">
                        <wp:posOffset>1009015</wp:posOffset>
                      </wp:positionV>
                      <wp:extent cx="1180465" cy="781685"/>
                      <wp:effectExtent l="0" t="0" r="635" b="18415"/>
                      <wp:wrapNone/>
                      <wp:docPr id="11" name="图片_1"/>
                      <wp:cNvGraphicFramePr/>
                      <a:graphic xmlns:a="http://schemas.openxmlformats.org/drawingml/2006/main">
                        <a:graphicData uri="http://schemas.openxmlformats.org/drawingml/2006/picture">
                          <pic:pic xmlns:pic="http://schemas.openxmlformats.org/drawingml/2006/picture">
                            <pic:nvPicPr>
                              <pic:cNvPr id="11" name="图片_1"/>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4.6pt;mso-position-horizontal:absolute;mso-position-vertical-relative:text;margin-top:79.5pt;mso-position-vertical:absolute;width:92.9pt;height:61.5pt;mso-wrap-distance-left:9.0pt;mso-wrap-distance-top:0.0pt;mso-wrap-distance-right:9.0pt;mso-wrap-distance-bottom:0.0pt;" stroked="f">
                      <v:path textboxrect="0,0,0,0"/>
                      <v:imagedata r:id="rId19"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一套包括（治疗柜上柜（玻璃门）：5670*350*550mm，治疗柜中柜：5670*350*600mm，治疗柜下柜：3850*630*840mm，治疗柜台面：5670*650*12mm，SUS304不锈钢踢脚线，输液柜：470*650*2000mm，</w:t>
            </w: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5616575</wp:posOffset>
                      </wp:positionH>
                      <wp:positionV relativeFrom="paragraph">
                        <wp:posOffset>1052830</wp:posOffset>
                      </wp:positionV>
                      <wp:extent cx="1180465" cy="781685"/>
                      <wp:effectExtent l="0" t="0" r="635" b="18415"/>
                      <wp:wrapNone/>
                      <wp:docPr id="12" name="图片_4"/>
                      <wp:cNvGraphicFramePr/>
                      <a:graphic xmlns:a="http://schemas.openxmlformats.org/drawingml/2006/main">
                        <a:graphicData uri="http://schemas.openxmlformats.org/drawingml/2006/picture">
                          <pic:pic xmlns:pic="http://schemas.openxmlformats.org/drawingml/2006/picture">
                            <pic:nvPicPr>
                              <pic:cNvPr id="12" name="图片_4"/>
                              <pic:cNvPicPr/>
                              <pic:nvPr/>
                            </pic:nvPicPr>
                            <pic:blipFill>
                              <a:blip r:embed="rId19"/>
                              <a:stretch/>
                            </pic:blipFill>
                            <pic:spPr bwMode="auto">
                              <a:xfrm>
                                <a:off x="0" y="0"/>
                                <a:ext cx="118046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true;mso-position-horizontal-relative:text;margin-left:442.2pt;mso-position-horizontal:absolute;mso-position-vertical-relative:text;margin-top:82.9pt;mso-position-vertical:absolute;width:92.9pt;height:61.5pt;mso-wrap-distance-left:9.0pt;mso-wrap-distance-top:0.0pt;mso-wrap-distance-right:9.0pt;mso-wrap-distance-bottom:0.0pt;" stroked="f">
                      <v:path textboxrect="0,0,0,0"/>
                      <v:imagedata r:id="rId19" o:title=""/>
                    </v:shape>
                  </w:pict>
                </mc:Fallback>
              </mc:AlternateContent>
            </w:r>
            <w:r>
              <w:rPr>
                <w:rFonts w:hint="eastAsia" w:ascii="宋体" w:hAnsi="宋体" w:cs="宋体"/>
                <w:color w:val="auto"/>
                <w:szCs w:val="21"/>
                <w:highlight w:val="none"/>
                <w:lang w:bidi="ar"/>
              </w:rPr>
              <w:t xml:space="preserve">六抽柜：800*630*840mm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高危药品柜：500*630*840mm，高危药品密码锁，ABS抗菌药品盒：大中小共5个，304不锈钢台盆*1，有机玻璃挡水*1：700*500*380mm，肘式高抛水龙头*1）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2、柜体：采用一级电解钢板，整体厚度≥1.0mm；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7、地柜可选择配置：双抽双开门柜、单抽单开门柜、双开门柜、单开门柜、六抽柜，水槽柜、高危药品柜（高危药品柜每个带两个机械锁）；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尺寸：1000*600*1100mm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2、主要板材厚度：台面、水池板厚度≥1.0mm；侧板、门板厚度≥0.8mm；加强管料用≥1.0mm；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3、柜门为双层结构，带缓冲功能；底脚为4个可调圆管脚，离地120mm高；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5、功能配置：304不锈钢缓冲铰链，冷热双控水龙头等；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▲不锈钢清洗池：需符合GB/T3325、QB/T3827、QB/T3832、GB/T10125、GB/T6461检测标准；检测内容：①结构安全：符合要求；②金属喷漆(塑)涂层硬度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合格；③铜加速乙酸盐雾（CASS）试验≥40小时后，外观评级10级，保护评级10级；注：提供第三方产品监督检测机构（检测报告至少带CMA标识）出具检测报告，否则不予认可。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294005</wp:posOffset>
                      </wp:positionH>
                      <wp:positionV relativeFrom="paragraph">
                        <wp:posOffset>669925</wp:posOffset>
                      </wp:positionV>
                      <wp:extent cx="727075" cy="1012190"/>
                      <wp:effectExtent l="0" t="0" r="15875" b="16510"/>
                      <wp:wrapNone/>
                      <wp:docPr id="13" name="图片_5"/>
                      <wp:cNvGraphicFramePr/>
                      <a:graphic xmlns:a="http://schemas.openxmlformats.org/drawingml/2006/main">
                        <a:graphicData uri="http://schemas.openxmlformats.org/drawingml/2006/picture">
                          <pic:pic xmlns:pic="http://schemas.openxmlformats.org/drawingml/2006/picture">
                            <pic:nvPicPr>
                              <pic:cNvPr id="13" name="图片_5"/>
                              <pic:cNvPicPr/>
                              <pic:nvPr/>
                            </pic:nvPicPr>
                            <pic:blipFill>
                              <a:blip r:embed="rId21"/>
                              <a:stretch/>
                            </pic:blipFill>
                            <pic:spPr bwMode="auto">
                              <a:xfrm>
                                <a:off x="0" y="0"/>
                                <a:ext cx="727075" cy="1012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5408;o:allowoverlap:true;o:allowincell:true;mso-position-horizontal-relative:text;margin-left:23.1pt;mso-position-horizontal:absolute;mso-position-vertical-relative:text;margin-top:52.8pt;mso-position-vertical:absolute;width:57.2pt;height:79.7pt;mso-wrap-distance-left:9.0pt;mso-wrap-distance-top:0.0pt;mso-wrap-distance-right:9.0pt;mso-wrap-distance-bottom:0.0pt;" stroked="f">
                      <v:path textboxrect="0,0,0,0"/>
                      <v:imagedata r:id="rId21"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医用鞋柜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换鞋柜：1200*400*1500mm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1、主要材料：电解钢板，具有更抗酸、更防锈、更防蚀、和涂层接触更稳固、使用年限更长等特点；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2、主要板材厚度：整体厚度≥0.8mm；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3、配置：顶板配≥25mm厚EO级实木多层板，三聚氰胺纸饰面，2.</w:t>
            </w:r>
            <w:r>
              <w:rPr>
                <w:rFonts w:hint="eastAsia" w:ascii="宋体" w:hAnsi="宋体" w:cs="宋体"/>
                <w:color w:val="auto"/>
                <w:szCs w:val="21"/>
                <w:highlight w:val="none"/>
                <w:lang w:bidi="ar"/>
              </w:rPr>
              <w:t xml:space="preserve">0mm厚PVC封边条封边。；                                                                                                                                      ▲实木多层板：需符合GB 18580、GB/T 17657、GB/T 9846、HJ571、GB/T29899、QB/T 2761检测标准；检测内容：①阔叶树材胶合板外质量：符合要求；②理化性能：（胶合强度、浸渍剥离</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静曲强度、弹性模量</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均合格；③甲醛释放量合格；总挥发性有机化合物</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；④抗菌性能：抗菌率≥99.9%；</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4、所有板件经数控激光切割、模具冲压、数控折弯、焊接、机器打磨而成；表面采用环氧树脂抑菌粉末静电喷涂处理，具有抗菌、防锈、耐腐蚀、绝缘性高、附着力强、耐摩擦等技术特点。</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160020</wp:posOffset>
                      </wp:positionH>
                      <wp:positionV relativeFrom="paragraph">
                        <wp:posOffset>795655</wp:posOffset>
                      </wp:positionV>
                      <wp:extent cx="1038860" cy="601980"/>
                      <wp:effectExtent l="0" t="0" r="8890" b="7620"/>
                      <wp:wrapNone/>
                      <wp:docPr id="14" name="图片_2"/>
                      <wp:cNvGraphicFramePr/>
                      <a:graphic xmlns:a="http://schemas.openxmlformats.org/drawingml/2006/main">
                        <a:graphicData uri="http://schemas.openxmlformats.org/drawingml/2006/picture">
                          <pic:pic xmlns:pic="http://schemas.openxmlformats.org/drawingml/2006/picture">
                            <pic:nvPicPr>
                              <pic:cNvPr id="14" name="图片_2"/>
                              <pic:cNvPicPr/>
                              <pic:nvPr/>
                            </pic:nvPicPr>
                            <pic:blipFill>
                              <a:blip r:embed="rId22"/>
                              <a:stretch/>
                            </pic:blipFill>
                            <pic:spPr bwMode="auto">
                              <a:xfrm>
                                <a:off x="0" y="0"/>
                                <a:ext cx="103886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2.6pt;mso-position-horizontal:absolute;mso-position-vertical-relative:text;margin-top:62.6pt;mso-position-vertical:absolute;width:81.8pt;height:47.4pt;mso-wrap-distance-left:9.0pt;mso-wrap-distance-top:0.0pt;mso-wrap-distance-right:9.0pt;mso-wrap-distance-bottom:0.0pt;" stroked="f">
                      <v:path textboxrect="0,0,0,0"/>
                      <v:imagedata r:id="rId22"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排泄物处置柜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5455285</wp:posOffset>
                      </wp:positionH>
                      <wp:positionV relativeFrom="paragraph">
                        <wp:posOffset>225425</wp:posOffset>
                      </wp:positionV>
                      <wp:extent cx="770890" cy="1054100"/>
                      <wp:effectExtent l="0" t="0" r="10160" b="12700"/>
                      <wp:wrapNone/>
                      <wp:docPr id="15" name="图片_21"/>
                      <wp:cNvGraphicFramePr/>
                      <a:graphic xmlns:a="http://schemas.openxmlformats.org/drawingml/2006/main">
                        <a:graphicData uri="http://schemas.openxmlformats.org/drawingml/2006/picture">
                          <pic:pic xmlns:pic="http://schemas.openxmlformats.org/drawingml/2006/picture">
                            <pic:nvPicPr>
                              <pic:cNvPr id="15" name="图片_21"/>
                              <pic:cNvPicPr/>
                              <pic:nvPr/>
                            </pic:nvPicPr>
                            <pic:blipFill>
                              <a:blip r:embed="rId23"/>
                              <a:stretch/>
                            </pic:blipFill>
                            <pic:spPr bwMode="auto">
                              <a:xfrm>
                                <a:off x="0" y="0"/>
                                <a:ext cx="770890"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429.5pt;mso-position-horizontal:absolute;mso-position-vertical-relative:text;margin-top:17.8pt;mso-position-vertical:absolute;width:60.7pt;height:83.0pt;mso-wrap-distance-left:9.0pt;mso-wrap-distance-top:0.0pt;mso-wrap-distance-right:9.0pt;mso-wrap-distance-bottom:0.0pt;" stroked="f">
                      <v:path textboxrect="0,0,0,0"/>
                      <v:imagedata r:id="rId23" o:title=""/>
                    </v:shape>
                  </w:pict>
                </mc:Fallback>
              </mc:AlternateContent>
            </w:r>
            <w:r>
              <w:rPr>
                <w:rFonts w:hint="eastAsia" w:ascii="宋体" w:hAnsi="宋体" w:cs="宋体"/>
                <w:color w:val="auto"/>
                <w:szCs w:val="21"/>
                <w:highlight w:val="none"/>
                <w:lang w:bidi="ar"/>
              </w:rPr>
              <w:t xml:space="preserve">一套包括（污洗置物架：800*350*500mm，污洗柜：800*600*1100mm，冷热双控水龙头*1，污物倾倒池：500*600*1100mm）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2、主要板材厚度：台面、水池板厚度≥1.0mm；侧板、门板厚度≥0.8mm；加强管料用≥1.0mm；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3、柜门为双层结构，带缓冲功能；底脚为4个可调圆管脚，离地120mm高；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5、功能配置：304不锈钢缓冲铰链等；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690245</wp:posOffset>
                      </wp:positionH>
                      <wp:positionV relativeFrom="paragraph">
                        <wp:posOffset>408305</wp:posOffset>
                      </wp:positionV>
                      <wp:extent cx="609600" cy="622935"/>
                      <wp:effectExtent l="0" t="0" r="0" b="5715"/>
                      <wp:wrapNone/>
                      <wp:docPr id="16" name="picture_1074"/>
                      <wp:cNvGraphicFramePr/>
                      <a:graphic xmlns:a="http://schemas.openxmlformats.org/drawingml/2006/main">
                        <a:graphicData uri="http://schemas.openxmlformats.org/drawingml/2006/picture">
                          <pic:pic xmlns:pic="http://schemas.openxmlformats.org/drawingml/2006/picture">
                            <pic:nvPicPr>
                              <pic:cNvPr id="16" name="picture_1074"/>
                              <pic:cNvPicPr/>
                              <pic:nvPr/>
                            </pic:nvPicPr>
                            <pic:blipFill>
                              <a:blip r:embed="rId24"/>
                              <a:stretch/>
                            </pic:blipFill>
                            <pic:spPr bwMode="auto">
                              <a:xfrm>
                                <a:off x="0" y="0"/>
                                <a:ext cx="609600" cy="622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7456;o:allowoverlap:true;o:allowincell:true;mso-position-horizontal-relative:text;margin-left:54.3pt;mso-position-horizontal:absolute;mso-position-vertical-relative:text;margin-top:32.1pt;mso-position-vertical:absolute;width:48.0pt;height:49.0pt;mso-wrap-distance-left:9.0pt;mso-wrap-distance-top:0.0pt;mso-wrap-distance-right:9.0pt;mso-wrap-distance-bottom:0.0pt;" stroked="f">
                      <v:path textboxrect="0,0,0,0"/>
                      <v:imagedata r:id="rId24"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口腔边柜上柜（平板门</w:t>
            </w:r>
            <w:r/>
          </w:p>
        </w:tc>
        <w:tc>
          <w:tcPr>
            <w:tcBorders>
              <w:top w:val="single" w:color="000000" w:sz="4" w:space="0"/>
              <w:left w:val="single" w:color="000000" w:sz="4" w:space="0"/>
              <w:bottom w:val="single" w:color="000000" w:sz="4" w:space="0"/>
              <w:right w:val="single" w:color="000000" w:sz="4" w:space="0"/>
            </w:tcBorders>
            <w:tcW w:w="295" w:type="pct"/>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restar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一套包括（口腔边柜上柜（平板门）：3200*350*550mm，钢制背架：3200*50*1850mm，口腔边柜下柜：3200*500*840mm，口腔边柜台面：3200*520*12mm，垃圾处置组件，导轨插座(3插孔）*2，活动柜：500*490*790mm）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1、台面板：采用优质医用复合亚克力人造石，其材料厚度≥12mm，边缘加厚30mm。具有易清洁、抗污垢、耐冲击、耐高温、具有阻燃性、无毒等特点；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柜体：采用一级电解钢板，门、抽面厚1.0mm双层结构，其它厚1.0mm，表面采用环保室内型环氧树脂静电粉末喷涂，流水线喷涂，涂层膜厚度均匀，表面喷粉颜色靓丽，具有环保、抑菌、防锈、耐腐蚀、绝缘性高、附着力强、耐摩擦等技术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3、优质五金配件：304不锈钢缓冲铰链、三节导轨导轨、优质锁具；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4、拉手：一字折弯拉手；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5、粉末：采用优质环氧树脂抑菌粉末静电喷涂；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6、踢脚线：踢脚线部分采用≥0.8mm厚304油磨拉丝不锈钢板制作，比柜体前端面缩进尺寸为20mm，高150mm，操作时无抵脚感，符合人体工程学原理；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7、地柜可选择配置：双抽双开门柜、单抽单开门柜、双开门柜、单开门柜、水槽柜；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8、配置：抽屉及门板配嵌入式标签卡槽，中柜及上下柜内都有可调节层板，水槽处设亚克力挡水装置，亚克力厚度≥8mm；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9、垃圾柜工艺：一体成形PP垃圾盖、一体成形304不锈钢投放口、一体成形PP脚踏板、304不锈钢脚踏转动装置两根支撑杆支撑PP盖墙面开启方式、脚踏转动装置无裸露并有预留检修口；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10、柜子工艺：整体采用电阻焊接工艺，门与柜体的连接采用插销式门轴结构或铰链，门采用双层加工工艺，上柜柜门内嵌钢化玻璃，厚度≥5mm。</w:t>
            </w:r>
            <w:r/>
          </w:p>
        </w:tc>
        <w:tc>
          <w:tcPr>
            <w:tcBorders>
              <w:top w:val="single" w:color="000000" w:sz="4" w:space="0"/>
              <w:left w:val="single" w:color="000000" w:sz="4" w:space="0"/>
              <w:bottom w:val="single" w:color="000000" w:sz="4" w:space="0"/>
              <w:right w:val="single" w:color="000000" w:sz="4" w:space="0"/>
            </w:tcBorders>
            <w:tcW w:w="781" w:type="pct"/>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92075</wp:posOffset>
                      </wp:positionH>
                      <wp:positionV relativeFrom="paragraph">
                        <wp:posOffset>1286510</wp:posOffset>
                      </wp:positionV>
                      <wp:extent cx="1133475" cy="906780"/>
                      <wp:effectExtent l="0" t="0" r="9525" b="7620"/>
                      <wp:wrapNone/>
                      <wp:docPr id="17" name="图片_6"/>
                      <wp:cNvGraphicFramePr/>
                      <a:graphic xmlns:a="http://schemas.openxmlformats.org/drawingml/2006/main">
                        <a:graphicData uri="http://schemas.openxmlformats.org/drawingml/2006/picture">
                          <pic:pic xmlns:pic="http://schemas.openxmlformats.org/drawingml/2006/picture">
                            <pic:nvPicPr>
                              <pic:cNvPr id="17" name="图片_6"/>
                              <pic:cNvPicPr/>
                              <pic:nvPr/>
                            </pic:nvPicPr>
                            <pic:blipFill>
                              <a:blip r:embed="rId25"/>
                              <a:stretch/>
                            </pic:blipFill>
                            <pic:spPr bwMode="auto">
                              <a:xfrm>
                                <a:off x="0" y="0"/>
                                <a:ext cx="1133475" cy="906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8480;o:allowoverlap:true;o:allowincell:true;mso-position-horizontal-relative:text;margin-left:7.2pt;mso-position-horizontal:absolute;mso-position-vertical-relative:text;margin-top:101.3pt;mso-position-vertical:absolute;width:89.2pt;height:71.4pt;mso-wrap-distance-left:9.0pt;mso-wrap-distance-top:0.0pt;mso-wrap-distance-right:9.0pt;mso-wrap-distance-bottom:0.0pt;" stroked="f">
                      <v:path textboxrect="0,0,0,0"/>
                      <v:imagedata r:id="rId25"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钢制背架</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口腔边柜下柜</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口腔边柜台面</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垃圾处置组件</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导轨插座(3插孔）*2</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活动柜</w:t>
            </w:r>
            <w:r/>
          </w:p>
        </w:tc>
        <w:tc>
          <w:tcPr>
            <w:tcBorders>
              <w:top w:val="single" w:color="000000" w:sz="4" w:space="0"/>
              <w:left w:val="single" w:color="000000" w:sz="4" w:space="0"/>
              <w:bottom w:val="single" w:color="000000" w:sz="4" w:space="0"/>
              <w:right w:val="single" w:color="000000" w:sz="4" w:space="0"/>
            </w:tcBorders>
            <w:tcW w:w="295"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79" w:type="pct"/>
            <w:vAlign w:val="center"/>
            <w:vMerge w:val="continue"/>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无菌器械柜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器械柜：900*400*1800mm                                                                                                                                                                                   1、主要材料：采用304不锈钢板材，具有不易生锈、防蚀等特点；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2、主要板材厚度：侧板、门板、顶板、底板、层板用0.8mm，加强管料用1.0mm；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3、器械柜分两层结构，上层门为不锈钢双面门板夹5mm玻璃，内均分三层；下层为对开掩门，内均分二层；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4、柜门为双层结构,带缓冲功能；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5、功能配置：主柜+上下对开门+中层拉板；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6、所有工件经数控激光切割、模具冲压、数控折弯、亚弧焊接、机器打磨、抛光、拉丝而成。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▲器械柜：</w:t>
            </w:r>
            <w:bookmarkStart w:id="30" w:name="OLE_LINK2"/>
            <w:r>
              <w:rPr>
                <w:rFonts w:hint="eastAsia" w:ascii="宋体" w:hAnsi="宋体" w:cs="宋体"/>
                <w:color w:val="auto"/>
                <w:szCs w:val="21"/>
                <w:highlight w:val="none"/>
                <w:lang w:bidi="ar"/>
              </w:rPr>
              <w:t xml:space="preserve">需符合GB/T 3325检测标准；检测内容：①金属喷漆(塑)涂层冲击强度：</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；②金属喷漆(塑)涂层硬度</w:t>
            </w:r>
            <w:bookmarkEnd w:id="30"/>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203200</wp:posOffset>
                      </wp:positionH>
                      <wp:positionV relativeFrom="paragraph">
                        <wp:posOffset>330835</wp:posOffset>
                      </wp:positionV>
                      <wp:extent cx="800735" cy="1362710"/>
                      <wp:effectExtent l="0" t="0" r="18415" b="8890"/>
                      <wp:wrapNone/>
                      <wp:docPr id="18" name="图片_7"/>
                      <wp:cNvGraphicFramePr/>
                      <a:graphic xmlns:a="http://schemas.openxmlformats.org/drawingml/2006/main">
                        <a:graphicData uri="http://schemas.openxmlformats.org/drawingml/2006/picture">
                          <pic:pic xmlns:pic="http://schemas.openxmlformats.org/drawingml/2006/picture">
                            <pic:nvPicPr>
                              <pic:cNvPr id="18" name="图片_7"/>
                              <pic:cNvPicPr/>
                              <pic:nvPr/>
                            </pic:nvPicPr>
                            <pic:blipFill>
                              <a:blip r:embed="rId26"/>
                              <a:stretch/>
                            </pic:blipFill>
                            <pic:spPr bwMode="auto">
                              <a:xfrm>
                                <a:off x="0" y="0"/>
                                <a:ext cx="800735" cy="1362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9504;o:allowoverlap:true;o:allowincell:true;mso-position-horizontal-relative:text;margin-left:16.0pt;mso-position-horizontal:absolute;mso-position-vertical-relative:text;margin-top:26.0pt;mso-position-vertical:absolute;width:63.0pt;height:107.3pt;mso-wrap-distance-left:9.0pt;mso-wrap-distance-top:0.0pt;mso-wrap-distance-right:9.0pt;mso-wrap-distance-bottom:0.0pt;" stroked="f">
                      <v:path textboxrect="0,0,0,0"/>
                      <v:imagedata r:id="rId26"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无菌储物柜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strike w:val="0"/>
                <w:color w:val="auto"/>
                <w:szCs w:val="21"/>
                <w:highlight w:val="none"/>
                <w:lang w:bidi="ar"/>
              </w:rPr>
            </w:pPr>
            <w:r>
              <w:rPr>
                <w:rFonts w:hint="eastAsia" w:ascii="宋体" w:hAnsi="宋体" w:cs="宋体"/>
                <w:color w:val="auto"/>
                <w:szCs w:val="21"/>
                <w:highlight w:val="none"/>
                <w:lang w:bidi="ar"/>
              </w:rPr>
              <w:t xml:space="preserve">储物柜：1000*500*1800mm                                                                                                                                                                                    1、主要材料：电解钢板，具有更抗酸、更防锈、更防蚀、和涂层接触更稳固、使用年限更长等特点；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2、主要板材厚度：侧板、门板、顶板、底板、层板厚度≥0.8mm；                                                                                                                                               </w:t>
            </w:r>
            <w:r>
              <w:rPr>
                <w:rFonts w:hint="eastAsia" w:ascii="宋体" w:hAnsi="宋体" w:cs="宋体"/>
                <w:strike w:val="0"/>
                <w:color w:val="auto"/>
                <w:szCs w:val="21"/>
                <w:highlight w:val="none"/>
                <w:lang w:bidi="ar"/>
              </w:rPr>
              <w:t xml:space="preserve">顶板：需符合GB/T230.1、GB/T229、GB/T 10561、GB/T5027、GB/T13012、QB/T4371；检测内容：①洛氏硬</w:t>
            </w:r>
            <w:r>
              <w:rPr>
                <w:rFonts w:hint="eastAsia" w:ascii="宋体" w:hAnsi="宋体" w:cs="宋体"/>
                <w:strike w:val="0"/>
                <w:color w:val="auto"/>
                <w:szCs w:val="21"/>
                <w:highlight w:val="none"/>
                <w:lang w:eastAsia="zh-CN" w:bidi="ar"/>
              </w:rPr>
              <w:t xml:space="preserve">、</w:t>
            </w:r>
            <w:r>
              <w:rPr>
                <w:rFonts w:hint="eastAsia" w:ascii="宋体" w:hAnsi="宋体" w:cs="宋体"/>
                <w:strike w:val="0"/>
                <w:color w:val="auto"/>
                <w:szCs w:val="21"/>
                <w:highlight w:val="none"/>
                <w:lang w:bidi="ar"/>
              </w:rPr>
              <w:t xml:space="preserve">冲击试验</w:t>
            </w:r>
            <w:r>
              <w:rPr>
                <w:rFonts w:hint="eastAsia" w:ascii="宋体" w:hAnsi="宋体" w:cs="宋体"/>
                <w:strike w:val="0"/>
                <w:color w:val="auto"/>
                <w:szCs w:val="21"/>
                <w:highlight w:val="none"/>
                <w:lang w:eastAsia="zh-CN" w:bidi="ar"/>
              </w:rPr>
              <w:t xml:space="preserve">、</w:t>
            </w:r>
            <w:r>
              <w:rPr>
                <w:rFonts w:hint="eastAsia" w:ascii="宋体" w:hAnsi="宋体" w:cs="宋体"/>
                <w:strike w:val="0"/>
                <w:color w:val="auto"/>
                <w:szCs w:val="21"/>
                <w:highlight w:val="none"/>
                <w:lang w:bidi="ar"/>
              </w:rPr>
              <w:t xml:space="preserve">非金属夹杂物</w:t>
            </w:r>
            <w:r>
              <w:rPr>
                <w:rFonts w:hint="eastAsia" w:ascii="宋体" w:hAnsi="宋体" w:cs="宋体"/>
                <w:strike w:val="0"/>
                <w:color w:val="auto"/>
                <w:szCs w:val="21"/>
                <w:highlight w:val="none"/>
                <w:lang w:eastAsia="zh-CN" w:bidi="ar"/>
              </w:rPr>
              <w:t xml:space="preserve">、</w:t>
            </w:r>
            <w:r>
              <w:rPr>
                <w:rFonts w:hint="eastAsia" w:ascii="宋体" w:hAnsi="宋体" w:cs="宋体"/>
                <w:strike w:val="0"/>
                <w:color w:val="auto"/>
                <w:szCs w:val="21"/>
                <w:highlight w:val="none"/>
                <w:lang w:bidi="ar"/>
              </w:rPr>
              <w:t xml:space="preserve">塑性应变比，均符合；②抗菌性能：抑菌率≥99</w:t>
            </w:r>
            <w:r>
              <w:rPr>
                <w:rFonts w:hint="eastAsia" w:ascii="宋体" w:hAnsi="宋体" w:cs="宋体"/>
                <w:strike w:val="0"/>
                <w:color w:val="auto"/>
                <w:szCs w:val="21"/>
                <w:highlight w:val="none"/>
                <w:lang w:val="en-US" w:eastAsia="zh-CN" w:bidi="ar"/>
              </w:rPr>
              <w:t xml:space="preserve">.9</w:t>
            </w:r>
            <w:r>
              <w:rPr>
                <w:rFonts w:hint="eastAsia" w:ascii="宋体" w:hAnsi="宋体" w:cs="宋体"/>
                <w:strike w:val="0"/>
                <w:color w:val="auto"/>
                <w:szCs w:val="21"/>
                <w:highlight w:val="none"/>
                <w:lang w:bidi="ar"/>
              </w:rPr>
              <w:t xml:space="preserve">%；</w:t>
            </w:r>
            <w:r/>
          </w:p>
          <w:p>
            <w:pPr>
              <w:jc w:val="left"/>
              <w:widowControl/>
              <w:rPr>
                <w:rFonts w:hint="eastAsia" w:ascii="宋体" w:hAnsi="宋体" w:cs="宋体"/>
                <w:color w:val="auto"/>
                <w:szCs w:val="21"/>
                <w:highlight w:val="none"/>
              </w:rPr>
            </w:pPr>
            <w:r>
              <w:rPr>
                <w:rFonts w:hint="eastAsia" w:ascii="宋体" w:hAnsi="宋体" w:cs="宋体"/>
                <w:strike w:val="0"/>
                <w:color w:val="auto"/>
                <w:szCs w:val="21"/>
                <w:highlight w:val="none"/>
                <w:lang w:bidi="ar"/>
              </w:rPr>
              <w:t xml:space="preserve">搁板或V形加强筋防护搁板（层板）：需符合GB/T 31838.3、GB/T3325、HJ2547检测标准；检测内容：①金属件外观性能要求：符合要求；②金属喷漆涂层理化性能：</w:t>
            </w:r>
            <w:r>
              <w:rPr>
                <w:rFonts w:hint="eastAsia" w:ascii="宋体" w:hAnsi="宋体" w:cs="宋体"/>
                <w:strike w:val="0"/>
                <w:color w:val="auto"/>
                <w:szCs w:val="21"/>
                <w:highlight w:val="none"/>
                <w:lang w:val="en-US" w:eastAsia="zh-CN" w:bidi="ar"/>
              </w:rPr>
              <w:t xml:space="preserve">符合要求</w:t>
            </w:r>
            <w:r>
              <w:rPr>
                <w:rFonts w:hint="eastAsia" w:ascii="宋体" w:hAnsi="宋体" w:cs="宋体"/>
                <w:strike w:val="0"/>
                <w:color w:val="auto"/>
                <w:szCs w:val="21"/>
                <w:highlight w:val="none"/>
                <w:lang w:bidi="ar"/>
              </w:rPr>
              <w:t xml:space="preserve">；③产品表面涂层可迁移元素：均未检出。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3、工艺要求：柜门为双层结构；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4、功能配置：上对开掩门，内含两块活动层板，下对开掩门，内含一块活动层板；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5、五金配置：304不锈钢缓冲门铰，一字折弯拉手，锁具等；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6、所有板件经数控激光切割、模具冲压、数控折弯、焊接、机器打磨而成；表面采用环氧树脂抑菌粉末静电喷涂处理，具有抗菌、防锈、耐腐蚀、绝缘性高、附着力强、耐摩擦等技术特点。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▲物品柜（储物柜）：需符合GB/T 3325、GB/T 13668、QB/T 4371检测标准；检测内容：①金属喷漆(塑)涂层硬度</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；②</w:t>
            </w:r>
            <w:r>
              <w:rPr>
                <w:rFonts w:hint="eastAsia" w:ascii="宋体" w:hAnsi="宋体" w:cs="宋体"/>
                <w:color w:val="auto"/>
                <w:szCs w:val="21"/>
                <w:highlight w:val="none"/>
                <w:lang w:val="en-US" w:eastAsia="zh-CN" w:bidi="ar"/>
              </w:rPr>
              <w:t xml:space="preserve">力学性能：</w:t>
            </w:r>
            <w:r>
              <w:rPr>
                <w:rFonts w:hint="eastAsia" w:ascii="宋体" w:hAnsi="宋体" w:cs="宋体"/>
                <w:color w:val="auto"/>
                <w:szCs w:val="21"/>
                <w:highlight w:val="none"/>
                <w:lang w:bidi="ar"/>
              </w:rPr>
              <w:t xml:space="preserve">合格；③抗菌性能：抑菌率≥99.9%。注：提供第三方产品监督检测机构（检测报告至少带CMA标识）出具检测报告，否则不予认可。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208915</wp:posOffset>
                      </wp:positionH>
                      <wp:positionV relativeFrom="paragraph">
                        <wp:posOffset>-52705</wp:posOffset>
                      </wp:positionV>
                      <wp:extent cx="943610" cy="1623695"/>
                      <wp:effectExtent l="0" t="0" r="8890" b="14604"/>
                      <wp:wrapNone/>
                      <wp:docPr id="19" name="图片_8"/>
                      <wp:cNvGraphicFramePr/>
                      <a:graphic xmlns:a="http://schemas.openxmlformats.org/drawingml/2006/main">
                        <a:graphicData uri="http://schemas.openxmlformats.org/drawingml/2006/picture">
                          <pic:pic xmlns:pic="http://schemas.openxmlformats.org/drawingml/2006/picture">
                            <pic:nvPicPr>
                              <pic:cNvPr id="19" name="图片_8"/>
                              <pic:cNvPicPr/>
                              <pic:nvPr/>
                            </pic:nvPicPr>
                            <pic:blipFill>
                              <a:blip r:embed="rId27"/>
                              <a:stretch/>
                            </pic:blipFill>
                            <pic:spPr bwMode="auto">
                              <a:xfrm>
                                <a:off x="0" y="0"/>
                                <a:ext cx="943610" cy="162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16.4pt;mso-position-horizontal:absolute;mso-position-vertical-relative:text;margin-top:-4.1pt;mso-position-vertical:absolute;width:74.3pt;height:127.8pt;mso-wrap-distance-left:9.0pt;mso-wrap-distance-top:0.0pt;mso-wrap-distance-right:9.0pt;mso-wrap-distance-bottom:0.0pt;" stroked="f">
                      <v:path textboxrect="0,0,0,0"/>
                      <v:imagedata r:id="rId27"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医用无菌货架</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b/>
                <w:bCs/>
                <w:i/>
                <w:iCs/>
                <w:strike w:val="0"/>
                <w:color w:val="auto"/>
                <w:szCs w:val="21"/>
                <w:highlight w:val="none"/>
                <w:lang w:bidi="ar"/>
              </w:rPr>
            </w:pPr>
            <w:r>
              <w:rPr>
                <w:rFonts w:hint="eastAsia" w:ascii="宋体" w:hAnsi="宋体" w:cs="宋体"/>
                <w:color w:val="auto"/>
                <w:szCs w:val="21"/>
                <w:highlight w:val="none"/>
                <w:lang w:bidi="ar"/>
              </w:rPr>
              <w:t xml:space="preserve">尺寸</w:t>
            </w:r>
            <w:r>
              <w:rPr>
                <w:rFonts w:hint="eastAsia" w:ascii="宋体" w:hAnsi="宋体" w:cs="宋体"/>
                <w:color w:val="auto"/>
                <w:szCs w:val="21"/>
                <w:highlight w:val="none"/>
                <w:lang w:bidi="ar"/>
              </w:rPr>
              <w:t xml:space="preserve">：1000*500*2000mm（顶底五层）                                                                                                                                                                        1、架体：采用优质冷轧钢板、钢管，立柱80*40*1.2mm，横梁60*40*1.2mm，层板0.8 mm，表面应平整光滑、无划痕；</w:t>
            </w:r>
            <w:r>
              <w:rPr>
                <w:rFonts w:hint="eastAsia" w:ascii="宋体" w:hAnsi="宋体" w:cs="宋体"/>
                <w:color w:val="auto"/>
                <w:szCs w:val="21"/>
                <w:highlight w:val="none"/>
                <w:lang w:bidi="ar"/>
              </w:rPr>
              <w:br/>
            </w:r>
            <w:r>
              <w:rPr>
                <w:rFonts w:hint="eastAsia" w:ascii="宋体" w:hAnsi="宋体" w:cs="宋体"/>
                <w:strike w:val="0"/>
                <w:color w:val="auto"/>
                <w:szCs w:val="21"/>
                <w:highlight w:val="none"/>
                <w:lang w:bidi="ar"/>
              </w:rPr>
              <w:t xml:space="preserve">▲冷轧钢板：需符合GB/T 3325检测标准；检测内容：①外观性能要求/喷涂层:合格；②金属喷漆(塑)涂层：</w:t>
            </w:r>
            <w:r>
              <w:rPr>
                <w:rFonts w:hint="eastAsia" w:ascii="宋体" w:hAnsi="宋体" w:cs="宋体"/>
                <w:strike w:val="0"/>
                <w:color w:val="auto"/>
                <w:szCs w:val="21"/>
                <w:highlight w:val="none"/>
                <w:lang w:val="en-US" w:eastAsia="zh-CN" w:bidi="ar"/>
              </w:rPr>
              <w:t xml:space="preserve">合格</w:t>
            </w:r>
            <w:r>
              <w:rPr>
                <w:rFonts w:hint="eastAsia" w:ascii="宋体" w:hAnsi="宋体" w:cs="宋体"/>
                <w:strike w:val="0"/>
                <w:color w:val="auto"/>
                <w:szCs w:val="21"/>
                <w:highlight w:val="none"/>
                <w:lang w:bidi="ar"/>
              </w:rPr>
              <w:t xml:space="preserve">。</w:t>
            </w:r>
            <w:r/>
          </w:p>
          <w:p>
            <w:pPr>
              <w:jc w:val="left"/>
              <w:widowControl/>
              <w:rPr>
                <w:rFonts w:hint="eastAsia" w:ascii="宋体" w:hAnsi="宋体" w:cs="宋体"/>
                <w:color w:val="auto"/>
                <w:szCs w:val="21"/>
                <w:highlight w:val="none"/>
                <w:lang w:bidi="ar"/>
              </w:rPr>
            </w:pPr>
            <w:r>
              <w:rPr>
                <w:rFonts w:hint="eastAsia" w:ascii="宋体" w:hAnsi="宋体" w:cs="宋体"/>
                <w:strike w:val="0"/>
                <w:color w:val="auto"/>
                <w:szCs w:val="21"/>
                <w:highlight w:val="none"/>
                <w:lang w:bidi="ar"/>
              </w:rPr>
              <w:t xml:space="preserve">注：提供第三方产品监督检测机构（检测报告至少带CMA标识）出具检测报告，否则不予认可。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▲货架：需符合GB/T 3325、GB/T 35607、GB/T 1865、GB/T 1766、QB/T 4371检测标准；检测内容：①甲醛释放量</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；苯、甲苯、二甲苯</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；总挥发性有机化合物（TVOC）</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；家具涂层可迁移元素</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；②金属件外观要求</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；③金属喷漆(塑)涂层理化性能：</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；④人工气候老化试验</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合格；⑤</w:t>
            </w:r>
            <w:r>
              <w:rPr>
                <w:rFonts w:hint="eastAsia" w:ascii="宋体" w:hAnsi="宋体" w:cs="宋体"/>
                <w:color w:val="auto"/>
                <w:szCs w:val="21"/>
                <w:highlight w:val="none"/>
                <w:lang w:bidi="ar"/>
              </w:rPr>
              <w:t xml:space="preserve">抗菌性能：抑菌率≥99.9%；</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-5080</wp:posOffset>
                      </wp:positionH>
                      <wp:positionV relativeFrom="paragraph">
                        <wp:posOffset>73660</wp:posOffset>
                      </wp:positionV>
                      <wp:extent cx="1231265" cy="740410"/>
                      <wp:effectExtent l="0" t="0" r="6985" b="2540"/>
                      <wp:wrapNone/>
                      <wp:docPr id="20" name="图片_9"/>
                      <wp:cNvGraphicFramePr/>
                      <a:graphic xmlns:a="http://schemas.openxmlformats.org/drawingml/2006/main">
                        <a:graphicData uri="http://schemas.openxmlformats.org/drawingml/2006/picture">
                          <pic:pic xmlns:pic="http://schemas.openxmlformats.org/drawingml/2006/picture">
                            <pic:nvPicPr>
                              <pic:cNvPr id="20" name="图片_9"/>
                              <pic:cNvPicPr/>
                              <pic:nvPr/>
                            </pic:nvPicPr>
                            <pic:blipFill>
                              <a:blip r:embed="rId28"/>
                              <a:stretch/>
                            </pic:blipFill>
                            <pic:spPr bwMode="auto">
                              <a:xfrm>
                                <a:off x="0" y="0"/>
                                <a:ext cx="1231264"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0.4pt;mso-position-horizontal:absolute;mso-position-vertical-relative:text;margin-top:5.8pt;mso-position-vertical:absolute;width:96.9pt;height:58.3pt;mso-wrap-distance-left:9.0pt;mso-wrap-distance-top:0.0pt;mso-wrap-distance-right:9.0pt;mso-wrap-distance-bottom:0.0pt;" stroked="f">
                      <v:path textboxrect="0,0,0,0"/>
                      <v:imagedata r:id="rId28" o:title=""/>
                    </v:shape>
                  </w:pict>
                </mc:Fallback>
              </mc:AlternateContent>
            </w:r>
            <w:r/>
          </w:p>
        </w:tc>
      </w:tr>
      <w:tr>
        <w:trPr>
          <w:trHeight w:val="567"/>
        </w:trPr>
        <w:tc>
          <w:tcPr>
            <w:tcBorders>
              <w:top w:val="single" w:color="000000" w:sz="4" w:space="0"/>
              <w:left w:val="single" w:color="000000" w:sz="4" w:space="0"/>
              <w:bottom w:val="single" w:color="000000" w:sz="4" w:space="0"/>
              <w:right w:val="single" w:color="000000" w:sz="4" w:space="0"/>
            </w:tcBorders>
            <w:tcW w:w="21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药品柜</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307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尺寸：900*450*2000mm                                                                                                                                                                                             1、主要材料：电解钢板，具有更抗酸、更防锈、更防蚀、和涂层接触更稳固、使用年限更长等特点；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2、主要板材厚度：侧板、顶板、底板、层板厚度≥0.8mm；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3、配置：配有标签卡槽，药品分类存放，便于检索、添加和拿取；整体药柜共分5层，中间为固定层板，其余为活动层板；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4、所有板件经数控激光切割、模具冲压、数控折弯、焊接、机器打磨而成；表面采用环氧树脂抑菌粉末静电喷涂处理，具有抗菌、防锈、耐腐蚀、绝缘性高、附着力强、耐摩擦等技术特点。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▲药品柜：需符合GB/T 3325；检测内容：①金属喷漆(塑)涂层硬度</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；②金属喷漆(塑)涂层理化性能：</w:t>
            </w:r>
            <w:r>
              <w:rPr>
                <w:rFonts w:hint="eastAsia" w:ascii="宋体" w:hAnsi="宋体" w:cs="宋体"/>
                <w:color w:val="auto"/>
                <w:szCs w:val="21"/>
                <w:highlight w:val="none"/>
                <w:lang w:val="en-US" w:eastAsia="zh-CN" w:bidi="ar"/>
              </w:rPr>
              <w:t xml:space="preserve">合格</w:t>
            </w:r>
            <w:r>
              <w:rPr>
                <w:rFonts w:hint="eastAsia" w:ascii="宋体" w:hAnsi="宋体" w:cs="宋体"/>
                <w:color w:val="auto"/>
                <w:szCs w:val="21"/>
                <w:highlight w:val="none"/>
                <w:lang w:bidi="ar"/>
              </w:rPr>
              <w:t xml:space="preserve">；注：提供第三方产品监督检测机构（检测报告至少带CMA标识）出具检测报告，否则不予认可。</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130810</wp:posOffset>
                      </wp:positionH>
                      <wp:positionV relativeFrom="paragraph">
                        <wp:posOffset>361315</wp:posOffset>
                      </wp:positionV>
                      <wp:extent cx="1102360" cy="1238885"/>
                      <wp:effectExtent l="0" t="0" r="2540" b="18415"/>
                      <wp:wrapNone/>
                      <wp:docPr id="21" name="图片_10"/>
                      <wp:cNvGraphicFramePr/>
                      <a:graphic xmlns:a="http://schemas.openxmlformats.org/drawingml/2006/main">
                        <a:graphicData uri="http://schemas.openxmlformats.org/drawingml/2006/picture">
                          <pic:pic xmlns:pic="http://schemas.openxmlformats.org/drawingml/2006/picture">
                            <pic:nvPicPr>
                              <pic:cNvPr id="21" name="图片_10"/>
                              <pic:cNvPicPr/>
                              <pic:nvPr/>
                            </pic:nvPicPr>
                            <pic:blipFill>
                              <a:blip r:embed="rId29"/>
                              <a:stretch/>
                            </pic:blipFill>
                            <pic:spPr bwMode="auto">
                              <a:xfrm>
                                <a:off x="0" y="0"/>
                                <a:ext cx="1102360" cy="1238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10.3pt;mso-position-horizontal:absolute;mso-position-vertical-relative:text;margin-top:28.4pt;mso-position-vertical:absolute;width:86.8pt;height:97.5pt;mso-wrap-distance-left:9.0pt;mso-wrap-distance-top:0.0pt;mso-wrap-distance-right:9.0pt;mso-wrap-distance-bottom:0.0pt;" stroked="f">
                      <v:path textboxrect="0,0,0,0"/>
                      <v:imagedata r:id="rId29" o:title=""/>
                    </v:shape>
                  </w:pict>
                </mc:Fallback>
              </mc:AlternateContent>
            </w:r>
            <w:r/>
          </w:p>
        </w:tc>
      </w:tr>
    </w:tbl>
    <w:p>
      <w:pPr>
        <w:ind w:firstLine="420"/>
        <w:spacing w:line="360" w:lineRule="auto"/>
        <w:rPr>
          <w:rFonts w:hint="eastAsia" w:ascii="宋体" w:hAnsi="宋体" w:cs="宋体"/>
          <w:color w:val="auto"/>
          <w:szCs w:val="21"/>
          <w:highlight w:val="none"/>
        </w:rPr>
        <w:sectPr>
          <w:footnotePr/>
          <w:endnotePr/>
          <w:type w:val="nextPage"/>
          <w:pgSz w:w="16838" w:h="11906" w:orient="landscape"/>
          <w:pgMar w:top="1800" w:right="1440" w:bottom="1800" w:left="1440" w:header="851" w:footer="992" w:gutter="0"/>
          <w:cols w:num="1" w:sep="0" w:space="720" w:equalWidth="1"/>
          <w:docGrid w:linePitch="360"/>
        </w:sectPr>
        <w:outlineLvl w:val="0"/>
      </w:pPr>
      <w:r/>
      <w:bookmarkStart w:id="42" w:name="_GoBack"/>
      <w:r/>
      <w:bookmarkEnd w:id="42"/>
      <w:r/>
      <w:r/>
    </w:p>
    <w:p>
      <w:pPr>
        <w:ind w:firstLine="482"/>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、项目实施及相关服务要求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生产实施要求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1、提供满足本项目生产所需的机械设备清单及各岗位人员数量。</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2、提供进度计划表，合理安排现场复核、深化设计、材料采购、批量生产、检验包装、货物运输、现场安装等各项事宜，制定科学、合理、有针对性的进度控制方案及保障措施。</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3、制定本项目生产工艺流程和质量保证措施，确保达到招标文件规定的货物性能、技术要求、质量标准。</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4、中标人应及时与采购人联系，结合实际需求，进一步确认本项目所有产品的款式、尺寸、颜色等要求，得到采购人的签字盖章认可后方可生产。</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5、投标人应在响应文件中明确主要原材料品牌，所有材质必须符合国家相关行业规范及环保检测标准。</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运输安装要求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1、交货时间：中标后15日内完成合同签订，接到采购人通知后按照实际需求分批发，并在接到通知的30日内完成供货、安装。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2、交货地点：扬州市中医院新院区（邗江区翠岗路400号），最终地点由采购人指定。。</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3、货物的包装应有良好的防潮、防雨及防碰撞措施，中标人应保证货物安全运达采购人指定地点，货物在交付前发生的风险均由中标人负责。</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所有货物进场前需经采购人确认，并提供原厂物流发货单，确认无误后由中标人运至采购人指定地点，验收交货前存放及保管概由中标人负责。未经采购人确认或经采购人确认参数等与招标文件要求和响应文件承诺不符的，不得进场，因此产生的延期或退换货等风险及相关费用，由中标人自行承担。</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5、制定本项目搬运安装方案，确保指挥有序，安装规范，摆放准确。</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6、中标人应遵守采购人各项规章制度，文明施工，并签订安全承诺书。进入项目现场的车辆、设备按指定地点停放，及时清理现场垃圾，如造成地面、墙面、门窗等损坏，需恢复原状或赔偿相应损失。</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7、在项目实施期间，如发生安全事故、人身伤害和其他财产安全事故，由中标人全权负责处理，并承担全部责任。</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8、在产品使用过程中，如因产品质量引发安全事故、人身伤害和其他财产安全事故，由中标人全权负责处理，并承担全部责任。</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lang w:eastAsia="zh-CN"/>
        </w:rPr>
        <w:t xml:space="preserve">售后服务要求</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1、质保期：本项目免费质保期5年（自验收合格之日起计）。</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2、中标人能提供及时有效的售后服务，拥有固定的售后服务机构和固定的售后服务人员。投标人应在投标文件中明确售后服务能力（包括交货期、保修期时限、售后服务、维护响应时间等）。</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免费质保期内，免费提供备品备件，中标人应对货物出现的质量及安全问题负责处理解决并承担一切费用，因人为因素出现的故障不在免费质保范围内。质保期内全免费上门质保，同一材料、同一质量问题连续两次维修仍无法正常使用，中标人应无条件给予全套更新或退货（所有产品质保时间为自验收合格之日起计）</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4、超过免费质保期的家具，终身维修，维修时只收部件成本费。</w:t>
      </w:r>
      <w:r/>
    </w:p>
    <w:p>
      <w:pPr>
        <w:ind w:firstLine="480"/>
        <w:jc w:val="left"/>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5、响应时间：如在使用过程中发生质量问题，中标人接到采购人报修通知起半小时内响应， 4小时内到达现场并完成维修（包含4小时）。</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颜色确认要求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中标单位须在批量生产前，将全部家具的最终颜色样本（或色板）及家具效果图提交招标人书面确认。未经招标人书面确认，不得进行批量生产。</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安装与调试责任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中标单位负责完成所有家具涉及的电气管线（强电与弱电）及给排水管道的连接工作，并确保其符合国家相关规范与安全使用标准。具体包括但不限于：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强弱电线缆须敷设并端接至家具桌面或柜体内部指定位置，并确保接口安全、可靠、易于检修；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给排水管道须与家具相应设施连接严密，无渗漏，排水通畅；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所有水电点位均已预设于各房间内，中标单位须根据现场点位进行对接，并保证整体系统可正常投入使用。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现场测量与设计优化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中标单位须在签订合同后、生产开始前，派遣专业人员至项目现场进行实地测量。</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如测量结果与招标图纸存在偏差或存在可优化之处，中标单位应出具书面优化方案，报招标人审核确认。未经招标人书面同意，不得擅自变更设计。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）验收要求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1、货到采购人指定地点后，采购人</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对货物依据招标文件上的技术规格要求和国家有关质量标准进行现场初步核对，外观、说明书、包装符合招标文件技术要求的，给予签收，不合格的不予签收。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2、中标人按照招标文件要求负责产品安装并与采购人使用人员交接使用事宜，使用一段时间（不少于一个月）后，采购人组织最终验收。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、样品要求</w:t>
      </w:r>
      <w:r/>
    </w:p>
    <w:p>
      <w:pPr>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3313"/>
        <w:gridCol w:w="4432"/>
      </w:tblGrid>
      <w:tr>
        <w:trPr>
          <w:jc w:val="center"/>
          <w:trHeight w:val="567"/>
        </w:trPr>
        <w:tc>
          <w:tcPr>
            <w:tcW w:w="4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4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样品名称</w:t>
            </w:r>
            <w:r/>
          </w:p>
        </w:tc>
        <w:tc>
          <w:tcPr>
            <w:tcW w:w="259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r>
      <w:tr>
        <w:trPr>
          <w:jc w:val="center"/>
          <w:trHeight w:val="567"/>
          <w:tblHeader/>
        </w:trPr>
        <w:tc>
          <w:tcPr>
            <w:gridSpan w:val="3"/>
            <w:tcW w:w="500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成品大样</w:t>
            </w:r>
            <w:r/>
          </w:p>
        </w:tc>
      </w:tr>
      <w:tr>
        <w:trPr>
          <w:jc w:val="center"/>
          <w:trHeight w:val="567"/>
        </w:trPr>
        <w:tc>
          <w:tcPr>
            <w:tcW w:w="4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4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医用</w:t>
            </w:r>
            <w:r>
              <w:rPr>
                <w:rFonts w:hint="eastAsia" w:ascii="宋体" w:hAnsi="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lang w:val="en-US" w:eastAsia="zh-CN"/>
              </w:rPr>
              <w:t xml:space="preserve">治疗柜</w:t>
            </w:r>
            <w:r/>
          </w:p>
        </w:tc>
        <w:tc>
          <w:tcPr>
            <w:tcW w:w="259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数量：1</w:t>
            </w:r>
            <w:r/>
          </w:p>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规格、主要材质及参数，均见项目需求</w:t>
            </w:r>
            <w:r>
              <w:rPr>
                <w:rFonts w:hint="eastAsia" w:ascii="宋体" w:hAnsi="宋体" w:cs="宋体"/>
                <w:color w:val="auto"/>
                <w:sz w:val="21"/>
                <w:szCs w:val="21"/>
                <w:highlight w:val="none"/>
                <w:lang w:val="en-US" w:eastAsia="zh-CN"/>
              </w:rPr>
              <w:t xml:space="preserve">序号4</w:t>
            </w:r>
            <w:r/>
          </w:p>
        </w:tc>
      </w:tr>
    </w:tbl>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2"/>
        <w:jc w:val="left"/>
        <w:spacing w:line="30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注：不限定样品颜色，建议参考项目需求所列彩色图片，中标人生产前提供色板给采购人确认。</w:t>
      </w:r>
      <w:r/>
    </w:p>
    <w:p>
      <w:pPr>
        <w:ind w:firstLine="480"/>
        <w:spacing w:line="30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样品送达时间及安装规定：样品须在开标当天</w:t>
      </w:r>
      <w:r>
        <w:rPr>
          <w:rFonts w:hint="eastAsia" w:ascii="宋体" w:hAnsi="宋体" w:cs="宋体"/>
          <w:color w:val="auto"/>
          <w:sz w:val="21"/>
          <w:szCs w:val="21"/>
          <w:highlight w:val="none"/>
          <w:lang w:val="en-US" w:eastAsia="zh-CN"/>
        </w:rPr>
        <w:t xml:space="preserve">下午14</w:t>
      </w:r>
      <w:r>
        <w:rPr>
          <w:rFonts w:hint="eastAsia" w:ascii="宋体" w:hAnsi="宋体" w:eastAsia="宋体" w:cs="宋体"/>
          <w:color w:val="auto"/>
          <w:sz w:val="21"/>
          <w:szCs w:val="21"/>
          <w:highlight w:val="none"/>
        </w:rPr>
        <w:t xml:space="preserve">点</w:t>
      </w:r>
      <w:r>
        <w:rPr>
          <w:rFonts w:hint="eastAsia" w:ascii="宋体" w:hAnsi="宋体" w:cs="宋体"/>
          <w:color w:val="auto"/>
          <w:sz w:val="21"/>
          <w:szCs w:val="21"/>
          <w:highlight w:val="none"/>
          <w:lang w:val="en-US" w:eastAsia="zh-CN"/>
        </w:rPr>
        <w:t xml:space="preserve">30分</w:t>
      </w:r>
      <w:r>
        <w:rPr>
          <w:rFonts w:hint="eastAsia" w:ascii="宋体" w:hAnsi="宋体" w:eastAsia="宋体" w:cs="宋体"/>
          <w:color w:val="auto"/>
          <w:sz w:val="21"/>
          <w:szCs w:val="21"/>
          <w:highlight w:val="none"/>
        </w:rPr>
        <w:t xml:space="preserve">前（逾期不予接收）送至扬州市</w:t>
      </w:r>
      <w:r>
        <w:rPr>
          <w:rFonts w:hint="eastAsia" w:ascii="宋体" w:hAnsi="宋体" w:cs="宋体"/>
          <w:color w:val="auto"/>
          <w:sz w:val="21"/>
          <w:szCs w:val="21"/>
          <w:highlight w:val="none"/>
          <w:lang w:val="en-US" w:eastAsia="zh-CN"/>
        </w:rPr>
        <w:t xml:space="preserve">维扬路106-1号商城国际大厦19楼1919室</w:t>
      </w:r>
      <w:r>
        <w:rPr>
          <w:rFonts w:hint="eastAsia" w:ascii="宋体" w:hAnsi="宋体" w:eastAsia="宋体" w:cs="宋体"/>
          <w:color w:val="auto"/>
          <w:sz w:val="21"/>
          <w:szCs w:val="21"/>
          <w:highlight w:val="none"/>
        </w:rPr>
        <w:t xml:space="preserve">，并安装摆放整齐。样品安装结束后，开标前由</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工作人员及监督人员统一进行编号、封号，开标后投标人必须退出样品现场，直至样品打分结束。</w:t>
      </w:r>
      <w:r/>
    </w:p>
    <w:p>
      <w:pPr>
        <w:ind w:firstLine="480"/>
        <w:spacing w:line="30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样品费用：样品的制作、运输、安装、退场等费用均由投标人承担。</w:t>
      </w:r>
      <w:r/>
    </w:p>
    <w:p>
      <w:pPr>
        <w:ind w:firstLine="48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样品标识：所有样品都不应含有或隐去投标人单位名称、品牌、商标等能标明具体投标人的标识。</w:t>
      </w:r>
      <w:r/>
    </w:p>
    <w:p>
      <w:pPr>
        <w:ind w:firstLine="48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样品退场：采购活动结束后，未中标人的样品，由投标人1个工作日内及时取回；中标人的样品，应按采购人要求送至指定位置，由采购人进行封存保管，并作为履约验收的参考。若投标人未及时取回，</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不负有保管责任。</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rPr>
          <w:color w:val="auto"/>
          <w:highlight w:val="none"/>
        </w:rPr>
      </w:pPr>
      <w:r>
        <w:rPr>
          <w:color w:val="auto"/>
          <w:highlight w:val="none"/>
        </w:rPr>
      </w:r>
      <w:r/>
    </w:p>
    <w:p>
      <w:pPr>
        <w:pStyle w:val="1108"/>
        <w:ind w:left="0" w:firstLine="420"/>
        <w:jc w:val="center"/>
        <w:spacing w:line="360" w:lineRule="auto"/>
        <w:rPr>
          <w:rFonts w:hint="eastAsia" w:ascii="宋体" w:hAnsi="宋体"/>
          <w:color w:val="auto"/>
          <w:highlight w:val="none"/>
        </w:rPr>
      </w:pPr>
      <w:r>
        <w:rPr>
          <w:rFonts w:hint="eastAsia" w:ascii="宋体" w:hAnsi="宋体" w:cs="宋体"/>
          <w:i/>
          <w:iCs/>
          <w:color w:val="auto"/>
          <w:szCs w:val="20"/>
          <w:highlight w:val="none"/>
          <w:u w:val="single"/>
        </w:rPr>
        <w:br w:type="page" w:clear="all"/>
      </w:r>
      <w:bookmarkEnd w:id="29"/>
      <w:r/>
      <w:bookmarkStart w:id="31" w:name="_Toc497133123"/>
      <w:r>
        <w:rPr>
          <w:rFonts w:hint="eastAsia" w:ascii="宋体" w:hAnsi="宋体"/>
          <w:b/>
          <w:bCs/>
          <w:color w:val="auto"/>
          <w:sz w:val="36"/>
          <w:highlight w:val="none"/>
        </w:rPr>
        <w:t xml:space="preserve">第五章 评标方法及评标标准</w:t>
      </w:r>
      <w:r/>
    </w:p>
    <w:p>
      <w:pPr>
        <w:pStyle w:val="1109"/>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2" w:name="_Toc449017024"/>
      <w:r/>
      <w:bookmarkStart w:id="33" w:name="_Toc449016388"/>
      <w:r>
        <w:rPr>
          <w:rFonts w:hint="eastAsia" w:ascii="宋体" w:hAnsi="宋体"/>
          <w:b/>
          <w:color w:val="auto"/>
          <w:szCs w:val="21"/>
          <w:highlight w:val="none"/>
        </w:rPr>
        <w:t xml:space="preserve">二、政府采购政策功能落实</w:t>
      </w:r>
      <w:bookmarkEnd w:id="32"/>
      <w:r/>
      <w:bookmarkEnd w:id="33"/>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1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7、采购本国产品的支持政策</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7.3供应商需按照招标文件的要求提供《关于符合本国产品标准的声明函》（以下简称《声明函》），如不提供将不享受本国产品价格评审优惠。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9"/>
        <w:ind w:firstLine="422"/>
        <w:jc w:val="both"/>
        <w:spacing w:before="0" w:after="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9"/>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1"/>
      <w:r/>
      <w:r/>
    </w:p>
    <w:tbl>
      <w:tblPr>
        <w:tblStyle w:val="7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073"/>
      </w:tblGrid>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4150"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评审标准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价格部分</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实质性满足招标文件要求且投标价格最低的投标报价为评标基准价，其价格分为满分。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其他投标人的价格分统一按照下列公式计算：投标报价得分=（评标基准价/投标报价）×30，因落实政府采购政策进行价格调整的，以调整后的价格计算评标基准价和投标报价得分。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招标文件响应</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完全满足招标文件第四部分项目需求“二、技术需求”的得满分，标注“▲”的要求每负偏离一项扣0.5分，其余要求每负偏离一项扣0.2分，扣完为止。</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注：采购需求中明确需要提供证明的，均须在投标文件中提供证明文件，且须在技术响应偏差表详尽真实地提供偏差情况及证明材料页码，否则视为负偏离。</w:t>
            </w:r>
            <w:r/>
          </w:p>
        </w:tc>
      </w:tr>
      <w:tr>
        <w:trPr>
          <w:jc w:val="center"/>
          <w:trHeight w:val="567"/>
        </w:trPr>
        <w:tc>
          <w:tcPr>
            <w:tcW w:w="849" w:type="pct"/>
            <w:vAlign w:val="center"/>
            <w:textDirection w:val="lrTb"/>
            <w:noWrap w:val="false"/>
          </w:tcPr>
          <w:p>
            <w:pPr>
              <w:jc w:val="center"/>
              <w:spacing w:line="30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设计</w:t>
            </w:r>
            <w:r>
              <w:rPr>
                <w:rFonts w:hint="eastAsia" w:ascii="宋体" w:hAnsi="宋体" w:cs="宋体"/>
                <w:color w:val="auto"/>
                <w:szCs w:val="21"/>
                <w:highlight w:val="none"/>
                <w:lang w:val="en-US" w:eastAsia="zh-CN"/>
              </w:rPr>
              <w:t xml:space="preserve">能力</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150" w:type="pct"/>
            <w:vAlign w:val="center"/>
            <w:textDirection w:val="lrTb"/>
            <w:noWrap w:val="false"/>
          </w:tcPr>
          <w:p>
            <w:pPr>
              <w:spacing w:line="30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投标人根据产品清单出具产品深化图，根据投标人提供的产品深化图结构是否合理，细节是否完善，是否符合医用环境等方面进行评价：</w:t>
            </w:r>
            <w:r/>
          </w:p>
          <w:p>
            <w:pPr>
              <w:numPr>
                <w:ilvl w:val="0"/>
                <w:numId w:val="8"/>
              </w:numPr>
              <w:spacing w:line="30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产品深化图结构合理，细节完善，符合医用环境，得10分；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产品深化图结构较合理，细节较完善，较符合医用环境，得7分；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产品深化图结构不够合理，细节不不够完善，基本符合医用环境，得4分，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产品深化图结构不合理，细节不完善，不太符合医用环境，得1分；</w:t>
            </w:r>
            <w:r/>
          </w:p>
          <w:p>
            <w:pPr>
              <w:numPr>
                <w:ilvl w:val="0"/>
                <w:numId w:val="8"/>
              </w:num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不满足或未提供的不得分。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成品样品</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提供样品医用环保治疗柜（序号4），具体配置结合产品清单自行优化设计，评标委员会根据样品材质、外观、结构、生产工艺、生产质量、功能性、环保标准（有无刺激性气味）及色彩搭配进行综合评分。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（1）样品满足采购清单中的产品工艺要求，材质优良、外观平整精细、结构平稳，组合部件吻合严密，色彩协调，无刺激性气味，完全符合采购需求的得10分；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（2）样品基本满足采购清单中的产品工艺要求，外观平整精细、平整，组合部件，基本无刺激性气味，比较符合采购需求的得7分；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（3）样品满足采购清单中的产品工艺的大部分要求，材质一般、外观平整、结构平整，色彩普通的得4分；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（4）样品有明显欠缺，与采购人实际需求存在较大差距的得1分；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（5）样品未提供不得分。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提供实施方案，方案应包含但不限于供货计划、现场施工措施，确保货物安装质量、安全施工等方面。</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（1）方案完整详实、科学合理、具备针对性且切实可行、满足采购人实际需求的得10分；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（2）方案基本完整、较为科学合理，基本满足采购人实际需求的得7分；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（3）方案完整性、合理性、针对性、可行性有所欠缺，与采购人实际需求存在差距得4分；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（4）方案完整性、合理性、针对性、可行性差，与采购人实际需求存在较大差距得1分；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（5）其余情况或未提供不得分。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安全环保证书</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投标人/所投产品制造商需具备以下证书，每提供一个证书得1分，最高得4分：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（1）中国环境标志产品认证证书，且认证单元至少包含钢制家具或金属家具；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（2）中国绿色产品认证证书，且认证单元至少包含钢制家具或金属家具；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（3）有害物质限量认证证书，且认证单元至少包含钢制家具或金属家具；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（4）低VOCs家具产品认证证书，且认证单元至少包含钢制家具或金属家具；</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注：提供有效认证证书扫描件并加盖投标人公章，不提供不得分。名称没有限制性，若认证单元名称与上述单元名称不一致，为同类名称或相近名称均可。</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管理体系认证证书</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投标人或制造商提供</w:t>
            </w:r>
            <w:r>
              <w:rPr>
                <w:rFonts w:hint="eastAsia" w:ascii="宋体" w:hAnsi="宋体" w:cs="宋体"/>
                <w:color w:val="auto"/>
                <w:spacing w:val="-2"/>
                <w:szCs w:val="21"/>
                <w:highlight w:val="none"/>
              </w:rPr>
              <w:t xml:space="preserve">具有有效期内的；①质量管理体系认证证书、②环境管理体系认证证书、③职业健康安全管理体系认证证书，</w:t>
            </w:r>
            <w:r>
              <w:rPr>
                <w:rFonts w:hint="eastAsia" w:ascii="宋体" w:hAnsi="宋体" w:cs="宋体"/>
                <w:color w:val="auto"/>
                <w:szCs w:val="21"/>
                <w:highlight w:val="none"/>
              </w:rPr>
              <w:t xml:space="preserve">每提供一个证书得1分，最高得3分。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注：提供有效认证证书扫描件并加盖投标人公章，不提供不得分。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相关业绩</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投标人/所投产品制造商提供2023年1月1日以来签订的类似项目业绩（时间以合同签订时间为准，业绩至少包含医用环保治疗柜），每提供一份得1分，最高得4分。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注：提供合同关键页扫描件(合同内容必须包含合同首页、金额所在页、合同签订时间、双方签字盖章页、上述产品清单页)，并加盖投标人公章，不提供不得分。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售后服务方案，方案应包含但不限于质保期内售后服务（响应时间，回访巡检方案、故障解决措施、技术人员保障、备品配件价格等）、服务方案（服务网点、维修网点设置情况以及技术人员安排情况）等内容。</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方案完整详实、科学合理、具备针对性且切实可行、满足采购人实际需求的得10分；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方案基本完整、较为科学合理，基本满足采购人实际需求的得7分；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方案完整性、合理性、针对性、可行性有所欠缺，与采购人实际需求存在差距得4分；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方案完整性、合理性、针对性、可行性差，与采购人实际需求存在较大差距得1分；</w:t>
            </w:r>
            <w:r/>
          </w:p>
          <w:p>
            <w:pPr>
              <w:numPr>
                <w:ilvl w:val="0"/>
                <w:numId w:val="9"/>
              </w:num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其余情况或未提供不得分。</w:t>
            </w:r>
            <w:r/>
          </w:p>
        </w:tc>
      </w:tr>
      <w:tr>
        <w:trPr>
          <w:jc w:val="center"/>
          <w:trHeight w:val="567"/>
        </w:trPr>
        <w:tc>
          <w:tcPr>
            <w:tcW w:w="849" w:type="pct"/>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验收服务方案</w:t>
            </w:r>
            <w:r/>
          </w:p>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（7分）</w:t>
            </w:r>
            <w:r/>
          </w:p>
        </w:tc>
        <w:tc>
          <w:tcPr>
            <w:tcW w:w="4150" w:type="pct"/>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根据各投标供应商提供的针对本项目的验收方案打分。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（1）方案科学、严密、合理，描述详细且具有针对性的得7分；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（2）方案较合理、严密、描述较为详细，具有一定的针对性的得5分；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（3）方案基本合理、描述一般、存在可操作性得3分；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（4）方案具有不合理项、描述略欠缺的得1分；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（5）其余情况或未提供不得分。</w:t>
            </w:r>
            <w:r/>
          </w:p>
        </w:tc>
      </w:tr>
    </w:tbl>
    <w:p>
      <w:pPr>
        <w:pStyle w:val="763"/>
        <w:jc w:val="center"/>
        <w:rPr>
          <w:rFonts w:hint="eastAsia" w:ascii="宋体" w:hAnsi="宋体"/>
          <w:color w:val="auto"/>
          <w:highlight w:val="none"/>
        </w:rPr>
      </w:pPr>
      <w:r>
        <w:rPr>
          <w:rFonts w:hint="eastAsia" w:ascii="宋体" w:hAnsi="宋体"/>
          <w:color w:val="auto"/>
          <w:highlight w:val="none"/>
        </w:rPr>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63"/>
        <w:jc w:val="center"/>
        <w:rPr>
          <w:rFonts w:hint="eastAsia"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64"/>
        <w:numPr>
          <w:ilvl w:val="0"/>
          <w:numId w:val="0"/>
        </w:numPr>
        <w:jc w:val="center"/>
        <w:rPr>
          <w:rFonts w:hint="eastAsia"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77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上一年度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2024年度）</w:t>
            </w:r>
            <w:r>
              <w:rPr>
                <w:rFonts w:hint="eastAsia" w:ascii="宋体" w:hAnsi="宋体" w:cs="宋体"/>
                <w:color w:val="auto"/>
                <w:szCs w:val="21"/>
                <w:highlight w:val="none"/>
              </w:rPr>
              <w:t xml:space="preserve">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ind w:firstLine="0"/>
              <w:jc w:val="left"/>
              <w:spacing w:line="360" w:lineRule="auto"/>
              <w:rPr>
                <w:rFonts w:hint="eastAsia" w:eastAsia="宋体"/>
                <w:color w:val="auto"/>
                <w:highlight w:val="none"/>
                <w:lang w:eastAsia="zh-CN"/>
              </w:rPr>
            </w:pPr>
            <w:r>
              <w:rPr>
                <w:rFonts w:hint="eastAsia" w:ascii="宋体" w:hAnsi="宋体" w:cs="宋体"/>
                <w:color w:val="auto"/>
                <w:szCs w:val="21"/>
                <w:highlight w:val="none"/>
                <w:lang w:eastAsia="zh-CN"/>
              </w:rPr>
              <w:t xml:space="preserve">根据《政府采购促进中小企业发展管理办法》（财库〔2020〕46 号）规定，本项目专门面向中小企业采购，供应商谈判响应时须提供《中小企业声明函》，《中小企业声明函》不符合要求或未提供的，响应文件无效。</w:t>
            </w:r>
            <w:r/>
          </w:p>
          <w:p>
            <w:pPr>
              <w:ind w:firstLine="0"/>
              <w:jc w:val="left"/>
              <w:spacing w:line="360" w:lineRule="auto"/>
              <w:rPr>
                <w:rFonts w:hint="eastAsia" w:ascii="宋体" w:hAnsi="宋体" w:cs="宋体"/>
                <w:bCs/>
                <w:color w:val="auto"/>
                <w:highlight w:val="none"/>
                <w:u w:val="single"/>
              </w:rPr>
            </w:pPr>
            <w:r>
              <w:rPr>
                <w:rFonts w:hint="eastAsia" w:ascii="宋体" w:hAnsi="宋体" w:cs="宋体"/>
                <w:bCs/>
                <w:i w:val="0"/>
                <w:iCs/>
                <w:color w:val="auto"/>
                <w:highlight w:val="none"/>
                <w:u w:val="none"/>
              </w:rPr>
              <w:t xml:space="preserve">中小微企业划型标准请对照《关于印发中小企业划型标准规定的通知》（工信部联企业〔2011〕300号）（详见格式）。本项目采购标的对应的行业主要为工业。</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spacing w:line="360" w:lineRule="auto"/>
              <w:rPr>
                <w:rFonts w:hint="default" w:ascii="宋体" w:hAnsi="宋体" w:eastAsia="宋体" w:cs="宋体"/>
                <w:i w:val="0"/>
                <w:iCs/>
                <w:color w:val="auto"/>
                <w:szCs w:val="21"/>
                <w:highlight w:val="none"/>
                <w:u w:val="none"/>
                <w:lang w:val="en-US" w:eastAsia="zh-CN"/>
              </w:rPr>
            </w:pPr>
            <w:r>
              <w:rPr>
                <w:rFonts w:hint="eastAsia" w:ascii="宋体" w:hAnsi="宋体" w:cs="宋体"/>
                <w:i w:val="0"/>
                <w:iCs/>
                <w:color w:val="auto"/>
                <w:szCs w:val="21"/>
                <w:highlight w:val="none"/>
                <w:u w:val="none"/>
                <w:lang w:val="en-US" w:eastAsia="zh-CN"/>
              </w:rPr>
              <w:t xml:space="preserve">无</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gridSpan w:val="3"/>
            <w:tcW w:w="8251"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hint="eastAsia" w:ascii="宋体" w:hAnsi="宋体"/>
          <w:b/>
          <w:color w:val="auto"/>
          <w:sz w:val="36"/>
          <w:highlight w:val="none"/>
        </w:rPr>
      </w:r>
      <w:r/>
    </w:p>
    <w:p>
      <w:pPr>
        <w:contextualSpacing/>
        <w:spacing w:line="600" w:lineRule="exact"/>
        <w:rPr>
          <w:rFonts w:hint="eastAsia"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spacing w:line="360" w:lineRule="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500" w:lineRule="exact"/>
        <w:rPr>
          <w:rFonts w:hint="eastAsia"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09"/>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JSZC-321000-JSWC-G2026-0004</w:t>
      </w:r>
      <w:r>
        <w:rPr>
          <w:rFonts w:hint="eastAsia" w:ascii="宋体" w:hAnsi="宋体"/>
          <w:color w:val="auto"/>
          <w:sz w:val="21"/>
          <w:szCs w:val="21"/>
          <w:highlight w:val="none"/>
        </w:rPr>
        <w:t xml:space="preserve">号招标文件，正式授权下述签字人____(姓名)代表我方____________（投标人的名称），全权处理本次项目投标的有关事宜。</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09"/>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09"/>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1109"/>
        <w:ind w:firstLine="478"/>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1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1116"/>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16"/>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16"/>
        <w:ind w:firstLine="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16"/>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16"/>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582"/>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60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c>
          <w:tcPr>
            <w:tcW w:w="122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r>
            <w:r/>
          </w:p>
        </w:tc>
      </w:tr>
      <w:tr>
        <w:trPr>
          <w:trHeight w:val="643"/>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trHeight w:val="643"/>
        </w:trPr>
        <w:tc>
          <w:tcPr>
            <w:tcW w:w="6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22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contextualSpacing/>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color w:val="auto"/>
          <w:highlight w:val="none"/>
        </w:rPr>
      </w:pPr>
      <w:r>
        <w:rPr>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hint="eastAsia"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工业</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日 期：</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8" w:lineRule="exact"/>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764"/>
        <w:numPr>
          <w:ilvl w:val="0"/>
          <w:numId w:val="0"/>
        </w:numPr>
        <w:jc w:val="center"/>
        <w:spacing w:line="360" w:lineRule="auto"/>
        <w:widowControl/>
        <w:rPr>
          <w:rFonts w:hint="eastAsia"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微软雅黑"/>
          <w:bCs w:val="0"/>
          <w:color w:val="auto"/>
          <w:sz w:val="21"/>
          <w:szCs w:val="21"/>
          <w:highlight w:val="none"/>
        </w:rPr>
      </w:r>
      <w:r/>
    </w:p>
    <w:p>
      <w:pPr>
        <w:pStyle w:val="764"/>
        <w:numPr>
          <w:ilvl w:val="0"/>
          <w:numId w:val="0"/>
        </w:numPr>
        <w:jc w:val="center"/>
        <w:spacing w:line="360" w:lineRule="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04"/>
        <w:ind w:firstLine="420"/>
        <w:spacing w:before="300" w:after="452" w:line="360" w:lineRule="auto"/>
        <w:widowControl/>
        <w:rPr>
          <w:rFonts w:hint="eastAsia" w:ascii="宋体" w:hAnsi="宋体"/>
          <w:color w:val="auto"/>
          <w:sz w:val="21"/>
          <w:szCs w:val="21"/>
          <w:highlight w:val="none"/>
        </w:rPr>
      </w:pPr>
      <w:r>
        <w:rPr>
          <w:rStyle w:val="810"/>
          <w:rFonts w:hint="eastAsia" w:ascii="宋体" w:hAnsi="宋体" w:cs="仿宋"/>
          <w:color w:val="auto"/>
          <w:sz w:val="21"/>
          <w:szCs w:val="21"/>
          <w:highlight w:val="none"/>
        </w:rPr>
        <w:t xml:space="preserve">中小微企业划型标准如下：</w:t>
      </w:r>
      <w:r/>
    </w:p>
    <w:tbl>
      <w:tblPr>
        <w:tblStyle w:val="773"/>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color w:val="auto"/>
                <w:szCs w:val="21"/>
                <w:highlight w:val="none"/>
              </w:rPr>
            </w:pPr>
            <w:r>
              <w:rPr>
                <w:rFonts w:hint="eastAsia"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04"/>
              <w:jc w:val="center"/>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04"/>
              <w:spacing w:line="360" w:lineRule="auto"/>
              <w:widowControl/>
              <w:rPr>
                <w:rFonts w:hint="eastAsia" w:ascii="宋体" w:hAnsi="宋体"/>
                <w:b/>
                <w:bCs/>
                <w:color w:val="auto"/>
                <w:sz w:val="21"/>
                <w:szCs w:val="21"/>
                <w:highlight w:val="none"/>
              </w:rPr>
            </w:pPr>
            <w:r>
              <w:rPr>
                <w:rStyle w:val="810"/>
                <w:rFonts w:hint="eastAsia" w:ascii="宋体" w:hAnsi="宋体" w:cs="仿宋"/>
                <w:color w:val="auto"/>
                <w:sz w:val="21"/>
                <w:szCs w:val="21"/>
                <w:highlight w:val="none"/>
              </w:rPr>
              <w:t xml:space="preserve">X＜10</w:t>
            </w:r>
            <w:r/>
          </w:p>
        </w:tc>
      </w:tr>
    </w:tbl>
    <w:p>
      <w:pPr>
        <w:pStyle w:val="804"/>
        <w:ind w:firstLine="462"/>
        <w:spacing w:before="300" w:after="452" w:line="360" w:lineRule="auto"/>
        <w:widowControl/>
        <w:rPr>
          <w:rStyle w:val="810"/>
          <w:rFonts w:hint="eastAsia" w:ascii="宋体" w:hAnsi="宋体" w:cs="仿宋"/>
          <w:color w:val="auto"/>
          <w:sz w:val="21"/>
          <w:szCs w:val="21"/>
          <w:highlight w:val="none"/>
        </w:rPr>
      </w:pPr>
      <w:r>
        <w:rPr>
          <w:rStyle w:val="81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pStyle w:val="765"/>
        <w:numPr>
          <w:ilvl w:val="0"/>
          <w:numId w:val="0"/>
        </w:numPr>
        <w:jc w:val="center"/>
        <w:rPr>
          <w:rFonts w:hint="eastAsia" w:ascii="宋体" w:hAnsi="宋体"/>
          <w:b w:val="0"/>
          <w:color w:val="auto"/>
          <w:sz w:val="32"/>
          <w:highlight w:val="none"/>
        </w:rPr>
      </w:pPr>
      <w:r>
        <w:rPr>
          <w:rStyle w:val="810"/>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bl>
      <w:tblPr>
        <w:tblStyle w:val="77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78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43" w:type="dxa"/>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78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43" w:type="dxa"/>
            <w:vAlign w:val="center"/>
            <w:textDirection w:val="lrTb"/>
            <w:noWrap w:val="false"/>
          </w:tcPr>
          <w:p>
            <w:pPr>
              <w:pStyle w:val="1109"/>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09"/>
              <w:ind w:firstLine="42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697"/>
        </w:trPr>
        <w:tc>
          <w:tcPr>
            <w:tcW w:w="2377" w:type="dxa"/>
            <w:vAlign w:val="center"/>
            <w:textDirection w:val="lrTb"/>
            <w:noWrap w:val="false"/>
          </w:tcPr>
          <w:p>
            <w:pPr>
              <w:pStyle w:val="78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143" w:type="dxa"/>
            <w:vAlign w:val="center"/>
            <w:textDirection w:val="lrTb"/>
            <w:noWrap w:val="false"/>
          </w:tcPr>
          <w:p>
            <w:pPr>
              <w:pStyle w:val="78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64"/>
        <w:numPr>
          <w:ilvl w:val="0"/>
          <w:numId w:val="0"/>
        </w:numPr>
        <w:ind w:left="2100"/>
        <w:jc w:val="both"/>
        <w:rPr>
          <w:rFonts w:hint="eastAsia" w:ascii="宋体" w:hAnsi="宋体"/>
          <w:bCs w:val="0"/>
          <w:color w:val="auto"/>
          <w:sz w:val="32"/>
          <w:szCs w:val="32"/>
          <w:highlight w:val="none"/>
        </w:rPr>
      </w:pPr>
      <w:r>
        <w:rPr>
          <w:rFonts w:hint="eastAsia" w:ascii="宋体" w:hAnsi="宋体"/>
          <w:bCs w:val="0"/>
          <w:color w:val="auto"/>
          <w:sz w:val="32"/>
          <w:szCs w:val="32"/>
          <w:highlight w:val="none"/>
        </w:rPr>
      </w:r>
      <w:r/>
    </w:p>
    <w:p>
      <w:pPr>
        <w:pStyle w:val="774"/>
        <w:ind w:firstLine="640"/>
        <w:rPr>
          <w:rFonts w:hint="eastAsia" w:ascii="宋体" w:hAnsi="宋体"/>
          <w:color w:val="auto"/>
          <w:sz w:val="32"/>
          <w:szCs w:val="32"/>
          <w:highlight w:val="none"/>
        </w:rPr>
      </w:pPr>
      <w:r>
        <w:rPr>
          <w:rFonts w:hint="eastAsia" w:ascii="宋体" w:hAnsi="宋体"/>
          <w:color w:val="auto"/>
          <w:sz w:val="32"/>
          <w:szCs w:val="32"/>
          <w:highlight w:val="none"/>
        </w:rPr>
      </w:r>
      <w:r/>
    </w:p>
    <w:p>
      <w:pPr>
        <w:pStyle w:val="765"/>
        <w:numPr>
          <w:ilvl w:val="0"/>
          <w:numId w:val="0"/>
        </w:numPr>
        <w:jc w:val="center"/>
        <w:rPr>
          <w:rFonts w:hint="eastAsia" w:ascii="宋体" w:hAnsi="宋体"/>
          <w:b/>
          <w:color w:val="auto"/>
          <w:sz w:val="32"/>
          <w:szCs w:val="32"/>
          <w:highlight w:val="none"/>
        </w:rPr>
      </w:pPr>
      <w:r>
        <w:rPr>
          <w:rFonts w:hint="eastAsia" w:ascii="宋体" w:hAnsi="宋体"/>
          <w:color w:val="auto"/>
          <w:sz w:val="32"/>
          <w:szCs w:val="32"/>
          <w:highlight w:val="none"/>
        </w:rPr>
        <w:br w:type="page" w:clear="all"/>
      </w:r>
      <w:bookmarkStart w:id="34" w:name="_Toc113352361"/>
      <w:r>
        <w:rPr>
          <w:rFonts w:hint="eastAsia" w:ascii="宋体" w:hAnsi="宋体"/>
          <w:b w:val="0"/>
          <w:color w:val="auto"/>
          <w:sz w:val="32"/>
          <w:highlight w:val="none"/>
        </w:rPr>
        <w:t xml:space="preserve">五、分项报价表</w:t>
      </w:r>
      <w:bookmarkEnd w:id="34"/>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65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306"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0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jc w:val="left"/>
        <w:widowControl/>
        <w:rPr>
          <w:rFonts w:hint="eastAsia" w:ascii="宋体" w:hAnsi="宋体" w:cs="Arial"/>
          <w:b/>
          <w:bCs/>
          <w:color w:val="auto"/>
          <w:highlight w:val="none"/>
        </w:rPr>
      </w:pPr>
      <w:r>
        <w:rPr>
          <w:rFonts w:hint="eastAsia" w:ascii="宋体" w:hAnsi="宋体" w:cs="Arial"/>
          <w:b/>
          <w:bCs/>
          <w:color w:val="auto"/>
          <w:highlight w:val="none"/>
        </w:rPr>
      </w:r>
      <w:r/>
    </w:p>
    <w:p>
      <w:pP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pStyle w:val="76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77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14"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65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15"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90" w:type="dxa"/>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hint="eastAsia" w:ascii="宋体" w:hAnsi="宋体"/>
          <w:color w:val="auto"/>
          <w:sz w:val="32"/>
          <w:szCs w:val="32"/>
          <w:highlight w:val="none"/>
        </w:rPr>
      </w:pPr>
      <w:r>
        <w:rPr>
          <w:rFonts w:hint="eastAsia" w:ascii="黑体" w:hAnsi="Arial" w:eastAsia="黑体"/>
          <w:color w:val="auto"/>
          <w:sz w:val="32"/>
          <w:highlight w:val="none"/>
        </w:rPr>
        <w:br w:type="page" w:clear="all"/>
      </w:r>
      <w:bookmarkStart w:id="35" w:name="_Hlt26955054"/>
      <w:r/>
      <w:bookmarkEnd w:id="35"/>
      <w:r/>
      <w:bookmarkStart w:id="36" w:name="_Toc113352363"/>
      <w:r>
        <w:rPr>
          <w:rFonts w:hint="eastAsia" w:ascii="宋体" w:hAnsi="宋体"/>
          <w:b/>
          <w:color w:val="auto"/>
          <w:sz w:val="32"/>
          <w:szCs w:val="32"/>
          <w:highlight w:val="none"/>
        </w:rPr>
        <w:t xml:space="preserve">七、商务条款响应及偏离表</w:t>
      </w:r>
      <w:bookmarkEnd w:id="36"/>
      <w:r/>
      <w:r/>
    </w:p>
    <w:tbl>
      <w:tblPr>
        <w:tblStyle w:val="773"/>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774"/>
        <w:ind w:firstLine="480"/>
        <w:rPr>
          <w:rFonts w:hint="eastAsia" w:ascii="宋体" w:hAnsi="宋体"/>
          <w:color w:val="auto"/>
          <w:sz w:val="24"/>
          <w:highlight w:val="none"/>
        </w:rPr>
      </w:pPr>
      <w:r/>
      <w:bookmarkStart w:id="37" w:name="_Hlt26955066"/>
      <w:r/>
      <w:bookmarkEnd w:id="37"/>
      <w:r/>
      <w:bookmarkStart w:id="38" w:name="_Hlt26609389"/>
      <w:r/>
      <w:bookmarkEnd w:id="38"/>
      <w:r/>
      <w:bookmarkStart w:id="39" w:name="_Hlt26671374"/>
      <w:r/>
      <w:bookmarkEnd w:id="39"/>
      <w:r/>
      <w:bookmarkStart w:id="40" w:name="_Toc462564146"/>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480"/>
        <w:rPr>
          <w:rFonts w:hint="eastAsia" w:ascii="宋体" w:hAnsi="宋体"/>
          <w:color w:val="auto"/>
          <w:sz w:val="24"/>
          <w:highlight w:val="none"/>
        </w:rPr>
      </w:pPr>
      <w:r>
        <w:rPr>
          <w:rFonts w:hint="eastAsia" w:ascii="宋体" w:hAnsi="宋体"/>
          <w:color w:val="auto"/>
          <w:sz w:val="24"/>
          <w:highlight w:val="none"/>
        </w:rPr>
        <w:t xml:space="preserve">.</w:t>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pStyle w:val="774"/>
        <w:ind w:firstLine="64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74"/>
        <w:ind w:firstLine="480"/>
        <w:rPr>
          <w:rFonts w:hint="eastAsia" w:ascii="宋体" w:hAnsi="宋体"/>
          <w:color w:val="auto"/>
          <w:sz w:val="24"/>
          <w:highlight w:val="none"/>
        </w:rPr>
      </w:pPr>
      <w:r>
        <w:rPr>
          <w:rFonts w:hint="eastAsia" w:ascii="宋体" w:hAnsi="宋体"/>
          <w:b/>
          <w:color w:val="auto"/>
          <w:sz w:val="32"/>
          <w:szCs w:val="32"/>
          <w:highlight w:val="none"/>
        </w:rPr>
        <w:br w:type="page" w:clear="all"/>
      </w:r>
      <w:bookmarkEnd w:id="40"/>
      <w:r/>
      <w:r/>
    </w:p>
    <w:p>
      <w:pPr>
        <w:pStyle w:val="774"/>
        <w:ind w:firstLine="480"/>
        <w:rPr>
          <w:rFonts w:hint="eastAsia" w:ascii="宋体" w:hAnsi="宋体"/>
          <w:color w:val="auto"/>
          <w:sz w:val="24"/>
          <w:highlight w:val="none"/>
        </w:rPr>
      </w:pPr>
      <w:r>
        <w:rPr>
          <w:rFonts w:hint="eastAsia" w:ascii="宋体" w:hAnsi="宋体"/>
          <w:color w:val="auto"/>
          <w:sz w:val="24"/>
          <w:highlight w:val="none"/>
        </w:rPr>
      </w:r>
      <w:r/>
    </w:p>
    <w:p>
      <w:pPr>
        <w:jc w:val="center"/>
        <w:widowControl/>
        <w:rPr>
          <w:rFonts w:hint="eastAsia" w:ascii="宋体" w:hAnsi="宋体"/>
          <w:b/>
          <w:color w:val="auto"/>
          <w:highlight w:val="none"/>
        </w:rPr>
      </w:pPr>
      <w:r/>
      <w:bookmarkStart w:id="41" w:name="_格式2__法定代表人授权书"/>
      <w:r/>
      <w:bookmarkEnd w:id="41"/>
      <w:r>
        <w:rPr>
          <w:rFonts w:hint="eastAsia" w:ascii="宋体" w:hAnsi="宋体"/>
          <w:b/>
          <w:color w:val="auto"/>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77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rFonts w:hint="eastAsia" w:ascii="宋体" w:hAnsi="宋体" w:cs="宋体"/>
        <w:lang w:eastAsia="zh-CN"/>
      </w:rPr>
      <w:t xml:space="preserve">JSZC-321000-JSWC-G2026-0004</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rFonts w:hint="eastAsia" w:ascii="宋体" w:hAnsi="宋体" w:cs="宋体"/>
        <w:lang w:eastAsia="zh-CN"/>
      </w:rPr>
      <w:t xml:space="preserve">JSZC-321000-JSWC-G2026-0004</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single" w:color="auto" w:sz="4" w:space="1"/>
      </w:pBdr>
    </w:pPr>
    <w:r>
      <w:rPr>
        <w:rFonts w:hint="eastAsia"/>
        <w:lang w:eastAsia="zh-CN"/>
      </w:rPr>
      <w:t xml:space="preserve">JSZC-321000-JSWC-G2026-0004</w:t>
    </w:r>
    <w:r>
      <w:rPr>
        <w:rFonts w:hint="eastAsia"/>
      </w:rPr>
      <w:t xml:space="preserve">号                                      江苏唯诚建设咨询有限公司</w:t>
    </w:r>
    <w:r/>
  </w:p>
  <w:p>
    <w:pPr>
      <w:pStyle w:val="79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10"/>
      <w:isLgl/>
      <w:suff w:val="tab"/>
      <w:lvlText w:val="%1.%2"/>
      <w:lvlJc w:val="left"/>
      <w:pPr>
        <w:ind w:left="0" w:firstLine="0"/>
        <w:tabs>
          <w:tab w:val="left" w:pos="851" w:leader="none"/>
        </w:tabs>
      </w:pPr>
    </w:lvl>
    <w:lvl w:ilvl="2">
      <w:start w:val="1"/>
      <w:numFmt w:val="decimal"/>
      <w:pStyle w:val="109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09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4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64"/>
      <w:isLgl w:val="false"/>
      <w:suff w:val="space"/>
      <w:lvlText w:val="%1.%2"/>
      <w:lvlJc w:val="left"/>
      <w:pPr>
        <w:ind w:left="851" w:hanging="567"/>
      </w:pPr>
      <w:rPr>
        <w:rFonts w:hint="default" w:ascii="Arial" w:hAnsi="Arial" w:eastAsia="黑体"/>
        <w:b/>
        <w:i w:val="0"/>
        <w:sz w:val="28"/>
        <w:szCs w:val="28"/>
      </w:rPr>
    </w:lvl>
    <w:lvl w:ilvl="2">
      <w:start w:val="1"/>
      <w:numFmt w:val="decimal"/>
      <w:pStyle w:val="765"/>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0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0"/>
  </w:num>
  <w:num w:numId="6">
    <w:abstractNumId w:val="5"/>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1003"/>
    <w:uiPriority w:val="9"/>
    <w:qFormat/>
    <w:pPr>
      <w:keepLines/>
      <w:keepNext/>
      <w:spacing w:before="340" w:after="330" w:line="578" w:lineRule="auto"/>
      <w:outlineLvl w:val="0"/>
    </w:pPr>
    <w:rPr>
      <w:b/>
      <w:bCs/>
      <w:sz w:val="44"/>
      <w:szCs w:val="44"/>
    </w:rPr>
  </w:style>
  <w:style w:type="paragraph" w:styleId="764">
    <w:name w:val="Heading 2"/>
    <w:basedOn w:val="762"/>
    <w:next w:val="774"/>
    <w:link w:val="1004"/>
    <w:uiPriority w:val="9"/>
    <w:qFormat/>
    <w:pPr>
      <w:numPr>
        <w:ilvl w:val="1"/>
        <w:numId w:val="1"/>
      </w:numPr>
      <w:jc w:val="left"/>
      <w:keepLines/>
      <w:keepNext/>
      <w:spacing w:before="312" w:after="312"/>
      <w:outlineLvl w:val="1"/>
    </w:pPr>
    <w:rPr>
      <w:rFonts w:ascii="Arial" w:hAnsi="Arial"/>
      <w:b/>
      <w:bCs/>
      <w:sz w:val="28"/>
      <w:szCs w:val="36"/>
    </w:rPr>
  </w:style>
  <w:style w:type="paragraph" w:styleId="765">
    <w:name w:val="Heading 3"/>
    <w:basedOn w:val="762"/>
    <w:next w:val="762"/>
    <w:link w:val="1006"/>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766">
    <w:name w:val="Heading 4"/>
    <w:basedOn w:val="762"/>
    <w:next w:val="762"/>
    <w:link w:val="1007"/>
    <w:uiPriority w:val="0"/>
    <w:qFormat/>
    <w:pPr>
      <w:spacing w:before="280" w:after="290" w:line="377" w:lineRule="auto"/>
      <w:outlineLvl w:val="3"/>
    </w:pPr>
    <w:rPr>
      <w:rFonts w:ascii="Arial" w:hAnsi="Arial" w:eastAsia="黑体"/>
      <w:b/>
      <w:bCs/>
      <w:sz w:val="28"/>
      <w:szCs w:val="28"/>
    </w:rPr>
  </w:style>
  <w:style w:type="paragraph" w:styleId="767">
    <w:name w:val="Heading 5"/>
    <w:basedOn w:val="762"/>
    <w:next w:val="762"/>
    <w:link w:val="1008"/>
    <w:uiPriority w:val="0"/>
    <w:qFormat/>
    <w:pPr>
      <w:keepLines/>
      <w:keepNext/>
      <w:spacing w:before="280" w:after="290" w:line="376" w:lineRule="auto"/>
      <w:outlineLvl w:val="4"/>
    </w:pPr>
    <w:rPr>
      <w:rFonts w:ascii="Calibri" w:hAnsi="Calibri"/>
      <w:b/>
      <w:bCs/>
      <w:sz w:val="28"/>
      <w:szCs w:val="28"/>
    </w:rPr>
  </w:style>
  <w:style w:type="paragraph" w:styleId="768">
    <w:name w:val="Heading 6"/>
    <w:basedOn w:val="762"/>
    <w:next w:val="762"/>
    <w:link w:val="1009"/>
    <w:uiPriority w:val="0"/>
    <w:qFormat/>
    <w:pPr>
      <w:ind w:left="1152" w:hanging="1152"/>
      <w:keepLines/>
      <w:keepNext/>
      <w:spacing w:before="240" w:after="64" w:line="320" w:lineRule="auto"/>
      <w:outlineLvl w:val="5"/>
    </w:pPr>
    <w:rPr>
      <w:rFonts w:ascii="Cambria" w:hAnsi="Cambria"/>
      <w:b/>
      <w:bCs/>
      <w:sz w:val="24"/>
      <w:szCs w:val="24"/>
    </w:rPr>
  </w:style>
  <w:style w:type="paragraph" w:styleId="769">
    <w:name w:val="Heading 7"/>
    <w:basedOn w:val="762"/>
    <w:next w:val="762"/>
    <w:link w:val="1010"/>
    <w:uiPriority w:val="0"/>
    <w:qFormat/>
    <w:pPr>
      <w:ind w:left="1296" w:hanging="1296"/>
      <w:keepLines/>
      <w:keepNext/>
      <w:spacing w:before="240" w:after="64" w:line="320" w:lineRule="auto"/>
      <w:outlineLvl w:val="6"/>
    </w:pPr>
    <w:rPr>
      <w:b/>
      <w:bCs/>
      <w:sz w:val="24"/>
      <w:szCs w:val="24"/>
    </w:rPr>
  </w:style>
  <w:style w:type="paragraph" w:styleId="770">
    <w:name w:val="Heading 8"/>
    <w:basedOn w:val="762"/>
    <w:next w:val="762"/>
    <w:link w:val="1011"/>
    <w:uiPriority w:val="0"/>
    <w:qFormat/>
    <w:pPr>
      <w:ind w:left="1440" w:hanging="1440"/>
      <w:keepLines/>
      <w:keepNext/>
      <w:spacing w:before="240" w:after="64" w:line="320" w:lineRule="auto"/>
      <w:outlineLvl w:val="7"/>
    </w:pPr>
    <w:rPr>
      <w:rFonts w:ascii="Cambria" w:hAnsi="Cambria"/>
      <w:sz w:val="24"/>
      <w:szCs w:val="24"/>
    </w:rPr>
  </w:style>
  <w:style w:type="paragraph" w:styleId="771">
    <w:name w:val="Heading 9"/>
    <w:basedOn w:val="762"/>
    <w:next w:val="762"/>
    <w:link w:val="1012"/>
    <w:uiPriority w:val="0"/>
    <w:qFormat/>
    <w:pPr>
      <w:ind w:left="1584" w:hanging="1584"/>
      <w:keepLines/>
      <w:keepNext/>
      <w:spacing w:before="240" w:after="64" w:line="320" w:lineRule="auto"/>
      <w:outlineLvl w:val="8"/>
    </w:pPr>
    <w:rPr>
      <w:rFonts w:ascii="Cambria" w:hAnsi="Cambria"/>
      <w:sz w:val="20"/>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Normal Indent"/>
    <w:basedOn w:val="762"/>
    <w:link w:val="1005"/>
    <w:uiPriority w:val="0"/>
    <w:unhideWhenUsed/>
    <w:qFormat/>
    <w:pPr>
      <w:ind w:firstLine="420"/>
    </w:pPr>
  </w:style>
  <w:style w:type="paragraph" w:styleId="775">
    <w:name w:val="toc 7"/>
    <w:basedOn w:val="762"/>
    <w:next w:val="762"/>
    <w:uiPriority w:val="39"/>
    <w:unhideWhenUsed/>
    <w:qFormat/>
    <w:pPr>
      <w:ind w:left="1701"/>
      <w:spacing w:after="57"/>
    </w:pPr>
  </w:style>
  <w:style w:type="paragraph" w:styleId="776">
    <w:name w:val="Caption"/>
    <w:basedOn w:val="762"/>
    <w:next w:val="762"/>
    <w:uiPriority w:val="0"/>
    <w:qFormat/>
    <w:rPr>
      <w:rFonts w:ascii="Arial" w:hAnsi="Arial" w:eastAsia="黑体"/>
      <w:sz w:val="20"/>
    </w:rPr>
  </w:style>
  <w:style w:type="paragraph" w:styleId="777">
    <w:name w:val="Document Map"/>
    <w:basedOn w:val="762"/>
    <w:link w:val="1013"/>
    <w:uiPriority w:val="0"/>
    <w:qFormat/>
    <w:rPr>
      <w:rFonts w:ascii="宋体"/>
      <w:sz w:val="18"/>
      <w:szCs w:val="18"/>
    </w:rPr>
  </w:style>
  <w:style w:type="paragraph" w:styleId="778">
    <w:name w:val="annotation text"/>
    <w:basedOn w:val="762"/>
    <w:link w:val="1014"/>
    <w:uiPriority w:val="99"/>
    <w:unhideWhenUsed/>
    <w:qFormat/>
    <w:pPr>
      <w:jc w:val="left"/>
    </w:pPr>
    <w:rPr>
      <w:sz w:val="20"/>
      <w:szCs w:val="24"/>
    </w:rPr>
  </w:style>
  <w:style w:type="paragraph" w:styleId="779">
    <w:name w:val="Body Text 3"/>
    <w:basedOn w:val="762"/>
    <w:link w:val="1015"/>
    <w:uiPriority w:val="0"/>
    <w:qFormat/>
    <w:rPr>
      <w:rFonts w:ascii="宋体"/>
      <w:sz w:val="24"/>
      <w:szCs w:val="20"/>
    </w:rPr>
  </w:style>
  <w:style w:type="paragraph" w:styleId="780">
    <w:name w:val="Body Text"/>
    <w:basedOn w:val="762"/>
    <w:link w:val="1016"/>
    <w:uiPriority w:val="0"/>
    <w:qFormat/>
    <w:rPr>
      <w:rFonts w:ascii="楷体_GB2312" w:hAnsi="Arial" w:eastAsia="楷体_GB2312"/>
      <w:sz w:val="28"/>
      <w:szCs w:val="28"/>
    </w:rPr>
  </w:style>
  <w:style w:type="paragraph" w:styleId="781">
    <w:name w:val="Body Text Indent"/>
    <w:basedOn w:val="762"/>
    <w:next w:val="762"/>
    <w:link w:val="1017"/>
    <w:uiPriority w:val="99"/>
    <w:qFormat/>
    <w:pPr>
      <w:ind w:left="420"/>
      <w:spacing w:after="120"/>
    </w:pPr>
    <w:rPr>
      <w:sz w:val="20"/>
      <w:szCs w:val="24"/>
    </w:rPr>
  </w:style>
  <w:style w:type="paragraph" w:styleId="782">
    <w:name w:val="List Bullet 2"/>
    <w:basedOn w:val="762"/>
    <w:uiPriority w:val="99"/>
    <w:unhideWhenUsed/>
    <w:qFormat/>
    <w:pPr>
      <w:ind w:left="780" w:hanging="360"/>
      <w:tabs>
        <w:tab w:val="left" w:pos="780" w:leader="none"/>
      </w:tabs>
    </w:pPr>
  </w:style>
  <w:style w:type="paragraph" w:styleId="783">
    <w:name w:val="toc 5"/>
    <w:basedOn w:val="762"/>
    <w:next w:val="762"/>
    <w:uiPriority w:val="39"/>
    <w:unhideWhenUsed/>
    <w:qFormat/>
    <w:pPr>
      <w:ind w:left="1134"/>
      <w:spacing w:after="57"/>
    </w:pPr>
  </w:style>
  <w:style w:type="paragraph" w:styleId="784">
    <w:name w:val="toc 3"/>
    <w:basedOn w:val="762"/>
    <w:next w:val="762"/>
    <w:uiPriority w:val="39"/>
    <w:unhideWhenUsed/>
    <w:qFormat/>
    <w:pPr>
      <w:ind w:left="840"/>
    </w:pPr>
    <w:rPr>
      <w:rFonts w:ascii="Calibri" w:hAnsi="Calibri"/>
    </w:rPr>
  </w:style>
  <w:style w:type="paragraph" w:styleId="785">
    <w:name w:val="Plain Text"/>
    <w:basedOn w:val="762"/>
    <w:link w:val="1018"/>
    <w:uiPriority w:val="0"/>
    <w:qFormat/>
    <w:rPr>
      <w:rFonts w:ascii="宋体" w:hAnsi="Courier New"/>
      <w:sz w:val="20"/>
      <w:szCs w:val="21"/>
    </w:rPr>
  </w:style>
  <w:style w:type="paragraph" w:styleId="786">
    <w:name w:val="toc 8"/>
    <w:basedOn w:val="762"/>
    <w:next w:val="762"/>
    <w:uiPriority w:val="39"/>
    <w:unhideWhenUsed/>
    <w:qFormat/>
    <w:pPr>
      <w:ind w:left="1984"/>
      <w:spacing w:after="57"/>
    </w:pPr>
  </w:style>
  <w:style w:type="paragraph" w:styleId="787">
    <w:name w:val="Body Text Indent 2"/>
    <w:basedOn w:val="762"/>
    <w:link w:val="1019"/>
    <w:uiPriority w:val="0"/>
    <w:qFormat/>
    <w:pPr>
      <w:ind w:firstLine="562"/>
      <w:spacing w:line="480" w:lineRule="exact"/>
    </w:pPr>
    <w:rPr>
      <w:rFonts w:ascii="楷体_GB2312" w:eastAsia="楷体_GB2312"/>
      <w:b/>
      <w:bCs/>
      <w:sz w:val="28"/>
      <w:szCs w:val="24"/>
    </w:rPr>
  </w:style>
  <w:style w:type="paragraph" w:styleId="788">
    <w:name w:val="endnote text"/>
    <w:basedOn w:val="762"/>
    <w:link w:val="994"/>
    <w:uiPriority w:val="99"/>
    <w:semiHidden/>
    <w:unhideWhenUsed/>
    <w:qFormat/>
    <w:rPr>
      <w:sz w:val="20"/>
    </w:rPr>
  </w:style>
  <w:style w:type="paragraph" w:styleId="789">
    <w:name w:val="Balloon Text"/>
    <w:basedOn w:val="762"/>
    <w:link w:val="1020"/>
    <w:uiPriority w:val="99"/>
    <w:unhideWhenUsed/>
    <w:qFormat/>
    <w:rPr>
      <w:sz w:val="18"/>
      <w:szCs w:val="18"/>
    </w:rPr>
  </w:style>
  <w:style w:type="paragraph" w:styleId="790">
    <w:name w:val="Footer"/>
    <w:basedOn w:val="762"/>
    <w:link w:val="1021"/>
    <w:uiPriority w:val="99"/>
    <w:unhideWhenUsed/>
    <w:qFormat/>
    <w:pPr>
      <w:jc w:val="left"/>
      <w:tabs>
        <w:tab w:val="center" w:pos="4153" w:leader="none"/>
        <w:tab w:val="right" w:pos="8306" w:leader="none"/>
      </w:tabs>
    </w:pPr>
    <w:rPr>
      <w:sz w:val="18"/>
      <w:szCs w:val="18"/>
    </w:rPr>
  </w:style>
  <w:style w:type="paragraph" w:styleId="791">
    <w:name w:val="envelope return"/>
    <w:basedOn w:val="762"/>
    <w:uiPriority w:val="0"/>
    <w:qFormat/>
    <w:rPr>
      <w:rFonts w:ascii="Arial" w:hAnsi="Arial"/>
    </w:rPr>
  </w:style>
  <w:style w:type="paragraph" w:styleId="792">
    <w:name w:val="Header"/>
    <w:basedOn w:val="762"/>
    <w:link w:val="10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2"/>
    <w:next w:val="762"/>
    <w:uiPriority w:val="39"/>
    <w:unhideWhenUsed/>
    <w:qFormat/>
    <w:rPr>
      <w:rFonts w:ascii="Calibri" w:hAnsi="Calibri"/>
    </w:rPr>
  </w:style>
  <w:style w:type="paragraph" w:styleId="794">
    <w:name w:val="toc 4"/>
    <w:basedOn w:val="762"/>
    <w:next w:val="762"/>
    <w:uiPriority w:val="39"/>
    <w:unhideWhenUsed/>
    <w:qFormat/>
    <w:pPr>
      <w:ind w:left="850"/>
      <w:spacing w:after="57"/>
    </w:pPr>
  </w:style>
  <w:style w:type="paragraph" w:styleId="795">
    <w:name w:val="Subtitle"/>
    <w:basedOn w:val="762"/>
    <w:next w:val="762"/>
    <w:link w:val="860"/>
    <w:uiPriority w:val="11"/>
    <w:qFormat/>
    <w:pPr>
      <w:spacing w:before="200" w:after="200"/>
    </w:pPr>
    <w:rPr>
      <w:sz w:val="24"/>
      <w:szCs w:val="24"/>
    </w:rPr>
  </w:style>
  <w:style w:type="paragraph" w:styleId="796">
    <w:name w:val="List"/>
    <w:basedOn w:val="762"/>
    <w:uiPriority w:val="99"/>
    <w:qFormat/>
    <w:pPr>
      <w:ind w:left="200" w:hanging="200"/>
    </w:pPr>
    <w:rPr>
      <w:szCs w:val="24"/>
    </w:rPr>
  </w:style>
  <w:style w:type="paragraph" w:styleId="797">
    <w:name w:val="footnote text"/>
    <w:basedOn w:val="762"/>
    <w:link w:val="993"/>
    <w:uiPriority w:val="99"/>
    <w:semiHidden/>
    <w:unhideWhenUsed/>
    <w:qFormat/>
    <w:pPr>
      <w:spacing w:after="40"/>
    </w:pPr>
    <w:rPr>
      <w:sz w:val="18"/>
    </w:rPr>
  </w:style>
  <w:style w:type="paragraph" w:styleId="798">
    <w:name w:val="toc 6"/>
    <w:basedOn w:val="762"/>
    <w:next w:val="762"/>
    <w:uiPriority w:val="39"/>
    <w:unhideWhenUsed/>
    <w:qFormat/>
    <w:pPr>
      <w:ind w:left="1417"/>
      <w:spacing w:after="57"/>
    </w:pPr>
  </w:style>
  <w:style w:type="paragraph" w:styleId="799">
    <w:name w:val="Body Text Indent 3"/>
    <w:basedOn w:val="762"/>
    <w:uiPriority w:val="0"/>
    <w:qFormat/>
    <w:pPr>
      <w:ind w:left="3599" w:hanging="3599"/>
    </w:pPr>
    <w:rPr>
      <w:sz w:val="21"/>
      <w:szCs w:val="24"/>
    </w:rPr>
  </w:style>
  <w:style w:type="paragraph" w:styleId="800">
    <w:name w:val="table of figures"/>
    <w:basedOn w:val="762"/>
    <w:next w:val="762"/>
    <w:uiPriority w:val="0"/>
    <w:semiHidden/>
    <w:qFormat/>
    <w:pPr>
      <w:ind w:left="840" w:hanging="420"/>
      <w:spacing w:before="156" w:after="156"/>
    </w:pPr>
    <w:rPr>
      <w:sz w:val="24"/>
      <w:szCs w:val="24"/>
    </w:rPr>
  </w:style>
  <w:style w:type="paragraph" w:styleId="801">
    <w:name w:val="toc 2"/>
    <w:basedOn w:val="762"/>
    <w:next w:val="762"/>
    <w:uiPriority w:val="39"/>
    <w:unhideWhenUsed/>
    <w:qFormat/>
    <w:pPr>
      <w:ind w:left="420"/>
    </w:pPr>
    <w:rPr>
      <w:rFonts w:ascii="Calibri" w:hAnsi="Calibri"/>
    </w:rPr>
  </w:style>
  <w:style w:type="paragraph" w:styleId="802">
    <w:name w:val="toc 9"/>
    <w:basedOn w:val="762"/>
    <w:next w:val="762"/>
    <w:uiPriority w:val="0"/>
    <w:semiHidden/>
    <w:qFormat/>
    <w:pPr>
      <w:ind w:left="3360"/>
    </w:pPr>
  </w:style>
  <w:style w:type="paragraph" w:styleId="803">
    <w:name w:val="Body Text 2"/>
    <w:basedOn w:val="762"/>
    <w:uiPriority w:val="0"/>
    <w:qFormat/>
    <w:pPr>
      <w:spacing w:after="120" w:line="480" w:lineRule="auto"/>
    </w:pPr>
  </w:style>
  <w:style w:type="paragraph" w:styleId="804">
    <w:name w:val="Normal (Web)"/>
    <w:basedOn w:val="762"/>
    <w:uiPriority w:val="99"/>
    <w:unhideWhenUsed/>
    <w:qFormat/>
    <w:rPr>
      <w:sz w:val="24"/>
    </w:rPr>
  </w:style>
  <w:style w:type="paragraph" w:styleId="805">
    <w:name w:val="Title"/>
    <w:basedOn w:val="762"/>
    <w:next w:val="762"/>
    <w:link w:val="859"/>
    <w:uiPriority w:val="10"/>
    <w:qFormat/>
    <w:pPr>
      <w:contextualSpacing/>
      <w:spacing w:before="300" w:after="200"/>
    </w:pPr>
    <w:rPr>
      <w:sz w:val="48"/>
      <w:szCs w:val="48"/>
    </w:rPr>
  </w:style>
  <w:style w:type="paragraph" w:styleId="806">
    <w:name w:val="annotation subject"/>
    <w:basedOn w:val="778"/>
    <w:next w:val="778"/>
    <w:link w:val="1023"/>
    <w:uiPriority w:val="99"/>
    <w:unhideWhenUsed/>
    <w:qFormat/>
    <w:rPr>
      <w:b/>
      <w:bCs/>
      <w:szCs w:val="20"/>
    </w:rPr>
  </w:style>
  <w:style w:type="paragraph" w:styleId="807">
    <w:name w:val="Body Text First Indent"/>
    <w:basedOn w:val="780"/>
    <w:uiPriority w:val="0"/>
    <w:qFormat/>
    <w:pPr>
      <w:ind w:left="300" w:firstLine="420"/>
      <w:spacing w:after="120"/>
    </w:pPr>
    <w:rPr>
      <w:rFonts w:ascii="宋体" w:hAnsi="Verdana"/>
      <w:lang w:val="en-GB"/>
    </w:rPr>
  </w:style>
  <w:style w:type="paragraph" w:styleId="808">
    <w:name w:val="Body Text First Indent 2"/>
    <w:basedOn w:val="781"/>
    <w:link w:val="1024"/>
    <w:uiPriority w:val="99"/>
    <w:qFormat/>
    <w:pPr>
      <w:ind w:firstLine="420"/>
    </w:pPr>
  </w:style>
  <w:style w:type="table" w:styleId="809">
    <w:name w:val="Table Grid"/>
    <w:basedOn w:val="773"/>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uiPriority w:val="22"/>
    <w:qFormat/>
    <w:rPr>
      <w:rFonts w:ascii="Tahoma" w:hAnsi="Tahoma" w:eastAsia="宋体"/>
      <w:b/>
      <w:bCs/>
      <w:spacing w:val="10"/>
      <w:sz w:val="24"/>
      <w:lang w:val="en-US" w:eastAsia="zh-CN" w:bidi="ar-SA"/>
    </w:rPr>
  </w:style>
  <w:style w:type="character" w:styleId="811">
    <w:name w:val="endnote reference"/>
    <w:basedOn w:val="772"/>
    <w:uiPriority w:val="99"/>
    <w:semiHidden/>
    <w:unhideWhenUsed/>
    <w:qFormat/>
    <w:rPr>
      <w:vertAlign w:val="superscript"/>
    </w:rPr>
  </w:style>
  <w:style w:type="character" w:styleId="812">
    <w:name w:val="page number"/>
    <w:uiPriority w:val="0"/>
    <w:qFormat/>
  </w:style>
  <w:style w:type="character" w:styleId="813">
    <w:name w:val="FollowedHyperlink"/>
    <w:uiPriority w:val="99"/>
    <w:unhideWhenUsed/>
    <w:qFormat/>
    <w:rPr>
      <w:color w:val="333333"/>
      <w:u w:val="none"/>
    </w:rPr>
  </w:style>
  <w:style w:type="character" w:styleId="814">
    <w:name w:val="Emphasis"/>
    <w:uiPriority w:val="0"/>
    <w:qFormat/>
    <w:rPr>
      <w:rFonts w:ascii="Times New Roman" w:hAnsi="Times New Roman"/>
      <w:i/>
      <w:iCs/>
      <w:sz w:val="21"/>
      <w:szCs w:val="20"/>
    </w:rPr>
  </w:style>
  <w:style w:type="character" w:styleId="815">
    <w:name w:val="HTML Definition"/>
    <w:uiPriority w:val="99"/>
    <w:unhideWhenUsed/>
    <w:qFormat/>
    <w:rPr>
      <w:i/>
    </w:rPr>
  </w:style>
  <w:style w:type="character" w:styleId="816">
    <w:name w:val="Hyperlink"/>
    <w:uiPriority w:val="99"/>
    <w:unhideWhenUsed/>
    <w:qFormat/>
    <w:rPr>
      <w:color w:val="333333"/>
      <w:u w:val="none"/>
    </w:rPr>
  </w:style>
  <w:style w:type="character" w:styleId="817">
    <w:name w:val="HTML Code"/>
    <w:uiPriority w:val="99"/>
    <w:unhideWhenUsed/>
    <w:qFormat/>
    <w:rPr>
      <w:rFonts w:ascii="Consolas" w:hAnsi="Consolas" w:eastAsia="Consolas" w:cs="Consolas"/>
      <w:color w:val="c7254e"/>
      <w:sz w:val="21"/>
      <w:szCs w:val="21"/>
      <w:shd w:val="clear" w:color="auto" w:fill="f9f2f4"/>
    </w:rPr>
  </w:style>
  <w:style w:type="character" w:styleId="818">
    <w:name w:val="annotation reference"/>
    <w:uiPriority w:val="99"/>
    <w:unhideWhenUsed/>
    <w:qFormat/>
    <w:rPr>
      <w:sz w:val="21"/>
      <w:szCs w:val="21"/>
    </w:rPr>
  </w:style>
  <w:style w:type="character" w:styleId="819">
    <w:name w:val="footnote reference"/>
    <w:basedOn w:val="772"/>
    <w:uiPriority w:val="99"/>
    <w:unhideWhenUsed/>
    <w:qFormat/>
    <w:rPr>
      <w:vertAlign w:val="superscript"/>
    </w:rPr>
  </w:style>
  <w:style w:type="character" w:styleId="820">
    <w:name w:val="HTML Keyboard"/>
    <w:uiPriority w:val="99"/>
    <w:unhideWhenUsed/>
    <w:qFormat/>
    <w:rPr>
      <w:rFonts w:hint="default" w:ascii="Consolas" w:hAnsi="Consolas" w:eastAsia="Consolas" w:cs="Consolas"/>
      <w:color w:val="ffffff"/>
      <w:sz w:val="21"/>
      <w:szCs w:val="21"/>
      <w:shd w:val="clear" w:color="auto" w:fill="333333"/>
    </w:rPr>
  </w:style>
  <w:style w:type="character" w:styleId="821">
    <w:name w:val="HTML Sample"/>
    <w:uiPriority w:val="99"/>
    <w:unhideWhenUsed/>
    <w:qFormat/>
    <w:rPr>
      <w:rFonts w:hint="default" w:ascii="Consolas" w:hAnsi="Consolas" w:eastAsia="Consolas" w:cs="Consolas"/>
      <w:sz w:val="21"/>
      <w:szCs w:val="21"/>
    </w:rPr>
  </w:style>
  <w:style w:type="character" w:styleId="822" w:customStyle="1">
    <w:name w:val="Title Char"/>
    <w:basedOn w:val="772"/>
    <w:uiPriority w:val="10"/>
    <w:qFormat/>
    <w:rPr>
      <w:sz w:val="48"/>
      <w:szCs w:val="48"/>
    </w:rPr>
  </w:style>
  <w:style w:type="character" w:styleId="823" w:customStyle="1">
    <w:name w:val="Subtitle Char"/>
    <w:basedOn w:val="772"/>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table" w:styleId="826"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ListBullet21"/>
    <w:basedOn w:val="762"/>
    <w:uiPriority w:val="0"/>
    <w:qFormat/>
    <w:pPr>
      <w:numPr>
        <w:ilvl w:val="0"/>
        <w:numId w:val="2"/>
      </w:numPr>
    </w:pPr>
  </w:style>
  <w:style w:type="character" w:styleId="849" w:customStyle="1">
    <w:name w:val="Heading 1 Char"/>
    <w:basedOn w:val="772"/>
    <w:uiPriority w:val="9"/>
    <w:qFormat/>
    <w:rPr>
      <w:rFonts w:ascii="Arial" w:hAnsi="Arial" w:eastAsia="Arial" w:cs="Arial"/>
      <w:sz w:val="40"/>
      <w:szCs w:val="40"/>
    </w:rPr>
  </w:style>
  <w:style w:type="character" w:styleId="850" w:customStyle="1">
    <w:name w:val="Heading 2 Char"/>
    <w:basedOn w:val="772"/>
    <w:uiPriority w:val="9"/>
    <w:qFormat/>
    <w:rPr>
      <w:rFonts w:ascii="Arial" w:hAnsi="Arial" w:eastAsia="Arial" w:cs="Arial"/>
      <w:sz w:val="34"/>
    </w:rPr>
  </w:style>
  <w:style w:type="character" w:styleId="851" w:customStyle="1">
    <w:name w:val="Heading 3 Char"/>
    <w:basedOn w:val="772"/>
    <w:uiPriority w:val="9"/>
    <w:qFormat/>
    <w:rPr>
      <w:rFonts w:ascii="Arial" w:hAnsi="Arial" w:eastAsia="Arial" w:cs="Arial"/>
      <w:sz w:val="30"/>
      <w:szCs w:val="30"/>
    </w:rPr>
  </w:style>
  <w:style w:type="character" w:styleId="852" w:customStyle="1">
    <w:name w:val="Heading 4 Char"/>
    <w:basedOn w:val="772"/>
    <w:uiPriority w:val="9"/>
    <w:qFormat/>
    <w:rPr>
      <w:rFonts w:ascii="Arial" w:hAnsi="Arial" w:eastAsia="Arial" w:cs="Arial"/>
      <w:b/>
      <w:bCs/>
      <w:sz w:val="26"/>
      <w:szCs w:val="26"/>
    </w:rPr>
  </w:style>
  <w:style w:type="character" w:styleId="853" w:customStyle="1">
    <w:name w:val="Heading 5 Char"/>
    <w:basedOn w:val="772"/>
    <w:uiPriority w:val="9"/>
    <w:qFormat/>
    <w:rPr>
      <w:rFonts w:ascii="Arial" w:hAnsi="Arial" w:eastAsia="Arial" w:cs="Arial"/>
      <w:b/>
      <w:bCs/>
      <w:sz w:val="24"/>
      <w:szCs w:val="24"/>
    </w:rPr>
  </w:style>
  <w:style w:type="character" w:styleId="854" w:customStyle="1">
    <w:name w:val="Heading 6 Char"/>
    <w:basedOn w:val="772"/>
    <w:uiPriority w:val="9"/>
    <w:qFormat/>
    <w:rPr>
      <w:rFonts w:ascii="Arial" w:hAnsi="Arial" w:eastAsia="Arial" w:cs="Arial"/>
      <w:b/>
      <w:bCs/>
      <w:sz w:val="22"/>
      <w:szCs w:val="22"/>
    </w:rPr>
  </w:style>
  <w:style w:type="character" w:styleId="855" w:customStyle="1">
    <w:name w:val="Heading 8 Char"/>
    <w:basedOn w:val="772"/>
    <w:uiPriority w:val="9"/>
    <w:qFormat/>
    <w:rPr>
      <w:rFonts w:ascii="Arial" w:hAnsi="Arial" w:eastAsia="Arial" w:cs="Arial"/>
      <w:i/>
      <w:iCs/>
      <w:sz w:val="22"/>
      <w:szCs w:val="22"/>
    </w:rPr>
  </w:style>
  <w:style w:type="character" w:styleId="856" w:customStyle="1">
    <w:name w:val="Heading 9 Char"/>
    <w:basedOn w:val="772"/>
    <w:uiPriority w:val="9"/>
    <w:qFormat/>
    <w:rPr>
      <w:rFonts w:ascii="Arial" w:hAnsi="Arial" w:eastAsia="Arial" w:cs="Arial"/>
      <w:i/>
      <w:iCs/>
      <w:sz w:val="21"/>
      <w:szCs w:val="21"/>
    </w:rPr>
  </w:style>
  <w:style w:type="paragraph" w:styleId="857">
    <w:name w:val="List Paragraph"/>
    <w:basedOn w:val="762"/>
    <w:uiPriority w:val="34"/>
    <w:qFormat/>
    <w:pPr>
      <w:contextualSpacing/>
      <w:ind w:left="720"/>
    </w:p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basedOn w:val="772"/>
    <w:link w:val="805"/>
    <w:uiPriority w:val="10"/>
    <w:qFormat/>
    <w:rPr>
      <w:sz w:val="48"/>
      <w:szCs w:val="48"/>
    </w:rPr>
  </w:style>
  <w:style w:type="character" w:styleId="860" w:customStyle="1">
    <w:name w:val="副标题 字符"/>
    <w:basedOn w:val="772"/>
    <w:link w:val="795"/>
    <w:uiPriority w:val="11"/>
    <w:qFormat/>
    <w:rPr>
      <w:sz w:val="24"/>
      <w:szCs w:val="24"/>
    </w:rPr>
  </w:style>
  <w:style w:type="paragraph" w:styleId="861">
    <w:name w:val="Quote"/>
    <w:basedOn w:val="762"/>
    <w:next w:val="762"/>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62"/>
    <w:next w:val="762"/>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Header Char"/>
    <w:basedOn w:val="772"/>
    <w:uiPriority w:val="99"/>
    <w:qFormat/>
  </w:style>
  <w:style w:type="character" w:styleId="866" w:customStyle="1">
    <w:name w:val="Footer Char"/>
    <w:basedOn w:val="772"/>
    <w:uiPriority w:val="99"/>
    <w:qFormat/>
  </w:style>
  <w:style w:type="character" w:styleId="867" w:customStyle="1">
    <w:name w:val="Caption Char"/>
    <w:uiPriority w:val="99"/>
    <w:qFormat/>
  </w:style>
  <w:style w:type="table" w:styleId="868"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7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7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7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7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7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7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basedOn w:val="7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7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7"/>
    <w:uiPriority w:val="99"/>
    <w:qFormat/>
    <w:rPr>
      <w:sz w:val="18"/>
    </w:rPr>
  </w:style>
  <w:style w:type="character" w:styleId="994" w:customStyle="1">
    <w:name w:val="尾注文本 字符"/>
    <w:link w:val="788"/>
    <w:uiPriority w:val="99"/>
    <w:qFormat/>
    <w:rPr>
      <w:sz w:val="20"/>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正文（缩进）"/>
    <w:basedOn w:val="762"/>
    <w:next w:val="997"/>
    <w:uiPriority w:val="0"/>
    <w:qFormat/>
    <w:pPr>
      <w:ind w:firstLine="480"/>
    </w:pPr>
  </w:style>
  <w:style w:type="paragraph" w:styleId="997" w:customStyle="1">
    <w:name w:val="Char Char Char Char Char Char Char Char Char"/>
    <w:basedOn w:val="762"/>
    <w:next w:val="998"/>
    <w:uiPriority w:val="99"/>
    <w:qFormat/>
    <w:pPr>
      <w:ind w:left="360" w:firstLine="5784"/>
    </w:pPr>
  </w:style>
  <w:style w:type="paragraph" w:styleId="998" w:customStyle="1">
    <w:name w:val="正文文本 21"/>
    <w:basedOn w:val="762"/>
    <w:next w:val="999"/>
    <w:uiPriority w:val="99"/>
    <w:qFormat/>
    <w:pPr>
      <w:ind w:left="720" w:firstLine="5680"/>
      <w:widowControl/>
    </w:pPr>
  </w:style>
  <w:style w:type="paragraph" w:styleId="999" w:customStyle="1">
    <w:name w:val="默认段落字体 Para Char Char Char Char Char Char Char"/>
    <w:basedOn w:val="762"/>
    <w:next w:val="1000"/>
    <w:uiPriority w:val="99"/>
    <w:qFormat/>
    <w:pPr>
      <w:ind w:firstLine="200"/>
    </w:pPr>
    <w:rPr>
      <w:rFonts w:cs="Arial"/>
    </w:rPr>
  </w:style>
  <w:style w:type="paragraph" w:styleId="1000" w:customStyle="1">
    <w:name w:val="样式 首行缩进:  2 字符"/>
    <w:basedOn w:val="762"/>
    <w:next w:val="1001"/>
    <w:uiPriority w:val="99"/>
    <w:qFormat/>
    <w:pPr>
      <w:ind w:left="480" w:firstLine="5856"/>
      <w:spacing w:line="360" w:lineRule="auto"/>
    </w:pPr>
  </w:style>
  <w:style w:type="paragraph" w:styleId="1001" w:customStyle="1">
    <w:name w:val="样式 段后: 0.25 行"/>
    <w:basedOn w:val="762"/>
    <w:next w:val="1002"/>
    <w:uiPriority w:val="99"/>
    <w:qFormat/>
    <w:pPr>
      <w:ind w:left="420" w:firstLine="5796"/>
      <w:spacing w:line="300" w:lineRule="auto"/>
      <w:widowControl/>
    </w:pPr>
  </w:style>
  <w:style w:type="paragraph" w:styleId="1002" w:customStyle="1">
    <w:name w:val="正文 New New New New New New New New New New New New New New"/>
    <w:next w:val="802"/>
    <w:uiPriority w:val="99"/>
    <w:qFormat/>
    <w:pPr>
      <w:ind w:firstLine="2048"/>
      <w:jc w:val="both"/>
      <w:widowControl w:val="off"/>
    </w:pPr>
    <w:rPr>
      <w:rFonts w:hint="default" w:ascii="Calibri" w:hAnsi="Calibri" w:eastAsia="宋体" w:cs="Times New Roman"/>
      <w:lang w:val="en-US" w:eastAsia="zh-CN" w:bidi="ar-SA"/>
    </w:rPr>
  </w:style>
  <w:style w:type="character" w:styleId="1003" w:customStyle="1">
    <w:name w:val="标题 1 字符"/>
    <w:link w:val="763"/>
    <w:uiPriority w:val="9"/>
    <w:qFormat/>
    <w:rPr>
      <w:b/>
      <w:bCs/>
      <w:sz w:val="44"/>
      <w:szCs w:val="44"/>
    </w:rPr>
  </w:style>
  <w:style w:type="character" w:styleId="1004" w:customStyle="1">
    <w:name w:val="标题 2 字符"/>
    <w:link w:val="764"/>
    <w:uiPriority w:val="9"/>
    <w:qFormat/>
    <w:rPr>
      <w:rFonts w:ascii="Arial" w:hAnsi="Arial" w:eastAsia="宋体" w:cs="Times New Roman"/>
      <w:b/>
      <w:bCs/>
      <w:sz w:val="28"/>
      <w:szCs w:val="36"/>
    </w:rPr>
  </w:style>
  <w:style w:type="character" w:styleId="1005" w:customStyle="1">
    <w:name w:val="正文缩进 字符"/>
    <w:link w:val="774"/>
    <w:uiPriority w:val="0"/>
    <w:qFormat/>
  </w:style>
  <w:style w:type="character" w:styleId="1006" w:customStyle="1">
    <w:name w:val="标题 3 字符"/>
    <w:link w:val="765"/>
    <w:uiPriority w:val="0"/>
    <w:qFormat/>
    <w:rPr>
      <w:rFonts w:ascii="Arial" w:hAnsi="Arial" w:eastAsia="黑体" w:cs="Times New Roman"/>
      <w:b/>
      <w:bCs/>
      <w:sz w:val="30"/>
      <w:szCs w:val="32"/>
    </w:rPr>
  </w:style>
  <w:style w:type="character" w:styleId="1007" w:customStyle="1">
    <w:name w:val="标题 4 字符"/>
    <w:link w:val="766"/>
    <w:uiPriority w:val="0"/>
    <w:qFormat/>
    <w:rPr>
      <w:rFonts w:ascii="Arial" w:hAnsi="Arial" w:eastAsia="黑体" w:cs="Arial"/>
      <w:b/>
      <w:bCs/>
      <w:sz w:val="28"/>
      <w:szCs w:val="28"/>
    </w:rPr>
  </w:style>
  <w:style w:type="character" w:styleId="1008" w:customStyle="1">
    <w:name w:val="标题 5 字符1"/>
    <w:link w:val="767"/>
    <w:uiPriority w:val="0"/>
    <w:qFormat/>
    <w:rPr>
      <w:rFonts w:ascii="Calibri" w:hAnsi="Calibri" w:eastAsia="宋体" w:cs="Times New Roman"/>
      <w:b/>
      <w:bCs/>
      <w:sz w:val="28"/>
      <w:szCs w:val="28"/>
    </w:rPr>
  </w:style>
  <w:style w:type="character" w:styleId="1009" w:customStyle="1">
    <w:name w:val="标题 6 字符"/>
    <w:link w:val="768"/>
    <w:uiPriority w:val="0"/>
    <w:qFormat/>
    <w:rPr>
      <w:rFonts w:ascii="Cambria" w:hAnsi="Cambria" w:eastAsia="宋体" w:cs="Times New Roman"/>
      <w:b/>
      <w:bCs/>
      <w:sz w:val="24"/>
      <w:szCs w:val="24"/>
    </w:rPr>
  </w:style>
  <w:style w:type="character" w:styleId="1010" w:customStyle="1">
    <w:name w:val="标题 7 字符"/>
    <w:link w:val="769"/>
    <w:uiPriority w:val="0"/>
    <w:qFormat/>
    <w:rPr>
      <w:rFonts w:ascii="Times New Roman" w:hAnsi="Times New Roman" w:eastAsia="宋体" w:cs="Times New Roman"/>
      <w:b/>
      <w:bCs/>
      <w:sz w:val="24"/>
      <w:szCs w:val="24"/>
    </w:rPr>
  </w:style>
  <w:style w:type="character" w:styleId="1011" w:customStyle="1">
    <w:name w:val="标题 8 字符"/>
    <w:link w:val="770"/>
    <w:uiPriority w:val="0"/>
    <w:qFormat/>
    <w:rPr>
      <w:rFonts w:ascii="Cambria" w:hAnsi="Cambria" w:eastAsia="宋体" w:cs="Times New Roman"/>
      <w:sz w:val="24"/>
      <w:szCs w:val="24"/>
    </w:rPr>
  </w:style>
  <w:style w:type="character" w:styleId="1012" w:customStyle="1">
    <w:name w:val="标题 9 字符"/>
    <w:link w:val="771"/>
    <w:uiPriority w:val="0"/>
    <w:qFormat/>
    <w:rPr>
      <w:rFonts w:ascii="Cambria" w:hAnsi="Cambria" w:eastAsia="宋体" w:cs="Times New Roman"/>
      <w:sz w:val="20"/>
      <w:szCs w:val="21"/>
    </w:rPr>
  </w:style>
  <w:style w:type="character" w:styleId="1013" w:customStyle="1">
    <w:name w:val="文档结构图 字符"/>
    <w:link w:val="777"/>
    <w:uiPriority w:val="0"/>
    <w:qFormat/>
    <w:rPr>
      <w:rFonts w:ascii="宋体" w:hAnsi="Times New Roman"/>
      <w:sz w:val="18"/>
      <w:szCs w:val="18"/>
    </w:rPr>
  </w:style>
  <w:style w:type="character" w:styleId="1014" w:customStyle="1">
    <w:name w:val="批注文字 字符"/>
    <w:link w:val="778"/>
    <w:uiPriority w:val="99"/>
    <w:qFormat/>
    <w:rPr>
      <w:rFonts w:ascii="Times New Roman" w:hAnsi="Times New Roman" w:eastAsia="宋体" w:cs="Times New Roman"/>
      <w:szCs w:val="24"/>
    </w:rPr>
  </w:style>
  <w:style w:type="character" w:styleId="1015" w:customStyle="1">
    <w:name w:val="正文文本 3 字符"/>
    <w:link w:val="779"/>
    <w:uiPriority w:val="0"/>
    <w:qFormat/>
    <w:rPr>
      <w:rFonts w:ascii="宋体" w:hAnsi="Times New Roman"/>
      <w:sz w:val="24"/>
    </w:rPr>
  </w:style>
  <w:style w:type="character" w:styleId="1016" w:customStyle="1">
    <w:name w:val="正文文本 字符"/>
    <w:link w:val="780"/>
    <w:uiPriority w:val="0"/>
    <w:qFormat/>
    <w:rPr>
      <w:rFonts w:ascii="楷体_GB2312" w:hAnsi="Arial" w:eastAsia="楷体_GB2312" w:cs="Times New Roman"/>
      <w:sz w:val="28"/>
      <w:szCs w:val="28"/>
    </w:rPr>
  </w:style>
  <w:style w:type="character" w:styleId="1017" w:customStyle="1">
    <w:name w:val="正文文本缩进 字符"/>
    <w:link w:val="781"/>
    <w:uiPriority w:val="99"/>
    <w:qFormat/>
    <w:rPr>
      <w:rFonts w:ascii="Times New Roman" w:hAnsi="Times New Roman"/>
      <w:szCs w:val="24"/>
    </w:rPr>
  </w:style>
  <w:style w:type="character" w:styleId="1018" w:customStyle="1">
    <w:name w:val="纯文本 字符"/>
    <w:link w:val="785"/>
    <w:uiPriority w:val="0"/>
    <w:qFormat/>
    <w:rPr>
      <w:rFonts w:ascii="宋体" w:hAnsi="Courier New" w:eastAsia="宋体" w:cs="Times New Roman"/>
      <w:szCs w:val="21"/>
    </w:rPr>
  </w:style>
  <w:style w:type="character" w:styleId="1019" w:customStyle="1">
    <w:name w:val="正文文本缩进 2 字符"/>
    <w:link w:val="787"/>
    <w:uiPriority w:val="0"/>
    <w:qFormat/>
    <w:rPr>
      <w:rFonts w:ascii="楷体_GB2312" w:hAnsi="Times New Roman" w:eastAsia="楷体_GB2312"/>
      <w:b/>
      <w:bCs/>
      <w:sz w:val="28"/>
      <w:szCs w:val="24"/>
    </w:rPr>
  </w:style>
  <w:style w:type="character" w:styleId="1020" w:customStyle="1">
    <w:name w:val="批注框文本 字符"/>
    <w:link w:val="789"/>
    <w:uiPriority w:val="99"/>
    <w:qFormat/>
    <w:rPr>
      <w:sz w:val="18"/>
      <w:szCs w:val="18"/>
    </w:rPr>
  </w:style>
  <w:style w:type="character" w:styleId="1021" w:customStyle="1">
    <w:name w:val="页脚 字符"/>
    <w:link w:val="790"/>
    <w:uiPriority w:val="99"/>
    <w:qFormat/>
    <w:rPr>
      <w:rFonts w:ascii="Times New Roman" w:hAnsi="Times New Roman" w:eastAsia="宋体" w:cs="Times New Roman"/>
      <w:sz w:val="18"/>
      <w:szCs w:val="18"/>
    </w:rPr>
  </w:style>
  <w:style w:type="character" w:styleId="1022" w:customStyle="1">
    <w:name w:val="页眉 字符"/>
    <w:link w:val="792"/>
    <w:uiPriority w:val="99"/>
    <w:qFormat/>
    <w:rPr>
      <w:rFonts w:ascii="Times New Roman" w:hAnsi="Times New Roman" w:eastAsia="宋体" w:cs="Times New Roman"/>
      <w:sz w:val="18"/>
      <w:szCs w:val="18"/>
    </w:rPr>
  </w:style>
  <w:style w:type="character" w:styleId="1023" w:customStyle="1">
    <w:name w:val="批注主题 字符"/>
    <w:link w:val="806"/>
    <w:uiPriority w:val="99"/>
    <w:qFormat/>
    <w:rPr>
      <w:b/>
      <w:bCs/>
    </w:rPr>
  </w:style>
  <w:style w:type="character" w:styleId="1024" w:customStyle="1">
    <w:name w:val="正文文本首行缩进 2 字符"/>
    <w:link w:val="808"/>
    <w:uiPriority w:val="99"/>
    <w:qFormat/>
    <w:rPr>
      <w:szCs w:val="24"/>
    </w:rPr>
  </w:style>
  <w:style w:type="paragraph" w:styleId="1025" w:customStyle="1">
    <w:name w:val="ListBullet2"/>
    <w:basedOn w:val="762"/>
    <w:uiPriority w:val="0"/>
    <w:qFormat/>
    <w:pPr>
      <w:numPr>
        <w:ilvl w:val="0"/>
        <w:numId w:val="3"/>
      </w:numPr>
    </w:pPr>
  </w:style>
  <w:style w:type="paragraph" w:styleId="1026" w:customStyle="1">
    <w:name w:val="正文1"/>
    <w:basedOn w:val="762"/>
    <w:next w:val="1027"/>
    <w:link w:val="1033"/>
    <w:uiPriority w:val="99"/>
    <w:qFormat/>
    <w:pPr>
      <w:ind w:firstLine="480"/>
      <w:spacing w:line="440" w:lineRule="exact"/>
    </w:pPr>
    <w:rPr>
      <w:rFonts w:ascii="微软雅黑" w:hAnsi="微软雅黑" w:eastAsia="微软雅黑"/>
      <w:sz w:val="24"/>
      <w:szCs w:val="20"/>
    </w:rPr>
  </w:style>
  <w:style w:type="paragraph" w:styleId="1027" w:customStyle="1">
    <w:name w:val="正文文本1"/>
    <w:basedOn w:val="1026"/>
    <w:next w:val="1028"/>
    <w:uiPriority w:val="0"/>
    <w:qFormat/>
    <w:pPr>
      <w:spacing w:after="120"/>
    </w:pPr>
    <w:rPr>
      <w:lang w:eastAsia="en-US"/>
    </w:rPr>
  </w:style>
  <w:style w:type="paragraph" w:styleId="1028" w:customStyle="1">
    <w:name w:val="一级条标题"/>
    <w:basedOn w:val="1029"/>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9" w:customStyle="1">
    <w:name w:val="章标题"/>
    <w:next w:val="10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0" w:customStyle="1">
    <w:name w:val="正文11"/>
    <w:next w:val="10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标题 31"/>
    <w:basedOn w:val="762"/>
    <w:next w:val="1030"/>
    <w:uiPriority w:val="0"/>
    <w:qFormat/>
    <w:pPr>
      <w:keepLines/>
      <w:keepNext/>
      <w:spacing w:before="260" w:after="260" w:line="416" w:lineRule="auto"/>
      <w:outlineLvl w:val="2"/>
    </w:pPr>
    <w:rPr>
      <w:b/>
      <w:bCs/>
      <w:sz w:val="32"/>
      <w:szCs w:val="32"/>
    </w:rPr>
  </w:style>
  <w:style w:type="paragraph" w:styleId="1032" w:customStyle="1">
    <w:name w:val="段"/>
    <w:next w:val="103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33" w:customStyle="1">
    <w:name w:val="正文1 Char Char"/>
    <w:link w:val="1026"/>
    <w:uiPriority w:val="99"/>
    <w:qFormat/>
    <w:rPr>
      <w:rFonts w:ascii="微软雅黑" w:hAnsi="微软雅黑" w:eastAsia="微软雅黑"/>
      <w:sz w:val="24"/>
    </w:rPr>
  </w:style>
  <w:style w:type="character" w:styleId="1034" w:customStyle="1">
    <w:name w:val="ca-161"/>
    <w:uiPriority w:val="0"/>
    <w:qFormat/>
    <w:rPr>
      <w:rFonts w:hint="eastAsia" w:ascii="宋体" w:hAnsi="宋体" w:eastAsia="宋体"/>
      <w:spacing w:val="0"/>
      <w:sz w:val="21"/>
      <w:szCs w:val="21"/>
    </w:rPr>
  </w:style>
  <w:style w:type="character" w:styleId="1035" w:customStyle="1">
    <w:name w:val="列出段落 Char"/>
    <w:link w:val="1036"/>
    <w:uiPriority w:val="0"/>
    <w:qFormat/>
    <w:rPr>
      <w:rFonts w:ascii="Calibri" w:hAnsi="Calibri" w:eastAsia="宋体" w:cs="Times New Roman"/>
    </w:rPr>
  </w:style>
  <w:style w:type="paragraph" w:styleId="1036" w:customStyle="1">
    <w:name w:val="列出段落1"/>
    <w:basedOn w:val="762"/>
    <w:link w:val="1035"/>
    <w:uiPriority w:val="0"/>
    <w:qFormat/>
    <w:pPr>
      <w:ind w:firstLine="200"/>
    </w:pPr>
    <w:rPr>
      <w:rFonts w:ascii="Calibri" w:hAnsi="Calibri"/>
      <w:sz w:val="20"/>
      <w:szCs w:val="20"/>
    </w:rPr>
  </w:style>
  <w:style w:type="character" w:styleId="1037" w:customStyle="1">
    <w:name w:val="表格文字 Char"/>
    <w:link w:val="1038"/>
    <w:uiPriority w:val="0"/>
    <w:qFormat/>
    <w:rPr>
      <w:szCs w:val="21"/>
    </w:rPr>
  </w:style>
  <w:style w:type="paragraph" w:styleId="1038" w:customStyle="1">
    <w:name w:val="表格文字"/>
    <w:basedOn w:val="762"/>
    <w:link w:val="1037"/>
    <w:uiPriority w:val="0"/>
    <w:qFormat/>
    <w:pPr>
      <w:jc w:val="left"/>
    </w:pPr>
    <w:rPr>
      <w:sz w:val="20"/>
      <w:szCs w:val="21"/>
    </w:rPr>
  </w:style>
  <w:style w:type="character" w:styleId="1039" w:customStyle="1">
    <w:name w:val="标题 5 字符"/>
    <w:uiPriority w:val="0"/>
    <w:semiHidden/>
    <w:qFormat/>
    <w:rPr>
      <w:rFonts w:ascii="Calibri" w:hAnsi="Calibri"/>
      <w:b/>
      <w:bCs/>
      <w:sz w:val="28"/>
      <w:szCs w:val="28"/>
    </w:rPr>
  </w:style>
  <w:style w:type="character" w:styleId="1040" w:customStyle="1">
    <w:name w:val="文档结构图 Char1"/>
    <w:uiPriority w:val="99"/>
    <w:semiHidden/>
    <w:qFormat/>
    <w:rPr>
      <w:rFonts w:ascii="宋体"/>
      <w:sz w:val="18"/>
      <w:szCs w:val="18"/>
    </w:rPr>
  </w:style>
  <w:style w:type="character" w:styleId="1041" w:customStyle="1">
    <w:name w:val="font201"/>
    <w:uiPriority w:val="0"/>
    <w:qFormat/>
    <w:rPr>
      <w:rFonts w:hint="default" w:ascii="Times New Roman" w:hAnsi="Times New Roman" w:cs="Times New Roman"/>
      <w:color w:val="000000"/>
      <w:sz w:val="20"/>
      <w:szCs w:val="20"/>
      <w:u w:val="none"/>
    </w:rPr>
  </w:style>
  <w:style w:type="character" w:styleId="1042" w:customStyle="1">
    <w:name w:val="_Style 86"/>
    <w:uiPriority w:val="19"/>
    <w:qFormat/>
    <w:rPr>
      <w:rFonts w:ascii="Times New Roman" w:hAnsi="Times New Roman"/>
      <w:i/>
      <w:iCs/>
      <w:color w:val="808080"/>
      <w:sz w:val="21"/>
      <w:szCs w:val="20"/>
    </w:rPr>
  </w:style>
  <w:style w:type="character" w:styleId="1043" w:customStyle="1">
    <w:name w:val="H2 Char"/>
    <w:uiPriority w:val="0"/>
    <w:qFormat/>
    <w:rPr>
      <w:rFonts w:ascii="Arial" w:hAnsi="Arial" w:eastAsia="黑体" w:cs="Times New Roman"/>
      <w:b/>
      <w:bCs/>
      <w:sz w:val="32"/>
      <w:szCs w:val="32"/>
    </w:rPr>
  </w:style>
  <w:style w:type="character" w:styleId="1044" w:customStyle="1">
    <w:name w:val="font41"/>
    <w:basedOn w:val="772"/>
    <w:uiPriority w:val="0"/>
    <w:qFormat/>
    <w:rPr>
      <w:rFonts w:hint="eastAsia" w:ascii="宋体" w:hAnsi="宋体" w:eastAsia="宋体"/>
      <w:color w:val="000000"/>
      <w:sz w:val="32"/>
      <w:szCs w:val="32"/>
      <w:u w:val="none"/>
    </w:rPr>
  </w:style>
  <w:style w:type="character" w:styleId="1045" w:customStyle="1">
    <w:name w:val="font191"/>
    <w:uiPriority w:val="0"/>
    <w:qFormat/>
    <w:rPr>
      <w:rFonts w:ascii="Wingdings 2" w:hAnsi="Wingdings 2" w:eastAsia="Wingdings 2" w:cs="Wingdings 2"/>
      <w:color w:val="000000"/>
      <w:sz w:val="20"/>
      <w:szCs w:val="20"/>
      <w:u w:val="none"/>
    </w:rPr>
  </w:style>
  <w:style w:type="character" w:styleId="1046" w:customStyle="1">
    <w:name w:val="font231"/>
    <w:uiPriority w:val="0"/>
    <w:qFormat/>
    <w:rPr>
      <w:rFonts w:hint="eastAsia" w:ascii="宋体" w:hAnsi="宋体" w:eastAsia="宋体" w:cs="宋体"/>
      <w:color w:val="000000"/>
      <w:sz w:val="20"/>
      <w:szCs w:val="20"/>
      <w:u w:val="none"/>
    </w:rPr>
  </w:style>
  <w:style w:type="character" w:styleId="1047" w:customStyle="1">
    <w:name w:val="font241"/>
    <w:uiPriority w:val="0"/>
    <w:qFormat/>
    <w:rPr>
      <w:rFonts w:hint="eastAsia" w:ascii="宋体" w:hAnsi="宋体" w:eastAsia="宋体" w:cs="宋体"/>
      <w:color w:val="000000"/>
      <w:sz w:val="20"/>
      <w:szCs w:val="20"/>
      <w:u w:val="none"/>
    </w:rPr>
  </w:style>
  <w:style w:type="character" w:styleId="1048" w:customStyle="1">
    <w:name w:val="Char Char9"/>
    <w:uiPriority w:val="0"/>
    <w:qFormat/>
    <w:rPr>
      <w:rFonts w:ascii="等线 Light" w:hAnsi="等线 Light" w:eastAsia="等线 Light" w:cs="Times New Roman"/>
      <w:b/>
      <w:bCs/>
      <w:sz w:val="28"/>
      <w:szCs w:val="28"/>
    </w:rPr>
  </w:style>
  <w:style w:type="character" w:styleId="1049" w:customStyle="1">
    <w:name w:val="Char Char10"/>
    <w:uiPriority w:val="0"/>
    <w:qFormat/>
    <w:rPr>
      <w:rFonts w:ascii="Arial" w:hAnsi="Arial" w:eastAsia="黑体" w:cs="Times New Roman"/>
      <w:b/>
      <w:bCs/>
      <w:sz w:val="30"/>
      <w:szCs w:val="32"/>
    </w:rPr>
  </w:style>
  <w:style w:type="character" w:styleId="1050" w:customStyle="1">
    <w:name w:val="表格样式居左 Char"/>
    <w:link w:val="1051"/>
    <w:uiPriority w:val="0"/>
    <w:qFormat/>
    <w:rPr>
      <w:rFonts w:eastAsia="仿宋_GB2312"/>
      <w:bCs/>
      <w:color w:val="000000"/>
      <w:sz w:val="21"/>
      <w:szCs w:val="44"/>
      <w:lang w:val="en-US" w:eastAsia="zh-CN" w:bidi="ar-SA"/>
    </w:rPr>
  </w:style>
  <w:style w:type="paragraph" w:styleId="1051" w:customStyle="1">
    <w:name w:val="表格样式居左"/>
    <w:link w:val="1050"/>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52" w:customStyle="1">
    <w:name w:val="font101"/>
    <w:uiPriority w:val="0"/>
    <w:qFormat/>
    <w:rPr>
      <w:rFonts w:hint="eastAsia" w:ascii="宋体" w:hAnsi="宋体" w:eastAsia="宋体" w:cs="宋体"/>
      <w:b/>
      <w:color w:val="000000"/>
      <w:sz w:val="18"/>
      <w:szCs w:val="18"/>
      <w:u w:val="none"/>
    </w:rPr>
  </w:style>
  <w:style w:type="character" w:styleId="1053" w:customStyle="1">
    <w:name w:val="段落 Char1"/>
    <w:link w:val="1054"/>
    <w:uiPriority w:val="0"/>
    <w:qFormat/>
    <w:rPr>
      <w:rFonts w:eastAsia="仿宋_GB2312"/>
      <w:sz w:val="32"/>
      <w:szCs w:val="32"/>
      <w:lang w:val="en-US" w:eastAsia="zh-CN" w:bidi="ar-SA"/>
    </w:rPr>
  </w:style>
  <w:style w:type="paragraph" w:styleId="1054" w:customStyle="1">
    <w:name w:val="段落"/>
    <w:link w:val="1053"/>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55" w:customStyle="1">
    <w:name w:val="font131"/>
    <w:uiPriority w:val="0"/>
    <w:qFormat/>
    <w:rPr>
      <w:rFonts w:ascii="Wingdings 2" w:hAnsi="Wingdings 2" w:eastAsia="Wingdings 2" w:cs="Wingdings 2"/>
      <w:color w:val="000000"/>
      <w:sz w:val="20"/>
      <w:szCs w:val="20"/>
      <w:u w:val="none"/>
    </w:rPr>
  </w:style>
  <w:style w:type="character" w:styleId="1056" w:customStyle="1">
    <w:name w:val="一级缩进 Char"/>
    <w:link w:val="1057"/>
    <w:uiPriority w:val="0"/>
    <w:qFormat/>
    <w:rPr>
      <w:rFonts w:eastAsia="仿宋_GB2312"/>
      <w:sz w:val="32"/>
      <w:szCs w:val="32"/>
      <w:lang w:val="en-US" w:eastAsia="zh-CN" w:bidi="ar-SA"/>
    </w:rPr>
  </w:style>
  <w:style w:type="paragraph" w:styleId="1057" w:customStyle="1">
    <w:name w:val="一级缩进"/>
    <w:link w:val="1056"/>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58" w:customStyle="1">
    <w:name w:val="正文文本 3 Char1"/>
    <w:uiPriority w:val="99"/>
    <w:semiHidden/>
    <w:qFormat/>
    <w:rPr>
      <w:sz w:val="16"/>
      <w:szCs w:val="16"/>
    </w:rPr>
  </w:style>
  <w:style w:type="character" w:styleId="1059" w:customStyle="1">
    <w:name w:val="apple-style-span"/>
    <w:uiPriority w:val="0"/>
    <w:qFormat/>
  </w:style>
  <w:style w:type="character" w:styleId="1060" w:customStyle="1">
    <w:name w:val="批注框文本 Char1"/>
    <w:uiPriority w:val="99"/>
    <w:semiHidden/>
    <w:qFormat/>
    <w:rPr>
      <w:rFonts w:ascii="Times New Roman" w:hAnsi="Times New Roman"/>
      <w:sz w:val="18"/>
      <w:szCs w:val="18"/>
    </w:rPr>
  </w:style>
  <w:style w:type="character" w:styleId="1061" w:customStyle="1">
    <w:name w:val="font221"/>
    <w:uiPriority w:val="0"/>
    <w:qFormat/>
    <w:rPr>
      <w:rFonts w:hint="eastAsia" w:ascii="宋体" w:hAnsi="宋体" w:eastAsia="宋体" w:cs="宋体"/>
      <w:b/>
      <w:color w:val="000000"/>
      <w:sz w:val="20"/>
      <w:szCs w:val="20"/>
      <w:u w:val="none"/>
    </w:rPr>
  </w:style>
  <w:style w:type="character" w:styleId="1062" w:customStyle="1">
    <w:name w:val="font61"/>
    <w:uiPriority w:val="0"/>
    <w:qFormat/>
    <w:rPr>
      <w:rFonts w:hint="eastAsia" w:ascii="宋体" w:hAnsi="宋体" w:eastAsia="宋体" w:cs="宋体"/>
      <w:color w:val="000000"/>
      <w:sz w:val="20"/>
      <w:szCs w:val="20"/>
      <w:u w:val="none"/>
    </w:rPr>
  </w:style>
  <w:style w:type="character" w:styleId="1063" w:customStyle="1">
    <w:name w:val="top_title1"/>
    <w:uiPriority w:val="0"/>
    <w:qFormat/>
    <w:rPr>
      <w:b/>
      <w:bCs/>
      <w:color w:val="333333"/>
      <w:sz w:val="24"/>
      <w:szCs w:val="24"/>
    </w:rPr>
  </w:style>
  <w:style w:type="character" w:styleId="1064" w:customStyle="1">
    <w:name w:val="font81"/>
    <w:uiPriority w:val="0"/>
    <w:qFormat/>
    <w:rPr>
      <w:rFonts w:ascii="Symbol" w:hAnsi="Symbol" w:cs="Symbol"/>
      <w:color w:val="000000"/>
      <w:sz w:val="20"/>
      <w:szCs w:val="20"/>
      <w:u w:val="none"/>
    </w:rPr>
  </w:style>
  <w:style w:type="character" w:styleId="1065" w:customStyle="1">
    <w:name w:val="font141"/>
    <w:uiPriority w:val="0"/>
    <w:qFormat/>
    <w:rPr>
      <w:rFonts w:hint="eastAsia" w:ascii="宋体" w:hAnsi="宋体" w:eastAsia="宋体" w:cs="宋体"/>
      <w:color w:val="ff0000"/>
      <w:sz w:val="20"/>
      <w:szCs w:val="20"/>
      <w:u w:val="none"/>
      <w:vertAlign w:val="superscript"/>
    </w:rPr>
  </w:style>
  <w:style w:type="character" w:styleId="1066" w:customStyle="1">
    <w:name w:val="正文文本缩进 Char1"/>
    <w:uiPriority w:val="99"/>
    <w:semiHidden/>
    <w:qFormat/>
  </w:style>
  <w:style w:type="character" w:styleId="1067" w:customStyle="1">
    <w:name w:val="正文缩进 Char1"/>
    <w:uiPriority w:val="0"/>
    <w:qFormat/>
    <w:rPr>
      <w:rFonts w:ascii="Times New Roman" w:hAnsi="Times New Roman" w:eastAsia="宋体" w:cs="Times New Roman"/>
      <w:szCs w:val="20"/>
    </w:rPr>
  </w:style>
  <w:style w:type="character" w:styleId="1068" w:customStyle="1">
    <w:name w:val="font11"/>
    <w:uiPriority w:val="0"/>
    <w:qFormat/>
    <w:rPr>
      <w:rFonts w:hint="eastAsia" w:ascii="宋体" w:hAnsi="宋体" w:eastAsia="宋体" w:cs="宋体"/>
      <w:color w:val="000000"/>
      <w:sz w:val="20"/>
      <w:szCs w:val="20"/>
      <w:u w:val="none"/>
    </w:rPr>
  </w:style>
  <w:style w:type="character" w:styleId="1069" w:customStyle="1">
    <w:name w:val="表格样式居中 Char"/>
    <w:link w:val="1070"/>
    <w:uiPriority w:val="0"/>
    <w:qFormat/>
    <w:rPr>
      <w:rFonts w:ascii="宋体" w:hAnsi="宋体"/>
      <w:bCs/>
      <w:sz w:val="21"/>
      <w:szCs w:val="21"/>
      <w:lang w:val="zh-CN" w:eastAsia="zh-CN" w:bidi="ar-SA"/>
    </w:rPr>
  </w:style>
  <w:style w:type="paragraph" w:styleId="1070" w:customStyle="1">
    <w:name w:val="表格样式居中"/>
    <w:link w:val="1069"/>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71" w:customStyle="1">
    <w:name w:val="正文文本缩进 2 Char1"/>
    <w:uiPriority w:val="99"/>
    <w:semiHidden/>
    <w:qFormat/>
  </w:style>
  <w:style w:type="character" w:styleId="1072" w:customStyle="1">
    <w:name w:val="font161"/>
    <w:uiPriority w:val="0"/>
    <w:qFormat/>
    <w:rPr>
      <w:rFonts w:hint="eastAsia" w:ascii="宋体" w:hAnsi="宋体" w:eastAsia="宋体" w:cs="宋体"/>
      <w:b/>
      <w:color w:val="ff0000"/>
      <w:sz w:val="20"/>
      <w:szCs w:val="20"/>
      <w:u w:val="none"/>
    </w:rPr>
  </w:style>
  <w:style w:type="character" w:styleId="1073" w:customStyle="1">
    <w:name w:val="批注主题 Char1"/>
    <w:uiPriority w:val="99"/>
    <w:semiHidden/>
    <w:qFormat/>
    <w:rPr>
      <w:rFonts w:ascii="Times New Roman" w:hAnsi="Times New Roman" w:eastAsia="宋体" w:cs="Times New Roman"/>
      <w:b/>
      <w:bCs/>
      <w:szCs w:val="24"/>
    </w:rPr>
  </w:style>
  <w:style w:type="character" w:styleId="1074" w:customStyle="1">
    <w:name w:val="font51"/>
    <w:uiPriority w:val="0"/>
    <w:qFormat/>
    <w:rPr>
      <w:rFonts w:hint="eastAsia" w:ascii="宋体" w:hAnsi="宋体" w:eastAsia="宋体" w:cs="宋体"/>
      <w:b/>
      <w:color w:val="000000"/>
      <w:sz w:val="20"/>
      <w:szCs w:val="20"/>
      <w:u w:val="none"/>
    </w:rPr>
  </w:style>
  <w:style w:type="character" w:styleId="1075" w:customStyle="1">
    <w:name w:val="font01"/>
    <w:basedOn w:val="772"/>
    <w:uiPriority w:val="0"/>
    <w:qFormat/>
    <w:rPr>
      <w:rFonts w:hint="eastAsia" w:ascii="宋体" w:hAnsi="宋体" w:eastAsia="宋体"/>
      <w:color w:val="000000"/>
      <w:sz w:val="24"/>
      <w:szCs w:val="24"/>
      <w:u w:val="none"/>
    </w:rPr>
  </w:style>
  <w:style w:type="character" w:styleId="1076" w:customStyle="1">
    <w:name w:val="批注文字 Char"/>
    <w:uiPriority w:val="99"/>
    <w:qFormat/>
    <w:rPr>
      <w:sz w:val="21"/>
      <w:szCs w:val="22"/>
    </w:rPr>
  </w:style>
  <w:style w:type="character" w:styleId="1077" w:customStyle="1">
    <w:name w:val="unnamed11"/>
    <w:uiPriority w:val="99"/>
    <w:qFormat/>
    <w:rPr>
      <w:rFonts w:hint="eastAsia" w:ascii="宋体" w:hAnsi="宋体" w:eastAsia="宋体"/>
      <w:sz w:val="21"/>
      <w:szCs w:val="21"/>
    </w:rPr>
  </w:style>
  <w:style w:type="character" w:styleId="1078" w:customStyle="1">
    <w:name w:val="font71"/>
    <w:uiPriority w:val="0"/>
    <w:qFormat/>
    <w:rPr>
      <w:rFonts w:hint="eastAsia" w:ascii="宋体" w:hAnsi="宋体" w:eastAsia="宋体" w:cs="宋体"/>
      <w:color w:val="000000"/>
      <w:sz w:val="20"/>
      <w:szCs w:val="20"/>
      <w:u w:val="none"/>
    </w:rPr>
  </w:style>
  <w:style w:type="character" w:styleId="1079" w:customStyle="1">
    <w:name w:val="Char Char8"/>
    <w:uiPriority w:val="0"/>
    <w:qFormat/>
    <w:rPr>
      <w:rFonts w:ascii="Calibri" w:hAnsi="Calibri" w:eastAsia="宋体" w:cs="Times New Roman"/>
      <w:b/>
      <w:bCs/>
      <w:sz w:val="28"/>
      <w:szCs w:val="28"/>
    </w:rPr>
  </w:style>
  <w:style w:type="character" w:styleId="1080" w:customStyle="1">
    <w:name w:val="Char Char11"/>
    <w:uiPriority w:val="0"/>
    <w:qFormat/>
    <w:rPr>
      <w:rFonts w:ascii="Arial" w:hAnsi="Arial" w:eastAsia="宋体" w:cs="Times New Roman"/>
      <w:b/>
      <w:bCs/>
      <w:sz w:val="28"/>
      <w:szCs w:val="36"/>
    </w:rPr>
  </w:style>
  <w:style w:type="character" w:styleId="1081" w:customStyle="1">
    <w:name w:val="Char Char12"/>
    <w:uiPriority w:val="0"/>
    <w:qFormat/>
    <w:rPr>
      <w:b/>
      <w:bCs/>
      <w:sz w:val="44"/>
      <w:szCs w:val="44"/>
    </w:rPr>
  </w:style>
  <w:style w:type="character" w:styleId="1082" w:customStyle="1">
    <w:name w:val="font111"/>
    <w:uiPriority w:val="0"/>
    <w:qFormat/>
    <w:rPr>
      <w:rFonts w:hint="eastAsia" w:ascii="宋体" w:hAnsi="宋体" w:eastAsia="宋体" w:cs="宋体"/>
      <w:color w:val="ff0000"/>
      <w:sz w:val="18"/>
      <w:szCs w:val="18"/>
      <w:u w:val="none"/>
    </w:rPr>
  </w:style>
  <w:style w:type="character" w:styleId="1083" w:customStyle="1">
    <w:name w:val="font21"/>
    <w:basedOn w:val="772"/>
    <w:uiPriority w:val="0"/>
    <w:qFormat/>
    <w:rPr>
      <w:rFonts w:hint="eastAsia" w:ascii="仿宋_GB2312" w:hAnsi="Times New Roman" w:eastAsia="仿宋_GB2312" w:cs="仿宋_GB2312"/>
      <w:color w:val="000000"/>
      <w:sz w:val="22"/>
      <w:szCs w:val="22"/>
      <w:u w:val="none"/>
    </w:rPr>
  </w:style>
  <w:style w:type="character" w:styleId="1084" w:customStyle="1">
    <w:name w:val="无间隔 Char"/>
    <w:link w:val="1085"/>
    <w:uiPriority w:val="0"/>
    <w:qFormat/>
    <w:rPr>
      <w:sz w:val="21"/>
      <w:szCs w:val="22"/>
      <w:lang w:val="en-US" w:eastAsia="zh-CN" w:bidi="ar-SA"/>
    </w:rPr>
  </w:style>
  <w:style w:type="paragraph" w:styleId="1085" w:customStyle="1">
    <w:name w:val="msonospacing"/>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6" w:customStyle="1">
    <w:name w:val="font211"/>
    <w:uiPriority w:val="0"/>
    <w:qFormat/>
    <w:rPr>
      <w:rFonts w:hint="eastAsia" w:ascii="宋体" w:hAnsi="宋体" w:eastAsia="宋体" w:cs="宋体"/>
      <w:color w:val="ff0000"/>
      <w:sz w:val="20"/>
      <w:szCs w:val="20"/>
      <w:u w:val="none"/>
      <w:vertAlign w:val="superscript"/>
    </w:rPr>
  </w:style>
  <w:style w:type="character" w:styleId="1087" w:customStyle="1">
    <w:name w:val="NormalCharacter"/>
    <w:uiPriority w:val="0"/>
    <w:qFormat/>
    <w:rPr>
      <w:sz w:val="21"/>
      <w:szCs w:val="22"/>
      <w:lang w:val="en-US" w:eastAsia="zh-CN" w:bidi="ar-SA"/>
    </w:rPr>
  </w:style>
  <w:style w:type="character" w:styleId="1088" w:customStyle="1">
    <w:name w:val="font171"/>
    <w:uiPriority w:val="0"/>
    <w:qFormat/>
    <w:rPr>
      <w:rFonts w:hint="eastAsia" w:ascii="宋体" w:hAnsi="宋体" w:eastAsia="宋体" w:cs="宋体"/>
      <w:color w:val="000000"/>
      <w:sz w:val="20"/>
      <w:szCs w:val="20"/>
      <w:u w:val="none"/>
    </w:rPr>
  </w:style>
  <w:style w:type="character" w:styleId="1089" w:customStyle="1">
    <w:name w:val="项目排列 Char"/>
    <w:link w:val="1090"/>
    <w:uiPriority w:val="0"/>
    <w:qFormat/>
    <w:rPr>
      <w:sz w:val="24"/>
      <w:szCs w:val="24"/>
    </w:rPr>
  </w:style>
  <w:style w:type="paragraph" w:styleId="1090" w:customStyle="1">
    <w:name w:val="项目排列"/>
    <w:basedOn w:val="762"/>
    <w:link w:val="1089"/>
    <w:uiPriority w:val="0"/>
    <w:qFormat/>
    <w:pPr>
      <w:numPr>
        <w:ilvl w:val="0"/>
        <w:numId w:val="4"/>
      </w:numPr>
      <w:spacing w:before="156" w:after="156" w:line="300" w:lineRule="auto"/>
      <w:tabs>
        <w:tab w:val="left" w:pos="900" w:leader="none"/>
      </w:tabs>
    </w:pPr>
    <w:rPr>
      <w:sz w:val="24"/>
      <w:szCs w:val="24"/>
    </w:rPr>
  </w:style>
  <w:style w:type="character" w:styleId="1091" w:customStyle="1">
    <w:name w:val="hover4"/>
    <w:uiPriority w:val="0"/>
    <w:qFormat/>
    <w:rPr>
      <w:color w:val="999999"/>
    </w:rPr>
  </w:style>
  <w:style w:type="character" w:styleId="1092" w:customStyle="1">
    <w:name w:val="font91"/>
    <w:uiPriority w:val="0"/>
    <w:qFormat/>
    <w:rPr>
      <w:rFonts w:hint="eastAsia" w:ascii="宋体" w:hAnsi="宋体" w:eastAsia="宋体" w:cs="宋体"/>
      <w:color w:val="000000"/>
      <w:sz w:val="16"/>
      <w:szCs w:val="16"/>
      <w:u w:val="none"/>
    </w:rPr>
  </w:style>
  <w:style w:type="paragraph" w:styleId="1093" w:customStyle="1">
    <w:name w:val="Char"/>
    <w:basedOn w:val="762"/>
    <w:uiPriority w:val="0"/>
    <w:qFormat/>
    <w:pPr>
      <w:ind w:left="1350" w:hanging="1350"/>
      <w:tabs>
        <w:tab w:val="left" w:pos="1350" w:leader="none"/>
      </w:tabs>
    </w:pPr>
    <w:rPr>
      <w:sz w:val="24"/>
      <w:szCs w:val="24"/>
    </w:rPr>
  </w:style>
  <w:style w:type="paragraph" w:styleId="1094" w:customStyle="1">
    <w:name w:val="正文 1.1.1"/>
    <w:basedOn w:val="762"/>
    <w:next w:val="762"/>
    <w:uiPriority w:val="0"/>
    <w:qFormat/>
    <w:pPr>
      <w:numPr>
        <w:ilvl w:val="2"/>
        <w:numId w:val="5"/>
      </w:numPr>
      <w:outlineLvl w:val="2"/>
    </w:pPr>
    <w:rPr>
      <w:rFonts w:hAnsi="宋体"/>
      <w:color w:val="ff0000"/>
    </w:rPr>
  </w:style>
  <w:style w:type="paragraph" w:styleId="1095" w:customStyle="1">
    <w:name w:val="Default Paragraph Font Para Char"/>
    <w:basedOn w:val="762"/>
    <w:uiPriority w:val="0"/>
    <w:qFormat/>
    <w:pPr>
      <w:jc w:val="left"/>
      <w:spacing w:before="156" w:after="160" w:line="240" w:lineRule="exact"/>
      <w:widowControl/>
    </w:pPr>
    <w:rPr>
      <w:rFonts w:ascii="Verdana" w:hAnsi="Verdana"/>
      <w:sz w:val="20"/>
      <w:szCs w:val="20"/>
      <w:lang w:eastAsia="en-US"/>
    </w:rPr>
  </w:style>
  <w:style w:type="paragraph" w:styleId="1096" w:customStyle="1">
    <w:name w:val="unnamed1"/>
    <w:basedOn w:val="762"/>
    <w:uiPriority w:val="0"/>
    <w:qFormat/>
    <w:pPr>
      <w:jc w:val="left"/>
      <w:spacing w:before="100" w:beforeAutospacing="1" w:after="100" w:afterAutospacing="1" w:line="288" w:lineRule="auto"/>
      <w:widowControl/>
    </w:pPr>
    <w:rPr>
      <w:rFonts w:hint="eastAsia" w:ascii="宋体" w:hAnsi="宋体"/>
      <w:szCs w:val="21"/>
    </w:rPr>
  </w:style>
  <w:style w:type="paragraph" w:styleId="1097" w:customStyle="1">
    <w:name w:val="正文缩进1"/>
    <w:basedOn w:val="762"/>
    <w:uiPriority w:val="0"/>
    <w:qFormat/>
    <w:pPr>
      <w:ind w:firstLine="420"/>
      <w:jc w:val="left"/>
      <w:spacing w:line="360" w:lineRule="auto"/>
      <w:widowControl/>
    </w:pPr>
    <w:rPr>
      <w:rFonts w:ascii="宋体"/>
      <w:sz w:val="20"/>
      <w:szCs w:val="20"/>
    </w:rPr>
  </w:style>
  <w:style w:type="paragraph" w:styleId="1098" w:customStyle="1">
    <w:name w:val="Char1"/>
    <w:basedOn w:val="762"/>
    <w:uiPriority w:val="0"/>
    <w:qFormat/>
    <w:rPr>
      <w:rFonts w:ascii="仿宋_GB2312" w:eastAsia="仿宋_GB2312"/>
      <w:b/>
      <w:sz w:val="32"/>
      <w:szCs w:val="32"/>
    </w:rPr>
  </w:style>
  <w:style w:type="paragraph" w:styleId="1099" w:customStyle="1">
    <w:name w:val="文档正文"/>
    <w:basedOn w:val="762"/>
    <w:uiPriority w:val="0"/>
    <w:qFormat/>
    <w:pPr>
      <w:ind w:firstLine="567"/>
      <w:spacing w:line="480" w:lineRule="atLeast"/>
    </w:pPr>
    <w:rPr>
      <w:rFonts w:ascii="仿宋_GB2312" w:eastAsia="仿宋_GB2312"/>
      <w:sz w:val="28"/>
      <w:szCs w:val="24"/>
    </w:rPr>
  </w:style>
  <w:style w:type="paragraph" w:styleId="1100" w:customStyle="1">
    <w:name w:val="二级目录"/>
    <w:next w:val="762"/>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01" w:customStyle="1">
    <w:name w:val="List Paragraph1"/>
    <w:basedOn w:val="762"/>
    <w:uiPriority w:val="0"/>
    <w:qFormat/>
    <w:pPr>
      <w:ind w:firstLine="420"/>
    </w:pPr>
    <w:rPr>
      <w:szCs w:val="20"/>
    </w:rPr>
  </w:style>
  <w:style w:type="paragraph" w:styleId="1102" w:customStyle="1">
    <w:name w:val="_Style 2"/>
    <w:basedOn w:val="762"/>
    <w:uiPriority w:val="34"/>
    <w:qFormat/>
    <w:pPr>
      <w:ind w:firstLine="420"/>
    </w:pPr>
    <w:rPr>
      <w:szCs w:val="24"/>
    </w:rPr>
  </w:style>
  <w:style w:type="paragraph" w:styleId="1103"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04" w:customStyle="1">
    <w:name w:val="文档标题"/>
    <w:basedOn w:val="762"/>
    <w:uiPriority w:val="0"/>
    <w:qFormat/>
    <w:pPr>
      <w:jc w:val="center"/>
      <w:spacing w:before="312" w:after="312" w:line="300" w:lineRule="auto"/>
    </w:pPr>
    <w:rPr>
      <w:rFonts w:ascii="Arial" w:hAnsi="Arial" w:eastAsia="黑体" w:cs="Arial"/>
      <w:b/>
      <w:sz w:val="48"/>
      <w:szCs w:val="32"/>
    </w:rPr>
  </w:style>
  <w:style w:type="paragraph" w:styleId="1105" w:customStyle="1">
    <w:name w:val="Char1 Char Char Char Char Char Char"/>
    <w:basedOn w:val="762"/>
    <w:uiPriority w:val="0"/>
    <w:qFormat/>
    <w:rPr>
      <w:szCs w:val="24"/>
    </w:rPr>
  </w:style>
  <w:style w:type="paragraph" w:styleId="1106" w:customStyle="1">
    <w:name w:val="Char Char Char Char Char Char Char"/>
    <w:basedOn w:val="777"/>
    <w:uiPriority w:val="0"/>
    <w:qFormat/>
    <w:pPr>
      <w:shd w:val="clear" w:color="auto" w:fill="000080"/>
    </w:pPr>
    <w:rPr>
      <w:rFonts w:ascii="Times New Roman"/>
      <w:sz w:val="21"/>
      <w:szCs w:val="20"/>
    </w:rPr>
  </w:style>
  <w:style w:type="paragraph" w:styleId="110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列表段落1"/>
    <w:basedOn w:val="762"/>
    <w:uiPriority w:val="34"/>
    <w:qFormat/>
    <w:pPr>
      <w:ind w:left="720"/>
    </w:pPr>
    <w:rPr>
      <w:szCs w:val="21"/>
    </w:rPr>
  </w:style>
  <w:style w:type="paragraph" w:styleId="1109" w:customStyle="1">
    <w:name w:val="普通正文"/>
    <w:basedOn w:val="1030"/>
    <w:uiPriority w:val="0"/>
    <w:qFormat/>
    <w:pPr>
      <w:jc w:val="left"/>
      <w:spacing w:before="120" w:after="120" w:line="360" w:lineRule="auto"/>
    </w:pPr>
    <w:rPr>
      <w:rFonts w:ascii="Arial" w:hAnsi="Arial" w:eastAsia="宋体"/>
      <w:szCs w:val="24"/>
    </w:rPr>
  </w:style>
  <w:style w:type="paragraph" w:styleId="1110" w:customStyle="1">
    <w:name w:val="正文 1.1"/>
    <w:basedOn w:val="762"/>
    <w:next w:val="1094"/>
    <w:uiPriority w:val="0"/>
    <w:qFormat/>
    <w:pPr>
      <w:numPr>
        <w:ilvl w:val="1"/>
        <w:numId w:val="5"/>
      </w:numPr>
      <w:ind w:firstLine="550"/>
      <w:outlineLvl w:val="1"/>
    </w:pPr>
    <w:rPr>
      <w:rFonts w:ascii="仿宋" w:hAnsi="仿宋"/>
      <w:b/>
    </w:rPr>
  </w:style>
  <w:style w:type="paragraph" w:styleId="1111" w:customStyle="1">
    <w:name w:val="Table Paragraph"/>
    <w:basedOn w:val="762"/>
    <w:uiPriority w:val="1"/>
    <w:qFormat/>
    <w:rPr>
      <w:rFonts w:ascii="Calibri" w:hAnsi="Calibri"/>
      <w:lang w:eastAsia="en-US"/>
    </w:rPr>
  </w:style>
  <w:style w:type="paragraph" w:styleId="111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13"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CD 正文"/>
    <w:basedOn w:val="762"/>
    <w:uiPriority w:val="0"/>
    <w:qFormat/>
    <w:pPr>
      <w:jc w:val="left"/>
    </w:pPr>
    <w:rPr>
      <w:rFonts w:ascii="Arial" w:hAnsi="Arial" w:eastAsia="微软雅黑" w:cs="Arial"/>
      <w:szCs w:val="21"/>
    </w:rPr>
  </w:style>
  <w:style w:type="paragraph" w:styleId="1115"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16" w:customStyle="1">
    <w:name w:val="Char2"/>
    <w:basedOn w:val="762"/>
    <w:uiPriority w:val="0"/>
    <w:qFormat/>
    <w:pPr>
      <w:ind w:firstLine="200"/>
      <w:tabs>
        <w:tab w:val="left" w:pos="360" w:leader="none"/>
      </w:tabs>
    </w:pPr>
    <w:rPr>
      <w:sz w:val="28"/>
      <w:szCs w:val="30"/>
    </w:rPr>
  </w:style>
  <w:style w:type="paragraph" w:styleId="1117"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18" w:customStyle="1">
    <w:name w:val="p0"/>
    <w:basedOn w:val="762"/>
    <w:uiPriority w:val="0"/>
    <w:qFormat/>
    <w:pPr>
      <w:widowControl/>
    </w:pPr>
    <w:rPr>
      <w:szCs w:val="21"/>
    </w:rPr>
  </w:style>
  <w:style w:type="paragraph" w:styleId="1119" w:customStyle="1">
    <w:name w:val="msonormal"/>
    <w:basedOn w:val="762"/>
    <w:uiPriority w:val="0"/>
    <w:qFormat/>
    <w:pPr>
      <w:jc w:val="left"/>
      <w:spacing w:before="100" w:beforeAutospacing="1" w:after="100" w:afterAutospacing="1"/>
      <w:widowControl/>
    </w:pPr>
    <w:rPr>
      <w:rFonts w:ascii="宋体" w:hAnsi="宋体" w:cs="宋体"/>
      <w:sz w:val="24"/>
      <w:szCs w:val="24"/>
    </w:rPr>
  </w:style>
  <w:style w:type="paragraph" w:styleId="1120" w:customStyle="1">
    <w:name w:val="font5"/>
    <w:basedOn w:val="762"/>
    <w:uiPriority w:val="0"/>
    <w:qFormat/>
    <w:pPr>
      <w:jc w:val="left"/>
      <w:spacing w:before="100" w:beforeAutospacing="1" w:after="100" w:afterAutospacing="1"/>
      <w:widowControl/>
    </w:pPr>
    <w:rPr>
      <w:rFonts w:ascii="宋体" w:hAnsi="宋体" w:cs="宋体"/>
      <w:sz w:val="18"/>
      <w:szCs w:val="18"/>
    </w:rPr>
  </w:style>
  <w:style w:type="paragraph" w:styleId="1121" w:customStyle="1">
    <w:name w:val="font6"/>
    <w:basedOn w:val="762"/>
    <w:uiPriority w:val="0"/>
    <w:qFormat/>
    <w:pPr>
      <w:jc w:val="left"/>
      <w:spacing w:before="100" w:beforeAutospacing="1" w:after="100" w:afterAutospacing="1"/>
      <w:widowControl/>
    </w:pPr>
    <w:rPr>
      <w:rFonts w:ascii="Calibri" w:hAnsi="Calibri" w:cs="Calibri"/>
      <w:sz w:val="18"/>
      <w:szCs w:val="18"/>
    </w:rPr>
  </w:style>
  <w:style w:type="paragraph" w:styleId="1122" w:customStyle="1">
    <w:name w:val="xl84"/>
    <w:basedOn w:val="762"/>
    <w:uiPriority w:val="0"/>
    <w:qFormat/>
    <w:pPr>
      <w:jc w:val="left"/>
      <w:spacing w:before="100" w:beforeAutospacing="1" w:after="100" w:afterAutospacing="1"/>
      <w:widowControl/>
    </w:pPr>
    <w:rPr>
      <w:rFonts w:ascii="宋体" w:hAnsi="宋体" w:cs="宋体"/>
      <w:color w:val="000000"/>
      <w:sz w:val="24"/>
      <w:szCs w:val="24"/>
    </w:rPr>
  </w:style>
  <w:style w:type="paragraph" w:styleId="1123" w:customStyle="1">
    <w:name w:val="xl85"/>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4" w:customStyle="1">
    <w:name w:val="xl86"/>
    <w:basedOn w:val="762"/>
    <w:uiPriority w:val="0"/>
    <w:qFormat/>
    <w:pPr>
      <w:jc w:val="left"/>
      <w:spacing w:before="100" w:beforeAutospacing="1" w:after="100" w:afterAutospacing="1"/>
      <w:widowControl/>
    </w:pPr>
    <w:rPr>
      <w:rFonts w:ascii="宋体" w:hAnsi="宋体" w:cs="宋体"/>
      <w:sz w:val="24"/>
      <w:szCs w:val="24"/>
    </w:rPr>
  </w:style>
  <w:style w:type="paragraph" w:styleId="1125" w:customStyle="1">
    <w:name w:val="xl8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6" w:customStyle="1">
    <w:name w:val="xl8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7" w:customStyle="1">
    <w:name w:val="xl89"/>
    <w:basedOn w:val="762"/>
    <w:uiPriority w:val="0"/>
    <w:qFormat/>
    <w:pPr>
      <w:jc w:val="left"/>
      <w:spacing w:before="100" w:beforeAutospacing="1" w:after="100" w:afterAutospacing="1"/>
      <w:widowControl/>
    </w:pPr>
    <w:rPr>
      <w:rFonts w:ascii="宋体" w:hAnsi="宋体" w:cs="宋体"/>
      <w:sz w:val="24"/>
      <w:szCs w:val="24"/>
    </w:rPr>
  </w:style>
  <w:style w:type="paragraph" w:styleId="1128" w:customStyle="1">
    <w:name w:val="xl9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9" w:customStyle="1">
    <w:name w:val="xl9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0" w:customStyle="1">
    <w:name w:val="xl9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1" w:customStyle="1">
    <w:name w:val="xl9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2" w:customStyle="1">
    <w:name w:val="xl9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95"/>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34" w:customStyle="1">
    <w:name w:val="xl9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5" w:customStyle="1">
    <w:name w:val="xl9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xl9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7" w:customStyle="1">
    <w:name w:val="xl9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8" w:customStyle="1">
    <w:name w:val="xl100"/>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39" w:customStyle="1">
    <w:name w:val="xl10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10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1" w:customStyle="1">
    <w:name w:val="xl103"/>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42" w:customStyle="1">
    <w:name w:val="xl10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3" w:customStyle="1">
    <w:name w:val="xl10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4" w:customStyle="1">
    <w:name w:val="xl10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5" w:customStyle="1">
    <w:name w:val="xl10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6" w:customStyle="1">
    <w:name w:val="xl10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10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8" w:customStyle="1">
    <w:name w:val="xl11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11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11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11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115"/>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116"/>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4" w:customStyle="1">
    <w:name w:val="xl117"/>
    <w:basedOn w:val="76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11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119"/>
    <w:basedOn w:val="762"/>
    <w:uiPriority w:val="0"/>
    <w:qFormat/>
    <w:pPr>
      <w:jc w:val="center"/>
      <w:spacing w:before="100" w:beforeAutospacing="1" w:after="100" w:afterAutospacing="1"/>
      <w:widowControl/>
    </w:pPr>
    <w:rPr>
      <w:rFonts w:ascii="宋体" w:hAnsi="宋体" w:cs="宋体"/>
      <w:sz w:val="24"/>
      <w:szCs w:val="24"/>
    </w:rPr>
  </w:style>
  <w:style w:type="paragraph" w:styleId="1157" w:customStyle="1">
    <w:name w:val="xl120"/>
    <w:basedOn w:val="762"/>
    <w:uiPriority w:val="0"/>
    <w:qFormat/>
    <w:pPr>
      <w:jc w:val="center"/>
      <w:spacing w:before="100" w:beforeAutospacing="1" w:after="100" w:afterAutospacing="1"/>
      <w:widowControl/>
    </w:pPr>
    <w:rPr>
      <w:rFonts w:ascii="宋体" w:hAnsi="宋体" w:cs="宋体"/>
      <w:sz w:val="24"/>
      <w:szCs w:val="24"/>
    </w:rPr>
  </w:style>
  <w:style w:type="paragraph" w:styleId="1158" w:customStyle="1">
    <w:name w:val="xl121"/>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xl12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0" w:customStyle="1">
    <w:name w:val="xl12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1" w:customStyle="1">
    <w:name w:val="xl124"/>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62" w:customStyle="1">
    <w:name w:val="xl125"/>
    <w:basedOn w:val="76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63" w:customStyle="1">
    <w:name w:val="xl126"/>
    <w:basedOn w:val="7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xl11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27"/>
    <w:basedOn w:val="76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128"/>
    <w:basedOn w:val="76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67" w:customStyle="1">
    <w:name w:val="xl129"/>
    <w:basedOn w:val="76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68" w:customStyle="1">
    <w:name w:val="xl130"/>
    <w:basedOn w:val="762"/>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69" w:customStyle="1">
    <w:name w:val="xl13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0" w:customStyle="1">
    <w:name w:val="xl132"/>
    <w:basedOn w:val="76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71" w:customStyle="1">
    <w:name w:val="xl133"/>
    <w:basedOn w:val="76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72" w:customStyle="1">
    <w:name w:val="xl134"/>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73" w:customStyle="1">
    <w:name w:val="xl135"/>
    <w:basedOn w:val="76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4" w:customStyle="1">
    <w:name w:val="xl136"/>
    <w:basedOn w:val="76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5" w:customStyle="1">
    <w:name w:val="xl13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6" w:customStyle="1">
    <w:name w:val="_Style 227"/>
    <w:uiPriority w:val="99"/>
    <w:semiHidden/>
    <w:qFormat/>
    <w:rPr>
      <w:rFonts w:hint="default" w:ascii="等线" w:hAnsi="等线" w:eastAsia="等线" w:cs="Times New Roman"/>
      <w:sz w:val="21"/>
      <w:szCs w:val="22"/>
      <w:lang w:val="en-US" w:eastAsia="zh-CN" w:bidi="ar-SA"/>
    </w:rPr>
  </w:style>
  <w:style w:type="paragraph" w:styleId="1177" w:customStyle="1">
    <w:name w:val="正文_0"/>
    <w:next w:val="762"/>
    <w:uiPriority w:val="3"/>
    <w:qFormat/>
    <w:pPr>
      <w:jc w:val="both"/>
      <w:widowControl w:val="off"/>
    </w:pPr>
    <w:rPr>
      <w:rFonts w:hint="default" w:ascii="Calibri" w:hAnsi="Calibri" w:eastAsia="宋体" w:cs="Times New Roman"/>
      <w:sz w:val="21"/>
      <w:lang w:val="en-US" w:eastAsia="zh-CN" w:bidi="ar-SA"/>
    </w:rPr>
  </w:style>
  <w:style w:type="paragraph" w:styleId="1178" w:customStyle="1">
    <w:name w:val="Char Char Char Char Char Char Char1 Char"/>
    <w:basedOn w:val="762"/>
    <w:uiPriority w:val="0"/>
    <w:qFormat/>
    <w:rPr>
      <w:rFonts w:ascii="Tahoma" w:hAnsi="Tahoma"/>
      <w:sz w:val="24"/>
      <w:szCs w:val="24"/>
    </w:rPr>
  </w:style>
  <w:style w:type="paragraph" w:styleId="1179" w:customStyle="1">
    <w:name w:val="TOC 11"/>
    <w:basedOn w:val="762"/>
    <w:next w:val="762"/>
    <w:uiPriority w:val="0"/>
    <w:qFormat/>
  </w:style>
  <w:style w:type="paragraph" w:styleId="1180" w:customStyle="1">
    <w:name w:val="标题 71"/>
    <w:basedOn w:val="762"/>
    <w:next w:val="762"/>
    <w:link w:val="1181"/>
    <w:uiPriority w:val="9"/>
    <w:unhideWhenUsed/>
    <w:qFormat/>
    <w:pPr>
      <w:keepLines/>
      <w:keepNext/>
      <w:spacing w:before="320" w:after="200"/>
      <w:outlineLvl w:val="6"/>
    </w:pPr>
    <w:rPr>
      <w:rFonts w:ascii="Arial" w:hAnsi="Arial" w:eastAsia="Arial"/>
      <w:b/>
      <w:bCs/>
      <w:i/>
      <w:iCs/>
      <w:sz w:val="22"/>
    </w:rPr>
  </w:style>
  <w:style w:type="character" w:styleId="1181" w:customStyle="1">
    <w:name w:val="Heading 7 Char"/>
    <w:link w:val="1180"/>
    <w:uiPriority w:val="9"/>
    <w:qFormat/>
    <w:rPr>
      <w:rFonts w:ascii="Arial" w:hAnsi="Arial" w:eastAsia="Arial" w:cs="Arial"/>
      <w:b/>
      <w:bCs/>
      <w:i/>
      <w:iCs/>
      <w:sz w:val="22"/>
      <w:szCs w:val="22"/>
    </w:rPr>
  </w:style>
  <w:style w:type="paragraph" w:styleId="1182" w:customStyle="1">
    <w:name w:val="正文文本缩进1"/>
    <w:basedOn w:val="762"/>
    <w:next w:val="762"/>
    <w:uiPriority w:val="99"/>
    <w:unhideWhenUsed/>
    <w:qFormat/>
    <w:pPr>
      <w:ind w:firstLine="540"/>
      <w:spacing w:line="400" w:lineRule="exact"/>
    </w:pPr>
    <w:rPr>
      <w:sz w:val="24"/>
    </w:rPr>
  </w:style>
  <w:style w:type="character" w:styleId="1183" w:customStyle="1">
    <w:name w:val="font31"/>
    <w:basedOn w:val="772"/>
    <w:uiPriority w:val="0"/>
    <w:qFormat/>
    <w:rPr>
      <w:rFonts w:hint="eastAsia" w:ascii="宋体" w:hAnsi="宋体" w:eastAsia="宋体" w:cs="宋体"/>
      <w:color w:val="000000"/>
      <w:sz w:val="24"/>
      <w:szCs w:val="24"/>
      <w:u w:val="none"/>
      <w:vertAlign w:val="superscript"/>
    </w:rPr>
  </w:style>
  <w:style w:type="paragraph" w:styleId="1184" w:customStyle="1">
    <w:name w:val="正文文本11"/>
    <w:basedOn w:val="762"/>
    <w:next w:val="762"/>
    <w:uiPriority w:val="0"/>
    <w:qFormat/>
    <w:rPr>
      <w:rFonts w:ascii="楷体_GB2312" w:hAnsi="Arial" w:eastAsia="楷体_GB2312"/>
      <w:sz w:val="28"/>
      <w:szCs w:val="28"/>
    </w:rPr>
  </w:style>
  <w:style w:type="paragraph" w:styleId="1185" w:customStyle="1">
    <w:name w:val="Table Text"/>
    <w:basedOn w:val="762"/>
    <w:uiPriority w:val="0"/>
    <w:semiHidden/>
    <w:qFormat/>
    <w:rPr>
      <w:rFonts w:ascii="宋体" w:hAnsi="宋体" w:eastAsia="宋体" w:cs="宋体"/>
      <w:sz w:val="18"/>
      <w:szCs w:val="18"/>
      <w:lang w:val="en-US" w:eastAsia="en-US" w:bidi="ar-SA"/>
    </w:rPr>
  </w:style>
  <w:style w:type="table" w:styleId="1186" w:customStyle="1">
    <w:name w:val="Table Normal"/>
    <w:uiPriority w:val="0"/>
    <w:semiHidden/>
    <w:unhideWhenUsed/>
    <w:qFormat/>
    <w:tblPr>
      <w:tblCellMar>
        <w:left w:w="0" w:type="dxa"/>
        <w:top w:w="0" w:type="dxa"/>
        <w:right w:w="0" w:type="dxa"/>
        <w:bottom w:w="0" w:type="dxa"/>
      </w:tblCellMar>
    </w:tblPr>
  </w:style>
  <w:style w:type="paragraph" w:styleId="1187" w:customStyle="1">
    <w:name w:val="首行缩进"/>
    <w:basedOn w:val="762"/>
    <w:uiPriority w:val="0"/>
    <w:qFormat/>
    <w:pPr>
      <w:ind w:firstLine="420"/>
      <w:spacing w:line="360" w:lineRule="auto"/>
    </w:pPr>
  </w:style>
  <w:style w:type="character" w:styleId="1188" w:customStyle="1">
    <w:name w:val="A13"/>
    <w:uiPriority w:val="99"/>
    <w:qFormat/>
    <w:rPr>
      <w:rFonts w:cs="......."/>
      <w:color w:val="000000"/>
      <w:sz w:val="11"/>
      <w:szCs w:val="11"/>
    </w:rPr>
  </w:style>
  <w:style w:type="numbering" w:styleId="1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WjwZc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16</cp:revision>
  <dcterms:created xsi:type="dcterms:W3CDTF">2024-10-14T08:05:00Z</dcterms:created>
  <dcterms:modified xsi:type="dcterms:W3CDTF">2026-01-27T07:31:32Z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F6F8F701993A470BB7DEA6F133E32520_13</vt:lpwstr>
  </property>
  <property fmtid="{D5CDD505-2E9C-101B-9397-08002B2CF9AE}" pid="4" name="KSOTemplateDocerSaveRecord">
    <vt:lpwstr>eyJoZGlkIjoiZTVkNzQ3OWEyMTdhMmNjZTE0YWI3MmE4NDZlMmFlODAiLCJ1c2VySWQiOiI0MTk2MzY1OTUifQ==</vt:lpwstr>
  </property>
</Properties>
</file>