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保险要求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一、投保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乙方应投保团体意外险+公众责任险（含电梯险）或建筑/安装工程一切险+建筑工程意外伤害险。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二、保险金额/赔偿限额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1.第三者人身伤害及财产损失，每次事故赔偿额度不得低于300万，不得设立每人赔偿限额。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2.项目人员，每人赔偿限额不得低于1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50万。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3.工程财产损失保险金额不得低于工程造价金额。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1.乙方应当在中标通知书发出后，合同开始履行前完成项目保险的投保，乙方应选择具有良好信誉和资质的保险公司进行投保，保险期应覆盖整个项目周期，按年度购买的，后续服务期，乙方应当提前一个月完成下一年度的投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2.乙方投保建筑/安装工程一切险、公众责任险时应同时将甲方及相关方作为共同被保险人。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3.乙方</w:t>
      </w:r>
      <w:r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  <w:t>应及时向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甲方</w:t>
      </w:r>
      <w:r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  <w:t>提交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所购买</w:t>
      </w:r>
      <w:r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  <w:t>保险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的</w:t>
      </w:r>
      <w:r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  <w:t>凭证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、</w:t>
      </w:r>
      <w:r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  <w:t>保险单复印件，保险单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内容</w:t>
      </w:r>
      <w:r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  <w:t>必须与</w:t>
      </w: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甲方要求</w:t>
      </w:r>
      <w:r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  <w:t>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cs="Times New Roman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lang w:val="en-US" w:eastAsia="zh-CN"/>
        </w:rPr>
        <w:t>4、购买保险所产生费用均包含在投标报价中。</w:t>
      </w:r>
    </w:p>
    <w:p>
      <w:pPr>
        <w:numPr>
          <w:ilvl w:val="-1"/>
          <w:numId w:val="0"/>
        </w:numPr>
        <w:adjustRightInd w:val="0"/>
        <w:snapToGrid w:val="0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3B"/>
    <w:rsid w:val="0007773B"/>
    <w:rsid w:val="003665DB"/>
    <w:rsid w:val="003C4187"/>
    <w:rsid w:val="006B69DC"/>
    <w:rsid w:val="007553B2"/>
    <w:rsid w:val="00A464A1"/>
    <w:rsid w:val="00B21EA2"/>
    <w:rsid w:val="00C4069C"/>
    <w:rsid w:val="26121F6B"/>
    <w:rsid w:val="785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329</Characters>
  <Lines>2</Lines>
  <Paragraphs>1</Paragraphs>
  <TotalTime>5</TotalTime>
  <ScaleCrop>false</ScaleCrop>
  <LinksUpToDate>false</LinksUpToDate>
  <CharactersWithSpaces>385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2021-06-17T08:06:00Z</dcterms:created>
  <dc:creator>张洁</dc:creator>
  <cp:lastModifiedBy>张连水</cp:lastModifiedBy>
  <dcterms:modified xsi:type="dcterms:W3CDTF">2024-09-14T07:50:50Z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