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JSZC-320214-JSZH-G2025-0027</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2025-2027年度叙康里、叙成里、叙丰里、景南苑、广南里、锦江苑六个区本级老小区雨污水管网养护服务项目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二○二</w:t>
      </w:r>
      <w:r>
        <w:rPr>
          <w:rFonts w:hint="eastAsia" w:ascii="黑体" w:hAnsi="华文中宋" w:eastAsia="黑体"/>
          <w:bCs/>
          <w:color w:val="auto"/>
          <w:sz w:val="30"/>
          <w:szCs w:val="30"/>
          <w:highlight w:val="none"/>
          <w:lang w:val="en-US" w:eastAsia="zh-CN"/>
        </w:rPr>
        <w:t xml:space="preserve">五</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三</w:t>
      </w:r>
      <w:r>
        <w:rPr>
          <w:rFonts w:hint="eastAsia" w:ascii="黑体" w:hAnsi="华文中宋" w:eastAsia="黑体"/>
          <w:bCs/>
          <w:color w:val="auto"/>
          <w:sz w:val="30"/>
          <w:szCs w:val="30"/>
          <w:highlight w:val="none"/>
        </w:rPr>
        <w:t xml:space="preserve">月</w:t>
      </w:r>
      <w:r/>
    </w:p>
    <w:p>
      <w:pPr>
        <w:jc w:val="center"/>
        <w:rPr>
          <w:rStyle w:val="713"/>
          <w:rFonts w:eastAsia="黑体"/>
          <w:bCs/>
          <w:color w:val="auto"/>
          <w:sz w:val="48"/>
          <w:highlight w:val="none"/>
        </w:rPr>
      </w:pPr>
      <w:r>
        <w:rPr>
          <w:rStyle w:val="713"/>
          <w:rFonts w:eastAsia="黑体"/>
          <w:bCs/>
          <w:color w:val="auto"/>
          <w:sz w:val="48"/>
          <w:highlight w:val="none"/>
        </w:rPr>
        <w:br w:type="page" w:clear="all"/>
      </w:r>
      <w:r>
        <w:rPr>
          <w:rStyle w:val="713"/>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二、</w:t>
      </w:r>
      <w:r>
        <w:rPr>
          <w:rFonts w:hint="eastAsia" w:ascii="宋体" w:hAnsi="宋体"/>
          <w:bCs/>
          <w:color w:val="auto"/>
          <w:sz w:val="30"/>
          <w:szCs w:val="30"/>
          <w:highlight w:val="none"/>
        </w:rPr>
        <w:t xml:space="preserve">投标人须知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三、</w:t>
      </w:r>
      <w:r>
        <w:rPr>
          <w:rFonts w:hint="eastAsia" w:ascii="宋体" w:hAnsi="宋体"/>
          <w:bCs/>
          <w:color w:val="auto"/>
          <w:sz w:val="30"/>
          <w:szCs w:val="30"/>
          <w:highlight w:val="none"/>
        </w:rPr>
        <w:t xml:space="preserve">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（1</w:t>
      </w:r>
      <w:r>
        <w:rPr>
          <w:rFonts w:hint="eastAsia" w:ascii="宋体" w:hAnsi="宋体"/>
          <w:bCs/>
          <w:color w:val="auto"/>
          <w:sz w:val="30"/>
          <w:szCs w:val="30"/>
          <w:highlight w:val="none"/>
          <w:lang w:val="en-US" w:eastAsia="zh-CN"/>
        </w:rPr>
        <w:t xml:space="preserve">8</w:t>
      </w:r>
      <w:r>
        <w:rPr>
          <w:rFonts w:hint="eastAsia" w:ascii="宋体" w:hAnsi="宋体"/>
          <w:bCs/>
          <w:color w:val="auto"/>
          <w:sz w:val="30"/>
          <w:szCs w:val="30"/>
          <w:highlight w:val="none"/>
        </w:rPr>
        <w:t xml:space="preserve">）</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四、</w:t>
      </w:r>
      <w:r>
        <w:rPr>
          <w:rFonts w:hint="eastAsia" w:ascii="宋体" w:hAnsi="宋体"/>
          <w:bCs/>
          <w:color w:val="auto"/>
          <w:sz w:val="30"/>
          <w:szCs w:val="30"/>
          <w:highlight w:val="none"/>
        </w:rPr>
        <w:t xml:space="preserve">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34</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合同条款（格式）</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35</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lang w:eastAsia="zh-CN"/>
        </w:rPr>
        <w:t xml:space="preserve">六、</w:t>
      </w:r>
      <w:r>
        <w:rPr>
          <w:rFonts w:hint="eastAsia" w:ascii="宋体" w:hAnsi="宋体"/>
          <w:bCs/>
          <w:color w:val="auto"/>
          <w:sz w:val="30"/>
          <w:szCs w:val="30"/>
          <w:highlight w:val="none"/>
        </w:rPr>
        <w:t xml:space="preserve">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38</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江苏智汇锡建工程项目管理有限公司受无锡市新吴区人民政府江溪街道办事处委托，对</w:t>
      </w:r>
      <w:r>
        <w:rPr>
          <w:rFonts w:hint="eastAsia" w:ascii="宋体" w:hAnsi="宋体"/>
          <w:bCs/>
          <w:color w:val="auto"/>
          <w:sz w:val="24"/>
          <w:szCs w:val="24"/>
          <w:highlight w:val="none"/>
          <w:lang w:eastAsia="zh-CN"/>
        </w:rPr>
        <w:t xml:space="preserve">2025-2027年度叙康里、叙成里、叙丰里、景南苑、广南里、锦江苑六个区本级老小区雨污水管网养护服务项目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2025-2027年度叙康里、叙成里、叙丰里、景南苑、广南里、锦江苑六个区本级老小区雨污水管网养护服务项目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JSZC-320214-JSZH-G2025-0027</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两年（以合同签订日期为准）</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200.00</w:t>
      </w:r>
      <w:r>
        <w:rPr>
          <w:rFonts w:hint="eastAsia" w:ascii="宋体" w:hAnsi="宋体" w:cs="宋体"/>
          <w:color w:val="auto"/>
          <w:sz w:val="24"/>
          <w:szCs w:val="24"/>
          <w:highlight w:val="none"/>
        </w:rPr>
        <w:t xml:space="preserve">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165.03888</w:t>
      </w:r>
      <w:r>
        <w:rPr>
          <w:rFonts w:hint="eastAsia" w:ascii="宋体" w:hAnsi="宋体" w:cs="宋体"/>
          <w:color w:val="auto"/>
          <w:sz w:val="24"/>
          <w:szCs w:val="24"/>
          <w:highlight w:val="none"/>
          <w:lang w:eastAsia="zh-CN"/>
        </w:rPr>
        <w:t xml:space="preserve">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7.采购人：无锡市新吴区人民政府江溪街道办事处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w:t>
      </w:r>
      <w:r>
        <w:rPr>
          <w:rFonts w:hint="eastAsia" w:ascii="宋体" w:hAnsi="宋体"/>
          <w:color w:val="auto"/>
          <w:sz w:val="24"/>
          <w:szCs w:val="24"/>
          <w:highlight w:val="none"/>
          <w:lang w:val="en-US" w:eastAsia="zh-CN"/>
        </w:rPr>
        <w:t xml:space="preserve">被</w:t>
      </w:r>
      <w:r>
        <w:rPr>
          <w:rFonts w:hint="eastAsia" w:ascii="宋体" w:hAnsi="宋体"/>
          <w:color w:val="auto"/>
          <w:sz w:val="24"/>
          <w:szCs w:val="24"/>
          <w:highlight w:val="none"/>
        </w:rPr>
        <w:t xml:space="preserve">执行人、重大税收违法案件当事人名单、政府采购严重违法失信行为记录名单；</w:t>
      </w: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投标供应商具有市政公用工程施工总承包三级</w:t>
      </w:r>
      <w:r>
        <w:rPr>
          <w:rFonts w:hint="eastAsia" w:ascii="宋体" w:hAnsi="宋体" w:cs="宋体"/>
          <w:color w:val="auto"/>
          <w:sz w:val="24"/>
          <w:szCs w:val="24"/>
          <w:highlight w:val="none"/>
          <w:lang w:eastAsia="zh-CN"/>
        </w:rPr>
        <w:t xml:space="preserve">及以上资质</w:t>
      </w:r>
      <w:r>
        <w:rPr>
          <w:rFonts w:hint="eastAsia" w:ascii="宋体" w:hAnsi="宋体" w:cs="宋体"/>
          <w:color w:val="auto"/>
          <w:sz w:val="24"/>
          <w:szCs w:val="24"/>
          <w:highlight w:val="none"/>
        </w:rPr>
        <w:t xml:space="preserve">；（4）项目负责人具备市政公用工程注册建造师二级及以上和有效的《建筑施工企业项目负责人安全生产考核合格证书》；（5）投标供应商具有有效的安全生产许可证；</w:t>
      </w:r>
      <w:r>
        <w:rPr>
          <w:rFonts w:hint="eastAsia" w:ascii="宋体" w:hAnsi="宋体" w:cs="宋体"/>
          <w:color w:val="auto"/>
          <w:sz w:val="24"/>
          <w:szCs w:val="24"/>
          <w:highlight w:val="none"/>
        </w:rPr>
        <w:t xml:space="preserve">（6）</w:t>
      </w:r>
      <w:r>
        <w:rPr>
          <w:rFonts w:hint="eastAsia" w:ascii="宋体" w:hAnsi="宋体"/>
          <w:color w:val="auto"/>
          <w:sz w:val="24"/>
          <w:szCs w:val="24"/>
          <w:highlight w:val="none"/>
        </w:rPr>
        <w:t xml:space="preserve">授权委托人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项目负责人</w:t>
      </w:r>
      <w:r>
        <w:rPr>
          <w:rFonts w:hint="eastAsia" w:ascii="宋体" w:hAnsi="宋体"/>
          <w:color w:val="auto"/>
          <w:sz w:val="24"/>
          <w:szCs w:val="24"/>
          <w:highlight w:val="none"/>
        </w:rPr>
        <w:t xml:space="preserve">应为投标供应商企业在职员工；（</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在“江苏省政府采购（苏采云）平台”</w:t>
      </w:r>
      <w:r>
        <w:rPr>
          <w:rFonts w:hint="eastAsia" w:ascii="宋体" w:hAnsi="宋体"/>
          <w:color w:val="auto"/>
          <w:sz w:val="24"/>
          <w:szCs w:val="24"/>
          <w:highlight w:val="none"/>
          <w:lang w:eastAsia="zh-CN"/>
        </w:rPr>
        <w:t xml:space="preserve">账号登录</w:t>
      </w:r>
      <w:r>
        <w:rPr>
          <w:rFonts w:hint="eastAsia"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1.潜在投标供应商可在项目招标公告附件中查看公开招标文件，如确定投标，必须在苏采云平台（http://jszfcg.jscz.gov.cn/jszc/login）中免费下载公开招标文件（无锡政府采购网--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江苏省政府采购（苏采云）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JSZC-320214-JSZH-G2025-0027</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2025年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2025年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1" w:name="_Toc28359007"/>
      <w:r>
        <w:rPr>
          <w:rFonts w:hint="eastAsia" w:ascii="宋体" w:hAnsi="宋体" w:cs="宋体"/>
          <w:color w:val="auto"/>
          <w:sz w:val="24"/>
          <w:szCs w:val="24"/>
          <w:highlight w:val="none"/>
        </w:rPr>
        <w:t xml:space="preserve">“苏采云”系统（网址：http://jszfcg.jsczt.cn/）</w:t>
      </w:r>
      <w:bookmarkEnd w:id="1"/>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其他</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采购人：无锡市新吴区人民政府江溪街道办事处</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采购人地址：无锡市新吴区苏巷路1号</w:t>
      </w:r>
      <w:r/>
    </w:p>
    <w:p>
      <w:pPr>
        <w:pStyle w:val="704"/>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周晓静</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联系电话：0510-82110033</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cs="宋体"/>
          <w:color w:val="auto"/>
          <w:highlight w:val="none"/>
          <w:lang w:val="zh-CN"/>
        </w:rPr>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采购代理机构统一社会信用代码：91320214727400523L</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联系人：徐丽平、吴雨洁</w:t>
      </w:r>
      <w:r/>
    </w:p>
    <w:p>
      <w:pPr>
        <w:pStyle w:val="704"/>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w:t>
      </w:r>
      <w:r>
        <w:rPr>
          <w:rFonts w:hint="eastAsia"/>
          <w:bCs/>
          <w:color w:val="auto"/>
          <w:highlight w:val="none"/>
        </w:rPr>
        <w:t xml:space="preserve">无锡市新吴区太湖国际科技园菱湖大道180-8号B栋9楼</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704"/>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704"/>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lang w:val="zh-CN"/>
        </w:rPr>
        <w:t xml:space="preserve">4.供应商请仔细阅读供应商注册流程和招标文件中关于电子开评标等相关事项，如有问题可发送邮件或电话咨询。</w:t>
      </w:r>
      <w:r/>
    </w:p>
    <w:p>
      <w:pPr>
        <w:pStyle w:val="704"/>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投标人须知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lang w:eastAsia="zh-CN"/>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地址：无锡市新吴区太湖国际科技园菱湖大道180-8号B栋9楼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25"/>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25"/>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具有独立承担民事责任能力的投标人营业执照或相关部门的登记证明文件（投标人如是</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如是</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为其法定代表人授权代表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项目负责人</w:t>
      </w:r>
      <w:r>
        <w:rPr>
          <w:rFonts w:hint="eastAsia" w:ascii="宋体" w:hAnsi="宋体"/>
          <w:bCs/>
          <w:color w:val="auto"/>
          <w:sz w:val="24"/>
          <w:szCs w:val="24"/>
          <w:highlight w:val="none"/>
        </w:rPr>
        <w:t xml:space="preserve">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的财务状况报告（资产负债表和利润表）或由会计师事务所出具的近两年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2023年或2024年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w:t>
      </w:r>
      <w:r>
        <w:rPr>
          <w:rFonts w:hint="eastAsia" w:ascii="宋体"/>
          <w:bCs/>
          <w:color w:val="auto"/>
          <w:sz w:val="24"/>
          <w:szCs w:val="24"/>
          <w:highlight w:val="none"/>
          <w:lang w:val="en-US" w:eastAsia="zh-CN"/>
        </w:rPr>
        <w:t xml:space="preserve">人</w:t>
      </w:r>
      <w:r>
        <w:rPr>
          <w:rFonts w:hint="eastAsia" w:ascii="宋体"/>
          <w:bCs/>
          <w:color w:val="auto"/>
          <w:sz w:val="24"/>
          <w:szCs w:val="24"/>
          <w:highlight w:val="none"/>
        </w:rPr>
        <w:t xml:space="preserve">如为中小微企业的提供中小企业声明函（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）；投标</w:t>
      </w:r>
      <w:r>
        <w:rPr>
          <w:rFonts w:hint="eastAsia" w:ascii="宋体"/>
          <w:bCs/>
          <w:color w:val="auto"/>
          <w:sz w:val="24"/>
          <w:szCs w:val="24"/>
          <w:highlight w:val="none"/>
          <w:lang w:val="en-US" w:eastAsia="zh-CN"/>
        </w:rPr>
        <w:t xml:space="preserve">人</w:t>
      </w:r>
      <w:r>
        <w:rPr>
          <w:rFonts w:hint="eastAsia" w:ascii="宋体"/>
          <w:bCs/>
          <w:color w:val="auto"/>
          <w:sz w:val="24"/>
          <w:szCs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bCs/>
          <w:color w:val="auto"/>
          <w:sz w:val="24"/>
          <w:szCs w:val="24"/>
          <w:highlight w:val="none"/>
          <w:lang w:val="en-US" w:eastAsia="zh-CN"/>
        </w:rPr>
        <w:t xml:space="preserve">扫描件</w:t>
      </w:r>
      <w:r>
        <w:rPr>
          <w:rFonts w:hint="eastAsia" w:ascii="宋体"/>
          <w:bCs/>
          <w:color w:val="auto"/>
          <w:sz w:val="24"/>
          <w:szCs w:val="24"/>
          <w:highlight w:val="none"/>
        </w:rPr>
        <w:t xml:space="preserve">；投标供应商如为残疾人福利性单位的提供《残疾人福利性单位声明函》。</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9、技术文件</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格式自拟，</w:t>
      </w:r>
      <w:r>
        <w:rPr>
          <w:rFonts w:hint="eastAsia" w:ascii="宋体" w:hAnsi="宋体"/>
          <w:b/>
          <w:bCs w:val="0"/>
          <w:color w:val="auto"/>
          <w:sz w:val="24"/>
          <w:szCs w:val="24"/>
          <w:highlight w:val="none"/>
        </w:rPr>
        <w:t xml:space="preserve">内容参照评标办法）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10、评分标准中对应</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实质性要求的；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（十）开标、评标：</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（十一）定标：</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江苏智汇锡建工程项目管理有限公司向中标供应商发中标通知书。</w:t>
      </w:r>
      <w:r/>
    </w:p>
    <w:p>
      <w:pPr>
        <w:numPr>
          <w:ilvl w:val="0"/>
          <w:numId w:val="11"/>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4"/>
        </w:numPr>
        <w:ind w:left="-105" w:firstLine="525"/>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lang w:eastAsia="zh-CN"/>
        </w:rPr>
        <w:t xml:space="preserve">，500万-1000万</w:t>
      </w:r>
      <w:r>
        <w:rPr>
          <w:rFonts w:hint="eastAsia" w:ascii="宋体" w:hAnsi="宋体" w:eastAsia="宋体" w:cs="宋体"/>
          <w:color w:val="auto"/>
          <w:sz w:val="24"/>
          <w:highlight w:val="none"/>
        </w:rPr>
        <w:t xml:space="preserve">费率为0.</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pStyle w:val="677"/>
        <w:rPr>
          <w:color w:val="auto"/>
          <w:highlight w:val="none"/>
        </w:rPr>
      </w:pPr>
      <w:r>
        <w:rPr>
          <w:color w:val="auto"/>
          <w:highlight w:val="none"/>
        </w:rPr>
      </w:r>
      <w:r/>
    </w:p>
    <w:p>
      <w:pPr>
        <w:pStyle w:val="704"/>
        <w:ind w:firstLine="560"/>
        <w:jc w:val="center"/>
        <w:spacing w:before="0" w:beforeAutospacing="0" w:after="0" w:afterAutospacing="0" w:line="460" w:lineRule="exact"/>
        <w:tabs>
          <w:tab w:val="left" w:pos="0" w:leader="none"/>
        </w:tabs>
        <w:rPr>
          <w:rFonts w:ascii="黑体" w:eastAsia="黑体"/>
          <w:bCs/>
          <w:color w:val="auto"/>
          <w:sz w:val="30"/>
          <w:szCs w:val="30"/>
          <w:highlight w:val="none"/>
        </w:rPr>
        <w:outlineLvl w:val="0"/>
      </w:pPr>
      <w:r>
        <w:rPr>
          <w:rFonts w:hint="eastAsia" w:ascii="宋体" w:hAnsi="宋体"/>
          <w:bCs/>
          <w:color w:val="auto"/>
          <w:sz w:val="24"/>
          <w:szCs w:val="24"/>
          <w:highlight w:val="none"/>
        </w:rPr>
        <w:br w:type="page" w:clear="all"/>
      </w:r>
      <w:r>
        <w:rPr>
          <w:rFonts w:hint="eastAsia" w:ascii="黑体" w:eastAsia="黑体"/>
          <w:bCs/>
          <w:color w:val="auto"/>
          <w:sz w:val="28"/>
          <w:szCs w:val="28"/>
          <w:highlight w:val="none"/>
          <w:lang w:eastAsia="zh-CN"/>
        </w:rPr>
        <w:t xml:space="preserve">三</w:t>
      </w:r>
      <w:r>
        <w:rPr>
          <w:rFonts w:hint="eastAsia" w:ascii="黑体" w:eastAsia="黑体"/>
          <w:bCs/>
          <w:color w:val="auto"/>
          <w:sz w:val="28"/>
          <w:szCs w:val="28"/>
          <w:highlight w:val="none"/>
          <w:lang w:val="en-US" w:eastAsia="zh-CN"/>
        </w:rPr>
        <w:t xml:space="preserve">、</w:t>
      </w:r>
      <w:r>
        <w:rPr>
          <w:rFonts w:hint="eastAsia" w:ascii="黑体" w:eastAsia="黑体"/>
          <w:bCs/>
          <w:color w:val="auto"/>
          <w:sz w:val="28"/>
          <w:szCs w:val="28"/>
          <w:highlight w:val="none"/>
          <w:lang w:eastAsia="zh-CN"/>
        </w:rPr>
        <w:t xml:space="preserve">项目技术要求和有关说明</w:t>
      </w:r>
      <w:r/>
    </w:p>
    <w:p>
      <w:pPr>
        <w:ind w:left="0" w:right="0"/>
        <w:jc w:val="both"/>
        <w:keepLines w:val="0"/>
        <w:keepNext w:val="0"/>
        <w:spacing w:before="0" w:beforeAutospacing="0" w:after="0" w:afterAutospacing="0" w:line="440" w:lineRule="exact"/>
        <w:widowControl w:val="off"/>
        <w:rPr>
          <w:rFonts w:hint="eastAsia" w:ascii="宋体" w:hAnsi="宋体" w:eastAsia="宋体" w:cs="Arial"/>
          <w:b/>
          <w:bCs w:val="0"/>
          <w:color w:val="auto"/>
          <w:sz w:val="24"/>
          <w:szCs w:val="24"/>
          <w:highlight w:val="none"/>
          <w:u w:val="none"/>
        </w:rPr>
        <w:suppressLineNumbers w:val="0"/>
      </w:pPr>
      <w:r>
        <w:rPr>
          <w:rFonts w:hint="eastAsia" w:ascii="宋体" w:hAnsi="宋体" w:eastAsia="宋体" w:cs="宋体"/>
          <w:b/>
          <w:bCs/>
          <w:color w:val="auto"/>
          <w:sz w:val="24"/>
          <w:szCs w:val="24"/>
          <w:highlight w:val="none"/>
          <w:u w:val="none"/>
          <w:lang w:val="en-US" w:eastAsia="zh-CN" w:bidi="ar"/>
        </w:rPr>
        <w:t xml:space="preserve">一、</w:t>
      </w:r>
      <w:r>
        <w:rPr>
          <w:rFonts w:hint="eastAsia" w:ascii="宋体" w:hAnsi="宋体" w:eastAsia="宋体" w:cs="宋体"/>
          <w:b/>
          <w:bCs w:val="0"/>
          <w:color w:val="auto"/>
          <w:sz w:val="24"/>
          <w:szCs w:val="24"/>
          <w:highlight w:val="none"/>
          <w:u w:val="none"/>
          <w:lang w:val="en-US" w:eastAsia="zh-CN" w:bidi="ar"/>
        </w:rPr>
        <w:t xml:space="preserve">采购标的需执行的国家相关标准、行业标准、地方标准或者其他标准、规范：</w:t>
      </w:r>
      <w:r/>
    </w:p>
    <w:p>
      <w:pPr>
        <w:ind w:left="0" w:right="0"/>
        <w:jc w:val="both"/>
        <w:keepLines w:val="0"/>
        <w:keepNext w:val="0"/>
        <w:spacing w:before="0" w:beforeAutospacing="0" w:after="0" w:afterAutospacing="0" w:line="440" w:lineRule="exact"/>
        <w:widowControl w:val="off"/>
        <w:rPr>
          <w:rFonts w:hint="eastAsia" w:ascii="宋体" w:hAnsi="宋体" w:eastAsia="宋体" w:cs="Arial"/>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《中华人民共和国政府采购法》《</w:t>
      </w:r>
      <w:r>
        <w:rPr>
          <w:rFonts w:hint="eastAsia" w:ascii="宋体" w:hAnsi="宋体" w:eastAsia="宋体" w:cs="宋体"/>
          <w:color w:val="auto"/>
          <w:sz w:val="24"/>
          <w:szCs w:val="24"/>
          <w:highlight w:val="none"/>
          <w:u w:val="none"/>
          <w:lang w:val="en-US" w:eastAsia="zh-CN" w:bidi="ar"/>
        </w:rPr>
        <w:t xml:space="preserve">无锡市建设工程文明施工管理办法》《城镇排水管渠及泵站维护技术规范》（CJJ68-2016）和《新吴区公共雨污水管网（设施）养护作业参考标准》</w:t>
      </w:r>
      <w:r>
        <w:rPr>
          <w:rFonts w:hint="eastAsia" w:ascii="宋体" w:hAnsi="宋体" w:eastAsia="宋体" w:cs="宋体"/>
          <w:color w:val="auto"/>
          <w:sz w:val="24"/>
          <w:szCs w:val="24"/>
          <w:highlight w:val="none"/>
          <w:u w:val="none"/>
          <w:lang w:val="en-US" w:eastAsia="zh-CN" w:bidi="ar"/>
        </w:rPr>
        <w:t xml:space="preserve">等其他法律法规以及江苏省和无锡市行业主管部门颁布的相关文件规定，如</w:t>
      </w:r>
      <w:r>
        <w:rPr>
          <w:rFonts w:hint="eastAsia" w:ascii="宋体" w:hAnsi="宋体" w:cs="宋体"/>
          <w:color w:val="auto"/>
          <w:sz w:val="24"/>
          <w:szCs w:val="24"/>
          <w:highlight w:val="none"/>
          <w:u w:val="none"/>
          <w:lang w:val="en-US" w:eastAsia="zh-CN" w:bidi="ar"/>
        </w:rPr>
        <w:t xml:space="preserve">地方性法规</w:t>
      </w:r>
      <w:r>
        <w:rPr>
          <w:rFonts w:hint="eastAsia" w:ascii="宋体" w:hAnsi="宋体" w:eastAsia="宋体" w:cs="宋体"/>
          <w:color w:val="auto"/>
          <w:sz w:val="24"/>
          <w:szCs w:val="24"/>
          <w:highlight w:val="none"/>
          <w:u w:val="none"/>
          <w:lang w:val="en-US" w:eastAsia="zh-CN" w:bidi="ar"/>
        </w:rPr>
        <w:t xml:space="preserve">与国家法规相抵触，按国家法规执行。</w:t>
      </w:r>
      <w:r/>
    </w:p>
    <w:p>
      <w:pPr>
        <w:ind w:left="0" w:right="0"/>
        <w:jc w:val="both"/>
        <w:keepLines w:val="0"/>
        <w:keepNext w:val="0"/>
        <w:spacing w:before="0" w:beforeAutospacing="0" w:after="0" w:afterAutospacing="0" w:line="440" w:lineRule="exact"/>
        <w:widowControl w:val="off"/>
        <w:rPr>
          <w:rFonts w:hint="eastAsia" w:ascii="宋体" w:hAnsi="宋体" w:eastAsia="宋体" w:cs="Arial"/>
          <w:b/>
          <w:bCs w:val="0"/>
          <w:color w:val="auto"/>
          <w:sz w:val="24"/>
          <w:szCs w:val="24"/>
          <w:highlight w:val="none"/>
          <w:u w:val="none"/>
        </w:rPr>
        <w:suppressLineNumbers w:val="0"/>
      </w:pPr>
      <w:r>
        <w:rPr>
          <w:rFonts w:hint="eastAsia" w:ascii="宋体" w:hAnsi="宋体" w:eastAsia="宋体" w:cs="宋体"/>
          <w:b/>
          <w:bCs w:val="0"/>
          <w:color w:val="auto"/>
          <w:sz w:val="24"/>
          <w:szCs w:val="24"/>
          <w:highlight w:val="none"/>
          <w:u w:val="none"/>
          <w:lang w:val="en-US" w:eastAsia="zh-CN" w:bidi="ar"/>
        </w:rPr>
        <w:t xml:space="preserve">二、本项目需满足的质量、安全、技术规格、物理特性等要求：</w:t>
      </w:r>
      <w:r/>
    </w:p>
    <w:p>
      <w:pPr>
        <w:ind w:left="0" w:right="0" w:firstLine="480"/>
        <w:jc w:val="both"/>
        <w:keepLines w:val="0"/>
        <w:keepNext w:val="0"/>
        <w:spacing w:before="0" w:beforeAutospacing="0" w:after="0" w:afterAutospacing="0" w:line="440" w:lineRule="exact"/>
        <w:widowControl w:val="off"/>
        <w:tabs>
          <w:tab w:val="left" w:pos="1050" w:leader="none"/>
        </w:tabs>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（一）养护的质量标准和要求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1、质量验收标准：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A.依据《城镇排水管渠及泵站维护技术规范》（CJJ68-2016）和《新吴区公共雨污水管网（设施）养护作业参考标准》执行。</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B.排水设施每日进行巡查，确保沟管畅通，检查井井框盖完好吻合，井内的积淤符合要求，井圈和井盖开裂、丢失应在6小时之内补装完整，并做好安全保护警示措施，以防发生意外事故。</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2、考核方法和内容：</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A.考核分月度考核、季度考核、年度考核。考核表详见《养护管理考核表》。</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各排水管理机构（江溪街道）按月考得分向运行维护单位支付运行维护经费。月考得分在90分以上（包括90分），则全额支付该月度运行维护费用。月考得分在85～90分（包括85分）则扣除当月养护经费的10%；月考得分在80～85分（包括80分）则扣除当月养护经费的20%；考核分低于80分的则扣除当月养护经费的40%，或暂缓支付养护经费，待整改到位后支付。同时甲方有权无条件单方面终止该合同。（注：每月考核经费为计算年度经费/12，如需扣除养护经费，在每个支付期支付时扣除相应的经费）。</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3、中标单位应建立有效的运行维护信息，按养护规范要求频率进行巡查。同时，每年对排水设施运行维护信息进行汇总。制作运行维护信息年报表。分别于每年12月底前报（江溪街道环境保护科），并（江溪街道环境保护科）做好信息更新工作。巡视不到位、频率不满足要求、资料不齐全、不准确等，按《养护管理考核表》处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4、中标单位必须严格按照《城镇排水管渠与泵站维护技术规程》（CJJ68-2016）</w:t>
      </w:r>
      <w:r>
        <w:rPr>
          <w:rFonts w:hint="eastAsia" w:ascii="宋体" w:hAnsi="宋体" w:eastAsia="宋体" w:cs="宋体"/>
          <w:color w:val="auto"/>
          <w:sz w:val="24"/>
          <w:szCs w:val="24"/>
          <w:highlight w:val="none"/>
          <w:u w:val="none"/>
          <w:lang w:val="en-US" w:eastAsia="zh-CN" w:bidi="ar"/>
        </w:rPr>
        <w:t xml:space="preserve">、泵站的运行、维护应符合国家现行《恶臭污染物排放标准》（GB14554）和《城市区域环境噪声标准》（GB3096）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缴纳，按《养护管理考核表》处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5、养护质量考核要求：中标单位严格按照执行</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A.依据《城镇排水管渠及泵站维护技术规范》（CJJ68-2016）和《新吴区公共雨污水管网（设施）养护作业参考标准》执行。</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B.排水设施每日巡查，确保沟管畅通，检查井井框盖完好吻合，井内的积淤符合要求，井圈和井盖开裂、丢失应在6小时之内补装完整，并做好安全保护警示措施，以防发生意外事故。</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达到养护质量验收要求的，按时支付养护经费，未达到养护质量验收要求的，重新返工，费用由中标单位承担。</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6、安全责任：养护作业权合同期内，因养护不及时、不合格或不规范及对养护区域内存在安全隐患的设施清理处置不及时等原因所造成人身伤亡及安全等事故，其费用和责任由中标单位负责承担。</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7、中标单价不含大中修费用，在养护作业合同期限内不作调整。</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8、具体考核扣分标准详见《养护管理考核表》。</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（二）管道及其附属设施的检查与养护要求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管道及其附属设施的检查与养护要求：要求中标单位应定期对雨污水管道及其附属设施进行检查、维护，确保雨污水管道始终保持良好的通水功能和结构状态。巡查内容主要包括雨污水冒溢、井盖缺损、管道塌陷、违章占压、违章排放、私自接管、雨污混接以及影响管道排水的工程施工情况。</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2、养护单位应在事故发生或接到报障、报修、投诉后2小时内到达现场，组织调查、抢修。重大事故应在12小时内向（江溪街道环境保护科）报告。</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3、养护方式可采用机械作业与人工作业相结合，具体应根据管径、管材、施工工艺等不同区别对待。</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4.养护单位应严格按照下表规定对检查井、排放口、管道、倒虹管等进行检查，并建立相应的检查记录以备核查。</w:t>
      </w:r>
      <w:r/>
    </w:p>
    <w:p>
      <w:pPr>
        <w:ind w:left="0" w:right="0" w:firstLine="48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管道及附属设施的检查要求表</w:t>
      </w:r>
      <w:r/>
    </w:p>
    <w:tbl>
      <w:tblPr>
        <w:tblStyle w:val="675"/>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447"/>
        <w:gridCol w:w="1483"/>
        <w:gridCol w:w="6049"/>
      </w:tblGrid>
      <w:tr>
        <w:trPr/>
        <w:tc>
          <w:tcPr>
            <w:shd w:val="clear" w:color="auto" w:fill="auto"/>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设施种类</w:t>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检查方法</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检查内容</w:t>
            </w:r>
            <w:r/>
          </w:p>
        </w:tc>
      </w:tr>
      <w:tr>
        <w:trPr/>
        <w:tc>
          <w:tcPr>
            <w:shd w:val="clear" w:color="auto" w:fill="auto"/>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检查井</w:t>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目测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违章占压、违章接管、井盖井座、梯蹬、井壁结垢、井底积泥、井身结构等</w:t>
            </w:r>
            <w:r/>
          </w:p>
        </w:tc>
      </w:tr>
      <w:tr>
        <w:trPr/>
        <w:tc>
          <w:tcPr>
            <w:shd w:val="clear" w:color="auto" w:fill="auto"/>
            <w:tcBorders>
              <w:top w:val="none" w:color="000000" w:sz="4" w:space="0"/>
              <w:left w:val="single" w:color="auto" w:sz="4" w:space="0"/>
              <w:bottom w:val="single" w:color="auto" w:sz="4" w:space="0"/>
              <w:right w:val="single" w:color="auto" w:sz="4" w:space="0"/>
            </w:tcBorders>
            <w:tcW w:w="2447"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w:t>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目测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违章占压、地面塌陷、水位、水流、淤积情况等</w:t>
            </w:r>
            <w:r/>
          </w:p>
        </w:tc>
      </w:tr>
      <w:tr>
        <w:trPr>
          <w:trHeight w:val="672"/>
        </w:trPr>
        <w:tc>
          <w:tcPr>
            <w:shd w:val="clear" w:color="auto" w:fill="auto"/>
            <w:tcBorders>
              <w:top w:val="none" w:color="000000" w:sz="4" w:space="0"/>
              <w:left w:val="single" w:color="auto" w:sz="4" w:space="0"/>
              <w:bottom w:val="single" w:color="auto" w:sz="4" w:space="0"/>
              <w:right w:val="single" w:color="auto" w:sz="4" w:space="0"/>
            </w:tcBorders>
            <w:tcW w:w="244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管道反光镜或电视检测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变形、腐蚀、渗漏、接口、结垢、错接等</w:t>
            </w:r>
            <w:r/>
          </w:p>
        </w:tc>
      </w:tr>
      <w:tr>
        <w:trPr/>
        <w:tc>
          <w:tcPr>
            <w:shd w:val="clear" w:color="auto" w:fill="auto"/>
            <w:tcBorders>
              <w:top w:val="none" w:color="000000" w:sz="4" w:space="0"/>
              <w:left w:val="single" w:color="auto" w:sz="4" w:space="0"/>
              <w:bottom w:val="single" w:color="auto" w:sz="4" w:space="0"/>
              <w:right w:val="single" w:color="auto" w:sz="4" w:space="0"/>
            </w:tcBorders>
            <w:tcW w:w="2447"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倒虹管（一般是满水管，无法检查必须定期清淤）</w:t>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目测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标志牌、两端水位差、闸门等</w:t>
            </w:r>
            <w:r/>
          </w:p>
        </w:tc>
      </w:tr>
      <w:tr>
        <w:trPr/>
        <w:tc>
          <w:tcPr>
            <w:shd w:val="clear" w:color="auto" w:fill="auto"/>
            <w:tcBorders>
              <w:top w:val="none" w:color="000000" w:sz="4" w:space="0"/>
              <w:left w:val="single" w:color="auto" w:sz="4" w:space="0"/>
              <w:bottom w:val="single" w:color="auto" w:sz="4" w:space="0"/>
              <w:right w:val="single" w:color="auto" w:sz="4" w:space="0"/>
            </w:tcBorders>
            <w:tcW w:w="244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电视检测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淤积、腐蚀、接口渗漏、河床冲刷、管顶覆土等</w:t>
            </w:r>
            <w:r/>
          </w:p>
        </w:tc>
      </w:tr>
      <w:tr>
        <w:trPr/>
        <w:tc>
          <w:tcPr>
            <w:shd w:val="clear" w:color="auto" w:fill="auto"/>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三格式化粪池</w:t>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目测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违章占压、变形、结垢、渗漏、淤积情况等</w:t>
            </w:r>
            <w:r/>
          </w:p>
        </w:tc>
      </w:tr>
      <w:tr>
        <w:trPr/>
        <w:tc>
          <w:tcPr>
            <w:shd w:val="clear" w:color="auto" w:fill="auto"/>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隔油池和捞毛设施</w:t>
            </w:r>
            <w:r/>
          </w:p>
        </w:tc>
        <w:tc>
          <w:tcPr>
            <w:shd w:val="clear" w:color="auto" w:fill="auto"/>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目测</w:t>
            </w:r>
            <w:r/>
          </w:p>
        </w:tc>
        <w:tc>
          <w:tcPr>
            <w:shd w:val="clear" w:color="auto" w:fill="auto"/>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违章占压、变形、结垢、淤积情况等</w:t>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5、检查井日常巡查检查的内容应符合下表规定</w:t>
      </w:r>
      <w:r/>
    </w:p>
    <w:tbl>
      <w:tblPr>
        <w:tblStyle w:val="675"/>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86"/>
        <w:gridCol w:w="1900"/>
        <w:gridCol w:w="1833"/>
        <w:gridCol w:w="2634"/>
        <w:gridCol w:w="2226"/>
      </w:tblGrid>
      <w:tr>
        <w:trPr/>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部位</w:t>
            </w:r>
            <w:r/>
          </w:p>
        </w:tc>
        <w:tc>
          <w:tcPr>
            <w:gridSpan w:val="2"/>
            <w:shd w:val="clear" w:color="auto" w:fill="auto"/>
            <w:tcBorders>
              <w:top w:val="single" w:color="auto" w:sz="4" w:space="0"/>
              <w:left w:val="single" w:color="auto" w:sz="4" w:space="0"/>
              <w:bottom w:val="single" w:color="auto" w:sz="4" w:space="0"/>
              <w:right w:val="single" w:color="auto" w:sz="4" w:space="0"/>
            </w:tcBorders>
            <w:tcW w:w="37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外部巡查</w:t>
            </w:r>
            <w:r/>
          </w:p>
        </w:tc>
        <w:tc>
          <w:tcPr>
            <w:gridSpan w:val="2"/>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内部检查</w:t>
            </w:r>
            <w:r/>
          </w:p>
        </w:tc>
      </w:tr>
      <w:tr>
        <w:trPr/>
        <w:tc>
          <w:tcPr>
            <w:shd w:val="clear" w:color="auto" w:fill="auto"/>
            <w:tcBorders>
              <w:top w:val="none" w:color="000000" w:sz="4" w:space="0"/>
              <w:left w:val="single" w:color="auto" w:sz="4" w:space="0"/>
              <w:bottom w:val="single" w:color="auto" w:sz="4" w:space="0"/>
              <w:right w:val="single" w:color="auto" w:sz="4" w:space="0"/>
            </w:tcBorders>
            <w:tcW w:w="1386"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内容</w:t>
            </w:r>
            <w:r/>
          </w:p>
        </w:tc>
        <w:tc>
          <w:tcPr>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井的位置标识</w:t>
            </w:r>
            <w:r/>
          </w:p>
        </w:tc>
        <w:tc>
          <w:tcPr>
            <w:shd w:val="clear" w:color="auto" w:fill="auto"/>
            <w:tcBorders>
              <w:top w:val="single" w:color="auto" w:sz="4" w:space="0"/>
              <w:left w:val="single" w:color="auto" w:sz="4" w:space="0"/>
              <w:bottom w:val="single" w:color="auto" w:sz="4" w:space="0"/>
              <w:right w:val="single" w:color="auto" w:sz="4" w:space="0"/>
            </w:tcBorders>
            <w:tcW w:w="1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盖、框高差</w:t>
            </w:r>
            <w:r/>
          </w:p>
        </w:tc>
        <w:tc>
          <w:tcPr>
            <w:shd w:val="clear" w:color="auto" w:fill="auto"/>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井位标高、井深的标识</w:t>
            </w:r>
            <w:r/>
          </w:p>
        </w:tc>
        <w:tc>
          <w:tcPr>
            <w:shd w:val="clear" w:color="auto" w:fill="auto"/>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管口孔洞</w:t>
            </w:r>
            <w:r/>
          </w:p>
        </w:tc>
      </w:tr>
      <w:tr>
        <w:trPr/>
        <w:tc>
          <w:tcPr>
            <w:shd w:val="clear" w:color="auto" w:fill="auto"/>
            <w:tcBorders>
              <w:top w:val="none" w:color="000000" w:sz="4" w:space="0"/>
              <w:left w:val="single" w:color="auto" w:sz="4" w:space="0"/>
              <w:bottom w:val="single" w:color="auto" w:sz="4" w:space="0"/>
              <w:right w:val="single" w:color="auto" w:sz="4" w:space="0"/>
            </w:tcBorders>
            <w:tcW w:w="138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井盖埋没</w:t>
            </w:r>
            <w:r/>
          </w:p>
        </w:tc>
        <w:tc>
          <w:tcPr>
            <w:shd w:val="clear" w:color="auto" w:fill="auto"/>
            <w:tcBorders>
              <w:top w:val="single" w:color="auto" w:sz="4" w:space="0"/>
              <w:left w:val="single" w:color="auto" w:sz="4" w:space="0"/>
              <w:bottom w:val="single" w:color="auto" w:sz="4" w:space="0"/>
              <w:right w:val="single" w:color="auto" w:sz="4" w:space="0"/>
            </w:tcBorders>
            <w:tcW w:w="1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盖框突出或凹陷</w:t>
            </w:r>
            <w:r/>
          </w:p>
        </w:tc>
        <w:tc>
          <w:tcPr>
            <w:shd w:val="clear" w:color="auto" w:fill="auto"/>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爬梯松动、锈蚀或缺损</w:t>
            </w:r>
            <w:r/>
          </w:p>
        </w:tc>
        <w:tc>
          <w:tcPr>
            <w:shd w:val="clear" w:color="auto" w:fill="auto"/>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流槽破损</w:t>
            </w:r>
            <w:r/>
          </w:p>
        </w:tc>
      </w:tr>
      <w:tr>
        <w:trPr/>
        <w:tc>
          <w:tcPr>
            <w:shd w:val="clear" w:color="auto" w:fill="auto"/>
            <w:tcBorders>
              <w:top w:val="none" w:color="000000" w:sz="4" w:space="0"/>
              <w:left w:val="single" w:color="auto" w:sz="4" w:space="0"/>
              <w:bottom w:val="single" w:color="auto" w:sz="4" w:space="0"/>
              <w:right w:val="single" w:color="auto" w:sz="4" w:space="0"/>
            </w:tcBorders>
            <w:tcW w:w="138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井盖丢失</w:t>
            </w:r>
            <w:r/>
          </w:p>
        </w:tc>
        <w:tc>
          <w:tcPr>
            <w:shd w:val="clear" w:color="auto" w:fill="auto"/>
            <w:tcBorders>
              <w:top w:val="single" w:color="auto" w:sz="4" w:space="0"/>
              <w:left w:val="single" w:color="auto" w:sz="4" w:space="0"/>
              <w:bottom w:val="single" w:color="auto" w:sz="4" w:space="0"/>
              <w:right w:val="single" w:color="auto" w:sz="4" w:space="0"/>
            </w:tcBorders>
            <w:tcW w:w="1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跳动和声响</w:t>
            </w:r>
            <w:r/>
          </w:p>
        </w:tc>
        <w:tc>
          <w:tcPr>
            <w:shd w:val="clear" w:color="auto" w:fill="auto"/>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井壁泥垢</w:t>
            </w:r>
            <w:r/>
          </w:p>
        </w:tc>
        <w:tc>
          <w:tcPr>
            <w:shd w:val="clear" w:color="auto" w:fill="auto"/>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井底积泥</w:t>
            </w:r>
            <w:r/>
          </w:p>
        </w:tc>
      </w:tr>
      <w:tr>
        <w:trPr/>
        <w:tc>
          <w:tcPr>
            <w:shd w:val="clear" w:color="auto" w:fill="auto"/>
            <w:tcBorders>
              <w:top w:val="none" w:color="000000" w:sz="4" w:space="0"/>
              <w:left w:val="single" w:color="auto" w:sz="4" w:space="0"/>
              <w:bottom w:val="single" w:color="auto" w:sz="4" w:space="0"/>
              <w:right w:val="single" w:color="auto" w:sz="4" w:space="0"/>
            </w:tcBorders>
            <w:tcW w:w="138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井盖破损</w:t>
            </w:r>
            <w:r/>
          </w:p>
        </w:tc>
        <w:tc>
          <w:tcPr>
            <w:shd w:val="clear" w:color="auto" w:fill="auto"/>
            <w:tcBorders>
              <w:top w:val="single" w:color="auto" w:sz="4" w:space="0"/>
              <w:left w:val="single" w:color="auto" w:sz="4" w:space="0"/>
              <w:bottom w:val="single" w:color="auto" w:sz="4" w:space="0"/>
              <w:right w:val="single" w:color="auto" w:sz="4" w:space="0"/>
            </w:tcBorders>
            <w:tcW w:w="1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周边路面破损</w:t>
            </w:r>
            <w:r/>
          </w:p>
        </w:tc>
        <w:tc>
          <w:tcPr>
            <w:shd w:val="clear" w:color="auto" w:fill="auto"/>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井壁裂缝</w:t>
            </w:r>
            <w:r/>
          </w:p>
        </w:tc>
        <w:tc>
          <w:tcPr>
            <w:shd w:val="clear" w:color="auto" w:fill="auto"/>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水流不畅</w:t>
            </w:r>
            <w:r/>
          </w:p>
        </w:tc>
      </w:tr>
      <w:tr>
        <w:trPr/>
        <w:tc>
          <w:tcPr>
            <w:shd w:val="clear" w:color="auto" w:fill="auto"/>
            <w:tcBorders>
              <w:top w:val="none" w:color="000000" w:sz="4" w:space="0"/>
              <w:left w:val="single" w:color="auto" w:sz="4" w:space="0"/>
              <w:bottom w:val="single" w:color="auto" w:sz="4" w:space="0"/>
              <w:right w:val="single" w:color="auto" w:sz="4" w:space="0"/>
            </w:tcBorders>
            <w:tcW w:w="138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井框破损</w:t>
            </w:r>
            <w:r/>
          </w:p>
        </w:tc>
        <w:tc>
          <w:tcPr>
            <w:shd w:val="clear" w:color="auto" w:fill="auto"/>
            <w:tcBorders>
              <w:top w:val="single" w:color="auto" w:sz="4" w:space="0"/>
              <w:left w:val="single" w:color="auto" w:sz="4" w:space="0"/>
              <w:bottom w:val="single" w:color="auto" w:sz="4" w:space="0"/>
              <w:right w:val="single" w:color="auto" w:sz="4" w:space="0"/>
            </w:tcBorders>
            <w:tcW w:w="1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井盖标识错误</w:t>
            </w:r>
            <w:r/>
          </w:p>
        </w:tc>
        <w:tc>
          <w:tcPr>
            <w:shd w:val="clear" w:color="auto" w:fill="auto"/>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井壁渗漏</w:t>
            </w:r>
            <w:r/>
          </w:p>
        </w:tc>
        <w:tc>
          <w:tcPr>
            <w:shd w:val="clear" w:color="auto" w:fill="auto"/>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浮渣</w:t>
            </w:r>
            <w:r/>
          </w:p>
        </w:tc>
      </w:tr>
      <w:tr>
        <w:trPr/>
        <w:tc>
          <w:tcPr>
            <w:shd w:val="clear" w:color="auto" w:fill="auto"/>
            <w:tcBorders>
              <w:top w:val="none" w:color="000000" w:sz="4" w:space="0"/>
              <w:left w:val="single" w:color="auto" w:sz="4" w:space="0"/>
              <w:bottom w:val="single" w:color="auto" w:sz="4" w:space="0"/>
              <w:right w:val="single" w:color="auto" w:sz="4" w:space="0"/>
            </w:tcBorders>
            <w:tcW w:w="138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盖、框间隙</w:t>
            </w:r>
            <w:r/>
          </w:p>
        </w:tc>
        <w:tc>
          <w:tcPr>
            <w:shd w:val="clear" w:color="auto" w:fill="auto"/>
            <w:tcBorders>
              <w:top w:val="single" w:color="auto" w:sz="4" w:space="0"/>
              <w:left w:val="single" w:color="auto" w:sz="4" w:space="0"/>
              <w:bottom w:val="single" w:color="auto" w:sz="4" w:space="0"/>
              <w:right w:val="single" w:color="auto" w:sz="4" w:space="0"/>
            </w:tcBorders>
            <w:tcW w:w="1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抹面脱落</w:t>
            </w:r>
            <w:r/>
          </w:p>
        </w:tc>
        <w:tc>
          <w:tcPr>
            <w:shd w:val="clear" w:color="auto" w:fill="auto"/>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rPr>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6、井盖的选用应符合下表规定</w:t>
      </w:r>
      <w:r/>
    </w:p>
    <w:tbl>
      <w:tblPr>
        <w:tblStyle w:val="675"/>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132"/>
        <w:gridCol w:w="3497"/>
        <w:gridCol w:w="3350"/>
      </w:tblGrid>
      <w:tr>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井盖种类</w:t>
            </w:r>
            <w:r/>
          </w:p>
        </w:tc>
        <w:tc>
          <w:tcPr>
            <w:shd w:val="clear" w:color="auto" w:fill="auto"/>
            <w:tcBorders>
              <w:top w:val="single" w:color="auto" w:sz="4" w:space="0"/>
              <w:left w:val="single" w:color="auto" w:sz="4" w:space="0"/>
              <w:bottom w:val="single" w:color="auto" w:sz="4" w:space="0"/>
              <w:right w:val="single" w:color="auto" w:sz="4" w:space="0"/>
            </w:tcBorders>
            <w:tcW w:w="349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标准名称</w:t>
            </w:r>
            <w:r/>
          </w:p>
        </w:tc>
        <w:tc>
          <w:tcPr>
            <w:shd w:val="clear" w:color="auto" w:fill="auto"/>
            <w:tcBorders>
              <w:top w:val="single" w:color="auto" w:sz="4" w:space="0"/>
              <w:left w:val="single" w:color="auto" w:sz="4" w:space="0"/>
              <w:bottom w:val="single" w:color="auto" w:sz="4" w:space="0"/>
              <w:right w:val="single" w:color="auto" w:sz="4" w:space="0"/>
            </w:tcBorders>
            <w:tcW w:w="33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标准标号</w:t>
            </w:r>
            <w:r/>
          </w:p>
        </w:tc>
      </w:tr>
      <w:tr>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铸铁井盖</w:t>
            </w:r>
            <w:r/>
          </w:p>
        </w:tc>
        <w:tc>
          <w:tcPr>
            <w:shd w:val="clear" w:color="auto" w:fill="auto"/>
            <w:tcBorders>
              <w:top w:val="single" w:color="auto" w:sz="4" w:space="0"/>
              <w:left w:val="single" w:color="auto" w:sz="4" w:space="0"/>
              <w:bottom w:val="single" w:color="auto" w:sz="4" w:space="0"/>
              <w:right w:val="single" w:color="auto" w:sz="4" w:space="0"/>
            </w:tcBorders>
            <w:tcW w:w="349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《铸铁检查井盖》</w:t>
            </w:r>
            <w:r/>
          </w:p>
        </w:tc>
        <w:tc>
          <w:tcPr>
            <w:shd w:val="clear" w:color="auto" w:fill="auto"/>
            <w:tcBorders>
              <w:top w:val="single" w:color="auto" w:sz="4" w:space="0"/>
              <w:left w:val="single" w:color="auto" w:sz="4" w:space="0"/>
              <w:bottom w:val="single" w:color="auto" w:sz="4" w:space="0"/>
              <w:right w:val="single" w:color="auto" w:sz="4" w:space="0"/>
            </w:tcBorders>
            <w:tcW w:w="33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CJ/T3012</w:t>
            </w:r>
            <w:r/>
          </w:p>
        </w:tc>
      </w:tr>
      <w:tr>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混凝土井盖</w:t>
            </w:r>
            <w:r/>
          </w:p>
        </w:tc>
        <w:tc>
          <w:tcPr>
            <w:shd w:val="clear" w:color="auto" w:fill="auto"/>
            <w:tcBorders>
              <w:top w:val="single" w:color="auto" w:sz="4" w:space="0"/>
              <w:left w:val="single" w:color="auto" w:sz="4" w:space="0"/>
              <w:bottom w:val="single" w:color="auto" w:sz="4" w:space="0"/>
              <w:right w:val="single" w:color="auto" w:sz="4" w:space="0"/>
            </w:tcBorders>
            <w:tcW w:w="349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《钢纤维混凝土检查井盖》</w:t>
            </w:r>
            <w:r/>
          </w:p>
        </w:tc>
        <w:tc>
          <w:tcPr>
            <w:shd w:val="clear" w:color="auto" w:fill="auto"/>
            <w:tcBorders>
              <w:top w:val="single" w:color="auto" w:sz="4" w:space="0"/>
              <w:left w:val="single" w:color="auto" w:sz="4" w:space="0"/>
              <w:bottom w:val="single" w:color="auto" w:sz="4" w:space="0"/>
              <w:right w:val="single" w:color="auto" w:sz="4" w:space="0"/>
            </w:tcBorders>
            <w:tcW w:w="33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JC889</w:t>
            </w:r>
            <w:r/>
          </w:p>
        </w:tc>
      </w:tr>
      <w:tr>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塑料树脂类井盖</w:t>
            </w:r>
            <w:r/>
          </w:p>
        </w:tc>
        <w:tc>
          <w:tcPr>
            <w:shd w:val="clear" w:color="auto" w:fill="auto"/>
            <w:tcBorders>
              <w:top w:val="single" w:color="auto" w:sz="4" w:space="0"/>
              <w:left w:val="single" w:color="auto" w:sz="4" w:space="0"/>
              <w:bottom w:val="single" w:color="auto" w:sz="4" w:space="0"/>
              <w:right w:val="single" w:color="auto" w:sz="4" w:space="0"/>
            </w:tcBorders>
            <w:tcW w:w="349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《再生树脂复合材料检查井盖》</w:t>
            </w:r>
            <w:r/>
          </w:p>
        </w:tc>
        <w:tc>
          <w:tcPr>
            <w:shd w:val="clear" w:color="auto" w:fill="auto"/>
            <w:tcBorders>
              <w:top w:val="single" w:color="auto" w:sz="4" w:space="0"/>
              <w:left w:val="single" w:color="auto" w:sz="4" w:space="0"/>
              <w:bottom w:val="single" w:color="auto" w:sz="4" w:space="0"/>
              <w:right w:val="single" w:color="auto" w:sz="4" w:space="0"/>
            </w:tcBorders>
            <w:tcW w:w="33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CJ/T 121</w:t>
            </w:r>
            <w:r/>
          </w:p>
        </w:tc>
      </w:tr>
      <w:tr>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塑料树脂类井箅</w:t>
            </w:r>
            <w:r/>
          </w:p>
        </w:tc>
        <w:tc>
          <w:tcPr>
            <w:shd w:val="clear" w:color="auto" w:fill="auto"/>
            <w:tcBorders>
              <w:top w:val="single" w:color="auto" w:sz="4" w:space="0"/>
              <w:left w:val="single" w:color="auto" w:sz="4" w:space="0"/>
              <w:bottom w:val="single" w:color="auto" w:sz="4" w:space="0"/>
              <w:right w:val="single" w:color="auto" w:sz="4" w:space="0"/>
            </w:tcBorders>
            <w:tcW w:w="349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《再生树脂复合材料检查井箅》</w:t>
            </w:r>
            <w:r/>
          </w:p>
        </w:tc>
        <w:tc>
          <w:tcPr>
            <w:shd w:val="clear" w:color="auto" w:fill="auto"/>
            <w:tcBorders>
              <w:top w:val="single" w:color="auto" w:sz="4" w:space="0"/>
              <w:left w:val="single" w:color="auto" w:sz="4" w:space="0"/>
              <w:bottom w:val="single" w:color="auto" w:sz="4" w:space="0"/>
              <w:right w:val="single" w:color="auto" w:sz="4" w:space="0"/>
            </w:tcBorders>
            <w:tcW w:w="33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CJ/T 130</w:t>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7、在车辆经过时，井盖不应出现跳动和声响。井盖与井框间允许误差应符合下表规定。</w:t>
      </w:r>
      <w:r/>
    </w:p>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井盖与井框间允许误差（mm）</w:t>
      </w:r>
      <w:r/>
    </w:p>
    <w:tbl>
      <w:tblPr>
        <w:tblStyle w:val="675"/>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49"/>
        <w:gridCol w:w="2349"/>
        <w:gridCol w:w="2071"/>
        <w:gridCol w:w="3210"/>
      </w:tblGrid>
      <w:tr>
        <w:trPr/>
        <w:tc>
          <w:tcPr>
            <w:shd w:val="clear" w:color="auto" w:fill="auto"/>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设施种类</w:t>
            </w:r>
            <w:r/>
          </w:p>
        </w:tc>
        <w:tc>
          <w:tcPr>
            <w:shd w:val="clear" w:color="auto" w:fill="auto"/>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盖框间隙</w:t>
            </w:r>
            <w:r/>
          </w:p>
        </w:tc>
        <w:tc>
          <w:tcPr>
            <w:shd w:val="clear" w:color="auto" w:fill="auto"/>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井盖与井框高低差</w:t>
            </w:r>
            <w:r/>
          </w:p>
        </w:tc>
        <w:tc>
          <w:tcPr>
            <w:shd w:val="clear" w:color="auto" w:fill="auto"/>
            <w:tcBorders>
              <w:top w:val="single" w:color="auto" w:sz="4" w:space="0"/>
              <w:left w:val="single" w:color="auto" w:sz="4" w:space="0"/>
              <w:bottom w:val="single" w:color="auto" w:sz="4" w:space="0"/>
              <w:right w:val="single" w:color="auto" w:sz="4" w:space="0"/>
            </w:tcBorders>
            <w:tcW w:w="321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井框与路面高低差</w:t>
            </w:r>
            <w:r/>
          </w:p>
        </w:tc>
      </w:tr>
      <w:tr>
        <w:trPr/>
        <w:tc>
          <w:tcPr>
            <w:shd w:val="clear" w:color="auto" w:fill="auto"/>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检查井</w:t>
            </w:r>
            <w:r/>
          </w:p>
        </w:tc>
        <w:tc>
          <w:tcPr>
            <w:shd w:val="clear" w:color="auto" w:fill="auto"/>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&lt;8</w:t>
            </w:r>
            <w:r/>
          </w:p>
        </w:tc>
        <w:tc>
          <w:tcPr>
            <w:shd w:val="clear" w:color="auto" w:fill="auto"/>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+5,-10</w:t>
            </w:r>
            <w:r/>
          </w:p>
        </w:tc>
        <w:tc>
          <w:tcPr>
            <w:shd w:val="clear" w:color="auto" w:fill="auto"/>
            <w:tcBorders>
              <w:top w:val="single" w:color="auto" w:sz="4" w:space="0"/>
              <w:left w:val="single" w:color="auto" w:sz="4" w:space="0"/>
              <w:bottom w:val="single" w:color="auto" w:sz="4" w:space="0"/>
              <w:right w:val="single" w:color="auto" w:sz="4" w:space="0"/>
            </w:tcBorders>
            <w:tcW w:w="321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+15,-15</w:t>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8、发现井盖缺失或损坏后，须及时安放护栏和警示标志，并在6小时内修复。</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9、检查井的清掏宜采用吸泥车、抓泥车等机械设备。</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10、管道检查项目可分为功能状况和结构状况两类，主要检查项目包括下表内容。</w:t>
      </w:r>
      <w:r/>
    </w:p>
    <w:p>
      <w:pPr>
        <w:ind w:left="0" w:right="0" w:firstLine="48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管道状况主要检查项目</w:t>
      </w:r>
      <w:r/>
    </w:p>
    <w:tbl>
      <w:tblPr>
        <w:tblStyle w:val="675"/>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43"/>
        <w:gridCol w:w="3293"/>
        <w:gridCol w:w="3943"/>
      </w:tblGrid>
      <w:tr>
        <w:trPr>
          <w:trHeight w:val="316"/>
        </w:trPr>
        <w:tc>
          <w:tcPr>
            <w:shd w:val="clear" w:color="auto" w:fill="auto"/>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检查类别</w:t>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功能状况</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结构状况</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检查项目</w:t>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管道积泥</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裂缝</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检查井积泥</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变形</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排放口积泥</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错口</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泥垢和油脂</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脱节</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树根</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破损与孔洞</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水位和水流</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渗漏</w:t>
            </w:r>
            <w:r/>
          </w:p>
        </w:tc>
      </w:tr>
      <w:tr>
        <w:trPr/>
        <w:tc>
          <w:tcPr>
            <w:shd w:val="clear" w:color="auto" w:fill="auto"/>
            <w:tcBorders>
              <w:top w:val="none" w:color="000000" w:sz="4" w:space="0"/>
              <w:left w:val="single" w:color="auto" w:sz="4" w:space="0"/>
              <w:bottom w:val="single" w:color="auto" w:sz="4" w:space="0"/>
              <w:right w:val="single" w:color="auto" w:sz="4" w:space="0"/>
            </w:tcBorders>
            <w:tcW w:w="274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9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残墙、坝根</w:t>
            </w:r>
            <w:r/>
          </w:p>
        </w:tc>
        <w:tc>
          <w:tcPr>
            <w:shd w:val="clear" w:color="auto" w:fill="auto"/>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异管穿入</w:t>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11、管道养护应符合下列规定：</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A.定期巡视、及时发现和修理管道裂缝、腐蚀、沉降、变形、错口、脱节、破损、孔洞、异管穿入、渗漏、冒溢等情况。</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B.压力管养护应采用满负荷开泵的方式进行水力冲洗，至少每3个月1次。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C.定期开盖检查压力井盖板，发现盖板锈蚀、密封垫老化、井体裂缝、管内积泥等情况应及时维修和保养。</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D.管道和检查井内不得留有石块等阻碍排水的杂物。管道和检查井的最大积泥深度符合下表规定。</w:t>
      </w:r>
      <w:r/>
    </w:p>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管道和检查井的允许积泥深度</w:t>
      </w:r>
      <w:r/>
    </w:p>
    <w:tbl>
      <w:tblPr>
        <w:tblStyle w:val="675"/>
        <w:tblW w:w="983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28"/>
        <w:gridCol w:w="1888"/>
        <w:gridCol w:w="5322"/>
      </w:tblGrid>
      <w:tr>
        <w:trPr/>
        <w:tc>
          <w:tcPr>
            <w:gridSpan w:val="2"/>
            <w:shd w:val="clear" w:color="auto" w:fill="auto"/>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设施类别</w:t>
            </w:r>
            <w:r/>
          </w:p>
        </w:tc>
        <w:tc>
          <w:tcPr>
            <w:shd w:val="clear" w:color="auto" w:fill="auto"/>
            <w:tcBorders>
              <w:top w:val="single" w:color="auto" w:sz="4" w:space="0"/>
              <w:left w:val="single" w:color="auto" w:sz="4" w:space="0"/>
              <w:bottom w:val="single" w:color="auto" w:sz="4" w:space="0"/>
              <w:right w:val="single" w:color="auto" w:sz="4" w:space="0"/>
            </w:tcBorders>
            <w:tcW w:w="532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允许积泥深度</w:t>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管道</w:t>
            </w:r>
            <w:r/>
          </w:p>
        </w:tc>
        <w:tc>
          <w:tcPr>
            <w:shd w:val="clear" w:color="auto" w:fill="auto"/>
            <w:tcBorders>
              <w:top w:val="single" w:color="auto" w:sz="4" w:space="0"/>
              <w:left w:val="single" w:color="auto" w:sz="4" w:space="0"/>
              <w:bottom w:val="single" w:color="auto" w:sz="4" w:space="0"/>
              <w:right w:val="single" w:color="auto" w:sz="4" w:space="0"/>
            </w:tcBorders>
            <w:tcW w:w="532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管径的1/5</w:t>
            </w:r>
            <w:r/>
          </w:p>
        </w:tc>
      </w:tr>
      <w:tr>
        <w:trPr/>
        <w:tc>
          <w:tcPr>
            <w:shd w:val="clear" w:color="auto" w:fill="auto"/>
            <w:tcBorders>
              <w:top w:val="none" w:color="000000" w:sz="4" w:space="0"/>
              <w:left w:val="single" w:color="auto" w:sz="4" w:space="0"/>
              <w:bottom w:val="single" w:color="auto" w:sz="4" w:space="0"/>
              <w:right w:val="single" w:color="auto" w:sz="4" w:space="0"/>
            </w:tcBorders>
            <w:tcW w:w="2628"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检查井</w:t>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有沉泥槽</w:t>
            </w:r>
            <w:r/>
          </w:p>
        </w:tc>
        <w:tc>
          <w:tcPr>
            <w:shd w:val="clear" w:color="auto" w:fill="auto"/>
            <w:tcBorders>
              <w:top w:val="single" w:color="auto" w:sz="4" w:space="0"/>
              <w:left w:val="single" w:color="auto" w:sz="4" w:space="0"/>
              <w:bottom w:val="single" w:color="auto" w:sz="4" w:space="0"/>
              <w:right w:val="single" w:color="auto" w:sz="4" w:space="0"/>
            </w:tcBorders>
            <w:tcW w:w="532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管底以下50mm</w:t>
            </w:r>
            <w:r/>
          </w:p>
        </w:tc>
      </w:tr>
      <w:tr>
        <w:trPr/>
        <w:tc>
          <w:tcPr>
            <w:shd w:val="clear" w:color="auto" w:fill="auto"/>
            <w:tcBorders>
              <w:top w:val="none" w:color="000000" w:sz="4" w:space="0"/>
              <w:left w:val="single" w:color="auto" w:sz="4" w:space="0"/>
              <w:bottom w:val="single" w:color="auto" w:sz="4" w:space="0"/>
              <w:right w:val="single" w:color="auto" w:sz="4" w:space="0"/>
            </w:tcBorders>
            <w:tcW w:w="2628"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u w:val="none"/>
              </w:rPr>
              <w:suppressLineNumbers w:val="0"/>
            </w:pPr>
            <w:r>
              <w:rPr>
                <w:rFonts w:hint="default" w:ascii="Times New Roman" w:hAnsi="Times New Roman" w:cs="Times New Roman"/>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无沉泥槽</w:t>
            </w:r>
            <w:r/>
          </w:p>
        </w:tc>
        <w:tc>
          <w:tcPr>
            <w:shd w:val="clear" w:color="auto" w:fill="auto"/>
            <w:tcBorders>
              <w:top w:val="single" w:color="auto" w:sz="4" w:space="0"/>
              <w:left w:val="single" w:color="auto" w:sz="4" w:space="0"/>
              <w:bottom w:val="single" w:color="auto" w:sz="4" w:space="0"/>
              <w:right w:val="single" w:color="auto" w:sz="4" w:space="0"/>
            </w:tcBorders>
            <w:tcW w:w="532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主管径的1/5</w:t>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12、倒虹管的养护应符合下列规定：</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A.倒虹管养护宜采用水力冲洗的方法，冲洗流速不宜小于1.2M/S。在建有双排倒虹管的地方，可采用关闭其中一条、集中水量冲洗另一条的方法。</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B.过河倒虹管的河床覆土不应小于0.5M。在河床受冲刷的地方，应每年检查1次倒虹管的覆土状况。</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C.在通航河道上设置的倒虹管保护标志应定期检查和油漆，保持结构完好和字迹清晰。</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D.对过河倒虹管进行检修前，当需要抽空管道时，必须先进行抗浮验算。</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（三）污泥运输与处置</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1、污泥盛器和车辆在街道上停放应设置安全标志，夜间应悬挂警示灯。疏通作业完毕后，应及时撤离现场。</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2、污泥运输应符合下列规定：</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A.通沟污泥可采用罐车、自卸卡车或污泥拖斗运输，也可采用水陆联运。</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B.在运输过程中，应做到污泥不落地、沿途无洒落。</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C.污泥运输车辆应加盖，并定期清洗保持整洁。</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D.污泥在长运输距离前宜进行脱水处理，脱水过程可在中转站进行或送污水处理厂处理。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3、污泥处置应符合下列规定：</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A.污泥在送处置场前，宜进行脱水处理。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B.污泥处置不得对环境造成污染。</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（四）安全文明作业</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1、养护作业人员上岗前须接受必要的安全作业技术培训，掌握人工急救、防护用具、照明、通讯设备的使用方法及相关安全知识、经考核合格后持证上岗。</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2、检查井井盖开启后，须立即采取相应安全措施，如加盖安全网盖或设置安全护栏，白天加挂三角红旗，夜间加挂安全红灯或设置反光锥。</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3、作业现场、检查井及管道内严禁明火，车辆、行人不得进入作业区；作业人员下井后，井上应有2人监护；如需人员进入管道作业（管径小于0.8M的管道严禁进入作业），还需在井内增加监护人员做中间联络；监护人员不得擅离职守。</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4、在征得交管部门同意中断交通后，应在道路两端设置断绝交通的警示标志；在繁华地区作业时，应指派专人指挥交通、维护现场秩序。</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5、下井作业应经过严格的审批手续，管道维护和检查严格执行现行相关行业标准。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6、防毒面具应定期校验，下井作业前须再次校验，合格后方可使用。</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7、养护人员应统一着装，作业时应按要求设置警示标志和安全护栏，无抛洒滴漏，工完场清，文明作业。</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9、巡查、养护、抢修车辆车况应经常保持良好状态，车容整洁，标志明显。</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10、养护单位应建立健全雨污水管道及其附属设施档案资料管理制度，配备专职档案资料管理人员。各项管网、设施维护台账健全，记录详细，装订规范。运营档案、资料实行计算机自动化管理。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11、养护单位应向社会公布服务承诺、投诉电话和电子信箱。</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12、每个养护单位养护范围内每年被政府部门行政处罚、被社会有效行政投诉或公众媒体有负面报道次数应少于6次。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（五）养护次数要求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cs="宋体"/>
          <w:color w:val="auto"/>
          <w:sz w:val="24"/>
          <w:szCs w:val="24"/>
          <w:highlight w:val="none"/>
          <w:u w:val="none"/>
          <w:lang w:val="en-US" w:eastAsia="zh-CN" w:bidi="ar"/>
        </w:rPr>
        <w:t xml:space="preserve">详见养护清单中备注要求</w:t>
      </w:r>
      <w:r>
        <w:rPr>
          <w:rFonts w:hint="eastAsia" w:ascii="宋体" w:hAnsi="宋体" w:eastAsia="宋体" w:cs="宋体"/>
          <w:color w:val="auto"/>
          <w:sz w:val="24"/>
          <w:szCs w:val="24"/>
          <w:highlight w:val="none"/>
          <w:u w:val="none"/>
          <w:lang w:val="en-US" w:eastAsia="zh-CN" w:bidi="ar"/>
        </w:rPr>
        <w:t xml:space="preserve">。</w:t>
      </w:r>
      <w:r/>
    </w:p>
    <w:p>
      <w:pPr>
        <w:ind w:left="0" w:right="0" w:firstLine="482"/>
        <w:jc w:val="both"/>
        <w:keepLines w:val="0"/>
        <w:keepNext w:val="0"/>
        <w:spacing w:before="0" w:beforeAutospacing="0" w:after="0" w:afterAutospacing="0" w:line="440" w:lineRule="exact"/>
        <w:widowControl w:val="off"/>
        <w:rPr>
          <w:rFonts w:hint="eastAsia" w:ascii="宋体" w:hAnsi="宋体" w:eastAsia="宋体" w:cs="Arial"/>
          <w:b/>
          <w:bCs w:val="0"/>
          <w:color w:val="auto"/>
          <w:sz w:val="24"/>
          <w:szCs w:val="24"/>
          <w:highlight w:val="none"/>
          <w:u w:val="none"/>
        </w:rPr>
        <w:suppressLineNumbers w:val="0"/>
      </w:pPr>
      <w:r>
        <w:rPr>
          <w:rFonts w:hint="eastAsia" w:ascii="宋体" w:hAnsi="宋体" w:eastAsia="宋体" w:cs="宋体"/>
          <w:b/>
          <w:bCs w:val="0"/>
          <w:color w:val="auto"/>
          <w:sz w:val="24"/>
          <w:szCs w:val="24"/>
          <w:highlight w:val="none"/>
          <w:u w:val="none"/>
          <w:lang w:val="en-US" w:eastAsia="zh-CN" w:bidi="ar"/>
        </w:rPr>
        <w:t xml:space="preserve">三、本项目采购标的的数量、采购项目交付或者实施的时间和地点要求：</w:t>
      </w:r>
      <w:r/>
    </w:p>
    <w:p>
      <w:pPr>
        <w:pStyle w:val="681"/>
        <w:ind w:left="0" w:firstLine="480"/>
        <w:widowControl/>
        <w:rPr>
          <w:rFonts w:hint="eastAsia" w:ascii="宋体" w:hAnsi="宋体" w:eastAsia="宋体" w:cs="宋体"/>
          <w:bCs w:val="0"/>
          <w:color w:val="auto"/>
          <w:sz w:val="24"/>
          <w:szCs w:val="24"/>
          <w:highlight w:val="none"/>
          <w:u w:val="none"/>
          <w:lang w:val="en-US" w:eastAsia="zh-CN" w:bidi="ar"/>
        </w:rPr>
      </w:pPr>
      <w:r>
        <w:rPr>
          <w:rFonts w:hint="eastAsia" w:ascii="宋体" w:hAnsi="宋体" w:eastAsia="宋体" w:cs="宋体"/>
          <w:bCs w:val="0"/>
          <w:color w:val="auto"/>
          <w:sz w:val="24"/>
          <w:szCs w:val="24"/>
          <w:highlight w:val="none"/>
          <w:u w:val="none"/>
          <w:lang w:val="en-US" w:eastAsia="zh-CN" w:bidi="ar"/>
        </w:rPr>
        <w:t xml:space="preserve">1.养护清单：</w:t>
      </w:r>
      <w:r/>
    </w:p>
    <w:tbl>
      <w:tblPr>
        <w:tblW w:w="4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454"/>
        <w:gridCol w:w="884"/>
        <w:gridCol w:w="4900"/>
        <w:gridCol w:w="600"/>
        <w:gridCol w:w="1150"/>
        <w:gridCol w:w="1965"/>
      </w:tblGrid>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编号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gridSpan w:val="4"/>
            <w:shd w:val="clear" w:color="auto" w:fill="ffffff" w:themeFill="background1"/>
            <w:tcBorders>
              <w:top w:val="single" w:color="000000" w:sz="4" w:space="0"/>
              <w:left w:val="single" w:color="000000" w:sz="4" w:space="0"/>
              <w:bottom w:val="single" w:color="000000" w:sz="4" w:space="0"/>
              <w:right w:val="none" w:color="000000" w:sz="4" w:space="0"/>
            </w:tcBorders>
            <w:tcW w:w="378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叙康里、叙成里、叙丰里、景南苑、广南里、锦江苑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雨水管网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2、工作内容：管网疏通清淤、清理垃圾，检查井淤泥清掏、垃圾清理等，确保管道畅通，不溢水。含人工局部井下或管内清掏作业及保护措施、临时橡胶气囊封堵、临时排水、临时局部检查等；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46244.6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养护范围内管道每年冲洗不小于2次，管道堵塞随时清理、疏通，确保管道运行正常。</w:t>
            </w:r>
            <w:r/>
          </w:p>
        </w:tc>
      </w:tr>
      <w:tr>
        <w:trPr>
          <w:jc w:val="center"/>
          <w:trHeight w:val="8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污水管网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2、工作内容：管网疏通清淤、清理垃圾，检查井淤泥清掏、垃圾清理等，确保管道畅通，不溢水。含人工局部井下或管内清掏作业及保护措施、临时橡胶气囊封堵、临时排水、临时局部检查等；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37835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jc w:val="center"/>
          <w:trHeight w:val="68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2、工作内容：化粪池内粪便、杂物等清掏，化粪池内壁冲洗及污水抽排等；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化粪池清掏、冲洗等养护每年不少于两次。</w:t>
            </w:r>
            <w:r/>
          </w:p>
        </w:tc>
      </w:tr>
      <w:tr>
        <w:trPr>
          <w:jc w:val="center"/>
          <w:trHeight w:val="67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淤泥处置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符合环保要求</w:t>
            </w:r>
            <w:r/>
          </w:p>
        </w:tc>
      </w:tr>
      <w:tr>
        <w:trPr>
          <w:jc w:val="cente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1-5项小计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街道道路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苏石路（井亭东路-太湖大道）、坊兴路（向阳路-金城东路）、农丰工业园（园区道路）、坊和路（坊广路-锡山大道）、春阳东路（312国道-印刷厂）、坊前路（春华路-312国道）、坊育路（坊前路-泰伯大道）、坊明路（新光路-泰伯大道）、新芳路（坊前路-泰伯大道）、前卫路（叙康里小区内部）养护范围内所有污水主管道及配套检查井，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2、工作内容：管网疏通清淤、清理垃圾，检查井淤泥清掏、垃圾清理等，确保管道畅通，不溢水。含人工局部井下或管内清掏作业及保护措施、临时橡胶气囊封堵、临时排水、临时局部检查等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jc w:val="cente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1、范围：养护范围内所有污水检查井，不同型号尺寸井盖综合考虑；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jc w:val="cente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7-8项小计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年度养护费用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6+9项总计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应急排查及抢修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包含管网临时封堵、翻水、应急排查、检测，疏通及小范围应急管网修复等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100000元，此项不可竞争</w:t>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6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第【三】项年度费用×2年+第【四】项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2.服务周期：两年；</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3.实施地点：江溪街道范围内。</w:t>
      </w:r>
      <w:r/>
    </w:p>
    <w:p>
      <w:pPr>
        <w:ind w:left="0" w:right="0"/>
        <w:jc w:val="both"/>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u w:val="none"/>
        </w:rPr>
        <w:suppressLineNumbers w:val="0"/>
      </w:pPr>
      <w:r>
        <w:rPr>
          <w:rFonts w:hint="eastAsia" w:ascii="宋体" w:hAnsi="宋体" w:eastAsia="宋体" w:cs="宋体"/>
          <w:b/>
          <w:bCs/>
          <w:color w:val="auto"/>
          <w:sz w:val="24"/>
          <w:szCs w:val="24"/>
          <w:highlight w:val="none"/>
          <w:u w:val="none"/>
          <w:lang w:val="en-US" w:eastAsia="zh-CN" w:bidi="ar"/>
        </w:rPr>
        <w:t xml:space="preserve">四、项目技术要求：按有关政府及行业标准。</w:t>
      </w:r>
      <w:r/>
    </w:p>
    <w:p>
      <w:pPr>
        <w:ind w:left="0" w:right="0"/>
        <w:jc w:val="both"/>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u w:val="none"/>
        </w:rPr>
        <w:suppressLineNumbers w:val="0"/>
      </w:pPr>
      <w:r>
        <w:rPr>
          <w:rFonts w:hint="eastAsia" w:ascii="宋体" w:hAnsi="宋体" w:eastAsia="宋体" w:cs="宋体"/>
          <w:b/>
          <w:bCs/>
          <w:color w:val="auto"/>
          <w:sz w:val="24"/>
          <w:szCs w:val="24"/>
          <w:highlight w:val="none"/>
          <w:u w:val="none"/>
          <w:lang w:val="en-US" w:eastAsia="zh-CN" w:bidi="ar"/>
        </w:rPr>
        <w:t xml:space="preserve">五、采购标的需满足的服务标准等要求：</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1、服务标准：《城镇排水管渠与泵站运行、维护及安全技术规程》（CJJ68-2016）和《城镇排水管道维护安全技术规程》(CJJ 6-2009)</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2、场地、人员、设备要求：</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bCs/>
          <w:color w:val="auto"/>
          <w:sz w:val="24"/>
          <w:szCs w:val="24"/>
          <w:highlight w:val="none"/>
          <w:u w:val="none"/>
          <w:lang w:val="en-US" w:eastAsia="zh-CN" w:bidi="ar"/>
        </w:rPr>
        <w:t xml:space="preserve">1）维护期间中标单位</w:t>
      </w:r>
      <w:r>
        <w:rPr>
          <w:rFonts w:hint="eastAsia" w:ascii="宋体" w:hAnsi="宋体" w:eastAsia="宋体" w:cs="宋体"/>
          <w:color w:val="auto"/>
          <w:sz w:val="24"/>
          <w:szCs w:val="24"/>
          <w:highlight w:val="none"/>
          <w:u w:val="none"/>
          <w:lang w:val="en-US" w:eastAsia="zh-CN" w:bidi="ar"/>
        </w:rPr>
        <w:t xml:space="preserve">每天必须确保</w:t>
      </w:r>
      <w:r>
        <w:rPr>
          <w:rFonts w:hint="eastAsia" w:ascii="宋体" w:hAnsi="宋体" w:eastAsia="宋体" w:cs="宋体"/>
          <w:color w:val="auto"/>
          <w:sz w:val="24"/>
          <w:szCs w:val="24"/>
          <w:highlight w:val="none"/>
          <w:u w:val="none"/>
          <w:lang w:val="en-US" w:eastAsia="zh-CN" w:bidi="ar"/>
        </w:rPr>
        <w:t xml:space="preserve">有5名工作人员</w:t>
      </w:r>
      <w:r>
        <w:rPr>
          <w:rFonts w:hint="eastAsia" w:ascii="宋体" w:hAnsi="宋体" w:eastAsia="宋体" w:cs="宋体"/>
          <w:color w:val="auto"/>
          <w:sz w:val="24"/>
          <w:szCs w:val="24"/>
          <w:highlight w:val="none"/>
          <w:u w:val="none"/>
          <w:lang w:val="en-US" w:eastAsia="zh-CN" w:bidi="ar"/>
        </w:rPr>
        <w:t xml:space="preserve">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u w:val="none"/>
        </w:rPr>
        <w:suppressLineNumbers w:val="0"/>
      </w:pPr>
      <w:r>
        <w:rPr>
          <w:rFonts w:hint="eastAsia" w:ascii="宋体" w:hAnsi="宋体" w:cs="宋体"/>
          <w:bCs/>
          <w:color w:val="auto"/>
          <w:sz w:val="24"/>
          <w:szCs w:val="24"/>
          <w:highlight w:val="none"/>
          <w:u w:val="none"/>
          <w:lang w:val="en-US" w:eastAsia="zh-CN" w:bidi="ar"/>
        </w:rPr>
        <w:t xml:space="preserve">2</w:t>
      </w:r>
      <w:r>
        <w:rPr>
          <w:rFonts w:hint="eastAsia" w:ascii="宋体" w:hAnsi="宋体" w:eastAsia="宋体" w:cs="宋体"/>
          <w:bCs/>
          <w:color w:val="auto"/>
          <w:sz w:val="24"/>
          <w:szCs w:val="24"/>
          <w:highlight w:val="none"/>
          <w:u w:val="none"/>
          <w:lang w:val="en-US" w:eastAsia="zh-CN" w:bidi="ar"/>
        </w:rPr>
        <w:t xml:space="preserve">）维护期间必须确保有淤泥或垃圾运输车、吸污车、</w:t>
      </w:r>
      <w:r>
        <w:rPr>
          <w:rFonts w:hint="eastAsia" w:ascii="宋体" w:hAnsi="宋体" w:eastAsia="宋体" w:cs="宋体"/>
          <w:color w:val="auto"/>
          <w:sz w:val="24"/>
          <w:szCs w:val="24"/>
          <w:highlight w:val="none"/>
          <w:u w:val="none"/>
          <w:lang w:val="en-US" w:eastAsia="zh-CN" w:bidi="ar"/>
        </w:rPr>
        <w:t xml:space="preserve">下水道疏通车等养护设备可以调配使用。</w:t>
      </w:r>
      <w:r/>
    </w:p>
    <w:p>
      <w:pPr>
        <w:ind w:firstLine="480"/>
        <w:spacing w:line="360" w:lineRule="auto"/>
        <w:widowControl/>
        <w:rPr>
          <w:rFonts w:hint="eastAsia"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szCs w:val="24"/>
          <w:highlight w:val="none"/>
        </w:rPr>
        <w:t xml:space="preserve">本次</w:t>
      </w:r>
      <w:r>
        <w:rPr>
          <w:rFonts w:hint="eastAsia" w:ascii="宋体" w:hAnsi="宋体" w:cs="宋体"/>
          <w:color w:val="auto"/>
          <w:sz w:val="24"/>
          <w:highlight w:val="none"/>
          <w:lang w:val="en-US" w:eastAsia="zh-CN"/>
        </w:rPr>
        <w:t xml:space="preserve">脱水后淤泥运至项目所在地有焚烧资质的专业公司合法合规焚烧处置，</w:t>
      </w:r>
      <w:r>
        <w:rPr>
          <w:rFonts w:hint="eastAsia" w:ascii="宋体" w:hAnsi="宋体" w:cs="宋体"/>
          <w:color w:val="auto"/>
          <w:sz w:val="24"/>
          <w:highlight w:val="none"/>
          <w:lang w:eastAsia="zh-CN"/>
        </w:rPr>
        <w:t xml:space="preserve">淤泥处置不得对环境造成污染</w:t>
      </w:r>
      <w:r>
        <w:rPr>
          <w:rFonts w:hint="eastAsia" w:ascii="宋体" w:hAnsi="宋体" w:cs="宋体"/>
          <w:color w:val="auto"/>
          <w:sz w:val="24"/>
          <w:highlight w:val="none"/>
        </w:rPr>
        <w:t xml:space="preserve">。</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1、投标供应商应仔细阅读招标文件的所有内容，按招标文件的要求提供投标文件，并保证所提供的全部资料的真实性，以使其投标对招标文件</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实质性响应，否则，其投标可能被拒绝。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2、投标供应商报价时应充分考虑服务期内所有可能影响到报价的因素，如出现投标供应商故意低价竞争，以谋取中标，作废标处理。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3、支付方式：</w:t>
      </w:r>
      <w:r>
        <w:rPr>
          <w:rFonts w:hint="eastAsia" w:ascii="宋体" w:hAnsi="宋体" w:cs="宋体"/>
          <w:color w:val="auto"/>
          <w:sz w:val="24"/>
          <w:highlight w:val="none"/>
        </w:rPr>
        <w:t xml:space="preserve">每半年支付一次；每次支付按确认的已完成实际工作量的50%拨款；服务期满项目审计结束后，付至最终审定价的90%；审计结束的第二年付清余款。</w:t>
      </w:r>
      <w:r/>
    </w:p>
    <w:p>
      <w:pPr>
        <w:rPr>
          <w:rFonts w:hint="eastAsia" w:ascii="宋体" w:hAnsi="宋体" w:eastAsia="宋体" w:cs="宋体"/>
          <w:color w:val="auto"/>
          <w:sz w:val="24"/>
          <w:szCs w:val="24"/>
          <w:highlight w:val="none"/>
          <w:lang w:val="en-US" w:eastAsia="zh-CN"/>
        </w:rPr>
      </w:pPr>
      <w:r/>
      <w:bookmarkStart w:id="2" w:name="_Hlk145511675"/>
      <w:r>
        <w:rPr>
          <w:rFonts w:hint="eastAsia" w:ascii="宋体" w:hAnsi="宋体" w:eastAsia="宋体" w:cs="宋体"/>
          <w:color w:val="auto"/>
          <w:sz w:val="24"/>
          <w:szCs w:val="24"/>
          <w:highlight w:val="none"/>
          <w:lang w:val="en-US" w:eastAsia="zh-CN"/>
        </w:rPr>
        <w:br w:type="page" w:clear="all"/>
      </w:r>
      <w:r/>
    </w:p>
    <w:p>
      <w:pPr>
        <w:jc w:val="both"/>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附件：《无锡市新吴区排水管理中心雨水设施运行维护管理考核办法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bookmarkEnd w:id="2"/>
      <w:r/>
      <w:r/>
    </w:p>
    <w:p>
      <w:pPr>
        <w:jc w:val="both"/>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line="560" w:lineRule="exac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t xml:space="preserve">无锡</w:t>
      </w:r>
      <w:r>
        <w:rPr>
          <w:rFonts w:hint="eastAsia" w:ascii="方正小标宋_GBK" w:eastAsia="方正小标宋_GBK"/>
          <w:color w:val="auto"/>
          <w:sz w:val="36"/>
          <w:szCs w:val="36"/>
          <w:highlight w:val="none"/>
          <w:lang w:eastAsia="zh-CN"/>
        </w:rPr>
        <w:t xml:space="preserve">市</w:t>
      </w:r>
      <w:r>
        <w:rPr>
          <w:rFonts w:hint="eastAsia" w:ascii="方正小标宋_GBK" w:eastAsia="方正小标宋_GBK"/>
          <w:color w:val="auto"/>
          <w:sz w:val="36"/>
          <w:szCs w:val="36"/>
          <w:highlight w:val="none"/>
        </w:rPr>
        <w:t xml:space="preserve">新吴区</w:t>
      </w:r>
      <w:r>
        <w:rPr>
          <w:rFonts w:hint="eastAsia" w:ascii="方正小标宋_GBK" w:eastAsia="方正小标宋_GBK"/>
          <w:color w:val="auto"/>
          <w:sz w:val="36"/>
          <w:szCs w:val="36"/>
          <w:highlight w:val="none"/>
          <w:lang w:eastAsia="zh-CN"/>
        </w:rPr>
        <w:t xml:space="preserve">排水管理中心</w:t>
      </w:r>
      <w:r>
        <w:rPr>
          <w:rFonts w:hint="eastAsia" w:ascii="方正小标宋_GBK" w:eastAsia="方正小标宋_GBK"/>
          <w:color w:val="auto"/>
          <w:sz w:val="36"/>
          <w:szCs w:val="36"/>
          <w:highlight w:val="none"/>
        </w:rPr>
        <w:t xml:space="preserve">雨水设施</w:t>
      </w:r>
      <w:r/>
    </w:p>
    <w:p>
      <w:pPr>
        <w:jc w:val="center"/>
        <w:spacing w:line="560" w:lineRule="exact"/>
        <w:rPr>
          <w:rFonts w:ascii="方正小标宋_GBK" w:eastAsia="方正小标宋_GBK"/>
          <w:color w:val="auto"/>
          <w:sz w:val="36"/>
          <w:szCs w:val="36"/>
          <w:highlight w:val="none"/>
        </w:rPr>
      </w:pPr>
      <w:r>
        <w:rPr>
          <w:rFonts w:hint="eastAsia" w:ascii="方正小标宋_GBK" w:eastAsia="方正小标宋_GBK"/>
          <w:color w:val="auto"/>
          <w:sz w:val="36"/>
          <w:szCs w:val="36"/>
          <w:highlight w:val="none"/>
        </w:rPr>
        <w:t xml:space="preserve">运行维护管理考核办法</w:t>
      </w:r>
      <w:r>
        <w:rPr>
          <w:rFonts w:hint="eastAsia" w:ascii="方正小标宋_GBK" w:eastAsia="方正小标宋_GBK"/>
          <w:color w:val="auto"/>
          <w:sz w:val="36"/>
          <w:szCs w:val="36"/>
          <w:highlight w:val="none"/>
          <w:lang w:eastAsia="zh-CN"/>
        </w:rPr>
        <w:t xml:space="preserve">（试行）</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为明确雨水管网及附属设施的维护管理目标，量化维护管理工作，无锡</w:t>
      </w:r>
      <w:r>
        <w:rPr>
          <w:rFonts w:hint="eastAsia" w:ascii="宋体" w:hAnsi="宋体" w:eastAsia="宋体" w:cs="宋体"/>
          <w:color w:val="auto"/>
          <w:sz w:val="24"/>
          <w:szCs w:val="24"/>
          <w:highlight w:val="none"/>
          <w:lang w:eastAsia="zh-CN"/>
        </w:rPr>
        <w:t xml:space="preserve">市</w:t>
      </w:r>
      <w:r>
        <w:rPr>
          <w:rFonts w:hint="eastAsia" w:ascii="宋体" w:hAnsi="宋体" w:eastAsia="宋体" w:cs="宋体"/>
          <w:color w:val="auto"/>
          <w:sz w:val="24"/>
          <w:szCs w:val="24"/>
          <w:highlight w:val="none"/>
        </w:rPr>
        <w:t xml:space="preserve">新吴区排水管理中心定期对雨水设施进行考核，考核方式采用日常考核和季度结算相结合，以检查台账资料、雨水设施运行维护质量、应急处置、社会服务等情况。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总体要求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  运行管理目标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为确保城市道路雨水设施运行平稳，保障居民正常生活，规范运行雨水设施，按规定对雨水系统进行日常运行维护，加强养护质量，保障雨水排放顺</w:t>
      </w:r>
      <w:bookmarkStart w:id="3" w:name="_bookmark97"/>
      <w:r/>
      <w:bookmarkEnd w:id="3"/>
      <w:r>
        <w:rPr>
          <w:rFonts w:hint="eastAsia" w:ascii="宋体" w:hAnsi="宋体" w:eastAsia="宋体" w:cs="宋体"/>
          <w:color w:val="auto"/>
          <w:sz w:val="24"/>
          <w:szCs w:val="24"/>
          <w:highlight w:val="none"/>
        </w:rPr>
        <w:t xml:space="preserve">畅和汛期安全。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  一般规定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1、排水设施应定期检查、定期维护，保持良好的使用功能和结构状况。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2、养护作业必须严格执行国家现行标准</w:t>
      </w:r>
      <w:bookmarkStart w:id="4" w:name="OLE_LINK1"/>
      <w:r>
        <w:rPr>
          <w:rFonts w:hint="eastAsia" w:ascii="宋体" w:hAnsi="宋体" w:eastAsia="宋体" w:cs="宋体"/>
          <w:color w:val="auto"/>
          <w:sz w:val="24"/>
          <w:szCs w:val="24"/>
          <w:highlight w:val="none"/>
        </w:rPr>
        <w:t xml:space="preserve">CJJ68-2016《城镇排水管渠与泵站运行、维护及安全技术规程》</w:t>
      </w:r>
      <w:bookmarkEnd w:id="4"/>
      <w:r>
        <w:rPr>
          <w:rFonts w:hint="eastAsia" w:ascii="宋体" w:hAnsi="宋体" w:eastAsia="宋体" w:cs="宋体"/>
          <w:color w:val="auto"/>
          <w:sz w:val="24"/>
          <w:szCs w:val="24"/>
          <w:highlight w:val="none"/>
        </w:rPr>
        <w:t xml:space="preserve">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应急保障要求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1、防汛应急响应保持随时待命状态，到达现场时间不超过15分钟，及时疏通排水系统，架设临泵翻水等处置措施，确保畅通。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2、上级部门流转下来以及居民投诉的各类问题，接到通知后</w:t>
      </w:r>
      <w:r>
        <w:rPr>
          <w:rFonts w:hint="eastAsia" w:ascii="宋体" w:hAnsi="宋体" w:eastAsia="宋体" w:cs="宋体"/>
          <w:color w:val="auto"/>
          <w:sz w:val="24"/>
          <w:szCs w:val="24"/>
          <w:highlight w:val="none"/>
          <w:lang w:val="en-US" w:eastAsia="zh-CN"/>
        </w:rPr>
        <w:t xml:space="preserve">30分钟</w:t>
      </w:r>
      <w:r>
        <w:rPr>
          <w:rFonts w:hint="eastAsia" w:ascii="宋体" w:hAnsi="宋体" w:eastAsia="宋体" w:cs="宋体"/>
          <w:color w:val="auto"/>
          <w:sz w:val="24"/>
          <w:szCs w:val="24"/>
          <w:highlight w:val="none"/>
        </w:rPr>
        <w:t xml:space="preserve">之内赶赴现场进行处置。能立即处置的，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小时内完成；如无法及时处置的，必须采取有效的应急手段及警示标识，确保不发生次生灾害。处置情况要及时反馈。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时处理各平台、来电、来信、来访投诉事件，按照热线办件工作各项要求，规范收件、办理、办结、反馈、回访等办理各环节，确保投诉回复得到有效处理，公众媒体有效负面报道次数全年不多于2次。投诉渠道应保持24小时畅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考核标准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  考核内容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1、管网巡视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1）巡视计划上报及执行情况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2）井盖掩埋占压情况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3）设施完好情况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2、管网维护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1）检查井及收水井维护情况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2）管道维护情况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3）市政道路雨水积水情况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4）排放口维护情况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3、泵站维护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1）雨水泵站设备运行情况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2）雨水管控系统运行情况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3）雨水泵站附属设施运行情况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4）泵站卫生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4、台账资料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1）日常巡视、维护台账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2）安全管理台账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3）设施基础资料台账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4）应急处置台账资料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5）运维管护工作小结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5、应急工作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1）应急预案的制定和修编情况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2）雨水设施应急演练情况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3）雨水设施相关人员培训情况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4）突发事件应急处置情况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5）降雨期间信息报送情况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1）现场措施及人员持证上岗情况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2）施工离场处置情况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7、社会服务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1）投诉处理情况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2）其他问题处理情况</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  考核检查频次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台账资料：每季度对各养护单位养护台账资料进行检查。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雨水管网：每季度对所有路段进行抽查，每个路段抽查</w:t>
      </w:r>
      <w:r>
        <w:rPr>
          <w:rFonts w:hint="eastAsia" w:ascii="宋体" w:hAnsi="宋体" w:cs="宋体"/>
          <w:color w:val="auto"/>
          <w:sz w:val="24"/>
          <w:szCs w:val="24"/>
          <w:highlight w:val="none"/>
          <w:lang w:eastAsia="zh-CN"/>
        </w:rPr>
        <w:t xml:space="preserve">2～3个</w:t>
      </w:r>
      <w:r>
        <w:rPr>
          <w:rFonts w:hint="eastAsia" w:ascii="宋体" w:hAnsi="宋体" w:eastAsia="宋体" w:cs="宋体"/>
          <w:color w:val="auto"/>
          <w:sz w:val="24"/>
          <w:szCs w:val="24"/>
          <w:highlight w:val="none"/>
        </w:rPr>
        <w:t xml:space="preserve">管段</w:t>
      </w:r>
      <w:r>
        <w:rPr>
          <w:rFonts w:hint="eastAsia" w:ascii="宋体" w:hAnsi="宋体" w:eastAsia="宋体" w:cs="宋体"/>
          <w:color w:val="auto"/>
          <w:sz w:val="24"/>
          <w:szCs w:val="24"/>
          <w:highlight w:val="none"/>
          <w:lang w:eastAsia="zh-CN"/>
        </w:rPr>
        <w:t xml:space="preserve">（管道</w:t>
      </w:r>
      <w:r>
        <w:rPr>
          <w:rFonts w:hint="eastAsia" w:ascii="宋体" w:hAnsi="宋体" w:eastAsia="宋体" w:cs="宋体"/>
          <w:color w:val="auto"/>
          <w:sz w:val="24"/>
          <w:szCs w:val="24"/>
          <w:highlight w:val="none"/>
          <w:lang w:val="en-US" w:eastAsia="zh-CN"/>
        </w:rPr>
        <w:t xml:space="preserve">QV检测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、检查井、雨水口、雨水口连接管各3-5个。</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  检查要求及评分标准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每月分别对雨水管网、雨水泵站进行考核打分，根据管网巡视、管网泵站维护、台账资料、应急工作、文明施工、社会服务承诺等内容进行考核评分，总分100分。</w:t>
      </w: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考核</w:t>
      </w:r>
      <w:r>
        <w:rPr>
          <w:rFonts w:hint="eastAsia" w:ascii="宋体" w:hAnsi="宋体" w:eastAsia="宋体" w:cs="宋体"/>
          <w:b/>
          <w:bCs/>
          <w:color w:val="auto"/>
          <w:sz w:val="24"/>
          <w:szCs w:val="24"/>
          <w:highlight w:val="none"/>
          <w:lang w:eastAsia="zh-CN"/>
        </w:rPr>
        <w:t xml:space="preserve">细则</w:t>
      </w:r>
      <w:r/>
    </w:p>
    <w:tbl>
      <w:tblPr>
        <w:tblStyle w:val="6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534"/>
        <w:gridCol w:w="4749"/>
        <w:gridCol w:w="3807"/>
      </w:tblGrid>
      <w:tr>
        <w:trPr>
          <w:jc w:val="center"/>
          <w:trHeight w:val="23"/>
        </w:trPr>
        <w:tc>
          <w:tcPr>
            <w:tcW w:w="436"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项目名称</w:t>
            </w:r>
            <w:r/>
          </w:p>
        </w:tc>
        <w:tc>
          <w:tcPr>
            <w:tcW w:w="268"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384"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考核说明</w:t>
            </w:r>
            <w:r/>
          </w:p>
        </w:tc>
        <w:tc>
          <w:tcPr>
            <w:tcW w:w="1911"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一、管网巡视</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根据雨水设施运行情况</w:t>
            </w:r>
            <w:r>
              <w:rPr>
                <w:rFonts w:hint="eastAsia" w:ascii="宋体" w:hAnsi="宋体" w:eastAsia="宋体" w:cs="宋体"/>
                <w:color w:val="auto"/>
                <w:sz w:val="24"/>
                <w:szCs w:val="24"/>
                <w:highlight w:val="none"/>
                <w:lang w:eastAsia="zh-CN"/>
              </w:rPr>
              <w:t xml:space="preserve">，每季度</w:t>
            </w:r>
            <w:r>
              <w:rPr>
                <w:rFonts w:hint="eastAsia" w:ascii="宋体" w:hAnsi="宋体" w:eastAsia="宋体" w:cs="宋体"/>
                <w:color w:val="auto"/>
                <w:sz w:val="24"/>
                <w:szCs w:val="24"/>
                <w:highlight w:val="none"/>
              </w:rPr>
              <w:t xml:space="preserve">制定日常清通检测维护计划，每</w:t>
            </w:r>
            <w:r>
              <w:rPr>
                <w:rFonts w:hint="eastAsia" w:ascii="宋体" w:hAnsi="宋体" w:eastAsia="宋体" w:cs="宋体"/>
                <w:color w:val="auto"/>
                <w:sz w:val="24"/>
                <w:szCs w:val="24"/>
                <w:highlight w:val="none"/>
                <w:lang w:eastAsia="zh-CN"/>
              </w:rPr>
              <w:t xml:space="preserve">月报送一次运维管护总结</w:t>
            </w:r>
            <w:r>
              <w:rPr>
                <w:rFonts w:hint="eastAsia" w:ascii="宋体" w:hAnsi="宋体" w:eastAsia="宋体" w:cs="宋体"/>
                <w:color w:val="auto"/>
                <w:sz w:val="24"/>
                <w:szCs w:val="24"/>
                <w:highlight w:val="none"/>
              </w:rPr>
              <w:t xml:space="preserve">。</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维护计划未按时上报，扣5分。无特殊原因未按计划实施，每起扣5分，扣完为止。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发现检查井掩埋、占压等情况，应在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小时内上报，并在24小时内恢复。如遇特殊情况书面报告。</w:t>
            </w:r>
            <w:r/>
          </w:p>
        </w:tc>
        <w:tc>
          <w:tcPr>
            <w:tcW w:w="1911"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未第一时间上报，每起扣1分，未及时恢复，每起扣2分，扣完为止。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雨水设施一、二级防护范围内，建造建筑物、打桩、堆放超过地面限载的重物、进行深度超过管顶的开挖施工和井点降水施工等行为，以及进行爆破、钻探、打桩、顶进、挖掘、取土等剧烈破坏行为应进行制止，并及时上报。</w:t>
            </w:r>
            <w:r/>
          </w:p>
        </w:tc>
        <w:tc>
          <w:tcPr>
            <w:tcW w:w="1911"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未及时发现、未进行制止、未上报，每起扣2分，扣完为止。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384"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发现或接到通知检查井盖和雨水收水箅子缺失、破损、盖错、异响等问题，应在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小时内赶到现场、设置围护，回复通知方，并在24小时内完成整改。</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未及时发现、未及时回复，每起扣1分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未在规定时间内完成整改的，每起扣2分，扣完为止。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加强巡视及时发现擅自向雨水设施排放污水、改变排水性质，或者工程施工造成雨水设施严重堵塞、损坏、拆卸、移动和穿凿雨水设施的行为，应在1个工作日内书面上报主管部门。</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未及时发现并上报的，每起扣1分，扣完为止。</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二、管网维护</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管道畅通无阻，管道积泥不大于管径的1/5。井内无硬块杂物，井内积泥：有沉泥槽为管底以下50mm，无沉泥槽为主管径的1/5。检查井井壁应无破损、裂缝。</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不达标的每项扣1分，扣完为止。</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井盖无破损，插销完好，雨污水井盖不混盖；盖框不摇动，无缺角、变形及破损；盖框之间高低差不大于±5mm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井框与路面高差不大于±5mm。雨水收水口落底井淤积应低于连接管管底10cm，支管积淤不得超过管径的10%。</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井内防坠装置完好，雨水收水口完好。</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不达标的每项扣1分，扣完为止。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雨水收水口附近不得有积水现象。</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有积水的每起扣2分，未及时处理积水的每起扣5分，扣完为止。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雨水收水口孔盖眼不得堵塞，雨水收水口连接管不得堵塞。</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每发现一起扣1分，扣完为止。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雨水排放口八字墙或端墙外积淤不得高于出水口管底标高。雨水排放口不得有损坏、倾斜。</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每发现一起扣2分，扣完为止。</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三、泵站设施设备维护</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泵站在降雨期间应及时启动水泵，并根据雨量大小调整启动水泵数量，制定泵站应急预案方案，确保泵站在紧急情况下仍能正常运行，确保公铁立交下穿通道无积水。</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公铁立交下穿通道出现积水未及时处理的每起扣5分，扣完为止。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泵站内水泵、格栅、电控柜等设备设施完好，运行正常，出现故障及时发现，及时修复。</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未及时发现设备故障，每起扣1分；未及时修复，每起扣5分，扣完为止。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泵站运行的管控系统必须正常，与新吴区排水管理中心监管平台数据传输正常，无正当理由不得出现故障。</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每发生一起传输故障，数据不能正常读取或影像无法正常显示的，扣1分。</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做好泵站内的环境卫生工作，保持泵站院子地面，泵站建筑物内地面门窗，各配电柜、箱表面，格栅除渣平台等处整洁卫生。</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卫生不达标发现一起扣1分。</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四、台账资料</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应建立健全雨水管网及设施的档案资料管理制度，完善竣工资料，配备专职人员，及时完善和补充GIS管网数据，确保数据的正确性和完整性。</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未建立雨水管网及设施的档案资料管理制度、未配备专职人员的，每项扣2分。未完善竣工资料，每项扣1分。GIS数据不全或错误，每发现一起扣1分，扣完为止。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雨水管网泵站日常运行、维护维修、</w:t>
            </w:r>
            <w:r>
              <w:rPr>
                <w:rFonts w:hint="eastAsia" w:ascii="宋体" w:hAnsi="宋体" w:cs="宋体"/>
                <w:color w:val="auto"/>
                <w:sz w:val="24"/>
                <w:szCs w:val="24"/>
                <w:highlight w:val="none"/>
                <w:lang w:eastAsia="zh-CN"/>
              </w:rPr>
              <w:t xml:space="preserve">巡视巡察</w:t>
            </w:r>
            <w:r>
              <w:rPr>
                <w:rFonts w:hint="eastAsia" w:ascii="宋体" w:hAnsi="宋体" w:eastAsia="宋体" w:cs="宋体"/>
                <w:color w:val="auto"/>
                <w:sz w:val="24"/>
                <w:szCs w:val="24"/>
                <w:highlight w:val="none"/>
              </w:rPr>
              <w:t xml:space="preserve">、安全管理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设施基础资料台账、应急处置台账、运维管护工作小结等资料</w:t>
            </w:r>
            <w:r>
              <w:rPr>
                <w:rFonts w:hint="eastAsia" w:ascii="宋体" w:hAnsi="宋体" w:eastAsia="宋体" w:cs="宋体"/>
                <w:color w:val="auto"/>
                <w:sz w:val="24"/>
                <w:szCs w:val="24"/>
                <w:highlight w:val="none"/>
              </w:rPr>
              <w:t xml:space="preserve">应完整清晰、准确、规范，及时汇编成册、归档，每季度汇总至管理电脑中。</w:t>
            </w:r>
            <w:r/>
          </w:p>
        </w:tc>
        <w:tc>
          <w:tcPr>
            <w:tcW w:w="1911"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运行记录等不清楚、资料不齐全的，每项扣1分，扣完为止。</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五、应急工作</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应针对应急事故、自然灾害（如台风、地震等）或爆发大规模疫情，制订本单位应急预案，并定期开展培训和演练。</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应急预案未制订或未向主管部门备案的，每项扣2分，未定期开展应急预案培训演练的，扣2分，事故发生时，未按应急预案要求执行，对应条款，每条扣2分，扣完为止。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正常情况下，在事故发生或接到报障、报修、投诉后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不超过15分钟</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en-US" w:eastAsia="zh-CN"/>
              </w:rPr>
              <w:t xml:space="preserve">到达</w:t>
            </w:r>
            <w:r>
              <w:rPr>
                <w:rFonts w:hint="eastAsia" w:ascii="宋体" w:hAnsi="宋体" w:eastAsia="宋体" w:cs="宋体"/>
                <w:color w:val="auto"/>
                <w:sz w:val="24"/>
                <w:szCs w:val="24"/>
                <w:highlight w:val="none"/>
              </w:rPr>
              <w:t xml:space="preserve">现场，组织调查和应急处置，并立即向主管部门报告。</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未及时到达现场、未及时报告，每起扣2分，未做好应急处置造成不良后果，视情节轻重，每起扣5-10分，扣完为止。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根据不同降雨强度，对市政道路雨水积水情况按要求进行实时信息报送。</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未按要求实时报送的，每起扣2分。</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六、文明施工</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现场人员、设备、车辆统一新吴区标识，并且必须在新吴区使用。</w:t>
            </w:r>
            <w:r>
              <w:rPr>
                <w:rFonts w:hint="eastAsia" w:ascii="宋体" w:hAnsi="宋体" w:eastAsia="宋体" w:cs="宋体"/>
                <w:color w:val="auto"/>
                <w:sz w:val="24"/>
                <w:szCs w:val="24"/>
                <w:highlight w:val="none"/>
              </w:rPr>
              <w:t xml:space="preserve">检查井井盖开启之后，必须立即采取</w:t>
            </w:r>
            <w:r>
              <w:rPr>
                <w:rFonts w:hint="eastAsia" w:ascii="宋体" w:hAnsi="宋体" w:eastAsia="宋体" w:cs="宋体"/>
                <w:color w:val="auto"/>
                <w:sz w:val="24"/>
                <w:szCs w:val="24"/>
                <w:highlight w:val="none"/>
                <w:lang w:val="en-US" w:eastAsia="zh-CN"/>
              </w:rPr>
              <w:t xml:space="preserve">安全围挡、警戒线、警示灯等</w:t>
            </w:r>
            <w:r>
              <w:rPr>
                <w:rFonts w:hint="eastAsia" w:ascii="宋体" w:hAnsi="宋体" w:eastAsia="宋体" w:cs="宋体"/>
                <w:color w:val="auto"/>
                <w:sz w:val="24"/>
                <w:szCs w:val="24"/>
                <w:highlight w:val="none"/>
              </w:rPr>
              <w:t xml:space="preserve">安全措施。作业现场、检查井及管道内严禁明火，车辆、行人不得进入作业区；作业人员下井后，井上应有两人监护；如需人员进入管道作业（管径小于0.8m的管道严禁</w:t>
            </w:r>
            <w:r>
              <w:rPr>
                <w:rFonts w:hint="eastAsia" w:ascii="宋体" w:hAnsi="宋体" w:cs="宋体"/>
                <w:color w:val="auto"/>
                <w:sz w:val="24"/>
                <w:szCs w:val="24"/>
                <w:highlight w:val="none"/>
                <w:lang w:eastAsia="zh-CN"/>
              </w:rPr>
              <w:t xml:space="preserve">进入作业</w:t>
            </w:r>
            <w:r>
              <w:rPr>
                <w:rFonts w:hint="eastAsia" w:ascii="宋体" w:hAnsi="宋体" w:eastAsia="宋体" w:cs="宋体"/>
                <w:color w:val="auto"/>
                <w:sz w:val="24"/>
                <w:szCs w:val="24"/>
                <w:highlight w:val="none"/>
              </w:rPr>
              <w:t xml:space="preserve">）还须在井内增加监护人员作中间联络；监护人员不得擅离职守。作业现场应留有影像资料备查。现场作业人员应随身带上岗证复印件备查。</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现场人员、设备、车辆未统一新吴区标识的，发现一次扣</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现场人员、设备、车辆存在交叉使用的，发现一次扣</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rPr>
              <w:t xml:space="preserve">安全措施不到位，每发现一次扣1分。未带上岗证复印件，每人次扣1分，非执证人员作业，每人次扣2分。</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在征得交管部门同意中断交通后，应在路段两端设置断绝交通的警示标志；在繁华地区作业时，应指派专人指挥交通、维护现场秩序。施工离场后应冲刷路面，保持路面整洁干净，无遗留杂物或垃圾堆放现场。</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未设置断绝交通的警示标志发现一次扣1分。离场后仍有垃圾堆放或路面未冲洗，发现一次扣1分。</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由于安全文明施工方面的原因造成的不良后果，由施工单位负责。</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根据造成的具体后果追加处罚</w:t>
            </w:r>
            <w:r/>
          </w:p>
        </w:tc>
      </w:tr>
      <w:tr>
        <w:trPr>
          <w:jc w:val="center"/>
          <w:trHeight w:val="23"/>
        </w:trPr>
        <w:tc>
          <w:tcPr>
            <w:tcW w:w="436"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七、社会服务</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时处理各平台、来电、来信、来访投诉事件，按照热线办件工作各项要求，规范收件、办理、办结、反馈、回访等办理各环节，确保投诉回复得到有效处理，公众媒体有效负面报道次数全年不多于2次。投诉渠道应保持24小时畅通。</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未按要求在相关平台及时记录，每一件扣2分；未及时处理各类投诉，每起扣2分；负面报道每次扣1分，超过2次，超过部分每次扣5分，扣完为止。</w:t>
            </w:r>
            <w:r/>
          </w:p>
        </w:tc>
      </w:tr>
      <w:tr>
        <w:trPr>
          <w:jc w:val="center"/>
          <w:trHeight w:val="23"/>
        </w:trPr>
        <w:tc>
          <w:tcPr>
            <w:tcW w:w="436" w:type="pct"/>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执行上级主管部门交办的其他各类任务，切实解决社会问题。</w:t>
            </w:r>
            <w:r/>
          </w:p>
        </w:tc>
        <w:tc>
          <w:tcPr>
            <w:tcW w:w="1911"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延迟执行或拒绝执行的，每起扣5分，扣完为止。</w:t>
            </w:r>
            <w:r/>
          </w:p>
        </w:tc>
      </w:tr>
      <w:tr>
        <w:trPr>
          <w:jc w:val="center"/>
          <w:trHeight w:val="23"/>
        </w:trPr>
        <w:tc>
          <w:tcPr>
            <w:tcW w:w="436"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八、创优激励</w:t>
            </w:r>
            <w:r/>
          </w:p>
        </w:tc>
        <w:tc>
          <w:tcPr>
            <w:tcW w:w="26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84"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在日常工作中能主动担当、敢于作为，解决各类民生问题，或能创新创优，推进雨水设施养护高质量发展，提高市管管网养护管理水平。</w:t>
            </w:r>
            <w:r/>
          </w:p>
        </w:tc>
        <w:tc>
          <w:tcPr>
            <w:tcW w:w="1911"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每起加1分，累计不超过5分。</w:t>
            </w:r>
            <w:r/>
          </w:p>
        </w:tc>
      </w:tr>
    </w:tbl>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附件：附表1 雨水管网设施运行维护考核表</w:t>
      </w:r>
      <w:r/>
    </w:p>
    <w:tbl>
      <w:tblPr>
        <w:tblStyle w:val="67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1467"/>
        <w:gridCol w:w="5330"/>
        <w:gridCol w:w="638"/>
        <w:gridCol w:w="638"/>
        <w:gridCol w:w="640"/>
        <w:gridCol w:w="652"/>
      </w:tblGrid>
      <w:tr>
        <w:trPr>
          <w:jc w:val="center"/>
          <w:trHeight w:val="23"/>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附表1 雨水管网设施运行维护考核表</w:t>
            </w:r>
            <w:r/>
          </w:p>
        </w:tc>
      </w:tr>
      <w:tr>
        <w:trPr>
          <w:jc w:val="center"/>
          <w:trHeight w:val="23"/>
        </w:trPr>
        <w:tc>
          <w:tcPr>
            <w:gridSpan w:val="7"/>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考核时间：                    考核人：                 维护单位：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检查项目</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检查标准</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单项分值</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单项总分</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单项得分</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问题描述</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管网巡视</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雨污水井盖不混盖</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检查井无掩埋、占压</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及时发现擅自向雨水设施排放污水</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管网养护</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井盖插销完好</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井内防坠装置完好</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盖框之间高低差不大于±5mm</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井框与路面高差不大于±5mm</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检查井盖和雨水收水篦子无盖错、异响</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管道积泥不大于管径的1/5。井内无硬块杂物，井内积泥：有沉泥槽为管底以下50mm，无沉泥槽为主管径的1/5。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检查井井壁应无破损、裂缝</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雨水收水口完好</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雨水收水口孔盖眼无堵塞</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雨水收水口连接管无堵塞</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雨水收水口落底井淤积应低于连接管管底10cm，支管积淤不得超过管径的10%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雨水收水口附近无积水现象</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雨水排放口八字墙或端墙外积淤不高于出水口管底标高</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雨水排放口无损坏、倾斜</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台账资料</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每季度根据雨水设施运行情况制定日常清通检测维护计划，每月报送一次运维管护总结</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建立雨水管网及设施的档案资料管理制度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配备档案资料管理专职人员</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竣工资料完整完善</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GIS管网数据完整完善</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雨水管网、泵站运行记录等清楚齐全</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应急工作</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制订应急预案并向主管部门备案的</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定期开展应急预案培训演练</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在事故发生或接到报修、投诉后，不超过15分钟内到达现场，组织调查和应急处置</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降雨期间，对市政道路雨水积水情况按管理部门要求定期进行实时信息报送</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文明施工</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施工及运维现场必须采取安全围挡、警戒线、警示灯等安全措施</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现场人员、设备、车辆统一新吴区标识，并且必须在新吴区专门使用</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施工及运维现场在征得交管部门同意中断交通后，应在路段两端设置警示标志</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现场作业人员应随身带上岗证复印件备查</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施工离场后应冲刷路面，保持路面整洁干净，无遗留杂物或垃圾堆放现场</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社会服务</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按时处理各平台投诉事件，按照热线办件工作各项要求，确保投诉回复得到有效处理</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执行上级主管部门交办的其他各类任务，切实解决社会问题</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养护费核减</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人员、设备和车辆没有在新吴区专用，存在交叉使用的</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检查井盖或雨水收水篦子存在破损</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检查井盖或雨水收水篦子存在缺失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盖框之间高低差大于2cm</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井框与路面高差大于2cm</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检查井内淤堵超过井深1/4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公铁立交下穿通道出现积水</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瞒报积水点情况</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投诉或通报造成一定负面影响</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私自变更设施，擅自停用、迁移或拆除原有设施</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核减合计</w:t>
            </w:r>
            <w:r/>
          </w:p>
        </w:tc>
        <w:tc>
          <w:tcPr>
            <w:shd w:val="clear" w:color="auto" w:fill="auto"/>
            <w:tcBorders>
              <w:top w:val="single" w:color="000000" w:sz="4" w:space="0"/>
              <w:left w:val="single" w:color="000000" w:sz="4" w:space="0"/>
              <w:bottom w:val="single" w:color="000000" w:sz="4" w:space="0"/>
              <w:right w:val="single" w:color="000000" w:sz="4" w:space="0"/>
            </w:tcBorders>
            <w:tcW w:w="2675" w:type="pct"/>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bottom"/>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241"/>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维护单位负责人：         </w:t>
            </w:r>
            <w:r>
              <w:rPr>
                <w:rFonts w:hint="eastAsia" w:ascii="宋体" w:hAnsi="宋体" w:cs="宋体"/>
                <w:b/>
                <w:bCs/>
                <w:i w:val="0"/>
                <w:iCs w:val="0"/>
                <w:color w:val="auto"/>
                <w:sz w:val="24"/>
                <w:szCs w:val="24"/>
                <w:highlight w:val="none"/>
                <w:u w:val="none"/>
                <w:lang w:val="en-US" w:eastAsia="zh-CN"/>
              </w:rPr>
              <w:t xml:space="preserve">                   </w:t>
            </w:r>
            <w:r>
              <w:rPr>
                <w:rFonts w:hint="eastAsia" w:ascii="宋体" w:hAnsi="宋体" w:eastAsia="宋体" w:cs="宋体"/>
                <w:b/>
                <w:bCs/>
                <w:i w:val="0"/>
                <w:iCs w:val="0"/>
                <w:color w:val="auto"/>
                <w:sz w:val="24"/>
                <w:szCs w:val="24"/>
                <w:highlight w:val="none"/>
                <w:u w:val="none"/>
                <w:lang w:val="en-US" w:eastAsia="zh-CN"/>
              </w:rPr>
              <w:t xml:space="preserve"> 时间：</w:t>
            </w:r>
            <w:r/>
          </w:p>
        </w:tc>
      </w:tr>
    </w:tbl>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rFonts w:hint="eastAsia" w:ascii="宋体" w:hAnsi="宋体"/>
          <w:bCs/>
          <w:color w:val="auto"/>
          <w:sz w:val="24"/>
          <w:highlight w:val="none"/>
        </w:rPr>
        <w:br w:type="page" w:clear="all"/>
      </w:r>
      <w:r/>
    </w:p>
    <w:p>
      <w:pPr>
        <w:ind w:firstLine="560"/>
        <w:jc w:val="center"/>
        <w:spacing w:line="360" w:lineRule="auto"/>
        <w:rPr>
          <w:rFonts w:hint="eastAsia" w:ascii="黑体" w:hAnsi="宋体" w:eastAsia="黑体" w:cs="Times New Roman"/>
          <w:bCs/>
          <w:color w:val="auto"/>
          <w:sz w:val="28"/>
          <w:szCs w:val="28"/>
          <w:highlight w:val="none"/>
          <w:lang w:val="en-US" w:eastAsia="zh-CN" w:bidi="ar-SA"/>
        </w:rPr>
        <w:outlineLvl w:val="0"/>
      </w:pPr>
      <w:r>
        <w:rPr>
          <w:rFonts w:hint="eastAsia" w:ascii="黑体" w:hAnsi="宋体" w:eastAsia="黑体" w:cs="Times New Roman"/>
          <w:bCs/>
          <w:color w:val="auto"/>
          <w:sz w:val="28"/>
          <w:szCs w:val="28"/>
          <w:highlight w:val="none"/>
          <w:lang w:val="en-US" w:eastAsia="zh-CN" w:bidi="ar-SA"/>
        </w:rPr>
        <w:t xml:space="preserve">四、合同书（格式文本）</w:t>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）实施及有关事项协商一致，共同达成如下协议：</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5" w:name="_Hlk2066327"/>
      <w:r/>
      <w:bookmarkEnd w:id="5"/>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五、服务期：</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七、服务费支付步骤和办法：</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八、违约责任：</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color w:val="auto"/>
          <w:sz w:val="24"/>
          <w:highlight w:val="none"/>
        </w:rPr>
        <w:t xml:space="preserve">九、解决争议的方式：</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事项：</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十二、合同备案：合同一式</w:t>
      </w:r>
      <w:r>
        <w:rPr>
          <w:rFonts w:hint="eastAsia" w:ascii="宋体" w:hAnsi="宋体" w:cs="宋体"/>
          <w:bCs/>
          <w:color w:val="auto"/>
          <w:sz w:val="24"/>
          <w:highlight w:val="none"/>
          <w:lang w:val="en-US" w:eastAsia="zh-CN"/>
        </w:rPr>
        <w:t xml:space="preserve">五</w:t>
      </w:r>
      <w:r>
        <w:rPr>
          <w:rFonts w:hint="eastAsia" w:ascii="宋体" w:hAnsi="宋体" w:cs="宋体"/>
          <w:bCs/>
          <w:color w:val="auto"/>
          <w:sz w:val="24"/>
          <w:highlight w:val="none"/>
        </w:rPr>
        <w:t xml:space="preserve">份，供需双方各执</w:t>
      </w:r>
      <w:r>
        <w:rPr>
          <w:rFonts w:hint="eastAsia" w:ascii="宋体" w:hAnsi="宋体" w:cs="宋体"/>
          <w:bCs/>
          <w:color w:val="auto"/>
          <w:sz w:val="24"/>
          <w:highlight w:val="none"/>
          <w:lang w:val="en-US" w:eastAsia="zh-CN"/>
        </w:rPr>
        <w:t xml:space="preserve">两</w:t>
      </w:r>
      <w:r>
        <w:rPr>
          <w:rFonts w:hint="eastAsia" w:ascii="宋体" w:hAnsi="宋体" w:cs="宋体"/>
          <w:bCs/>
          <w:color w:val="auto"/>
          <w:sz w:val="24"/>
          <w:highlight w:val="none"/>
        </w:rPr>
        <w:t xml:space="preserve">份，见证方一份。</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宋体" w:eastAsia="黑体" w:cs="Times New Roman"/>
          <w:bCs/>
          <w:color w:val="auto"/>
          <w:sz w:val="28"/>
          <w:szCs w:val="28"/>
          <w:highlight w:val="none"/>
          <w:lang w:val="en-US" w:eastAsia="zh-CN" w:bidi="ar-SA"/>
        </w:rPr>
        <w:t xml:space="preserve">五、合同条款</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ind w:firstLine="42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根据《中华人民共和国政府采购法》《中华人民共和国民法典》等法律法规的规定，甲乙双方按照采购结果签订本合同。</w:t>
      </w:r>
      <w:r/>
    </w:p>
    <w:p>
      <w:pPr>
        <w:spacing w:line="40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第一条　采购内容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1、项目名称（项目编号）：</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2、服务内容：</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3、服务范围：</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4、服务期限：</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5、其他：</w:t>
      </w:r>
      <w:r>
        <w:rPr>
          <w:rFonts w:hint="eastAsia" w:ascii="宋体" w:hAnsi="宋体" w:cs="宋体"/>
          <w:color w:val="auto"/>
          <w:sz w:val="24"/>
          <w:highlight w:val="none"/>
          <w:u w:val="single"/>
        </w:rPr>
        <w:t xml:space="preserve">　　　　　　　　　　　　　　　　　　　　　　　　　　　　</w:t>
      </w:r>
      <w:r/>
    </w:p>
    <w:p>
      <w:pPr>
        <w:jc w:val="left"/>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第二条　合同总价款</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本合同人民币总价款为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（小写），</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（大写）。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本合同服务期限内合同总价款不变。（有另行规定的除外）</w:t>
      </w:r>
      <w:r/>
    </w:p>
    <w:p>
      <w:pPr>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第三条　组成本合同的有关文件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（1）招标文件；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（2）投标文件；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（3）中标通知书；</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（4）中标人在投标、评标过程中所作其他有关承诺、声明、书面澄清；</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（5）甲乙双方商定的其他文件等。</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第四条　权利保证</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第五条　质量保证和售后服务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1、乙方应按招标文件规定的服务要求、技术要求、质量标准向甲方提供服务。</w:t>
      </w:r>
      <w:r/>
    </w:p>
    <w:p>
      <w:pPr>
        <w:ind w:firstLine="480"/>
        <w:jc w:val="left"/>
        <w:spacing w:line="360" w:lineRule="auto"/>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 xml:space="preserve">2、质量保证：</w:t>
      </w:r>
      <w:r>
        <w:rPr>
          <w:rFonts w:hint="eastAsia" w:ascii="宋体" w:hAnsi="宋体" w:cs="宋体"/>
          <w:bCs/>
          <w:color w:val="auto"/>
          <w:sz w:val="24"/>
          <w:highlight w:val="none"/>
          <w:u w:val="single"/>
          <w:lang w:val="zh-CN"/>
        </w:rPr>
        <w:t xml:space="preserve">　　　　　　　　　　　　　　　　　　　　　　　　　　</w:t>
      </w:r>
      <w:r/>
    </w:p>
    <w:p>
      <w:pPr>
        <w:ind w:firstLine="480"/>
        <w:jc w:val="left"/>
        <w:spacing w:line="360" w:lineRule="auto"/>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 xml:space="preserve">3、售后服务：</w:t>
      </w:r>
      <w:r>
        <w:rPr>
          <w:rFonts w:hint="eastAsia" w:ascii="宋体" w:hAnsi="宋体" w:cs="宋体"/>
          <w:bCs/>
          <w:color w:val="auto"/>
          <w:sz w:val="24"/>
          <w:highlight w:val="none"/>
          <w:u w:val="single"/>
          <w:lang w:val="zh-CN"/>
        </w:rPr>
        <w:t xml:space="preserve">　　　　　　　　　　　　　　　　　　　　　　　　　　</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第六条　验收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验收标准：</w:t>
      </w:r>
      <w:r>
        <w:rPr>
          <w:rFonts w:hint="eastAsia" w:ascii="宋体" w:hAnsi="宋体" w:cs="宋体"/>
          <w:color w:val="auto"/>
          <w:sz w:val="24"/>
          <w:highlight w:val="none"/>
          <w:lang w:val="zh-CN"/>
        </w:rPr>
        <w:t xml:space="preserve">按招标文件所规定的服务标准和乙方投标文件的承诺，</w:t>
      </w:r>
      <w:r>
        <w:rPr>
          <w:rFonts w:hint="eastAsia" w:ascii="宋体" w:hAnsi="宋体" w:cs="宋体"/>
          <w:color w:val="auto"/>
          <w:sz w:val="24"/>
          <w:highlight w:val="none"/>
        </w:rPr>
        <w:t xml:space="preserve">根据《无锡市政府采购验收管理暂行办法》程序组织验收，费用由乙方承担。</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第七条　付款</w:t>
      </w:r>
      <w:r/>
    </w:p>
    <w:p>
      <w:pPr>
        <w:ind w:firstLine="420"/>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1、每半年支付一次；每次支付按确认的已完成实际工作量的50%拨款；服务期满项目审计结束后，付至最终审定价的90%；审计结束的第二年付清余款。</w:t>
      </w:r>
      <w:r/>
    </w:p>
    <w:p>
      <w:pPr>
        <w:ind w:firstLine="42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2、本合同项下所有款项均以人民币支付，乙方向甲方开具发票。</w:t>
      </w:r>
      <w:r/>
    </w:p>
    <w:p>
      <w:pPr>
        <w:ind w:firstLine="72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第八条　违约责任</w:t>
      </w:r>
      <w:r/>
    </w:p>
    <w:p>
      <w:pPr>
        <w:ind w:firstLine="480"/>
        <w:jc w:val="left"/>
        <w:spacing w:line="360" w:lineRule="auto"/>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1、</w:t>
      </w:r>
      <w:r>
        <w:rPr>
          <w:rFonts w:hint="eastAsia" w:ascii="宋体" w:hAnsi="宋体" w:cs="宋体"/>
          <w:color w:val="auto"/>
          <w:sz w:val="24"/>
          <w:szCs w:val="24"/>
          <w:highlight w:val="none"/>
          <w:u w:val="single"/>
        </w:rPr>
        <w:t xml:space="preserve">在履行合同的过程中，如果成交人遇到妨碍未按时提供服务的情况，应及时以书面形式将拖延的事实、可能拖延的时间和原因通知采购人。采购人在收到成交人通知后，应尽快对情况进行核实，并确定是否酌情延长交货时间以及是否收取误期赔偿费或在对成交人违约而采取的任何补救措施不受影响的情况下，向成交人发出书面通知书，提出终止部分或全部合同。延期应通过修改合同的方式由双方认可并重新签署。</w:t>
      </w:r>
      <w:r/>
    </w:p>
    <w:p>
      <w:pPr>
        <w:ind w:firstLine="480"/>
        <w:jc w:val="left"/>
        <w:spacing w:line="360" w:lineRule="auto"/>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2、</w:t>
      </w:r>
      <w:r>
        <w:rPr>
          <w:rFonts w:hint="eastAsia" w:ascii="宋体" w:hAnsi="宋体" w:cs="宋体"/>
          <w:color w:val="auto"/>
          <w:sz w:val="24"/>
          <w:szCs w:val="24"/>
          <w:highlight w:val="none"/>
          <w:u w:val="single"/>
        </w:rPr>
        <w:t xml:space="preserve">                          </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第九条　</w:t>
      </w:r>
      <w:r>
        <w:rPr>
          <w:rFonts w:hint="eastAsia" w:ascii="宋体" w:hAnsi="宋体" w:cs="宋体"/>
          <w:bCs/>
          <w:color w:val="auto"/>
          <w:sz w:val="24"/>
          <w:highlight w:val="none"/>
        </w:rPr>
        <w:t xml:space="preserve">不可抗力</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w:t>
      </w:r>
      <w:r>
        <w:rPr>
          <w:rFonts w:hint="eastAsia" w:ascii="宋体" w:hAnsi="宋体" w:cs="宋体"/>
          <w:bCs/>
          <w:color w:val="auto"/>
          <w:sz w:val="24"/>
          <w:highlight w:val="none"/>
          <w:lang w:eastAsia="zh-CN"/>
        </w:rPr>
        <w:t xml:space="preserve">或</w:t>
      </w:r>
      <w:r>
        <w:rPr>
          <w:rFonts w:hint="eastAsia" w:ascii="宋体" w:hAnsi="宋体" w:cs="宋体"/>
          <w:bCs/>
          <w:color w:val="auto"/>
          <w:sz w:val="24"/>
          <w:highlight w:val="none"/>
        </w:rPr>
        <w:t xml:space="preserve">继续履行本合同。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rPr>
        <w:t xml:space="preserve">第十条　</w:t>
      </w:r>
      <w:r>
        <w:rPr>
          <w:rFonts w:hint="eastAsia" w:ascii="宋体" w:hAnsi="宋体" w:cs="宋体"/>
          <w:bCs/>
          <w:color w:val="auto"/>
          <w:sz w:val="24"/>
          <w:highlight w:val="none"/>
          <w:lang w:val="zh-CN"/>
        </w:rPr>
        <w:t xml:space="preserve">合同的变更和终止</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第十一条  合同的终止</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本合同因下列原因而终止：</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本合同正常履行完毕；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因不可抗力导致本合同无法履行或履行不必要；</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任何一方行使解除权解除本合同；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合同的继续履行将损害国家利益和社会公共利益。</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除上述情形外，甲乙双方不得擅自终止合同。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第十二条　争议的解决</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2、在仲裁期间，本合同应继续履行。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第十三条　合同生效及其他</w:t>
      </w:r>
      <w:r/>
    </w:p>
    <w:p>
      <w:pPr>
        <w:ind w:firstLine="480"/>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本合同由甲乙双方签字、盖章，并经</w:t>
      </w:r>
      <w:r>
        <w:rPr>
          <w:rFonts w:hint="eastAsia" w:ascii="宋体" w:hAnsi="宋体" w:cs="宋体"/>
          <w:bCs/>
          <w:color w:val="auto"/>
          <w:sz w:val="24"/>
          <w:highlight w:val="none"/>
        </w:rPr>
        <w:t xml:space="preserve">采购代理机构</w:t>
      </w:r>
      <w:r>
        <w:rPr>
          <w:rFonts w:hint="eastAsia" w:ascii="宋体" w:hAnsi="宋体" w:cs="宋体"/>
          <w:color w:val="auto"/>
          <w:sz w:val="24"/>
          <w:highlight w:val="none"/>
        </w:rPr>
        <w:t xml:space="preserve">见证后生效。</w:t>
      </w:r>
      <w:r/>
    </w:p>
    <w:p>
      <w:pPr>
        <w:ind w:firstLine="480"/>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lang w:val="zh-CN"/>
        </w:rPr>
        <w:t xml:space="preserve">2、本合同</w:t>
      </w:r>
      <w:r>
        <w:rPr>
          <w:rFonts w:hint="eastAsia" w:ascii="宋体" w:hAnsi="宋体" w:cs="宋体"/>
          <w:bCs/>
          <w:color w:val="auto"/>
          <w:sz w:val="24"/>
          <w:highlight w:val="none"/>
        </w:rPr>
        <w:t xml:space="preserve">一式</w:t>
      </w:r>
      <w:r>
        <w:rPr>
          <w:rFonts w:hint="eastAsia" w:ascii="宋体" w:hAnsi="宋体" w:cs="宋体"/>
          <w:bCs/>
          <w:color w:val="auto"/>
          <w:sz w:val="24"/>
          <w:highlight w:val="none"/>
          <w:lang w:val="en-US" w:eastAsia="zh-CN"/>
        </w:rPr>
        <w:t xml:space="preserve">五</w:t>
      </w:r>
      <w:r>
        <w:rPr>
          <w:rFonts w:hint="eastAsia" w:ascii="宋体" w:hAnsi="宋体" w:cs="宋体"/>
          <w:bCs/>
          <w:color w:val="auto"/>
          <w:sz w:val="24"/>
          <w:highlight w:val="none"/>
        </w:rPr>
        <w:t xml:space="preserve">份，供需双方各执</w:t>
      </w:r>
      <w:r>
        <w:rPr>
          <w:rFonts w:hint="eastAsia" w:ascii="宋体" w:hAnsi="宋体" w:cs="宋体"/>
          <w:bCs/>
          <w:color w:val="auto"/>
          <w:sz w:val="24"/>
          <w:highlight w:val="none"/>
          <w:lang w:val="en-US" w:eastAsia="zh-CN"/>
        </w:rPr>
        <w:t xml:space="preserve">两</w:t>
      </w:r>
      <w:r>
        <w:rPr>
          <w:rFonts w:hint="eastAsia" w:ascii="宋体" w:hAnsi="宋体" w:cs="宋体"/>
          <w:bCs/>
          <w:color w:val="auto"/>
          <w:sz w:val="24"/>
          <w:highlight w:val="none"/>
        </w:rPr>
        <w:t xml:space="preserve">份，见证方一份</w:t>
      </w:r>
      <w:r>
        <w:rPr>
          <w:rFonts w:hint="eastAsia" w:ascii="宋体" w:hAnsi="宋体" w:cs="宋体"/>
          <w:color w:val="auto"/>
          <w:sz w:val="24"/>
          <w:highlight w:val="none"/>
          <w:lang w:val="zh-CN"/>
        </w:rPr>
        <w:t xml:space="preserve">。</w:t>
      </w:r>
      <w:r/>
    </w:p>
    <w:p>
      <w:pPr>
        <w:ind w:firstLine="480"/>
        <w:jc w:val="left"/>
        <w:spacing w:line="360" w:lineRule="auto"/>
        <w:widowControl/>
        <w:rPr>
          <w:rFonts w:ascii="宋体" w:hAnsi="宋体" w:cs="宋体"/>
          <w:bCs/>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r/>
    </w:p>
    <w:p>
      <w:pPr>
        <w:pStyle w:val="677"/>
        <w:ind w:firstLine="482"/>
        <w:keepLines w:val="0"/>
        <w:keepNext w:val="0"/>
        <w:pageBreakBefore w:val="0"/>
        <w:spacing w:line="420" w:lineRule="exact"/>
        <w:widowControl w:val="off"/>
        <w:rPr>
          <w:rFonts w:ascii="宋体" w:hAnsi="宋体" w:cs="宋体"/>
          <w:bCs/>
          <w:color w:val="auto"/>
          <w:sz w:val="24"/>
          <w:highlight w:val="none"/>
        </w:rPr>
      </w:pPr>
      <w:r>
        <w:rPr>
          <w:rFonts w:ascii="宋体" w:hAnsi="宋体" w:cs="宋体"/>
          <w:bCs/>
          <w:color w:val="auto"/>
          <w:sz w:val="2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r>
        <w:rPr>
          <w:rFonts w:hint="eastAsia" w:ascii="黑体" w:eastAsia="黑体"/>
          <w:bCs/>
          <w:color w:val="auto"/>
          <w:sz w:val="28"/>
          <w:szCs w:val="28"/>
          <w:highlight w:val="none"/>
        </w:rPr>
        <w:t xml:space="preserve">六</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附件</w:t>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left="0"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投标报价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30分</w:t>
      </w:r>
      <w:r/>
    </w:p>
    <w:p>
      <w:pPr>
        <w:ind w:left="0"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left="0" w:firstLine="482"/>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投标供应商具有有效的质量管理体系认证证书、环境管理体系认证证书、职业健康安全管理体系认证证书，每有1个得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分【提供证书扫描件上传至电子投标文件，未按要求提供不得分】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投标供应商自202</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年1月1日以来承担过同类项目的（日期以合同签订日期为准），每有1个得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分【提供合同扫描件上传至电子投标文件，未按要求提供不得分】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投标供应商自202</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年1月1日以来获得</w:t>
      </w:r>
      <w:r>
        <w:rPr>
          <w:rFonts w:hint="eastAsia" w:ascii="宋体" w:hAnsi="宋体" w:cs="宋体"/>
          <w:bCs/>
          <w:color w:val="auto"/>
          <w:sz w:val="24"/>
          <w:highlight w:val="none"/>
          <w:lang w:val="en-US" w:eastAsia="zh-CN"/>
        </w:rPr>
        <w:t xml:space="preserve">过</w:t>
      </w:r>
      <w:r>
        <w:rPr>
          <w:rFonts w:hint="eastAsia" w:ascii="宋体" w:hAnsi="宋体" w:cs="宋体"/>
          <w:bCs/>
          <w:color w:val="auto"/>
          <w:sz w:val="24"/>
          <w:highlight w:val="none"/>
        </w:rPr>
        <w:t xml:space="preserve">市级</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地级市</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及以上政府主管部门颁发的奖项或表彰</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val="en-US" w:eastAsia="zh-CN"/>
        </w:rPr>
        <w:t xml:space="preserve">以证书颁发时间或发文时间为准，</w:t>
      </w:r>
      <w:r>
        <w:rPr>
          <w:rFonts w:hint="eastAsia" w:ascii="宋体" w:hAnsi="宋体" w:cs="宋体"/>
          <w:bCs/>
          <w:color w:val="auto"/>
          <w:sz w:val="24"/>
          <w:highlight w:val="none"/>
        </w:rPr>
        <w:t xml:space="preserve">提供</w:t>
      </w:r>
      <w:r>
        <w:rPr>
          <w:rFonts w:hint="eastAsia" w:ascii="宋体" w:hAnsi="宋体" w:cs="宋体"/>
          <w:bCs/>
          <w:color w:val="auto"/>
          <w:sz w:val="24"/>
          <w:highlight w:val="none"/>
          <w:lang w:val="en-US" w:eastAsia="zh-CN"/>
        </w:rPr>
        <w:t xml:space="preserve">证明文件</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（4）车辆</w:t>
      </w:r>
      <w:r>
        <w:rPr>
          <w:rFonts w:hint="eastAsia" w:ascii="宋体" w:hAnsi="宋体" w:cs="宋体"/>
          <w:b w:val="0"/>
          <w:bCs/>
          <w:color w:val="auto"/>
          <w:sz w:val="24"/>
          <w:highlight w:val="none"/>
        </w:rPr>
        <w:t xml:space="preserve">配备（</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分）：拟为本项目配置管道疏通车</w:t>
      </w:r>
      <w:r>
        <w:rPr>
          <w:rFonts w:hint="eastAsia" w:ascii="宋体" w:hAnsi="宋体" w:cs="宋体"/>
          <w:b w:val="0"/>
          <w:bCs/>
          <w:color w:val="auto"/>
          <w:sz w:val="24"/>
          <w:highlight w:val="none"/>
          <w:lang w:val="en-US" w:eastAsia="zh-CN"/>
        </w:rPr>
        <w:t xml:space="preserve">的，有1辆得0.5分，最高得1.5分</w:t>
      </w:r>
      <w:r>
        <w:rPr>
          <w:rFonts w:hint="eastAsia" w:ascii="宋体" w:hAnsi="宋体" w:cs="宋体"/>
          <w:b w:val="0"/>
          <w:bCs/>
          <w:color w:val="auto"/>
          <w:sz w:val="24"/>
          <w:highlight w:val="none"/>
        </w:rPr>
        <w:t xml:space="preserve">；配置封闭式垃圾清运车辆或吸污车</w:t>
      </w:r>
      <w:r>
        <w:rPr>
          <w:rFonts w:hint="eastAsia" w:ascii="宋体" w:hAnsi="宋体" w:cs="宋体"/>
          <w:b w:val="0"/>
          <w:bCs/>
          <w:color w:val="auto"/>
          <w:sz w:val="24"/>
          <w:highlight w:val="none"/>
          <w:lang w:val="en-US" w:eastAsia="zh-CN"/>
        </w:rPr>
        <w:t xml:space="preserve">的，有1辆得0.5分，最高得1分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配置</w:t>
      </w:r>
      <w:r>
        <w:rPr>
          <w:rFonts w:hint="eastAsia" w:ascii="宋体" w:hAnsi="宋体" w:eastAsia="宋体" w:cs="宋体"/>
          <w:color w:val="auto"/>
          <w:sz w:val="24"/>
          <w:highlight w:val="none"/>
        </w:rPr>
        <w:t xml:space="preserve">运输工具车</w:t>
      </w:r>
      <w:r>
        <w:rPr>
          <w:rFonts w:hint="eastAsia" w:ascii="宋体" w:hAnsi="宋体" w:eastAsia="宋体" w:cs="宋体"/>
          <w:color w:val="auto"/>
          <w:sz w:val="24"/>
          <w:highlight w:val="none"/>
          <w:lang w:val="en-US" w:eastAsia="zh-CN"/>
        </w:rPr>
        <w:t xml:space="preserve">的，</w:t>
      </w:r>
      <w:r>
        <w:rPr>
          <w:rFonts w:hint="eastAsia" w:ascii="宋体" w:hAnsi="宋体" w:cs="宋体"/>
          <w:b w:val="0"/>
          <w:bCs/>
          <w:color w:val="auto"/>
          <w:sz w:val="24"/>
          <w:highlight w:val="none"/>
          <w:lang w:val="en-US" w:eastAsia="zh-CN"/>
        </w:rPr>
        <w:t xml:space="preserve">有1辆得0.5分，最高得0.5分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本项最高得</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分【自有车辆提供发票（发票抬头必须与投标供应商名称一致）、行驶证</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车辆照片；租赁车辆提供发票（发票抬头必须与</w:t>
      </w:r>
      <w:r>
        <w:rPr>
          <w:rFonts w:hint="eastAsia" w:ascii="宋体" w:hAnsi="宋体" w:cs="宋体"/>
          <w:b w:val="0"/>
          <w:bCs/>
          <w:color w:val="auto"/>
          <w:sz w:val="24"/>
          <w:highlight w:val="none"/>
          <w:lang w:val="en-US" w:eastAsia="zh-CN"/>
        </w:rPr>
        <w:t xml:space="preserve">出租方</w:t>
      </w:r>
      <w:r>
        <w:rPr>
          <w:rFonts w:hint="eastAsia" w:ascii="宋体" w:hAnsi="宋体" w:cs="宋体"/>
          <w:b w:val="0"/>
          <w:bCs/>
          <w:color w:val="auto"/>
          <w:sz w:val="24"/>
          <w:highlight w:val="none"/>
        </w:rPr>
        <w:t xml:space="preserve">名称一致）</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行驶证</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车辆照片、租赁协议</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租赁发票</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提供以上证明材料</w:t>
      </w:r>
      <w:r>
        <w:rPr>
          <w:rFonts w:hint="eastAsia" w:ascii="宋体" w:hAnsi="宋体" w:cs="宋体"/>
          <w:b w:val="0"/>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设备配备（</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分）：拟为本项目配置</w:t>
      </w:r>
      <w:r>
        <w:rPr>
          <w:rFonts w:hint="eastAsia" w:ascii="宋体" w:hAnsi="宋体" w:eastAsia="宋体" w:cs="宋体"/>
          <w:color w:val="auto"/>
          <w:sz w:val="24"/>
          <w:highlight w:val="none"/>
        </w:rPr>
        <w:t xml:space="preserve">CCTV检测机器人管网检测设备</w:t>
      </w:r>
      <w:r>
        <w:rPr>
          <w:rFonts w:hint="eastAsia" w:ascii="宋体" w:hAnsi="宋体" w:eastAsia="宋体" w:cs="宋体"/>
          <w:color w:val="auto"/>
          <w:sz w:val="24"/>
          <w:highlight w:val="none"/>
          <w:lang w:eastAsia="zh-CN"/>
        </w:rPr>
        <w:t xml:space="preserve">的</w:t>
      </w:r>
      <w:r>
        <w:rPr>
          <w:rFonts w:hint="eastAsia" w:ascii="宋体" w:hAnsi="宋体" w:cs="宋体"/>
          <w:b w:val="0"/>
          <w:bCs/>
          <w:color w:val="auto"/>
          <w:sz w:val="24"/>
          <w:highlight w:val="none"/>
        </w:rPr>
        <w:t xml:space="preserve">，有</w:t>
      </w:r>
      <w:r>
        <w:rPr>
          <w:rFonts w:hint="eastAsia" w:ascii="宋体" w:hAnsi="宋体" w:cs="宋体"/>
          <w:b w:val="0"/>
          <w:bCs/>
          <w:color w:val="auto"/>
          <w:sz w:val="24"/>
          <w:highlight w:val="none"/>
          <w:lang w:val="en-US" w:eastAsia="zh-CN"/>
        </w:rPr>
        <w:t xml:space="preserve">1台</w:t>
      </w:r>
      <w:r>
        <w:rPr>
          <w:rFonts w:hint="eastAsia" w:ascii="宋体" w:hAnsi="宋体" w:cs="宋体"/>
          <w:b w:val="0"/>
          <w:bCs/>
          <w:color w:val="auto"/>
          <w:sz w:val="24"/>
          <w:highlight w:val="none"/>
        </w:rPr>
        <w:t xml:space="preserve">得0.5分，最高得</w:t>
      </w:r>
      <w:r>
        <w:rPr>
          <w:rFonts w:hint="eastAsia" w:ascii="宋体" w:hAnsi="宋体" w:cs="宋体"/>
          <w:b w:val="0"/>
          <w:bCs/>
          <w:color w:val="auto"/>
          <w:sz w:val="24"/>
          <w:highlight w:val="none"/>
          <w:lang w:val="en-US" w:eastAsia="zh-CN"/>
        </w:rPr>
        <w:t xml:space="preserve">1.5</w:t>
      </w:r>
      <w:r>
        <w:rPr>
          <w:rFonts w:hint="eastAsia" w:ascii="宋体" w:hAnsi="宋体" w:cs="宋体"/>
          <w:b w:val="0"/>
          <w:bCs/>
          <w:color w:val="auto"/>
          <w:sz w:val="24"/>
          <w:highlight w:val="none"/>
        </w:rPr>
        <w:t xml:space="preserve">分；配置管道潜望镜管网检测设备</w:t>
      </w:r>
      <w:r>
        <w:rPr>
          <w:rFonts w:hint="eastAsia" w:ascii="宋体" w:hAnsi="宋体" w:cs="宋体"/>
          <w:b w:val="0"/>
          <w:bCs/>
          <w:color w:val="auto"/>
          <w:sz w:val="24"/>
          <w:highlight w:val="none"/>
          <w:lang w:val="en-US" w:eastAsia="zh-CN"/>
        </w:rPr>
        <w:t xml:space="preserve">的</w:t>
      </w:r>
      <w:r>
        <w:rPr>
          <w:rFonts w:hint="eastAsia" w:ascii="宋体" w:hAnsi="宋体" w:cs="宋体"/>
          <w:b w:val="0"/>
          <w:bCs/>
          <w:color w:val="auto"/>
          <w:sz w:val="24"/>
          <w:highlight w:val="none"/>
        </w:rPr>
        <w:t xml:space="preserve">，有</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套得0.5分，最高得</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分；</w:t>
      </w:r>
      <w:r>
        <w:rPr>
          <w:rFonts w:hint="eastAsia" w:ascii="宋体" w:hAnsi="宋体" w:cs="宋体"/>
          <w:b w:val="0"/>
          <w:bCs/>
          <w:color w:val="auto"/>
          <w:sz w:val="24"/>
          <w:highlight w:val="none"/>
          <w:lang w:val="en-US" w:eastAsia="zh-CN"/>
        </w:rPr>
        <w:t xml:space="preserve">配置有毒有害气体检测仪设备的，有1台得0.5分，最高得1分；</w:t>
      </w:r>
      <w:r>
        <w:rPr>
          <w:rFonts w:hint="eastAsia" w:ascii="宋体" w:hAnsi="宋体" w:eastAsia="宋体" w:cs="宋体"/>
          <w:color w:val="auto"/>
          <w:sz w:val="24"/>
          <w:highlight w:val="none"/>
        </w:rPr>
        <w:t xml:space="preserve">配置150KW及以上发电机</w:t>
      </w:r>
      <w:r>
        <w:rPr>
          <w:rFonts w:hint="eastAsia" w:ascii="宋体" w:hAnsi="宋体" w:eastAsia="宋体" w:cs="宋体"/>
          <w:color w:val="auto"/>
          <w:sz w:val="24"/>
          <w:highlight w:val="none"/>
          <w:lang w:val="en-US" w:eastAsia="zh-CN"/>
        </w:rPr>
        <w:t xml:space="preserve">的，</w:t>
      </w:r>
      <w:r>
        <w:rPr>
          <w:rFonts w:hint="eastAsia" w:ascii="宋体" w:hAnsi="宋体" w:cs="宋体"/>
          <w:b w:val="0"/>
          <w:bCs/>
          <w:color w:val="auto"/>
          <w:sz w:val="24"/>
          <w:highlight w:val="none"/>
          <w:lang w:val="en-US" w:eastAsia="zh-CN"/>
        </w:rPr>
        <w:t xml:space="preserve">有1台得0.5分，最高得0.5分；</w:t>
      </w:r>
      <w:r>
        <w:rPr>
          <w:rFonts w:hint="eastAsia" w:ascii="宋体" w:hAnsi="宋体" w:eastAsia="宋体" w:cs="宋体"/>
          <w:color w:val="auto"/>
          <w:sz w:val="24"/>
          <w:highlight w:val="none"/>
        </w:rPr>
        <w:t xml:space="preserve">配置1台液压动力站</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1台液压渣浆泵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设备齐全得1分，缺一不得分；</w:t>
      </w:r>
      <w:r>
        <w:rPr>
          <w:rFonts w:hint="eastAsia" w:ascii="宋体" w:hAnsi="宋体" w:cs="宋体"/>
          <w:b w:val="0"/>
          <w:bCs/>
          <w:color w:val="auto"/>
          <w:sz w:val="24"/>
          <w:highlight w:val="none"/>
        </w:rPr>
        <w:t xml:space="preserve">本项最高得</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w:t>
      </w:r>
      <w:r>
        <w:rPr>
          <w:rFonts w:hint="eastAsia" w:ascii="宋体" w:hAnsi="宋体" w:cs="宋体"/>
          <w:b w:val="0"/>
          <w:bCs/>
          <w:color w:val="auto"/>
          <w:sz w:val="24"/>
          <w:highlight w:val="none"/>
          <w:lang w:val="en-US" w:eastAsia="zh-CN"/>
        </w:rPr>
        <w:t xml:space="preserve">自有设备</w:t>
      </w:r>
      <w:r>
        <w:rPr>
          <w:rFonts w:hint="eastAsia" w:ascii="宋体" w:hAnsi="宋体" w:cs="宋体"/>
          <w:b w:val="0"/>
          <w:bCs/>
          <w:color w:val="auto"/>
          <w:sz w:val="24"/>
          <w:highlight w:val="none"/>
        </w:rPr>
        <w:t xml:space="preserve">提供发票（发票抬头必须与投标供应商名称一致）、</w:t>
      </w:r>
      <w:r>
        <w:rPr>
          <w:rFonts w:hint="eastAsia" w:ascii="宋体" w:hAnsi="宋体" w:cs="宋体"/>
          <w:b w:val="0"/>
          <w:bCs/>
          <w:color w:val="auto"/>
          <w:sz w:val="24"/>
          <w:highlight w:val="none"/>
          <w:lang w:val="en-US" w:eastAsia="zh-CN"/>
        </w:rPr>
        <w:t xml:space="preserve">设备</w:t>
      </w:r>
      <w:r>
        <w:rPr>
          <w:rFonts w:hint="eastAsia" w:ascii="宋体" w:hAnsi="宋体" w:cs="宋体"/>
          <w:b w:val="0"/>
          <w:bCs/>
          <w:color w:val="auto"/>
          <w:sz w:val="24"/>
          <w:highlight w:val="none"/>
        </w:rPr>
        <w:t xml:space="preserve">照片；</w:t>
      </w:r>
      <w:r>
        <w:rPr>
          <w:rFonts w:hint="eastAsia" w:ascii="宋体" w:hAnsi="宋体" w:cs="宋体"/>
          <w:b w:val="0"/>
          <w:bCs/>
          <w:color w:val="auto"/>
          <w:sz w:val="24"/>
          <w:highlight w:val="none"/>
          <w:lang w:val="en-US" w:eastAsia="zh-CN"/>
        </w:rPr>
        <w:t xml:space="preserve">租赁设备提供</w:t>
      </w:r>
      <w:r>
        <w:rPr>
          <w:rFonts w:hint="eastAsia" w:ascii="宋体" w:hAnsi="宋体" w:cs="宋体"/>
          <w:b w:val="0"/>
          <w:bCs/>
          <w:color w:val="auto"/>
          <w:sz w:val="24"/>
          <w:highlight w:val="none"/>
        </w:rPr>
        <w:t xml:space="preserve">发票（发票抬头必须与</w:t>
      </w:r>
      <w:r>
        <w:rPr>
          <w:rFonts w:hint="eastAsia" w:ascii="宋体" w:hAnsi="宋体" w:cs="宋体"/>
          <w:b w:val="0"/>
          <w:bCs/>
          <w:color w:val="auto"/>
          <w:sz w:val="24"/>
          <w:highlight w:val="none"/>
          <w:lang w:val="en-US" w:eastAsia="zh-CN"/>
        </w:rPr>
        <w:t xml:space="preserve">出租方</w:t>
      </w:r>
      <w:r>
        <w:rPr>
          <w:rFonts w:hint="eastAsia" w:ascii="宋体" w:hAnsi="宋体" w:cs="宋体"/>
          <w:b w:val="0"/>
          <w:bCs/>
          <w:color w:val="auto"/>
          <w:sz w:val="24"/>
          <w:highlight w:val="none"/>
        </w:rPr>
        <w:t xml:space="preserve">名称一致）、</w:t>
      </w:r>
      <w:r>
        <w:rPr>
          <w:rFonts w:hint="eastAsia" w:ascii="宋体" w:hAnsi="宋体" w:cs="宋体"/>
          <w:b w:val="0"/>
          <w:bCs/>
          <w:color w:val="auto"/>
          <w:sz w:val="24"/>
          <w:highlight w:val="none"/>
          <w:lang w:val="en-US" w:eastAsia="zh-CN"/>
        </w:rPr>
        <w:t xml:space="preserve">设备</w:t>
      </w:r>
      <w:r>
        <w:rPr>
          <w:rFonts w:hint="eastAsia" w:ascii="宋体" w:hAnsi="宋体" w:cs="宋体"/>
          <w:b w:val="0"/>
          <w:bCs/>
          <w:color w:val="auto"/>
          <w:sz w:val="24"/>
          <w:highlight w:val="none"/>
        </w:rPr>
        <w:t xml:space="preserve">照片</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租赁协议</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租赁发票</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提供以上证明材料</w:t>
      </w:r>
      <w:r>
        <w:rPr>
          <w:rFonts w:hint="eastAsia" w:ascii="宋体" w:hAnsi="宋体" w:cs="宋体"/>
          <w:b w:val="0"/>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（6）人员配备（12分）</w:t>
      </w:r>
      <w:r/>
    </w:p>
    <w:p>
      <w:pPr>
        <w:ind w:left="0" w:firstLine="480"/>
        <w:jc w:val="left"/>
        <w:keepLines w:val="0"/>
        <w:keepNext w:val="0"/>
        <w:pageBreakBefore w:val="0"/>
        <w:spacing w:line="360" w:lineRule="auto"/>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1）项目负责人：具有市政相关专业高级及以上职称证书得3分，中级工程师证书得1分；本项最高得3分。</w:t>
      </w:r>
      <w:r/>
    </w:p>
    <w:p>
      <w:pPr>
        <w:ind w:left="0" w:firstLine="480"/>
        <w:jc w:val="left"/>
        <w:keepLines w:val="0"/>
        <w:keepNext w:val="0"/>
        <w:pageBreakBefore w:val="0"/>
        <w:spacing w:line="360" w:lineRule="auto"/>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技术负责人：具有</w:t>
      </w:r>
      <w:r>
        <w:rPr>
          <w:rFonts w:hint="eastAsia" w:ascii="宋体" w:hAnsi="宋体" w:cs="宋体"/>
          <w:bCs/>
          <w:color w:val="auto"/>
          <w:sz w:val="24"/>
          <w:highlight w:val="none"/>
          <w:lang w:val="en-US" w:eastAsia="zh-CN"/>
        </w:rPr>
        <w:t xml:space="preserve">市政</w:t>
      </w:r>
      <w:r>
        <w:rPr>
          <w:rFonts w:hint="eastAsia" w:ascii="宋体" w:hAnsi="宋体" w:eastAsia="宋体" w:cs="宋体"/>
          <w:bCs/>
          <w:color w:val="auto"/>
          <w:sz w:val="24"/>
          <w:highlight w:val="none"/>
          <w:lang w:val="en-US" w:eastAsia="zh-CN"/>
        </w:rPr>
        <w:t xml:space="preserve">相关专业中级及以上职称证书</w:t>
      </w:r>
      <w:r>
        <w:rPr>
          <w:rFonts w:hint="eastAsia" w:ascii="宋体" w:hAnsi="宋体" w:cs="宋体"/>
          <w:bCs/>
          <w:color w:val="auto"/>
          <w:sz w:val="24"/>
          <w:highlight w:val="none"/>
          <w:lang w:val="en-US" w:eastAsia="zh-CN"/>
        </w:rPr>
        <w:t xml:space="preserve">得1分，本项最高得1分。</w:t>
      </w:r>
      <w:r/>
    </w:p>
    <w:p>
      <w:pPr>
        <w:ind w:left="0" w:firstLine="480"/>
        <w:jc w:val="left"/>
        <w:keepLines w:val="0"/>
        <w:keepNext w:val="0"/>
        <w:pageBreakBefore w:val="0"/>
        <w:spacing w:line="360" w:lineRule="auto"/>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项目组成员（不含项目负责人、技术负责人）：人员配备齐全（配备施工员，质量员，资料员，材料员，劳务员）的得2分，最高得2分，配备不全的不得分；具有市政工程潜水员证的（提供查询网址、查询截图）和有毒有害有限空间证书的，有1人得2分，最高得2分；具有CCTV检测证的，有1人得1分，最高得2分；具有高级下水道养护工的，有1人得0.5分，最高得2分；本项最高得8分。</w:t>
      </w:r>
      <w:r/>
    </w:p>
    <w:p>
      <w:pPr>
        <w:ind w:left="0" w:firstLine="48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bCs/>
          <w:color w:val="auto"/>
          <w:sz w:val="24"/>
          <w:highlight w:val="none"/>
        </w:rPr>
        <w:t xml:space="preserve">【</w:t>
      </w:r>
      <w:r>
        <w:rPr>
          <w:rFonts w:hint="eastAsia" w:ascii="宋体" w:hAnsi="宋体" w:eastAsia="宋体" w:cs="宋体"/>
          <w:b w:val="0"/>
          <w:bCs/>
          <w:color w:val="auto"/>
          <w:sz w:val="24"/>
          <w:highlight w:val="none"/>
          <w:lang w:val="en-US" w:eastAsia="zh-CN"/>
        </w:rPr>
        <w:t xml:space="preserve">以上同一人员的证书不重复得分，</w:t>
      </w:r>
      <w:r>
        <w:rPr>
          <w:rFonts w:hint="eastAsia" w:ascii="宋体" w:hAnsi="宋体" w:cs="宋体"/>
          <w:bCs/>
          <w:color w:val="auto"/>
          <w:sz w:val="24"/>
          <w:highlight w:val="none"/>
        </w:rPr>
        <w:t xml:space="preserve">提供以上所有人员的</w:t>
      </w:r>
      <w:r>
        <w:rPr>
          <w:rFonts w:hint="eastAsia" w:ascii="宋体" w:hAnsi="宋体" w:cs="宋体"/>
          <w:bCs/>
          <w:color w:val="auto"/>
          <w:sz w:val="24"/>
          <w:highlight w:val="none"/>
          <w:lang w:val="en-US" w:eastAsia="zh-CN"/>
        </w:rPr>
        <w:t xml:space="preserve">相关</w:t>
      </w:r>
      <w:r>
        <w:rPr>
          <w:rFonts w:hint="eastAsia" w:ascii="宋体" w:hAnsi="宋体" w:cs="宋体"/>
          <w:bCs/>
          <w:color w:val="auto"/>
          <w:sz w:val="24"/>
          <w:highlight w:val="none"/>
        </w:rPr>
        <w:t xml:space="preserve">证书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证明文件</w:t>
      </w:r>
      <w:r>
        <w:rPr>
          <w:rFonts w:hint="eastAsia" w:ascii="宋体" w:hAnsi="宋体" w:cs="宋体"/>
          <w:bCs/>
          <w:color w:val="auto"/>
          <w:sz w:val="24"/>
          <w:highlight w:val="none"/>
        </w:rPr>
        <w:t xml:space="preserve">及投标供应商为其缴纳的近一年中任意一个月份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的社保</w:t>
      </w:r>
      <w:r>
        <w:rPr>
          <w:rFonts w:hint="eastAsia" w:ascii="宋体" w:hAnsi="宋体" w:cs="宋体"/>
          <w:bCs/>
          <w:color w:val="auto"/>
          <w:sz w:val="24"/>
          <w:highlight w:val="none"/>
          <w:lang w:eastAsia="zh-CN"/>
        </w:rPr>
        <w:t xml:space="preserve">证明</w:t>
      </w:r>
      <w:r>
        <w:rPr>
          <w:rFonts w:hint="eastAsia" w:ascii="宋体" w:hAnsi="宋体" w:cs="宋体"/>
          <w:bCs/>
          <w:color w:val="auto"/>
          <w:sz w:val="24"/>
          <w:highlight w:val="none"/>
          <w:lang w:val="en-US" w:eastAsia="zh-CN"/>
        </w:rPr>
        <w:t xml:space="preserve">文件</w:t>
      </w:r>
      <w:r>
        <w:rPr>
          <w:rFonts w:hint="eastAsia" w:ascii="宋体" w:hAnsi="宋体" w:cs="宋体"/>
          <w:bCs/>
          <w:color w:val="auto"/>
          <w:sz w:val="24"/>
          <w:highlight w:val="none"/>
        </w:rPr>
        <w:t xml:space="preserve">扫描件上传至电子投标文件，未按要求提供不得分】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3.技术文件（</w:t>
      </w:r>
      <w:r>
        <w:rPr>
          <w:rFonts w:hint="eastAsia" w:ascii="宋体" w:hAnsi="宋体" w:cs="宋体"/>
          <w:b/>
          <w:bCs/>
          <w:color w:val="auto"/>
          <w:sz w:val="24"/>
          <w:szCs w:val="24"/>
          <w:highlight w:val="none"/>
          <w:lang w:val="en-US" w:eastAsia="zh-CN"/>
        </w:rPr>
        <w:t xml:space="preserve">40</w:t>
      </w:r>
      <w:r>
        <w:rPr>
          <w:rFonts w:hint="eastAsia" w:ascii="宋体" w:hAnsi="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管网养护方案（</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包括但不限于日常养护计划（清淤、维修），作业时间及实施细则，</w:t>
      </w:r>
      <w:r>
        <w:rPr>
          <w:rFonts w:hint="eastAsia" w:ascii="宋体" w:hAnsi="宋体" w:eastAsia="宋体" w:cs="宋体"/>
          <w:bCs/>
          <w:color w:val="auto"/>
          <w:sz w:val="24"/>
          <w:szCs w:val="24"/>
          <w:highlight w:val="none"/>
          <w:lang w:val="zh-TW" w:eastAsia="zh-CN"/>
        </w:rPr>
        <w:t xml:space="preserve">养护中产生的垃圾及淤泥安全处置方案</w:t>
      </w:r>
      <w:r>
        <w:rPr>
          <w:rFonts w:hint="eastAsia" w:ascii="宋体" w:hAnsi="宋体" w:cs="宋体"/>
          <w:bCs/>
          <w:color w:val="auto"/>
          <w:sz w:val="24"/>
          <w:szCs w:val="24"/>
          <w:highlight w:val="none"/>
          <w:lang w:val="en-US" w:eastAsia="zh-CN"/>
        </w:rPr>
        <w:t xml:space="preserve">等；</w:t>
      </w:r>
      <w:r>
        <w:rPr>
          <w:rFonts w:hint="eastAsia" w:ascii="宋体" w:hAnsi="宋体" w:cs="宋体"/>
          <w:bCs/>
          <w:color w:val="auto"/>
          <w:sz w:val="24"/>
          <w:szCs w:val="24"/>
          <w:highlight w:val="none"/>
        </w:rPr>
        <w:t xml:space="preserve">方案完整、科学、合理、全面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与采购需求贴合度高</w:t>
      </w:r>
      <w:r>
        <w:rPr>
          <w:rFonts w:hint="eastAsia" w:ascii="宋体" w:hAnsi="宋体" w:cs="宋体"/>
          <w:bCs/>
          <w:color w:val="auto"/>
          <w:sz w:val="24"/>
          <w:szCs w:val="24"/>
          <w:highlight w:val="none"/>
          <w:lang w:val="en-US" w:eastAsia="zh-CN"/>
        </w:rPr>
        <w:t xml:space="preserve">的</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分；方案较完整、科学、合理、但稍有缺陷的得</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方案简略、基本满足采购需求且有逻辑性的得4分</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方案</w:t>
      </w:r>
      <w:r>
        <w:rPr>
          <w:rFonts w:hint="eastAsia" w:ascii="宋体" w:hAnsi="宋体" w:cs="宋体"/>
          <w:bCs/>
          <w:color w:val="auto"/>
          <w:sz w:val="24"/>
          <w:szCs w:val="24"/>
          <w:highlight w:val="none"/>
        </w:rPr>
        <w:t xml:space="preserve">不能满足采购需求，或存在逻辑错误、前后矛盾，或存在违反现行相关规范的，该</w:t>
      </w:r>
      <w:r>
        <w:rPr>
          <w:rFonts w:hint="eastAsia" w:ascii="宋体" w:hAnsi="宋体" w:cs="宋体"/>
          <w:bCs/>
          <w:color w:val="auto"/>
          <w:sz w:val="24"/>
          <w:szCs w:val="24"/>
          <w:highlight w:val="none"/>
          <w:lang w:val="en-US" w:eastAsia="zh-CN"/>
        </w:rPr>
        <w:t xml:space="preserve">项</w:t>
      </w:r>
      <w:r>
        <w:rPr>
          <w:rFonts w:hint="eastAsia" w:ascii="宋体" w:hAnsi="宋体" w:cs="宋体"/>
          <w:bCs/>
          <w:color w:val="auto"/>
          <w:sz w:val="24"/>
          <w:szCs w:val="24"/>
          <w:highlight w:val="none"/>
        </w:rPr>
        <w:t xml:space="preserve">不得分。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（2）养护应急处置方案（</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包括但不限于污水外溢，管道沉降损坏，污水泵站停产</w:t>
      </w:r>
      <w:r>
        <w:rPr>
          <w:rFonts w:hint="eastAsia" w:ascii="宋体" w:hAnsi="宋体" w:cs="宋体"/>
          <w:bCs/>
          <w:color w:val="auto"/>
          <w:sz w:val="24"/>
          <w:szCs w:val="24"/>
          <w:highlight w:val="none"/>
        </w:rPr>
        <w:t xml:space="preserve">等各类应急处理方案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方案完整、科学、合理、全面，与采购需求贴合度高</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eastAsia="zh-CN"/>
        </w:rPr>
        <w:t xml:space="preserve">得</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分；方案较完整、科学、合理、但稍有缺陷的得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lang w:val="en-US" w:eastAsia="zh-CN"/>
        </w:rPr>
        <w:t xml:space="preserve">方案简略、基本满足采购需求且有逻辑性的得3分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lang w:eastAsia="zh-CN"/>
        </w:rPr>
        <w:t xml:space="preserve">不能满足采购需求，或存在逻辑错误、前后矛盾，或存在违反现行相关规范的，该</w:t>
      </w:r>
      <w:r>
        <w:rPr>
          <w:rFonts w:hint="eastAsia" w:ascii="宋体" w:hAnsi="宋体" w:eastAsia="宋体" w:cs="宋体"/>
          <w:bCs/>
          <w:color w:val="auto"/>
          <w:sz w:val="24"/>
          <w:szCs w:val="24"/>
          <w:highlight w:val="none"/>
          <w:lang w:val="en-US" w:eastAsia="zh-CN"/>
        </w:rPr>
        <w:t xml:space="preserve">项</w:t>
      </w:r>
      <w:r>
        <w:rPr>
          <w:rFonts w:hint="eastAsia" w:ascii="宋体" w:hAnsi="宋体" w:eastAsia="宋体" w:cs="宋体"/>
          <w:bCs/>
          <w:color w:val="auto"/>
          <w:sz w:val="24"/>
          <w:szCs w:val="24"/>
          <w:highlight w:val="none"/>
          <w:lang w:eastAsia="zh-CN"/>
        </w:rPr>
        <w:t xml:space="preserve">不得分。</w:t>
      </w:r>
      <w:r/>
    </w:p>
    <w:p>
      <w:pPr>
        <w:ind w:left="0"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安全文明管理保障措施（</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包括但不限于正常营运及养护作业时和发生事故时的交通组织和安全防护</w:t>
      </w:r>
      <w:bookmarkStart w:id="8" w:name="_GoBack"/>
      <w:r/>
      <w:bookmarkEnd w:id="8"/>
      <w:r>
        <w:rPr>
          <w:rFonts w:hint="eastAsia" w:ascii="宋体" w:hAnsi="宋体" w:cs="宋体"/>
          <w:bCs/>
          <w:color w:val="auto"/>
          <w:sz w:val="24"/>
          <w:szCs w:val="24"/>
          <w:highlight w:val="none"/>
          <w:lang w:val="en-US" w:eastAsia="zh-CN"/>
        </w:rPr>
        <w:t xml:space="preserve">措施等；措施完整、科学、合理、全面，与采购需求贴合度高的得9分；措施较完整、科学、合理、但稍有缺陷的得6分；措施简略、基本满足采购需求且有逻辑性的得3分；措施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4）</w:t>
      </w:r>
      <w:r>
        <w:rPr>
          <w:rFonts w:hint="eastAsia" w:ascii="宋体" w:hAnsi="宋体" w:eastAsia="宋体" w:cs="宋体"/>
          <w:bCs/>
          <w:color w:val="auto"/>
          <w:sz w:val="24"/>
          <w:szCs w:val="24"/>
          <w:highlight w:val="none"/>
          <w:lang w:val="zh-TW"/>
        </w:rPr>
        <w:t xml:space="preserve">内部管理方案</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包括但不限于安全生产管理，工具和材料管理，员工管理，档案管理，财务管理，考核奖惩管理等制度；制度完整、科学、合理、全面，与采购需求贴合度高的得8分；制度较完整、科学、合理、但稍有缺陷的得6分；制度简略、基本满足采购需求且有逻辑性的得3分；制度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）进退场交接方案、其他服务承诺</w:t>
      </w:r>
      <w:r>
        <w:rPr>
          <w:rFonts w:hint="eastAsia" w:ascii="宋体" w:hAnsi="宋体" w:cs="宋体"/>
          <w:bCs/>
          <w:color w:val="auto"/>
          <w:sz w:val="24"/>
          <w:szCs w:val="24"/>
          <w:highlight w:val="none"/>
        </w:rPr>
        <w:t xml:space="preserve">及响应措施（</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方案</w:t>
      </w:r>
      <w:r>
        <w:rPr>
          <w:rFonts w:hint="eastAsia" w:ascii="宋体" w:hAnsi="宋体" w:cs="宋体"/>
          <w:bCs/>
          <w:color w:val="auto"/>
          <w:sz w:val="24"/>
          <w:szCs w:val="24"/>
          <w:highlight w:val="none"/>
        </w:rPr>
        <w:t xml:space="preserve">科学合理、响应时间迅速，服务承诺优秀的得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方案</w:t>
      </w:r>
      <w:r>
        <w:rPr>
          <w:rFonts w:hint="eastAsia" w:ascii="宋体" w:hAnsi="宋体" w:cs="宋体"/>
          <w:bCs/>
          <w:color w:val="auto"/>
          <w:sz w:val="24"/>
          <w:szCs w:val="24"/>
          <w:highlight w:val="none"/>
        </w:rPr>
        <w:t xml:space="preserve">较科学合理、响应时间稍差，服务承诺一般的得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方案</w:t>
      </w:r>
      <w:r>
        <w:rPr>
          <w:rFonts w:hint="eastAsia" w:ascii="宋体" w:hAnsi="宋体" w:cs="宋体"/>
          <w:bCs/>
          <w:color w:val="auto"/>
          <w:sz w:val="24"/>
          <w:szCs w:val="24"/>
          <w:highlight w:val="none"/>
        </w:rPr>
        <w:t xml:space="preserve">基本科学合理、响应时间较慢，服务承诺较差的得1分；未提供不得分。</w:t>
      </w:r>
      <w:r/>
    </w:p>
    <w:p>
      <w:pPr>
        <w:ind w:left="0" w:firstLine="482"/>
        <w:jc w:val="left"/>
        <w:keepLines w:val="0"/>
        <w:keepNext w:val="0"/>
        <w:pageBreakBefore w:val="0"/>
        <w:spacing w:line="360" w:lineRule="auto"/>
        <w:widowControl w:val="off"/>
        <w:tabs>
          <w:tab w:val="left" w:pos="1401" w:leader="none"/>
        </w:tabs>
        <w:rPr>
          <w:rFonts w:ascii="黑体" w:eastAsia="黑体"/>
          <w:bCs/>
          <w:color w:val="auto"/>
          <w:sz w:val="24"/>
          <w:szCs w:val="24"/>
          <w:highlight w:val="none"/>
        </w:rPr>
      </w:pPr>
      <w:r>
        <w:rPr>
          <w:rFonts w:hint="eastAsia" w:ascii="宋体" w:hAnsi="宋体" w:cs="宋体"/>
          <w:b/>
          <w:bCs/>
          <w:color w:val="auto"/>
          <w:sz w:val="24"/>
          <w:szCs w:val="24"/>
          <w:highlight w:val="none"/>
          <w:shd w:val="clear" w:color="auto" w:fill="ffffff"/>
        </w:rPr>
        <w:t xml:space="preserve">未列入本评分细则的其他条件不作为评分内容。</w:t>
      </w: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735"/>
        <w:rPr>
          <w:rFonts w:ascii="黑体" w:eastAsia="黑体"/>
          <w:bCs/>
          <w:color w:val="auto"/>
          <w:sz w:val="32"/>
          <w:highlight w:val="none"/>
        </w:rPr>
      </w:pPr>
      <w:r>
        <w:rPr>
          <w:rFonts w:ascii="黑体" w:eastAsia="黑体"/>
          <w:bCs/>
          <w:color w:val="auto"/>
          <w:sz w:val="32"/>
          <w:highlight w:val="none"/>
        </w:rPr>
      </w:r>
      <w:r/>
    </w:p>
    <w:p>
      <w:pPr>
        <w:pStyle w:val="735"/>
        <w:rPr>
          <w:rFonts w:ascii="黑体" w:eastAsia="黑体"/>
          <w:bCs/>
          <w:color w:val="auto"/>
          <w:sz w:val="32"/>
          <w:highlight w:val="none"/>
        </w:rPr>
      </w:pPr>
      <w:r>
        <w:rPr>
          <w:rFonts w:ascii="黑体" w:eastAsia="黑体"/>
          <w:bCs/>
          <w:color w:val="auto"/>
          <w:sz w:val="32"/>
          <w:highlight w:val="none"/>
        </w:rPr>
      </w:r>
      <w:r/>
    </w:p>
    <w:p>
      <w:pPr>
        <w:pStyle w:val="735"/>
        <w:rPr>
          <w:rFonts w:ascii="黑体" w:eastAsia="黑体"/>
          <w:bCs/>
          <w:color w:val="auto"/>
          <w:sz w:val="32"/>
          <w:highlight w:val="none"/>
        </w:rPr>
      </w:pPr>
      <w:r>
        <w:rPr>
          <w:rFonts w:ascii="黑体" w:eastAsia="黑体"/>
          <w:bCs/>
          <w:color w:val="auto"/>
          <w:sz w:val="32"/>
          <w:highlight w:val="none"/>
        </w:rPr>
      </w:r>
      <w:r/>
    </w:p>
    <w:p>
      <w:pPr>
        <w:pStyle w:val="735"/>
        <w:rPr>
          <w:rFonts w:ascii="黑体" w:eastAsia="黑体"/>
          <w:bCs/>
          <w:color w:val="auto"/>
          <w:sz w:val="32"/>
          <w:highlight w:val="none"/>
        </w:rPr>
      </w:pPr>
      <w:r>
        <w:rPr>
          <w:rFonts w:ascii="黑体" w:eastAsia="黑体"/>
          <w:bCs/>
          <w:color w:val="auto"/>
          <w:sz w:val="32"/>
          <w:highlight w:val="none"/>
        </w:rPr>
      </w:r>
      <w:r/>
    </w:p>
    <w:p>
      <w:pPr>
        <w:pStyle w:val="735"/>
        <w:rPr>
          <w:rFonts w:ascii="黑体" w:eastAsia="黑体"/>
          <w:bCs/>
          <w:color w:val="auto"/>
          <w:sz w:val="32"/>
          <w:highlight w:val="none"/>
        </w:rPr>
      </w:pPr>
      <w:r>
        <w:rPr>
          <w:rFonts w:ascii="黑体" w:eastAsia="黑体"/>
          <w:bCs/>
          <w:color w:val="auto"/>
          <w:sz w:val="32"/>
          <w:highlight w:val="none"/>
        </w:rPr>
      </w:r>
      <w:r/>
    </w:p>
    <w:p>
      <w:pPr>
        <w:pStyle w:val="735"/>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JSZC-320214-JSZH-G2025-0027</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2025-2027年度叙康里、叙成里、叙丰里、景南苑、广南里、锦江苑六个区本级老小区雨污水管网养护服务项目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二○二</w:t>
      </w:r>
      <w:r>
        <w:rPr>
          <w:rFonts w:hint="eastAsia" w:ascii="黑体" w:eastAsia="黑体"/>
          <w:bCs/>
          <w:color w:val="auto"/>
          <w:sz w:val="36"/>
          <w:szCs w:val="36"/>
          <w:highlight w:val="none"/>
          <w:lang w:val="en-US" w:eastAsia="zh-CN"/>
        </w:rPr>
        <w:t xml:space="preserve">五</w:t>
      </w:r>
      <w:r>
        <w:rPr>
          <w:rFonts w:hint="eastAsia" w:ascii="黑体" w:eastAsia="黑体"/>
          <w:bCs/>
          <w:color w:val="auto"/>
          <w:sz w:val="36"/>
          <w:szCs w:val="36"/>
          <w:highlight w:val="none"/>
        </w:rPr>
        <w:t xml:space="preserve">年</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月</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6" w:name="一．报价函（格式）"/>
      <w:r/>
      <w:bookmarkEnd w:id="6"/>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致无锡市新吴区人民政府江溪街道办事处：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JSZC-320214-JSZH-G2025-0027</w:t>
      </w:r>
      <w:r>
        <w:rPr>
          <w:rFonts w:hint="eastAsia" w:ascii="宋体" w:hAnsi="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14"/>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9"/>
      </w:pPr>
      <w:r/>
      <w:bookmarkStart w:id="7" w:name="报价方关于资格的声明函（格式）"/>
      <w:r/>
      <w:bookmarkEnd w:id="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无锡市新吴区人民政府江溪街道办事处：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JSZC-320214-JSZH-G2025-0027</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JSZC-320214-JSZH-G2025-0027</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无锡市新吴区人民政府江溪街道办事处：</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JSZC-320214-JSZH-G2025-0027</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性别：</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9"/>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9"/>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outlineLvl w:val="9"/>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JSZC-320214-JSZH-G2025-0027</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JSZC-320214-JSZH-G2025-0027</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15"/>
          <w:rFonts w:hint="eastAsia" w:ascii="宋体" w:hAnsi="宋体"/>
          <w:bCs/>
          <w:color w:val="auto"/>
          <w:sz w:val="24"/>
          <w:szCs w:val="24"/>
          <w:highlight w:val="none"/>
        </w:rPr>
        <w:t xml:space="preserve">www.creditchina.gov.cn</w:t>
      </w:r>
      <w:r>
        <w:rPr>
          <w:rStyle w:val="715"/>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jc w:val="left"/>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投标人名称（盖章）采购项目编号：</w:t>
      </w:r>
      <w:r>
        <w:rPr>
          <w:rFonts w:hint="eastAsia" w:ascii="黑体" w:eastAsia="黑体"/>
          <w:bCs/>
          <w:color w:val="auto"/>
          <w:sz w:val="24"/>
          <w:szCs w:val="24"/>
          <w:highlight w:val="none"/>
          <w:lang w:eastAsia="zh-CN"/>
        </w:rPr>
        <w:t xml:space="preserve">JSZC-320214-JSZH-G2025-0027</w:t>
      </w:r>
      <w:r/>
    </w:p>
    <w:tbl>
      <w:tblPr>
        <w:tblStyle w:val="675"/>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1"/>
        <w:gridCol w:w="6109"/>
      </w:tblGrid>
      <w:tr>
        <w:trPr>
          <w:cantSplit/>
          <w:jc w:val="center"/>
          <w:trHeight w:val="567"/>
        </w:trPr>
        <w:tc>
          <w:tcPr>
            <w:tcW w:w="397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10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71" w:type="dxa"/>
            <w:vAlign w:val="center"/>
            <w:textDirection w:val="lrTb"/>
            <w:noWrap/>
          </w:tcPr>
          <w:p>
            <w:pPr>
              <w:pStyle w:val="926"/>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2025-2027年度叙康里、叙成里、叙丰里、景南苑、广南里、锦江苑六个区本级老小区雨污水管网养护服务项目</w:t>
            </w:r>
            <w:r/>
          </w:p>
        </w:tc>
        <w:tc>
          <w:tcPr>
            <w:tcW w:w="6109" w:type="dxa"/>
            <w:vAlign w:val="center"/>
            <w:textDirection w:val="lrTb"/>
            <w:noWrap/>
          </w:tcPr>
          <w:p>
            <w:pPr>
              <w:pStyle w:val="926"/>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lang w:val="en-US" w:eastAsia="zh-CN"/>
              </w:rPr>
              <w:t xml:space="preserve">             </w:t>
            </w:r>
            <w:r>
              <w:rPr>
                <w:rFonts w:hint="eastAsia" w:hAnsi="宋体"/>
                <w:bCs/>
                <w:color w:val="auto"/>
                <w:szCs w:val="24"/>
                <w:highlight w:val="none"/>
              </w:rPr>
              <w:t xml:space="preserve">元</w:t>
            </w:r>
            <w:r/>
          </w:p>
          <w:p>
            <w:pPr>
              <w:pStyle w:val="926"/>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JSZC-320214-JSZH-G2025-0027</w:t>
      </w:r>
      <w:r/>
    </w:p>
    <w:tbl>
      <w:tblPr>
        <w:tblStyle w:val="675"/>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454"/>
        <w:gridCol w:w="1246"/>
        <w:gridCol w:w="3233"/>
        <w:gridCol w:w="550"/>
        <w:gridCol w:w="984"/>
        <w:gridCol w:w="1050"/>
        <w:gridCol w:w="1116"/>
        <w:gridCol w:w="1322"/>
      </w:tblGrid>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编号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单价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总价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gridSpan w:val="4"/>
            <w:shd w:val="clear" w:color="auto" w:fill="ffffff" w:themeFill="background1"/>
            <w:tcBorders>
              <w:top w:val="single" w:color="000000" w:sz="4" w:space="0"/>
              <w:left w:val="single" w:color="000000" w:sz="4" w:space="0"/>
              <w:bottom w:val="single" w:color="000000" w:sz="4" w:space="0"/>
              <w:right w:val="none" w:color="000000" w:sz="4" w:space="0"/>
            </w:tcBorders>
            <w:tcW w:w="3020"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叙康里、叙成里、叙丰里、景南苑、广南里、锦江苑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雨水管网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46244.6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养护范围内管道每年冲洗不小于2次，管道堵塞随时清理、疏通，确保管道运行正常。</w:t>
            </w:r>
            <w:r/>
          </w:p>
        </w:tc>
      </w:tr>
      <w:tr>
        <w:trPr>
          <w:jc w:val="center"/>
          <w:trHeight w:val="8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污水管网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37835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jc w:val="center"/>
          <w:trHeight w:val="68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2、工作内容：化粪池内粪便、杂物等清掏，化粪池内壁冲洗及污水抽排等；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化粪池清掏、冲洗等养护每年不少于两次。</w:t>
            </w:r>
            <w:r/>
          </w:p>
        </w:tc>
      </w:tr>
      <w:tr>
        <w:trPr>
          <w:jc w:val="center"/>
          <w:trHeight w:val="67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淤泥处置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符合环保要求</w:t>
            </w:r>
            <w:r/>
          </w:p>
        </w:tc>
      </w:tr>
      <w:tr>
        <w:trPr>
          <w:jc w:val="cente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1-5项小计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街道道路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苏石路（井亭东路-太湖大道）、坊兴路（向阳路-金城东路）、农丰工业园（园区道路）、坊和路（坊广路-锡山大道）、春阳东路（312国道-印刷厂）、坊前路（春华路-312国道）、坊育路（坊前路-泰伯大道）、坊明路（新光路-泰伯大道）、新芳路（坊前路-泰伯大道）、前卫路（叙康里小区内部）养护范围内所有污水主管道及配套检查井，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jc w:val="cente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1、范围：养护范围内所有污水检查井，不同型号尺寸井盖综合考虑；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jc w:val="cente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7-8项小计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年度养护费用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6+9项总计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应急排查及抢修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包含管网临时封堵、翻水、应急排查、检测，疏通及小范围应急管网修复等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100000元，此项不可竞争</w:t>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28"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第【三】项年度费用×2年+第【四】项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677"/>
        <w:ind w:firstLine="480"/>
        <w:rPr>
          <w:rFonts w:ascii="宋体" w:hAnsi="宋体"/>
          <w:color w:val="auto"/>
          <w:sz w:val="24"/>
          <w:highlight w:val="none"/>
        </w:rPr>
      </w:pPr>
      <w:r>
        <w:rPr>
          <w:rFonts w:ascii="宋体" w:hAnsi="宋体"/>
          <w:color w:val="auto"/>
          <w:sz w:val="24"/>
          <w:highlight w:val="none"/>
        </w:rPr>
      </w:r>
      <w:r/>
    </w:p>
    <w:p>
      <w:pPr>
        <w:pStyle w:val="677"/>
        <w:ind w:firstLine="480"/>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单价为全费用综合单价，即包含直接费、措施费、管理费、规费、利润和税金。相关的（临时设施费、包干费、夜间施工增加费、冬雨季施工增加费、已完工程及设备保护费、赶工措施费、按质论价费）</w:t>
      </w:r>
      <w:r>
        <w:rPr>
          <w:rFonts w:hint="eastAsia" w:ascii="宋体" w:hAnsi="宋体"/>
          <w:color w:val="auto"/>
          <w:sz w:val="24"/>
          <w:highlight w:val="none"/>
          <w:lang w:eastAsia="zh-CN"/>
        </w:rPr>
        <w:t xml:space="preserve">不再另行</w:t>
      </w:r>
      <w:r>
        <w:rPr>
          <w:rFonts w:hint="eastAsia" w:ascii="宋体" w:hAnsi="宋体"/>
          <w:color w:val="auto"/>
          <w:sz w:val="24"/>
          <w:highlight w:val="none"/>
        </w:rPr>
        <w:t xml:space="preserve">计取。</w:t>
      </w:r>
      <w:r/>
    </w:p>
    <w:p>
      <w:pPr>
        <w:pStyle w:val="677"/>
        <w:ind w:firstLine="480"/>
        <w:rPr>
          <w:rFonts w:hint="eastAsia" w:ascii="宋体" w:hAnsi="宋体"/>
          <w:color w:val="auto"/>
          <w:sz w:val="24"/>
          <w:highlight w:val="none"/>
        </w:rPr>
      </w:pPr>
      <w:r>
        <w:rPr>
          <w:rFonts w:hint="eastAsia" w:ascii="宋体" w:hAnsi="宋体"/>
          <w:color w:val="auto"/>
          <w:sz w:val="24"/>
          <w:highlight w:val="none"/>
        </w:rPr>
        <w:t xml:space="preserve">2、应急排查及抢修为不可竞争数值，该项费用在项目服务过程中，超过中标价格按中标价结算，不超中标价按实结算。</w:t>
      </w:r>
      <w:r/>
    </w:p>
    <w:p>
      <w:pPr>
        <w:pStyle w:val="677"/>
        <w:ind w:firstLine="480"/>
        <w:rPr>
          <w:rFonts w:ascii="宋体" w:hAnsi="宋体"/>
          <w:color w:val="auto"/>
          <w:sz w:val="24"/>
          <w:highlight w:val="none"/>
        </w:rPr>
      </w:pPr>
      <w:r>
        <w:rPr>
          <w:rFonts w:hint="eastAsia" w:ascii="宋体" w:hAnsi="宋体"/>
          <w:color w:val="auto"/>
          <w:sz w:val="24"/>
          <w:highlight w:val="none"/>
        </w:rPr>
        <w:t xml:space="preserve">3、合同养护期间，人工费、材料费等均不再进行调整；投标人所报综合单价必须考虑措施费用等一切费用。</w:t>
      </w:r>
      <w:r/>
    </w:p>
    <w:p>
      <w:pPr>
        <w:pStyle w:val="677"/>
        <w:ind w:firstLine="480"/>
        <w:rPr>
          <w:rFonts w:ascii="宋体" w:hAnsi="宋体"/>
          <w:color w:val="auto"/>
          <w:sz w:val="24"/>
          <w:highlight w:val="none"/>
        </w:rPr>
      </w:pPr>
      <w:r>
        <w:rPr>
          <w:rFonts w:ascii="宋体" w:hAnsi="宋体"/>
          <w:color w:val="auto"/>
          <w:sz w:val="24"/>
          <w:highlight w:val="none"/>
        </w:rPr>
      </w:r>
      <w:r/>
    </w:p>
    <w:p>
      <w:pPr>
        <w:pStyle w:val="677"/>
        <w:ind w:firstLine="480"/>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spacing w:line="480" w:lineRule="auto"/>
        <w:rPr>
          <w:rFonts w:ascii="黑体" w:eastAsia="黑体"/>
          <w:bCs/>
          <w:color w:val="auto"/>
          <w:sz w:val="28"/>
          <w:szCs w:val="28"/>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JSZC-320214-JSZH-G2025-0027</w:t>
      </w:r>
      <w:r/>
    </w:p>
    <w:tbl>
      <w:tblPr>
        <w:tblStyle w:val="675"/>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ascii="宋体" w:hAnsi="宋体"/>
          <w:bCs/>
          <w:color w:val="auto"/>
          <w:sz w:val="24"/>
          <w:szCs w:val="24"/>
          <w:highlight w:val="none"/>
        </w:rPr>
        <w:outlineLvl w:val="9"/>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ind w:firstLine="480"/>
        <w:rPr>
          <w:rFonts w:ascii="宋体"/>
          <w:bCs/>
          <w:color w:val="auto"/>
          <w:sz w:val="24"/>
          <w:szCs w:val="24"/>
          <w:highlight w:val="none"/>
        </w:rPr>
        <w:outlineLvl w:val="9"/>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707"/>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注：上表可自行延长。</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项目负责人简历表</w:t>
      </w:r>
      <w:r/>
    </w:p>
    <w:p>
      <w:pPr>
        <w:pStyle w:val="927"/>
        <w:rPr>
          <w:rFonts w:hint="eastAsia" w:ascii="黑体" w:eastAsia="黑体"/>
          <w:bCs w:val="0"/>
          <w:color w:val="auto"/>
          <w:highlight w:val="none"/>
        </w:rPr>
      </w:pPr>
      <w:r>
        <w:rPr>
          <w:rFonts w:hint="eastAsia" w:ascii="黑体" w:eastAsia="黑体"/>
          <w:bCs w:val="0"/>
          <w:color w:val="auto"/>
          <w:highlight w:val="none"/>
        </w:rPr>
      </w:r>
      <w:r/>
    </w:p>
    <w:p>
      <w:pPr>
        <w:pStyle w:val="927"/>
        <w:rPr>
          <w:rFonts w:ascii="黑体" w:eastAsia="黑体"/>
          <w:bCs w:val="0"/>
          <w:color w:val="auto"/>
          <w:highlight w:val="none"/>
        </w:rPr>
      </w:pPr>
      <w:r>
        <w:rPr>
          <w:rFonts w:hint="eastAsia" w:ascii="黑体" w:eastAsia="黑体"/>
          <w:bCs w:val="0"/>
          <w:color w:val="auto"/>
          <w:highlight w:val="none"/>
        </w:rPr>
        <w:t xml:space="preserve">投标供应商名称（盖章）                             采购项目编号：JSZHCG2023-016 </w:t>
      </w:r>
      <w:r/>
    </w:p>
    <w:tbl>
      <w:tblPr>
        <w:tblStyle w:val="67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677"/>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677"/>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677"/>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677"/>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677"/>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677"/>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677"/>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677"/>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677"/>
              <w:ind w:firstLine="480"/>
              <w:jc w:val="center"/>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677"/>
              <w:ind w:firstLine="48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677"/>
              <w:ind w:firstLine="48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677"/>
              <w:ind w:firstLine="48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677"/>
              <w:ind w:firstLine="48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677"/>
              <w:ind w:firstLine="48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outlineLvl w:val="9"/>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outlineLvl w:val="9"/>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注：请附身份证、相关资格证明</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如有</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677"/>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677"/>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677"/>
              <w:ind w:firstLine="96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677"/>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677"/>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年12月资产总额</w:t>
            </w:r>
            <w:r/>
          </w:p>
        </w:tc>
        <w:tc>
          <w:tcPr>
            <w:tcW w:w="21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万元</w:t>
            </w:r>
            <w:r/>
          </w:p>
        </w:tc>
        <w:tc>
          <w:tcPr>
            <w:gridSpan w:val="2"/>
            <w:tcW w:w="1906"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677"/>
              <w:ind w:firstLine="7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年12月股东权益</w:t>
            </w:r>
            <w:r/>
          </w:p>
        </w:tc>
        <w:tc>
          <w:tcPr>
            <w:tcW w:w="21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万元</w:t>
            </w:r>
            <w:r/>
          </w:p>
        </w:tc>
        <w:tc>
          <w:tcPr>
            <w:gridSpan w:val="2"/>
            <w:tcW w:w="1906"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677"/>
              <w:ind w:firstLine="7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年实现利润</w:t>
            </w:r>
            <w:r/>
          </w:p>
        </w:tc>
        <w:tc>
          <w:tcPr>
            <w:tcW w:w="2110" w:type="dxa"/>
            <w:textDirection w:val="lrTb"/>
            <w:noWrap/>
          </w:tcPr>
          <w:p>
            <w:pPr>
              <w:pStyle w:val="677"/>
              <w:ind w:firstLine="7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677"/>
              <w:ind w:firstLine="72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ascii="宋体" w:hAnsi="宋体"/>
                <w:color w:val="auto"/>
                <w:sz w:val="24"/>
                <w:highlight w:val="none"/>
              </w:rPr>
              <w:t xml:space="preserve">或是其他原因被投诉或起诉的情况及说明</w:t>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677"/>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677"/>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677"/>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黑体" w:hAnsi="宋体" w:eastAsia="黑体"/>
          <w:bCs/>
          <w:color w:val="auto"/>
          <w:sz w:val="24"/>
          <w:szCs w:val="24"/>
          <w:highlight w:val="none"/>
        </w:rPr>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25"/>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925"/>
        <w:ind w:firstLine="0"/>
        <w:rPr>
          <w:color w:val="auto"/>
          <w:sz w:val="24"/>
          <w:highlight w:val="none"/>
        </w:rPr>
      </w:pPr>
      <w:r>
        <w:rPr>
          <w:color w:val="auto"/>
          <w:sz w:val="24"/>
          <w:highlight w:val="none"/>
        </w:rPr>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Arial">
    <w:panose1 w:val="020B060402020202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ind w:left="4680" w:hanging="4680"/>
      <w:jc w:val="left"/>
    </w:pPr>
    <w:r>
      <w:rPr>
        <w:rFonts w:hint="eastAsia" w:ascii="宋体" w:hAnsi="宋体"/>
        <w:lang w:eastAsia="zh-CN"/>
      </w:rPr>
      <w:t xml:space="preserve">JSZC-320214-JSZH-G2025-0027</w:t>
    </w:r>
    <w:r>
      <w:rPr>
        <w:rFonts w:hint="eastAsia" w:ascii="宋体" w:hAnsi="宋体"/>
        <w:lang w:val="en-US" w:eastAsia="zh-CN"/>
      </w:rPr>
      <w:t xml:space="preserve">                        </w:t>
    </w:r>
    <w:r>
      <w:rPr>
        <w:rFonts w:hint="eastAsia" w:ascii="宋体" w:hAnsi="宋体"/>
        <w:lang w:eastAsia="zh-CN"/>
      </w:rPr>
      <w:t xml:space="preserve">2025-2027年度叙康里、叙成里、叙丰里、景南苑、广南里、锦江苑六个区本级老小区雨污水管网养护服务项目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Pr>
        <w:rFonts w:hint="eastAsia" w:ascii="宋体" w:hAnsi="宋体"/>
        <w:lang w:eastAsia="zh-CN"/>
      </w:rPr>
      <w:t xml:space="preserve">JSZC-320214-JSZH-G2025-00272025-2027年度叙康里、叙成里、叙丰里、景南苑、广南里、锦江苑六个区本级老小区雨污水管网养护服务项目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69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67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69">
    <w:name w:val="Heading 1"/>
    <w:basedOn w:val="668"/>
    <w:next w:val="668"/>
    <w:link w:val="895"/>
    <w:uiPriority w:val="99"/>
    <w:qFormat/>
    <w:pPr>
      <w:jc w:val="center"/>
      <w:keepNext/>
      <w:outlineLvl w:val="0"/>
    </w:pPr>
    <w:rPr>
      <w:rFonts w:ascii="楷体_GB2312" w:eastAsia="楷体_GB2312"/>
      <w:b/>
      <w:sz w:val="28"/>
    </w:rPr>
  </w:style>
  <w:style w:type="paragraph" w:styleId="670">
    <w:name w:val="Heading 2"/>
    <w:basedOn w:val="668"/>
    <w:next w:val="668"/>
    <w:link w:val="896"/>
    <w:uiPriority w:val="99"/>
    <w:qFormat/>
    <w:pPr>
      <w:jc w:val="center"/>
      <w:keepNext/>
      <w:outlineLvl w:val="1"/>
    </w:pPr>
    <w:rPr>
      <w:rFonts w:ascii="楷体_GB2312" w:eastAsia="楷体_GB2312"/>
      <w:b/>
      <w:bCs/>
      <w:sz w:val="18"/>
    </w:rPr>
  </w:style>
  <w:style w:type="paragraph" w:styleId="671">
    <w:name w:val="Heading 3"/>
    <w:basedOn w:val="668"/>
    <w:next w:val="668"/>
    <w:link w:val="897"/>
    <w:uiPriority w:val="99"/>
    <w:qFormat/>
    <w:pPr>
      <w:jc w:val="center"/>
      <w:keepNext/>
      <w:outlineLvl w:val="2"/>
    </w:pPr>
    <w:rPr>
      <w:rFonts w:eastAsia="楷体_GB2312"/>
      <w:b/>
      <w:bCs/>
      <w:sz w:val="15"/>
    </w:rPr>
  </w:style>
  <w:style w:type="paragraph" w:styleId="672">
    <w:name w:val="Heading 4"/>
    <w:basedOn w:val="668"/>
    <w:next w:val="668"/>
    <w:link w:val="898"/>
    <w:uiPriority w:val="99"/>
    <w:qFormat/>
    <w:pPr>
      <w:jc w:val="center"/>
      <w:keepNext/>
      <w:outlineLvl w:val="3"/>
    </w:pPr>
    <w:rPr>
      <w:rFonts w:eastAsia="楷体_GB2312"/>
      <w:b/>
      <w:bCs/>
      <w:sz w:val="13"/>
    </w:rPr>
  </w:style>
  <w:style w:type="paragraph" w:styleId="673">
    <w:name w:val="Heading 5"/>
    <w:basedOn w:val="668"/>
    <w:next w:val="668"/>
    <w:link w:val="899"/>
    <w:uiPriority w:val="99"/>
    <w:qFormat/>
    <w:pPr>
      <w:numPr>
        <w:ilvl w:val="0"/>
        <w:numId w:val="1"/>
      </w:numPr>
      <w:keepNext/>
      <w:outlineLvl w:val="4"/>
    </w:pPr>
    <w:rPr>
      <w:rFonts w:ascii="楷体_GB2312" w:eastAsia="楷体_GB2312"/>
      <w:bCs/>
      <w:sz w:val="28"/>
    </w:rPr>
  </w:style>
  <w:style w:type="character" w:styleId="674" w:default="1">
    <w:name w:val="Default Paragraph Font"/>
    <w:uiPriority w:val="1"/>
    <w:qFormat/>
  </w:style>
  <w:style w:type="table" w:styleId="675" w:default="1">
    <w:name w:val="Normal Table"/>
    <w:uiPriority w:val="99"/>
    <w:qFormat/>
    <w:tblPr>
      <w:tblCellMar>
        <w:left w:w="108" w:type="dxa"/>
        <w:top w:w="0" w:type="dxa"/>
        <w:right w:w="108" w:type="dxa"/>
        <w:bottom w:w="0" w:type="dxa"/>
      </w:tblCellMar>
    </w:tblPr>
  </w:style>
  <w:style w:type="paragraph" w:styleId="676">
    <w:name w:val="toc 7"/>
    <w:basedOn w:val="668"/>
    <w:next w:val="668"/>
    <w:uiPriority w:val="39"/>
    <w:qFormat/>
    <w:pPr>
      <w:ind w:left="1701"/>
      <w:spacing w:after="57"/>
    </w:pPr>
  </w:style>
  <w:style w:type="paragraph" w:styleId="677">
    <w:name w:val="Normal Indent"/>
    <w:basedOn w:val="668"/>
    <w:link w:val="900"/>
    <w:uiPriority w:val="0"/>
    <w:qFormat/>
    <w:pPr>
      <w:ind w:firstLine="420"/>
    </w:pPr>
    <w:rPr>
      <w:szCs w:val="24"/>
    </w:rPr>
  </w:style>
  <w:style w:type="paragraph" w:styleId="678">
    <w:name w:val="index 5"/>
    <w:basedOn w:val="668"/>
    <w:next w:val="668"/>
    <w:uiPriority w:val="99"/>
    <w:qFormat/>
    <w:pPr>
      <w:ind w:left="800"/>
    </w:pPr>
  </w:style>
  <w:style w:type="paragraph" w:styleId="679">
    <w:name w:val="Document Map"/>
    <w:basedOn w:val="668"/>
    <w:next w:val="668"/>
    <w:link w:val="901"/>
    <w:uiPriority w:val="99"/>
    <w:qFormat/>
    <w:pPr>
      <w:shd w:val="clear" w:color="auto" w:fill="000080"/>
    </w:pPr>
    <w:rPr>
      <w:sz w:val="20"/>
    </w:rPr>
  </w:style>
  <w:style w:type="paragraph" w:styleId="680">
    <w:name w:val="annotation text"/>
    <w:basedOn w:val="668"/>
    <w:link w:val="902"/>
    <w:uiPriority w:val="0"/>
    <w:qFormat/>
    <w:pPr>
      <w:jc w:val="left"/>
    </w:pPr>
    <w:rPr>
      <w:sz w:val="20"/>
      <w:szCs w:val="24"/>
    </w:rPr>
  </w:style>
  <w:style w:type="paragraph" w:styleId="681">
    <w:name w:val="Body Text"/>
    <w:basedOn w:val="668"/>
    <w:link w:val="903"/>
    <w:uiPriority w:val="99"/>
    <w:qFormat/>
    <w:rPr>
      <w:rFonts w:ascii="华文中宋" w:eastAsia="华文中宋"/>
      <w:bCs/>
      <w:sz w:val="28"/>
    </w:rPr>
  </w:style>
  <w:style w:type="paragraph" w:styleId="682">
    <w:name w:val="Body Text Indent"/>
    <w:basedOn w:val="668"/>
    <w:next w:val="668"/>
    <w:link w:val="904"/>
    <w:uiPriority w:val="0"/>
    <w:qFormat/>
    <w:pPr>
      <w:ind w:firstLine="576"/>
    </w:pPr>
    <w:rPr>
      <w:b/>
      <w:sz w:val="30"/>
    </w:rPr>
  </w:style>
  <w:style w:type="paragraph" w:styleId="683">
    <w:name w:val="toc 5"/>
    <w:basedOn w:val="668"/>
    <w:next w:val="668"/>
    <w:uiPriority w:val="39"/>
    <w:qFormat/>
    <w:pPr>
      <w:ind w:left="1134"/>
      <w:spacing w:after="57"/>
    </w:pPr>
  </w:style>
  <w:style w:type="paragraph" w:styleId="684">
    <w:name w:val="toc 3"/>
    <w:basedOn w:val="668"/>
    <w:next w:val="668"/>
    <w:uiPriority w:val="39"/>
    <w:qFormat/>
    <w:pPr>
      <w:ind w:left="567"/>
      <w:spacing w:after="57"/>
    </w:pPr>
  </w:style>
  <w:style w:type="paragraph" w:styleId="685">
    <w:name w:val="Plain Text"/>
    <w:basedOn w:val="668"/>
    <w:link w:val="905"/>
    <w:uiPriority w:val="0"/>
    <w:qFormat/>
    <w:rPr>
      <w:rFonts w:ascii="宋体" w:hAnsi="Courier New"/>
      <w:szCs w:val="21"/>
    </w:rPr>
  </w:style>
  <w:style w:type="paragraph" w:styleId="686">
    <w:name w:val="toc 8"/>
    <w:basedOn w:val="668"/>
    <w:next w:val="668"/>
    <w:uiPriority w:val="39"/>
    <w:qFormat/>
    <w:pPr>
      <w:ind w:left="1984"/>
      <w:spacing w:after="57"/>
    </w:pPr>
  </w:style>
  <w:style w:type="paragraph" w:styleId="687">
    <w:name w:val="Date"/>
    <w:basedOn w:val="668"/>
    <w:next w:val="668"/>
    <w:link w:val="906"/>
    <w:uiPriority w:val="99"/>
    <w:qFormat/>
    <w:rPr>
      <w:rFonts w:eastAsia="黑体"/>
      <w:b/>
      <w:sz w:val="36"/>
    </w:rPr>
  </w:style>
  <w:style w:type="paragraph" w:styleId="688">
    <w:name w:val="Body Text Indent 2"/>
    <w:basedOn w:val="668"/>
    <w:link w:val="907"/>
    <w:uiPriority w:val="99"/>
    <w:qFormat/>
    <w:pPr>
      <w:ind w:left="900"/>
    </w:pPr>
    <w:rPr>
      <w:rFonts w:ascii="楷体_GB2312" w:eastAsia="楷体_GB2312"/>
      <w:b/>
      <w:sz w:val="28"/>
    </w:rPr>
  </w:style>
  <w:style w:type="paragraph" w:styleId="689">
    <w:name w:val="endnote text"/>
    <w:basedOn w:val="668"/>
    <w:link w:val="893"/>
    <w:uiPriority w:val="99"/>
    <w:qFormat/>
    <w:rPr>
      <w:sz w:val="20"/>
    </w:rPr>
  </w:style>
  <w:style w:type="paragraph" w:styleId="690">
    <w:name w:val="Balloon Text"/>
    <w:basedOn w:val="668"/>
    <w:link w:val="908"/>
    <w:uiPriority w:val="99"/>
    <w:qFormat/>
    <w:rPr>
      <w:sz w:val="18"/>
      <w:szCs w:val="18"/>
    </w:rPr>
  </w:style>
  <w:style w:type="paragraph" w:styleId="691">
    <w:name w:val="Footer"/>
    <w:basedOn w:val="668"/>
    <w:link w:val="909"/>
    <w:uiPriority w:val="99"/>
    <w:qFormat/>
    <w:pPr>
      <w:jc w:val="left"/>
      <w:tabs>
        <w:tab w:val="center" w:pos="4153" w:leader="none"/>
        <w:tab w:val="right" w:pos="8306" w:leader="none"/>
      </w:tabs>
    </w:pPr>
    <w:rPr>
      <w:sz w:val="18"/>
      <w:szCs w:val="18"/>
    </w:rPr>
  </w:style>
  <w:style w:type="paragraph" w:styleId="692">
    <w:name w:val="Header"/>
    <w:basedOn w:val="668"/>
    <w:link w:val="910"/>
    <w:uiPriority w:val="0"/>
    <w:qFormat/>
    <w:pPr>
      <w:jc w:val="center"/>
      <w:tabs>
        <w:tab w:val="center" w:pos="4153" w:leader="none"/>
        <w:tab w:val="right" w:pos="8306" w:leader="none"/>
      </w:tabs>
      <w:pBdr>
        <w:bottom w:val="single" w:color="000000" w:sz="6" w:space="1"/>
      </w:pBdr>
    </w:pPr>
    <w:rPr>
      <w:sz w:val="18"/>
      <w:szCs w:val="18"/>
    </w:rPr>
  </w:style>
  <w:style w:type="paragraph" w:styleId="693">
    <w:name w:val="toc 1"/>
    <w:basedOn w:val="668"/>
    <w:next w:val="668"/>
    <w:uiPriority w:val="39"/>
    <w:qFormat/>
    <w:pPr>
      <w:spacing w:after="57"/>
    </w:pPr>
  </w:style>
  <w:style w:type="paragraph" w:styleId="694">
    <w:name w:val="toc 4"/>
    <w:basedOn w:val="668"/>
    <w:next w:val="668"/>
    <w:uiPriority w:val="39"/>
    <w:qFormat/>
    <w:pPr>
      <w:ind w:left="850"/>
      <w:spacing w:after="57"/>
    </w:pPr>
  </w:style>
  <w:style w:type="paragraph" w:styleId="695">
    <w:name w:val="Subtitle"/>
    <w:basedOn w:val="668"/>
    <w:next w:val="668"/>
    <w:link w:val="756"/>
    <w:uiPriority w:val="11"/>
    <w:qFormat/>
    <w:pPr>
      <w:spacing w:before="200" w:after="200"/>
    </w:pPr>
    <w:rPr>
      <w:sz w:val="24"/>
      <w:szCs w:val="24"/>
    </w:rPr>
  </w:style>
  <w:style w:type="paragraph" w:styleId="696">
    <w:name w:val="List"/>
    <w:basedOn w:val="668"/>
    <w:uiPriority w:val="0"/>
    <w:qFormat/>
    <w:pPr>
      <w:numPr>
        <w:ilvl w:val="0"/>
        <w:numId w:val="2"/>
      </w:numPr>
      <w:spacing w:after="20" w:line="288" w:lineRule="auto"/>
    </w:pPr>
    <w:rPr>
      <w:lang w:val="en-GB"/>
    </w:rPr>
  </w:style>
  <w:style w:type="paragraph" w:styleId="697">
    <w:name w:val="footnote text"/>
    <w:basedOn w:val="668"/>
    <w:next w:val="678"/>
    <w:link w:val="911"/>
    <w:uiPriority w:val="0"/>
    <w:qFormat/>
    <w:pPr>
      <w:ind w:firstLine="425"/>
      <w:jc w:val="left"/>
      <w:spacing w:before="120" w:line="360" w:lineRule="auto"/>
    </w:pPr>
    <w:rPr>
      <w:sz w:val="18"/>
    </w:rPr>
  </w:style>
  <w:style w:type="paragraph" w:styleId="698">
    <w:name w:val="toc 6"/>
    <w:basedOn w:val="668"/>
    <w:next w:val="668"/>
    <w:uiPriority w:val="39"/>
    <w:qFormat/>
    <w:pPr>
      <w:ind w:left="1417"/>
      <w:spacing w:after="57"/>
    </w:pPr>
  </w:style>
  <w:style w:type="paragraph" w:styleId="699">
    <w:name w:val="Body Text Indent 3"/>
    <w:basedOn w:val="668"/>
    <w:link w:val="912"/>
    <w:uiPriority w:val="99"/>
    <w:qFormat/>
    <w:pPr>
      <w:ind w:left="359" w:firstLine="359"/>
    </w:pPr>
    <w:rPr>
      <w:sz w:val="20"/>
    </w:rPr>
  </w:style>
  <w:style w:type="paragraph" w:styleId="700">
    <w:name w:val="table of figures"/>
    <w:basedOn w:val="668"/>
    <w:next w:val="668"/>
    <w:uiPriority w:val="99"/>
    <w:qFormat/>
  </w:style>
  <w:style w:type="paragraph" w:styleId="701">
    <w:name w:val="toc 2"/>
    <w:basedOn w:val="668"/>
    <w:next w:val="668"/>
    <w:uiPriority w:val="39"/>
    <w:qFormat/>
    <w:pPr>
      <w:ind w:left="283"/>
      <w:spacing w:after="57"/>
    </w:pPr>
  </w:style>
  <w:style w:type="paragraph" w:styleId="702">
    <w:name w:val="toc 9"/>
    <w:basedOn w:val="668"/>
    <w:next w:val="668"/>
    <w:uiPriority w:val="39"/>
    <w:qFormat/>
    <w:pPr>
      <w:ind w:left="2268"/>
      <w:spacing w:after="57"/>
    </w:pPr>
  </w:style>
  <w:style w:type="paragraph" w:styleId="703">
    <w:name w:val="Body Text 2"/>
    <w:basedOn w:val="668"/>
    <w:link w:val="913"/>
    <w:uiPriority w:val="99"/>
    <w:qFormat/>
    <w:pPr>
      <w:spacing w:after="120" w:line="480" w:lineRule="auto"/>
    </w:pPr>
    <w:rPr>
      <w:sz w:val="20"/>
    </w:rPr>
  </w:style>
  <w:style w:type="paragraph" w:styleId="704">
    <w:name w:val="Normal (Web)"/>
    <w:basedOn w:val="668"/>
    <w:link w:val="91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05">
    <w:name w:val="Title"/>
    <w:basedOn w:val="668"/>
    <w:next w:val="668"/>
    <w:link w:val="755"/>
    <w:uiPriority w:val="10"/>
    <w:qFormat/>
    <w:pPr>
      <w:contextualSpacing/>
      <w:spacing w:before="300" w:after="200"/>
    </w:pPr>
    <w:rPr>
      <w:sz w:val="48"/>
      <w:szCs w:val="48"/>
    </w:rPr>
  </w:style>
  <w:style w:type="paragraph" w:styleId="706">
    <w:name w:val="annotation subject"/>
    <w:basedOn w:val="680"/>
    <w:next w:val="680"/>
    <w:link w:val="915"/>
    <w:uiPriority w:val="0"/>
    <w:qFormat/>
    <w:rPr>
      <w:b/>
      <w:bCs/>
    </w:rPr>
  </w:style>
  <w:style w:type="paragraph" w:styleId="707">
    <w:name w:val="Body Text First Indent"/>
    <w:basedOn w:val="668"/>
    <w:link w:val="916"/>
    <w:uiPriority w:val="99"/>
    <w:qFormat/>
    <w:pPr>
      <w:ind w:firstLine="420"/>
      <w:spacing w:after="120"/>
    </w:pPr>
    <w:rPr>
      <w:rFonts w:eastAsia="华文中宋"/>
    </w:rPr>
  </w:style>
  <w:style w:type="paragraph" w:styleId="708">
    <w:name w:val="Body Text First Indent 2"/>
    <w:basedOn w:val="682"/>
    <w:uiPriority w:val="0"/>
    <w:qFormat/>
    <w:pPr>
      <w:ind w:left="420" w:firstLine="420"/>
      <w:spacing w:after="120"/>
    </w:pPr>
    <w:rPr>
      <w:rFonts w:ascii="Cambria" w:hAnsi="Cambria" w:eastAsia="华文细黑"/>
      <w:sz w:val="21"/>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uiPriority w:val="99"/>
    <w:qFormat/>
    <w:rPr>
      <w:rFonts w:cs="Times New Roman"/>
      <w:b/>
      <w:bCs/>
    </w:rPr>
  </w:style>
  <w:style w:type="character" w:styleId="711">
    <w:name w:val="endnote reference"/>
    <w:uiPriority w:val="99"/>
    <w:qFormat/>
    <w:rPr>
      <w:vertAlign w:val="superscript"/>
    </w:rPr>
  </w:style>
  <w:style w:type="character" w:styleId="712">
    <w:name w:val="page number"/>
    <w:uiPriority w:val="0"/>
    <w:qFormat/>
    <w:rPr>
      <w:rFonts w:cs="Times New Roman"/>
    </w:rPr>
  </w:style>
  <w:style w:type="character" w:styleId="713">
    <w:name w:val="FollowedHyperlink"/>
    <w:uiPriority w:val="99"/>
    <w:qFormat/>
    <w:rPr>
      <w:rFonts w:cs="Times New Roman"/>
      <w:color w:val="000000"/>
      <w:u w:val="none"/>
    </w:rPr>
  </w:style>
  <w:style w:type="character" w:styleId="714">
    <w:name w:val="HTML Typewriter"/>
    <w:uiPriority w:val="99"/>
    <w:qFormat/>
    <w:rPr>
      <w:rFonts w:ascii="宋体" w:hAnsi="宋体" w:eastAsia="宋体" w:cs="宋体"/>
      <w:sz w:val="24"/>
      <w:szCs w:val="24"/>
    </w:rPr>
  </w:style>
  <w:style w:type="character" w:styleId="715">
    <w:name w:val="Hyperlink"/>
    <w:uiPriority w:val="0"/>
    <w:qFormat/>
    <w:rPr>
      <w:color w:val="000000"/>
      <w:u w:val="none"/>
    </w:rPr>
  </w:style>
  <w:style w:type="character" w:styleId="716">
    <w:name w:val="annotation reference"/>
    <w:uiPriority w:val="0"/>
    <w:qFormat/>
    <w:rPr>
      <w:sz w:val="21"/>
      <w:szCs w:val="21"/>
    </w:rPr>
  </w:style>
  <w:style w:type="character" w:styleId="717">
    <w:name w:val="footnote reference"/>
    <w:uiPriority w:val="99"/>
    <w:qFormat/>
    <w:rPr>
      <w:vertAlign w:val="superscript"/>
    </w:rPr>
  </w:style>
  <w:style w:type="character" w:styleId="718" w:customStyle="1">
    <w:name w:val="Heading 1 Char"/>
    <w:basedOn w:val="674"/>
    <w:uiPriority w:val="9"/>
    <w:qFormat/>
    <w:rPr>
      <w:rFonts w:ascii="Arial" w:hAnsi="Arial" w:eastAsia="Arial" w:cs="Arial"/>
      <w:sz w:val="40"/>
      <w:szCs w:val="40"/>
    </w:rPr>
  </w:style>
  <w:style w:type="character" w:styleId="719" w:customStyle="1">
    <w:name w:val="Heading 2 Char"/>
    <w:basedOn w:val="674"/>
    <w:uiPriority w:val="9"/>
    <w:qFormat/>
    <w:rPr>
      <w:rFonts w:ascii="Arial" w:hAnsi="Arial" w:eastAsia="Arial" w:cs="Arial"/>
      <w:sz w:val="34"/>
    </w:rPr>
  </w:style>
  <w:style w:type="character" w:styleId="720" w:customStyle="1">
    <w:name w:val="Heading 3 Char"/>
    <w:basedOn w:val="674"/>
    <w:uiPriority w:val="9"/>
    <w:qFormat/>
    <w:rPr>
      <w:rFonts w:ascii="Arial" w:hAnsi="Arial" w:eastAsia="Arial" w:cs="Arial"/>
      <w:sz w:val="30"/>
      <w:szCs w:val="30"/>
    </w:rPr>
  </w:style>
  <w:style w:type="character" w:styleId="721" w:customStyle="1">
    <w:name w:val="Heading 4 Char"/>
    <w:basedOn w:val="674"/>
    <w:uiPriority w:val="9"/>
    <w:qFormat/>
    <w:rPr>
      <w:rFonts w:ascii="Arial" w:hAnsi="Arial" w:eastAsia="Arial" w:cs="Arial"/>
      <w:b/>
      <w:bCs/>
      <w:sz w:val="26"/>
      <w:szCs w:val="26"/>
    </w:rPr>
  </w:style>
  <w:style w:type="character" w:styleId="722" w:customStyle="1">
    <w:name w:val="Heading 5 Char"/>
    <w:basedOn w:val="674"/>
    <w:uiPriority w:val="9"/>
    <w:qFormat/>
    <w:rPr>
      <w:rFonts w:ascii="Arial" w:hAnsi="Arial" w:eastAsia="Arial" w:cs="Arial"/>
      <w:b/>
      <w:bCs/>
      <w:sz w:val="24"/>
      <w:szCs w:val="24"/>
    </w:rPr>
  </w:style>
  <w:style w:type="character" w:styleId="723" w:customStyle="1">
    <w:name w:val="Heading 6 Char"/>
    <w:basedOn w:val="674"/>
    <w:uiPriority w:val="9"/>
    <w:qFormat/>
    <w:rPr>
      <w:rFonts w:ascii="Arial" w:hAnsi="Arial" w:eastAsia="Arial" w:cs="Arial"/>
      <w:b/>
      <w:bCs/>
      <w:sz w:val="22"/>
      <w:szCs w:val="22"/>
    </w:rPr>
  </w:style>
  <w:style w:type="character" w:styleId="724" w:customStyle="1">
    <w:name w:val="Heading 7 Char"/>
    <w:basedOn w:val="674"/>
    <w:uiPriority w:val="9"/>
    <w:qFormat/>
    <w:rPr>
      <w:rFonts w:ascii="Arial" w:hAnsi="Arial" w:eastAsia="Arial" w:cs="Arial"/>
      <w:b/>
      <w:bCs/>
      <w:i/>
      <w:iCs/>
      <w:sz w:val="22"/>
      <w:szCs w:val="22"/>
    </w:rPr>
  </w:style>
  <w:style w:type="character" w:styleId="725" w:customStyle="1">
    <w:name w:val="Heading 8 Char"/>
    <w:basedOn w:val="674"/>
    <w:uiPriority w:val="9"/>
    <w:qFormat/>
    <w:rPr>
      <w:rFonts w:ascii="Arial" w:hAnsi="Arial" w:eastAsia="Arial" w:cs="Arial"/>
      <w:i/>
      <w:iCs/>
      <w:sz w:val="22"/>
      <w:szCs w:val="22"/>
    </w:rPr>
  </w:style>
  <w:style w:type="character" w:styleId="726" w:customStyle="1">
    <w:name w:val="Heading 9 Char"/>
    <w:basedOn w:val="674"/>
    <w:uiPriority w:val="9"/>
    <w:qFormat/>
    <w:rPr>
      <w:rFonts w:ascii="Arial" w:hAnsi="Arial" w:eastAsia="Arial" w:cs="Arial"/>
      <w:i/>
      <w:iCs/>
      <w:sz w:val="21"/>
      <w:szCs w:val="21"/>
    </w:rPr>
  </w:style>
  <w:style w:type="character" w:styleId="727" w:customStyle="1">
    <w:name w:val="Title Char"/>
    <w:basedOn w:val="674"/>
    <w:uiPriority w:val="10"/>
    <w:qFormat/>
    <w:rPr>
      <w:sz w:val="48"/>
      <w:szCs w:val="48"/>
    </w:rPr>
  </w:style>
  <w:style w:type="character" w:styleId="728" w:customStyle="1">
    <w:name w:val="Subtitle Char"/>
    <w:basedOn w:val="674"/>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Header Char"/>
    <w:basedOn w:val="674"/>
    <w:uiPriority w:val="99"/>
    <w:qFormat/>
  </w:style>
  <w:style w:type="character" w:styleId="732" w:customStyle="1">
    <w:name w:val="Footer Char"/>
    <w:basedOn w:val="674"/>
    <w:uiPriority w:val="99"/>
    <w:qFormat/>
  </w:style>
  <w:style w:type="character" w:styleId="733" w:customStyle="1">
    <w:name w:val="Endnote Text Char"/>
    <w:uiPriority w:val="99"/>
    <w:qFormat/>
    <w:rPr>
      <w:sz w:val="20"/>
    </w:rPr>
  </w:style>
  <w:style w:type="paragraph" w:styleId="734" w:customStyle="1">
    <w:name w:val="TOC Heading"/>
    <w:uiPriority w:val="39"/>
    <w:unhideWhenUsed/>
    <w:qFormat/>
    <w:rPr>
      <w:rFonts w:hint="default" w:ascii="Times New Roman" w:hAnsi="Times New Roman" w:eastAsia="宋体" w:cs="Times New Roman"/>
    </w:rPr>
  </w:style>
  <w:style w:type="paragraph" w:styleId="735" w:customStyle="1">
    <w:name w:val="正文文本1"/>
    <w:basedOn w:val="668"/>
    <w:uiPriority w:val="0"/>
    <w:qFormat/>
    <w:rPr>
      <w:rFonts w:ascii="华文中宋" w:eastAsia="华文中宋"/>
      <w:bCs/>
      <w:sz w:val="28"/>
    </w:rPr>
  </w:style>
  <w:style w:type="paragraph" w:styleId="736" w:customStyle="1">
    <w:name w:val="Heading 1"/>
    <w:basedOn w:val="668"/>
    <w:next w:val="668"/>
    <w:link w:val="737"/>
    <w:uiPriority w:val="9"/>
    <w:qFormat/>
    <w:pPr>
      <w:keepLines/>
      <w:keepNext/>
      <w:spacing w:before="480" w:after="200"/>
      <w:outlineLvl w:val="0"/>
    </w:pPr>
    <w:rPr>
      <w:rFonts w:ascii="Arial" w:hAnsi="Arial" w:eastAsia="Arial" w:cs="Arial"/>
      <w:sz w:val="40"/>
      <w:szCs w:val="40"/>
    </w:rPr>
  </w:style>
  <w:style w:type="character" w:styleId="737" w:customStyle="1">
    <w:name w:val="Heading 1 Char_0d9d6434-8aef-434f-b4cf-07c27d364c24"/>
    <w:link w:val="736"/>
    <w:uiPriority w:val="9"/>
    <w:qFormat/>
    <w:rPr>
      <w:rFonts w:ascii="Arial" w:hAnsi="Arial" w:eastAsia="Arial" w:cs="Arial"/>
      <w:sz w:val="40"/>
      <w:szCs w:val="40"/>
    </w:rPr>
  </w:style>
  <w:style w:type="paragraph" w:styleId="738" w:customStyle="1">
    <w:name w:val="Heading 2"/>
    <w:basedOn w:val="668"/>
    <w:next w:val="668"/>
    <w:link w:val="739"/>
    <w:uiPriority w:val="9"/>
    <w:qFormat/>
    <w:pPr>
      <w:keepLines/>
      <w:keepNext/>
      <w:spacing w:before="360" w:after="200"/>
      <w:outlineLvl w:val="1"/>
    </w:pPr>
    <w:rPr>
      <w:rFonts w:ascii="Arial" w:hAnsi="Arial" w:eastAsia="Arial" w:cs="Arial"/>
      <w:sz w:val="34"/>
    </w:rPr>
  </w:style>
  <w:style w:type="character" w:styleId="739" w:customStyle="1">
    <w:name w:val="Heading 2 Char_23f81bc3-ec57-4402-8e13-eaba3a985afa"/>
    <w:link w:val="738"/>
    <w:uiPriority w:val="9"/>
    <w:qFormat/>
    <w:rPr>
      <w:rFonts w:ascii="Arial" w:hAnsi="Arial" w:eastAsia="Arial" w:cs="Arial"/>
      <w:sz w:val="34"/>
    </w:rPr>
  </w:style>
  <w:style w:type="paragraph" w:styleId="740" w:customStyle="1">
    <w:name w:val="Heading 3"/>
    <w:basedOn w:val="668"/>
    <w:next w:val="668"/>
    <w:link w:val="741"/>
    <w:uiPriority w:val="9"/>
    <w:qFormat/>
    <w:pPr>
      <w:keepLines/>
      <w:keepNext/>
      <w:spacing w:before="320" w:after="200"/>
      <w:outlineLvl w:val="2"/>
    </w:pPr>
    <w:rPr>
      <w:rFonts w:ascii="Arial" w:hAnsi="Arial" w:eastAsia="Arial" w:cs="Arial"/>
      <w:sz w:val="30"/>
      <w:szCs w:val="30"/>
    </w:rPr>
  </w:style>
  <w:style w:type="character" w:styleId="741" w:customStyle="1">
    <w:name w:val="Heading 3 Char_a972020d-e2de-423e-8ccf-32b62e9782f5"/>
    <w:link w:val="740"/>
    <w:uiPriority w:val="9"/>
    <w:qFormat/>
    <w:rPr>
      <w:rFonts w:ascii="Arial" w:hAnsi="Arial" w:eastAsia="Arial" w:cs="Arial"/>
      <w:sz w:val="30"/>
      <w:szCs w:val="30"/>
    </w:rPr>
  </w:style>
  <w:style w:type="paragraph" w:styleId="742" w:customStyle="1">
    <w:name w:val="Heading 4"/>
    <w:basedOn w:val="668"/>
    <w:next w:val="668"/>
    <w:link w:val="743"/>
    <w:uiPriority w:val="9"/>
    <w:qFormat/>
    <w:pPr>
      <w:keepLines/>
      <w:keepNext/>
      <w:spacing w:before="320" w:after="200"/>
      <w:outlineLvl w:val="3"/>
    </w:pPr>
    <w:rPr>
      <w:rFonts w:ascii="Arial" w:hAnsi="Arial" w:eastAsia="Arial" w:cs="Arial"/>
      <w:b/>
      <w:bCs/>
      <w:sz w:val="26"/>
      <w:szCs w:val="26"/>
    </w:rPr>
  </w:style>
  <w:style w:type="character" w:styleId="743" w:customStyle="1">
    <w:name w:val="Heading 4 Char_c737420b-353d-4424-86d3-425d70bb16f0"/>
    <w:link w:val="742"/>
    <w:uiPriority w:val="9"/>
    <w:qFormat/>
    <w:rPr>
      <w:rFonts w:ascii="Arial" w:hAnsi="Arial" w:eastAsia="Arial" w:cs="Arial"/>
      <w:b/>
      <w:bCs/>
      <w:sz w:val="26"/>
      <w:szCs w:val="26"/>
    </w:rPr>
  </w:style>
  <w:style w:type="paragraph" w:styleId="744" w:customStyle="1">
    <w:name w:val="Heading 5"/>
    <w:basedOn w:val="668"/>
    <w:next w:val="668"/>
    <w:link w:val="745"/>
    <w:uiPriority w:val="9"/>
    <w:qFormat/>
    <w:pPr>
      <w:keepLines/>
      <w:keepNext/>
      <w:spacing w:before="320" w:after="200"/>
      <w:outlineLvl w:val="4"/>
    </w:pPr>
    <w:rPr>
      <w:rFonts w:ascii="Arial" w:hAnsi="Arial" w:eastAsia="Arial" w:cs="Arial"/>
      <w:b/>
      <w:bCs/>
      <w:sz w:val="24"/>
      <w:szCs w:val="24"/>
    </w:rPr>
  </w:style>
  <w:style w:type="character" w:styleId="745" w:customStyle="1">
    <w:name w:val="Heading 5 Char_f1483993-90ab-4a83-891e-aa61b1a8567c"/>
    <w:link w:val="744"/>
    <w:uiPriority w:val="9"/>
    <w:qFormat/>
    <w:rPr>
      <w:rFonts w:ascii="Arial" w:hAnsi="Arial" w:eastAsia="Arial" w:cs="Arial"/>
      <w:b/>
      <w:bCs/>
      <w:sz w:val="24"/>
      <w:szCs w:val="24"/>
    </w:rPr>
  </w:style>
  <w:style w:type="paragraph" w:styleId="746" w:customStyle="1">
    <w:name w:val="Heading 6"/>
    <w:basedOn w:val="668"/>
    <w:next w:val="668"/>
    <w:link w:val="747"/>
    <w:uiPriority w:val="9"/>
    <w:qFormat/>
    <w:pPr>
      <w:keepLines/>
      <w:keepNext/>
      <w:spacing w:before="320" w:after="200"/>
      <w:outlineLvl w:val="5"/>
    </w:pPr>
    <w:rPr>
      <w:rFonts w:ascii="Arial" w:hAnsi="Arial" w:eastAsia="Arial" w:cs="Arial"/>
      <w:b/>
      <w:bCs/>
      <w:sz w:val="22"/>
      <w:szCs w:val="22"/>
    </w:rPr>
  </w:style>
  <w:style w:type="character" w:styleId="747" w:customStyle="1">
    <w:name w:val="Heading 6 Char_95307583-6a43-4f74-9f95-be30b6ad72b6"/>
    <w:link w:val="746"/>
    <w:uiPriority w:val="9"/>
    <w:qFormat/>
    <w:rPr>
      <w:rFonts w:ascii="Arial" w:hAnsi="Arial" w:eastAsia="Arial" w:cs="Arial"/>
      <w:b/>
      <w:bCs/>
      <w:sz w:val="22"/>
      <w:szCs w:val="22"/>
    </w:rPr>
  </w:style>
  <w:style w:type="paragraph" w:styleId="748" w:customStyle="1">
    <w:name w:val="Heading 7"/>
    <w:basedOn w:val="668"/>
    <w:next w:val="668"/>
    <w:link w:val="749"/>
    <w:uiPriority w:val="9"/>
    <w:qFormat/>
    <w:pPr>
      <w:keepLines/>
      <w:keepNext/>
      <w:spacing w:before="320" w:after="200"/>
      <w:outlineLvl w:val="6"/>
    </w:pPr>
    <w:rPr>
      <w:rFonts w:ascii="Arial" w:hAnsi="Arial" w:eastAsia="Arial" w:cs="Arial"/>
      <w:b/>
      <w:bCs/>
      <w:i/>
      <w:iCs/>
      <w:sz w:val="22"/>
      <w:szCs w:val="22"/>
    </w:rPr>
  </w:style>
  <w:style w:type="character" w:styleId="749" w:customStyle="1">
    <w:name w:val="Heading 7 Char_f24e9cd0-472e-495e-8828-91abe7bea686"/>
    <w:link w:val="748"/>
    <w:uiPriority w:val="9"/>
    <w:qFormat/>
    <w:rPr>
      <w:rFonts w:ascii="Arial" w:hAnsi="Arial" w:eastAsia="Arial" w:cs="Arial"/>
      <w:b/>
      <w:bCs/>
      <w:i/>
      <w:iCs/>
      <w:sz w:val="22"/>
      <w:szCs w:val="22"/>
    </w:rPr>
  </w:style>
  <w:style w:type="paragraph" w:styleId="750" w:customStyle="1">
    <w:name w:val="Heading 8"/>
    <w:basedOn w:val="668"/>
    <w:next w:val="668"/>
    <w:link w:val="751"/>
    <w:uiPriority w:val="9"/>
    <w:qFormat/>
    <w:pPr>
      <w:keepLines/>
      <w:keepNext/>
      <w:spacing w:before="320" w:after="200"/>
      <w:outlineLvl w:val="7"/>
    </w:pPr>
    <w:rPr>
      <w:rFonts w:ascii="Arial" w:hAnsi="Arial" w:eastAsia="Arial" w:cs="Arial"/>
      <w:i/>
      <w:iCs/>
      <w:sz w:val="22"/>
      <w:szCs w:val="22"/>
    </w:rPr>
  </w:style>
  <w:style w:type="character" w:styleId="751" w:customStyle="1">
    <w:name w:val="Heading 8 Char_949354d7-fea5-452e-b32d-28b774b8e361"/>
    <w:link w:val="750"/>
    <w:uiPriority w:val="9"/>
    <w:qFormat/>
    <w:rPr>
      <w:rFonts w:ascii="Arial" w:hAnsi="Arial" w:eastAsia="Arial" w:cs="Arial"/>
      <w:i/>
      <w:iCs/>
      <w:sz w:val="22"/>
      <w:szCs w:val="22"/>
    </w:rPr>
  </w:style>
  <w:style w:type="paragraph" w:styleId="752" w:customStyle="1">
    <w:name w:val="Heading 9"/>
    <w:basedOn w:val="668"/>
    <w:next w:val="668"/>
    <w:link w:val="753"/>
    <w:uiPriority w:val="9"/>
    <w:qFormat/>
    <w:pPr>
      <w:keepLines/>
      <w:keepNext/>
      <w:spacing w:before="320" w:after="200"/>
      <w:outlineLvl w:val="8"/>
    </w:pPr>
    <w:rPr>
      <w:rFonts w:ascii="Arial" w:hAnsi="Arial" w:eastAsia="Arial" w:cs="Arial"/>
      <w:i/>
      <w:iCs/>
      <w:szCs w:val="21"/>
    </w:rPr>
  </w:style>
  <w:style w:type="character" w:styleId="753" w:customStyle="1">
    <w:name w:val="Heading 9 Char_334f07fe-e714-48c5-92e4-af04d7a4d58e"/>
    <w:link w:val="752"/>
    <w:uiPriority w:val="9"/>
    <w:qFormat/>
    <w:rPr>
      <w:rFonts w:ascii="Arial" w:hAnsi="Arial" w:eastAsia="Arial" w:cs="Arial"/>
      <w:i/>
      <w:iCs/>
      <w:sz w:val="21"/>
      <w:szCs w:val="21"/>
    </w:rPr>
  </w:style>
  <w:style w:type="paragraph" w:styleId="754">
    <w:name w:val="No Spacing"/>
    <w:uiPriority w:val="1"/>
    <w:qFormat/>
    <w:rPr>
      <w:rFonts w:hint="default" w:ascii="Times New Roman" w:hAnsi="Times New Roman" w:eastAsia="宋体" w:cs="Times New Roman"/>
      <w:lang w:val="en-US" w:eastAsia="zh-CN" w:bidi="ar-SA"/>
    </w:rPr>
  </w:style>
  <w:style w:type="character" w:styleId="755" w:customStyle="1">
    <w:name w:val="标题 Char"/>
    <w:link w:val="705"/>
    <w:uiPriority w:val="10"/>
    <w:qFormat/>
    <w:rPr>
      <w:sz w:val="48"/>
      <w:szCs w:val="48"/>
    </w:rPr>
  </w:style>
  <w:style w:type="character" w:styleId="756" w:customStyle="1">
    <w:name w:val="副标题 Char"/>
    <w:link w:val="695"/>
    <w:uiPriority w:val="11"/>
    <w:qFormat/>
    <w:rPr>
      <w:sz w:val="24"/>
      <w:szCs w:val="24"/>
    </w:rPr>
  </w:style>
  <w:style w:type="paragraph" w:styleId="757">
    <w:name w:val="Quote"/>
    <w:basedOn w:val="668"/>
    <w:next w:val="668"/>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668"/>
    <w:next w:val="668"/>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paragraph" w:styleId="761" w:customStyle="1">
    <w:name w:val="Header"/>
    <w:basedOn w:val="668"/>
    <w:link w:val="762"/>
    <w:uiPriority w:val="99"/>
    <w:qFormat/>
    <w:pPr>
      <w:tabs>
        <w:tab w:val="center" w:pos="7143" w:leader="none"/>
        <w:tab w:val="right" w:pos="14287" w:leader="none"/>
      </w:tabs>
    </w:pPr>
  </w:style>
  <w:style w:type="character" w:styleId="762" w:customStyle="1">
    <w:name w:val="Header Char_0b364515-3a76-4734-91ae-7a75fdd67d1d"/>
    <w:link w:val="761"/>
    <w:uiPriority w:val="99"/>
    <w:qFormat/>
  </w:style>
  <w:style w:type="paragraph" w:styleId="763" w:customStyle="1">
    <w:name w:val="Footer"/>
    <w:basedOn w:val="668"/>
    <w:link w:val="766"/>
    <w:uiPriority w:val="99"/>
    <w:qFormat/>
    <w:pPr>
      <w:tabs>
        <w:tab w:val="center" w:pos="7143" w:leader="none"/>
        <w:tab w:val="right" w:pos="14287" w:leader="none"/>
      </w:tabs>
    </w:pPr>
  </w:style>
  <w:style w:type="character" w:styleId="764" w:customStyle="1">
    <w:name w:val="Footer Char_7e8afb0f-436d-41ae-8f0b-04c613e42983"/>
    <w:link w:val="763"/>
    <w:uiPriority w:val="99"/>
    <w:qFormat/>
  </w:style>
  <w:style w:type="paragraph" w:styleId="765" w:customStyle="1">
    <w:name w:val="Caption"/>
    <w:basedOn w:val="668"/>
    <w:next w:val="668"/>
    <w:uiPriority w:val="35"/>
    <w:qFormat/>
    <w:pPr>
      <w:spacing w:line="276" w:lineRule="auto"/>
    </w:pPr>
    <w:rPr>
      <w:b/>
      <w:bCs/>
      <w:color w:val="4f81bd"/>
      <w:sz w:val="18"/>
      <w:szCs w:val="18"/>
    </w:rPr>
  </w:style>
  <w:style w:type="character" w:styleId="766" w:customStyle="1">
    <w:name w:val="Caption Char"/>
    <w:link w:val="763"/>
    <w:uiPriority w:val="99"/>
    <w:qFormat/>
  </w:style>
  <w:style w:type="table" w:styleId="76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8"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87"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9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0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08"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1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1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15"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22"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2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3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3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4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0"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5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5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57"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5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6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6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8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8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9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92" w:customStyle="1">
    <w:name w:val="Footnote Text Char"/>
    <w:link w:val="697"/>
    <w:uiPriority w:val="99"/>
    <w:qFormat/>
    <w:rPr>
      <w:sz w:val="18"/>
    </w:rPr>
  </w:style>
  <w:style w:type="character" w:styleId="893" w:customStyle="1">
    <w:name w:val="尾注文本 Char"/>
    <w:link w:val="689"/>
    <w:uiPriority w:val="99"/>
    <w:qFormat/>
    <w:rPr>
      <w:sz w:val="20"/>
    </w:rPr>
  </w:style>
  <w:style w:type="paragraph" w:styleId="894" w:customStyle="1">
    <w:name w:val="TOC 标题1"/>
    <w:uiPriority w:val="39"/>
    <w:qFormat/>
    <w:rPr>
      <w:rFonts w:hint="default" w:ascii="Times New Roman" w:hAnsi="Times New Roman" w:eastAsia="宋体" w:cs="Times New Roman"/>
      <w:lang w:val="en-US" w:eastAsia="zh-CN" w:bidi="ar-SA"/>
    </w:rPr>
  </w:style>
  <w:style w:type="character" w:styleId="895" w:customStyle="1">
    <w:name w:val="标题 1 Char"/>
    <w:link w:val="669"/>
    <w:uiPriority w:val="99"/>
    <w:qFormat/>
    <w:rPr>
      <w:rFonts w:ascii="楷体_GB2312" w:hAnsi="Times New Roman" w:eastAsia="楷体_GB2312" w:cs="Times New Roman"/>
      <w:b/>
      <w:sz w:val="28"/>
      <w:szCs w:val="20"/>
    </w:rPr>
  </w:style>
  <w:style w:type="character" w:styleId="896" w:customStyle="1">
    <w:name w:val="标题 2 Char"/>
    <w:link w:val="670"/>
    <w:uiPriority w:val="99"/>
    <w:qFormat/>
    <w:rPr>
      <w:rFonts w:ascii="楷体_GB2312" w:hAnsi="Times New Roman" w:eastAsia="楷体_GB2312" w:cs="Times New Roman"/>
      <w:b/>
      <w:bCs/>
      <w:sz w:val="18"/>
      <w:szCs w:val="20"/>
    </w:rPr>
  </w:style>
  <w:style w:type="character" w:styleId="897" w:customStyle="1">
    <w:name w:val="标题 3 Char"/>
    <w:link w:val="671"/>
    <w:uiPriority w:val="99"/>
    <w:qFormat/>
    <w:rPr>
      <w:rFonts w:ascii="Times New Roman" w:hAnsi="Times New Roman" w:eastAsia="楷体_GB2312" w:cs="Times New Roman"/>
      <w:b/>
      <w:bCs/>
      <w:sz w:val="15"/>
      <w:szCs w:val="20"/>
    </w:rPr>
  </w:style>
  <w:style w:type="character" w:styleId="898" w:customStyle="1">
    <w:name w:val="标题 4 Char"/>
    <w:link w:val="672"/>
    <w:uiPriority w:val="99"/>
    <w:qFormat/>
    <w:rPr>
      <w:rFonts w:ascii="Times New Roman" w:hAnsi="Times New Roman" w:eastAsia="楷体_GB2312" w:cs="Times New Roman"/>
      <w:b/>
      <w:bCs/>
      <w:sz w:val="13"/>
      <w:szCs w:val="20"/>
    </w:rPr>
  </w:style>
  <w:style w:type="character" w:styleId="899" w:customStyle="1">
    <w:name w:val="标题 5 Char"/>
    <w:link w:val="673"/>
    <w:uiPriority w:val="99"/>
    <w:qFormat/>
    <w:rPr>
      <w:rFonts w:ascii="楷体_GB2312" w:hAnsi="Times New Roman" w:eastAsia="楷体_GB2312" w:cs="Times New Roman"/>
      <w:bCs/>
      <w:sz w:val="28"/>
      <w:szCs w:val="20"/>
    </w:rPr>
  </w:style>
  <w:style w:type="character" w:styleId="900" w:customStyle="1">
    <w:name w:val="正文缩进 Char"/>
    <w:link w:val="677"/>
    <w:uiPriority w:val="0"/>
    <w:qFormat/>
    <w:rPr>
      <w:rFonts w:ascii="Times New Roman" w:hAnsi="Times New Roman"/>
      <w:sz w:val="21"/>
      <w:szCs w:val="24"/>
    </w:rPr>
  </w:style>
  <w:style w:type="character" w:styleId="901" w:customStyle="1">
    <w:name w:val="文档结构图 Char"/>
    <w:link w:val="679"/>
    <w:uiPriority w:val="99"/>
    <w:qFormat/>
    <w:rPr>
      <w:rFonts w:ascii="Times New Roman" w:hAnsi="Times New Roman" w:eastAsia="宋体" w:cs="Times New Roman"/>
      <w:szCs w:val="20"/>
      <w:shd w:val="clear" w:color="auto" w:fill="000080"/>
    </w:rPr>
  </w:style>
  <w:style w:type="character" w:styleId="902" w:customStyle="1">
    <w:name w:val="批注文字 Char"/>
    <w:link w:val="680"/>
    <w:uiPriority w:val="0"/>
    <w:qFormat/>
    <w:rPr>
      <w:rFonts w:ascii="Times New Roman" w:hAnsi="Times New Roman" w:eastAsia="宋体" w:cs="Times New Roman"/>
      <w:szCs w:val="24"/>
    </w:rPr>
  </w:style>
  <w:style w:type="character" w:styleId="903" w:customStyle="1">
    <w:name w:val="正文文本 Char"/>
    <w:link w:val="681"/>
    <w:uiPriority w:val="99"/>
    <w:qFormat/>
    <w:rPr>
      <w:rFonts w:ascii="华文中宋" w:hAnsi="Times New Roman" w:eastAsia="华文中宋" w:cs="Times New Roman"/>
      <w:bCs/>
      <w:sz w:val="28"/>
      <w:szCs w:val="20"/>
    </w:rPr>
  </w:style>
  <w:style w:type="character" w:styleId="904" w:customStyle="1">
    <w:name w:val="正文文本缩进 Char"/>
    <w:link w:val="682"/>
    <w:uiPriority w:val="0"/>
    <w:qFormat/>
    <w:rPr>
      <w:rFonts w:ascii="Times New Roman" w:hAnsi="Times New Roman" w:eastAsia="宋体" w:cs="Times New Roman"/>
      <w:b/>
      <w:sz w:val="30"/>
      <w:szCs w:val="20"/>
    </w:rPr>
  </w:style>
  <w:style w:type="character" w:styleId="905" w:customStyle="1">
    <w:name w:val="纯文本 Char"/>
    <w:link w:val="685"/>
    <w:uiPriority w:val="0"/>
    <w:qFormat/>
    <w:rPr>
      <w:rFonts w:ascii="宋体" w:hAnsi="Courier New"/>
      <w:sz w:val="21"/>
      <w:szCs w:val="21"/>
    </w:rPr>
  </w:style>
  <w:style w:type="character" w:styleId="906" w:customStyle="1">
    <w:name w:val="日期 Char"/>
    <w:link w:val="687"/>
    <w:uiPriority w:val="99"/>
    <w:qFormat/>
    <w:rPr>
      <w:rFonts w:ascii="Times New Roman" w:hAnsi="Times New Roman" w:eastAsia="黑体" w:cs="Times New Roman"/>
      <w:b/>
      <w:sz w:val="36"/>
      <w:szCs w:val="20"/>
    </w:rPr>
  </w:style>
  <w:style w:type="character" w:styleId="907" w:customStyle="1">
    <w:name w:val="正文文本缩进 2 Char"/>
    <w:link w:val="688"/>
    <w:uiPriority w:val="99"/>
    <w:qFormat/>
    <w:rPr>
      <w:rFonts w:ascii="楷体_GB2312" w:hAnsi="Times New Roman" w:eastAsia="楷体_GB2312" w:cs="Times New Roman"/>
      <w:b/>
      <w:sz w:val="28"/>
      <w:szCs w:val="20"/>
    </w:rPr>
  </w:style>
  <w:style w:type="character" w:styleId="908" w:customStyle="1">
    <w:name w:val="批注框文本 Char"/>
    <w:link w:val="690"/>
    <w:uiPriority w:val="99"/>
    <w:qFormat/>
    <w:rPr>
      <w:rFonts w:ascii="Times New Roman" w:hAnsi="Times New Roman" w:eastAsia="宋体" w:cs="Times New Roman"/>
      <w:sz w:val="18"/>
      <w:szCs w:val="18"/>
    </w:rPr>
  </w:style>
  <w:style w:type="character" w:styleId="909" w:customStyle="1">
    <w:name w:val="页脚 Char"/>
    <w:link w:val="691"/>
    <w:uiPriority w:val="99"/>
    <w:qFormat/>
    <w:rPr>
      <w:sz w:val="18"/>
      <w:szCs w:val="18"/>
    </w:rPr>
  </w:style>
  <w:style w:type="character" w:styleId="910" w:customStyle="1">
    <w:name w:val="页眉 Char"/>
    <w:link w:val="692"/>
    <w:uiPriority w:val="0"/>
    <w:qFormat/>
    <w:rPr>
      <w:sz w:val="18"/>
      <w:szCs w:val="18"/>
    </w:rPr>
  </w:style>
  <w:style w:type="character" w:styleId="911" w:customStyle="1">
    <w:name w:val="脚注文本 Char"/>
    <w:link w:val="697"/>
    <w:uiPriority w:val="0"/>
    <w:qFormat/>
    <w:rPr>
      <w:rFonts w:ascii="Times New Roman" w:hAnsi="Times New Roman"/>
      <w:sz w:val="18"/>
    </w:rPr>
  </w:style>
  <w:style w:type="character" w:styleId="912" w:customStyle="1">
    <w:name w:val="正文文本缩进 3 Char"/>
    <w:link w:val="699"/>
    <w:uiPriority w:val="99"/>
    <w:qFormat/>
    <w:rPr>
      <w:rFonts w:ascii="Times New Roman" w:hAnsi="Times New Roman" w:eastAsia="宋体" w:cs="Times New Roman"/>
      <w:szCs w:val="20"/>
    </w:rPr>
  </w:style>
  <w:style w:type="character" w:styleId="913" w:customStyle="1">
    <w:name w:val="正文文本 2 Char"/>
    <w:link w:val="703"/>
    <w:uiPriority w:val="99"/>
    <w:qFormat/>
    <w:rPr>
      <w:rFonts w:ascii="Times New Roman" w:hAnsi="Times New Roman" w:eastAsia="宋体" w:cs="Times New Roman"/>
      <w:szCs w:val="20"/>
    </w:rPr>
  </w:style>
  <w:style w:type="character" w:styleId="914" w:customStyle="1">
    <w:name w:val="普通(网站) Char"/>
    <w:link w:val="704"/>
    <w:uiPriority w:val="0"/>
    <w:qFormat/>
    <w:rPr>
      <w:rFonts w:ascii="宋体" w:hAnsi="宋体"/>
      <w:sz w:val="24"/>
      <w:szCs w:val="24"/>
    </w:rPr>
  </w:style>
  <w:style w:type="character" w:styleId="915" w:customStyle="1">
    <w:name w:val="批注主题 Char"/>
    <w:link w:val="706"/>
    <w:uiPriority w:val="0"/>
    <w:qFormat/>
    <w:rPr>
      <w:rFonts w:ascii="Times New Roman" w:hAnsi="Times New Roman" w:eastAsia="宋体" w:cs="Times New Roman"/>
      <w:b/>
      <w:bCs/>
      <w:szCs w:val="24"/>
    </w:rPr>
  </w:style>
  <w:style w:type="character" w:styleId="916" w:customStyle="1">
    <w:name w:val="正文首行缩进 Char"/>
    <w:link w:val="707"/>
    <w:uiPriority w:val="99"/>
    <w:qFormat/>
    <w:rPr>
      <w:rFonts w:ascii="Times New Roman" w:hAnsi="Times New Roman" w:eastAsia="华文中宋" w:cs="Times New Roman"/>
      <w:sz w:val="21"/>
      <w:szCs w:val="20"/>
    </w:rPr>
  </w:style>
  <w:style w:type="character" w:styleId="917" w:customStyle="1">
    <w:name w:val="批注框文本 Char1"/>
    <w:uiPriority w:val="99"/>
    <w:qFormat/>
    <w:rPr>
      <w:rFonts w:ascii="Times New Roman" w:hAnsi="Times New Roman" w:eastAsia="宋体" w:cs="Times New Roman"/>
      <w:sz w:val="18"/>
      <w:szCs w:val="18"/>
    </w:rPr>
  </w:style>
  <w:style w:type="character" w:styleId="918" w:customStyle="1">
    <w:name w:val="正文文本 2 Char1"/>
    <w:uiPriority w:val="99"/>
    <w:qFormat/>
    <w:rPr>
      <w:rFonts w:ascii="Times New Roman" w:hAnsi="Times New Roman" w:eastAsia="宋体" w:cs="Times New Roman"/>
      <w:szCs w:val="20"/>
    </w:rPr>
  </w:style>
  <w:style w:type="character" w:styleId="919" w:customStyle="1">
    <w:name w:val="文档结构图 Char1"/>
    <w:uiPriority w:val="99"/>
    <w:qFormat/>
    <w:rPr>
      <w:rFonts w:ascii="宋体" w:hAnsi="Times New Roman" w:eastAsia="宋体" w:cs="Times New Roman"/>
      <w:sz w:val="18"/>
      <w:szCs w:val="18"/>
    </w:rPr>
  </w:style>
  <w:style w:type="character" w:styleId="920" w:customStyle="1">
    <w:name w:val="正文文本缩进 Char1"/>
    <w:uiPriority w:val="99"/>
    <w:qFormat/>
    <w:rPr>
      <w:rFonts w:ascii="Times New Roman" w:hAnsi="Times New Roman" w:eastAsia="宋体" w:cs="Times New Roman"/>
      <w:szCs w:val="20"/>
    </w:rPr>
  </w:style>
  <w:style w:type="character" w:styleId="921" w:customStyle="1">
    <w:name w:val="15"/>
    <w:uiPriority w:val="0"/>
    <w:qFormat/>
    <w:rPr>
      <w:rFonts w:ascii="Times New Roman" w:hAnsi="Times New Roman" w:cs="Times New Roman"/>
    </w:rPr>
  </w:style>
  <w:style w:type="character" w:styleId="922" w:customStyle="1">
    <w:name w:val="正文文本缩进 2 Char1"/>
    <w:uiPriority w:val="99"/>
    <w:qFormat/>
    <w:rPr>
      <w:rFonts w:ascii="Times New Roman" w:hAnsi="Times New Roman" w:eastAsia="宋体" w:cs="Times New Roman"/>
      <w:szCs w:val="20"/>
    </w:rPr>
  </w:style>
  <w:style w:type="character" w:styleId="923" w:customStyle="1">
    <w:name w:val="日期 Char1"/>
    <w:uiPriority w:val="99"/>
    <w:qFormat/>
    <w:rPr>
      <w:rFonts w:ascii="Times New Roman" w:hAnsi="Times New Roman" w:eastAsia="宋体" w:cs="Times New Roman"/>
      <w:szCs w:val="20"/>
    </w:rPr>
  </w:style>
  <w:style w:type="character" w:styleId="924" w:customStyle="1">
    <w:name w:val="正文文本缩进 3 Char1"/>
    <w:uiPriority w:val="99"/>
    <w:qFormat/>
    <w:rPr>
      <w:rFonts w:ascii="Times New Roman" w:hAnsi="Times New Roman" w:eastAsia="宋体" w:cs="Times New Roman"/>
      <w:sz w:val="16"/>
      <w:szCs w:val="16"/>
    </w:rPr>
  </w:style>
  <w:style w:type="paragraph" w:styleId="925">
    <w:name w:val="List Paragraph"/>
    <w:basedOn w:val="668"/>
    <w:uiPriority w:val="0"/>
    <w:qFormat/>
    <w:pPr>
      <w:ind w:firstLine="420"/>
    </w:pPr>
    <w:rPr>
      <w:szCs w:val="21"/>
    </w:rPr>
  </w:style>
  <w:style w:type="paragraph" w:styleId="926" w:customStyle="1">
    <w:name w:val="普通文字"/>
    <w:basedOn w:val="668"/>
    <w:next w:val="668"/>
    <w:uiPriority w:val="0"/>
    <w:qFormat/>
    <w:rPr>
      <w:rFonts w:ascii="宋体"/>
      <w:sz w:val="24"/>
    </w:rPr>
  </w:style>
  <w:style w:type="paragraph" w:styleId="927" w:customStyle="1">
    <w:name w:val="样式 小四 段前: 5 磅 段后: 5 磅 首行缩进:  2 字符"/>
    <w:basedOn w:val="668"/>
    <w:uiPriority w:val="0"/>
    <w:qFormat/>
    <w:pPr>
      <w:jc w:val="center"/>
      <w:spacing w:line="360" w:lineRule="auto"/>
    </w:pPr>
    <w:rPr>
      <w:rFonts w:ascii="宋体" w:hAnsi="宋体"/>
      <w:bCs/>
      <w:color w:val="ff0000"/>
      <w:sz w:val="24"/>
      <w:szCs w:val="24"/>
    </w:rPr>
  </w:style>
  <w:style w:type="paragraph" w:styleId="928" w:customStyle="1">
    <w:name w:val="列出段落1"/>
    <w:basedOn w:val="668"/>
    <w:uiPriority w:val="0"/>
    <w:qFormat/>
    <w:pPr>
      <w:ind w:firstLine="420"/>
    </w:pPr>
    <w:rPr>
      <w:szCs w:val="24"/>
    </w:rPr>
  </w:style>
  <w:style w:type="paragraph" w:styleId="929" w:customStyle="1">
    <w:name w:val="段"/>
    <w:next w:val="668"/>
    <w:uiPriority w:val="0"/>
    <w:qFormat/>
    <w:pPr>
      <w:ind w:firstLine="200"/>
      <w:jc w:val="both"/>
    </w:pPr>
    <w:rPr>
      <w:rFonts w:hint="default" w:ascii="宋体" w:hAnsi="Times New Roman" w:eastAsia="宋体" w:cs="Times New Roman"/>
      <w:sz w:val="21"/>
      <w:lang w:val="en-US" w:eastAsia="zh-CN" w:bidi="ar-SA"/>
    </w:rPr>
  </w:style>
  <w:style w:type="paragraph" w:styleId="93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3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32" w:customStyle="1">
    <w:name w:val="Other|1"/>
    <w:basedOn w:val="668"/>
    <w:uiPriority w:val="0"/>
    <w:qFormat/>
    <w:pPr>
      <w:ind w:firstLine="220"/>
    </w:pPr>
    <w:rPr>
      <w:rFonts w:ascii="宋体" w:hAnsi="宋体" w:cs="宋体"/>
      <w:sz w:val="20"/>
      <w:lang w:val="zh-TW" w:eastAsia="zh-TW" w:bidi="zh-TW"/>
    </w:rPr>
  </w:style>
  <w:style w:type="character" w:styleId="933" w:customStyle="1">
    <w:name w:val="font11"/>
    <w:basedOn w:val="674"/>
    <w:uiPriority w:val="0"/>
    <w:qFormat/>
    <w:rPr>
      <w:rFonts w:hint="eastAsia" w:ascii="宋体" w:hAnsi="宋体" w:eastAsia="宋体" w:cs="宋体"/>
      <w:color w:val="333333"/>
      <w:sz w:val="20"/>
      <w:szCs w:val="20"/>
      <w:u w:val="none"/>
    </w:rPr>
  </w:style>
  <w:style w:type="paragraph" w:styleId="934" w:customStyle="1">
    <w:name w:val="纯文本1"/>
    <w:basedOn w:val="668"/>
    <w:uiPriority w:val="0"/>
    <w:qFormat/>
    <w:rPr>
      <w:rFonts w:ascii="宋体" w:hAnsi="Courier New" w:eastAsia="楷体_GB2312"/>
      <w:sz w:val="26"/>
    </w:rPr>
  </w:style>
  <w:style w:type="character" w:styleId="935" w:customStyle="1">
    <w:name w:val="font21"/>
    <w:uiPriority w:val="0"/>
    <w:qFormat/>
    <w:rPr>
      <w:rFonts w:hint="eastAsia" w:ascii="宋体" w:hAnsi="宋体" w:eastAsia="宋体" w:cs="宋体"/>
      <w:color w:val="000000"/>
      <w:sz w:val="20"/>
      <w:szCs w:val="20"/>
      <w:u w:val="none"/>
    </w:rPr>
  </w:style>
  <w:style w:type="character" w:styleId="936" w:customStyle="1">
    <w:name w:val="font01"/>
    <w:uiPriority w:val="0"/>
    <w:qFormat/>
    <w:rPr>
      <w:rFonts w:ascii="Tahoma" w:hAnsi="Tahoma" w:eastAsia="Tahoma" w:cs="Tahoma"/>
      <w:color w:val="333333"/>
      <w:sz w:val="20"/>
      <w:szCs w:val="20"/>
      <w:u w:val="none"/>
    </w:rPr>
  </w:style>
  <w:style w:type="paragraph" w:styleId="937" w:customStyle="1">
    <w:name w:val="列出段落2"/>
    <w:basedOn w:val="668"/>
    <w:uiPriority w:val="34"/>
    <w:qFormat/>
    <w:pPr>
      <w:ind w:firstLine="420"/>
    </w:pPr>
  </w:style>
  <w:style w:type="paragraph" w:styleId="938" w:customStyle="1">
    <w:name w:val="正文文本2"/>
    <w:basedOn w:val="668"/>
    <w:next w:val="939"/>
    <w:uiPriority w:val="0"/>
    <w:qFormat/>
    <w:rPr>
      <w:rFonts w:ascii="华文中宋" w:eastAsia="华文中宋"/>
      <w:bCs/>
      <w:sz w:val="28"/>
    </w:rPr>
  </w:style>
  <w:style w:type="paragraph" w:styleId="939" w:customStyle="1">
    <w:name w:val="列表项目符号 51"/>
    <w:basedOn w:val="668"/>
    <w:uiPriority w:val="0"/>
    <w:qFormat/>
    <w:pPr>
      <w:ind w:left="2040" w:hanging="360"/>
      <w:spacing w:line="360" w:lineRule="exact"/>
      <w:widowControl/>
      <w:tabs>
        <w:tab w:val="left" w:pos="2040" w:leader="none"/>
      </w:tabs>
    </w:pPr>
    <w:rPr>
      <w:rFonts w:eastAsia="楷体_GB2312"/>
      <w:sz w:val="24"/>
    </w:rPr>
  </w:style>
  <w:style w:type="paragraph" w:styleId="940" w:customStyle="1">
    <w:name w:val="页脚1"/>
    <w:basedOn w:val="668"/>
    <w:next w:val="668"/>
    <w:uiPriority w:val="99"/>
    <w:qFormat/>
    <w:pPr>
      <w:jc w:val="left"/>
      <w:tabs>
        <w:tab w:val="center" w:pos="4153" w:leader="none"/>
        <w:tab w:val="right" w:pos="8306" w:leader="none"/>
      </w:tabs>
    </w:pPr>
    <w:rPr>
      <w:sz w:val="18"/>
      <w:szCs w:val="18"/>
    </w:rPr>
  </w:style>
  <w:style w:type="character" w:styleId="941" w:customStyle="1">
    <w:name w:val="font51"/>
    <w:basedOn w:val="674"/>
    <w:uiPriority w:val="0"/>
    <w:qFormat/>
    <w:rPr>
      <w:rFonts w:hint="eastAsia" w:ascii="宋体" w:hAnsi="宋体" w:eastAsia="宋体" w:cs="宋体"/>
      <w:color w:val="ff0000"/>
      <w:sz w:val="22"/>
      <w:szCs w:val="22"/>
      <w:u w:val="none"/>
    </w:rPr>
  </w:style>
  <w:style w:type="character" w:styleId="942" w:customStyle="1">
    <w:name w:val="font41"/>
    <w:basedOn w:val="674"/>
    <w:uiPriority w:val="0"/>
    <w:qFormat/>
    <w:rPr>
      <w:rFonts w:hint="eastAsia" w:ascii="宋体" w:hAnsi="宋体" w:eastAsia="宋体" w:cs="宋体"/>
      <w:color w:val="000000"/>
      <w:sz w:val="21"/>
      <w:szCs w:val="21"/>
      <w:u w:val="none"/>
    </w:rPr>
  </w:style>
  <w:style w:type="numbering" w:styleId="148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11</cp:revision>
  <dcterms:created xsi:type="dcterms:W3CDTF">2024-07-29T10:25:00Z</dcterms:created>
  <dcterms:modified xsi:type="dcterms:W3CDTF">2025-03-05T05:07:58Z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4441ff8e6d5b410faa9a047a93beee98_23</vt:lpwstr>
  </property>
  <property fmtid="{D5CDD505-2E9C-101B-9397-08002B2CF9AE}" pid="4" name="KSOTemplateDocerSaveRecord">
    <vt:lpwstr>eyJoZGlkIjoiZGRiZWYzNTkzYmEwYTZmYjk3ZGQ3OGQwNTA0ZmI1YWIiLCJ1c2VySWQiOiIxMDI1MzcwNjcwIn0=</vt:lpwstr>
  </property>
</Properties>
</file>