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865"/>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865"/>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p>
    <w:p>
      <w:pPr>
        <w:pStyle w:val="86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86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865"/>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777"/>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JSZC-320200-JZCG-G2024-0224</w:t>
      </w:r>
      <w:r>
        <w:rPr>
          <w:rFonts w:ascii="黑体" w:hAnsi="华文中宋" w:eastAsia="黑体"/>
          <w:bCs/>
          <w:color w:val="auto"/>
          <w:sz w:val="32"/>
          <w:szCs w:val="32"/>
          <w:highlight w:val="none"/>
        </w:rPr>
      </w:r>
      <w:r>
        <w:rPr>
          <w:color w:val="auto"/>
          <w:highlight w:val="none"/>
        </w:rPr>
      </w:r>
    </w:p>
    <w:p>
      <w:pPr>
        <w:pStyle w:val="777"/>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无锡市自然资源和规划局机房信息化设备维护项目</w:t>
      </w:r>
      <w:r>
        <w:rPr>
          <w:rFonts w:hint="eastAsia" w:ascii="黑体" w:hAnsi="华文中宋" w:eastAsia="黑体"/>
          <w:bCs/>
          <w:color w:val="auto"/>
          <w:sz w:val="32"/>
          <w:szCs w:val="32"/>
          <w:highlight w:val="none"/>
        </w:rPr>
      </w:r>
      <w:r>
        <w:rPr>
          <w:color w:val="auto"/>
          <w:highlight w:val="none"/>
        </w:rPr>
      </w:r>
    </w:p>
    <w:p>
      <w:pPr>
        <w:pStyle w:val="777"/>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无锡市自然资源和规划局</w:t>
      </w:r>
      <w:r>
        <w:rPr>
          <w:rFonts w:hint="eastAsia" w:ascii="黑体" w:hAnsi="华文中宋" w:eastAsia="黑体"/>
          <w:bCs/>
          <w:color w:val="auto"/>
          <w:sz w:val="32"/>
          <w:szCs w:val="32"/>
          <w:highlight w:val="none"/>
        </w:rPr>
      </w:r>
      <w:r>
        <w:rPr>
          <w:color w:val="auto"/>
          <w:highlight w:val="none"/>
        </w:rPr>
      </w:r>
    </w:p>
    <w:p>
      <w:pPr>
        <w:pStyle w:val="777"/>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8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8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8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865"/>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86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四</w:t>
      </w:r>
      <w:r>
        <w:rPr>
          <w:rFonts w:hint="eastAsia" w:ascii="黑体" w:hAnsi="华文中宋" w:eastAsia="黑体"/>
          <w:bCs/>
          <w:color w:val="auto"/>
          <w:sz w:val="32"/>
          <w:szCs w:val="32"/>
          <w:highlight w:val="none"/>
        </w:rPr>
        <w:t xml:space="preserve">年十一月</w:t>
      </w:r>
      <w:r>
        <w:rPr>
          <w:rFonts w:ascii="黑体" w:hAnsi="华文中宋" w:eastAsia="黑体"/>
          <w:bCs/>
          <w:color w:val="auto"/>
          <w:sz w:val="32"/>
          <w:szCs w:val="32"/>
          <w:highlight w:val="none"/>
        </w:rPr>
      </w:r>
      <w:r>
        <w:rPr>
          <w:color w:val="auto"/>
          <w:highlight w:val="none"/>
        </w:rPr>
      </w:r>
    </w:p>
    <w:p>
      <w:pPr>
        <w:pStyle w:val="865"/>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777"/>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777"/>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777"/>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777"/>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777"/>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777"/>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777"/>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777"/>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777"/>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无锡市自然资源和规划局</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无锡市自然资源和规划局机房信息化设备维护项目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JSZC-320200-JZCG-G2024-0224</w:t>
      </w:r>
      <w:r>
        <w:rPr>
          <w:rFonts w:hint="eastAsia" w:ascii="宋体" w:hAnsi="宋体"/>
          <w:color w:val="auto"/>
          <w:sz w:val="24"/>
          <w:szCs w:val="24"/>
          <w:highlight w:val="none"/>
        </w:rPr>
        <w:t xml:space="preserve">）进行公开招标采购，欢迎符合条件的供应商投标。</w:t>
      </w:r>
      <w:r>
        <w:rPr>
          <w:rFonts w:ascii="宋体" w:hAnsi="宋体"/>
          <w:color w:val="auto"/>
          <w:sz w:val="24"/>
          <w:szCs w:val="24"/>
          <w:highlight w:val="none"/>
          <w:shd w:val="clear" w:color="ffffff" w:fill="d9d9d9"/>
        </w:rPr>
      </w:r>
      <w:r>
        <w:rPr>
          <w:color w:val="auto"/>
          <w:highlight w:val="none"/>
        </w:rPr>
      </w:r>
    </w:p>
    <w:p>
      <w:pPr>
        <w:pStyle w:val="777"/>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777"/>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无锡市自然资源和规划局机房信息化设备维护项目</w:t>
      </w:r>
      <w:r>
        <w:rPr>
          <w:rFonts w:hint="eastAsia" w:ascii="宋体" w:hAnsi="宋体"/>
          <w:color w:val="auto"/>
          <w:sz w:val="24"/>
          <w:szCs w:val="24"/>
          <w:highlight w:val="none"/>
        </w:rPr>
        <w:t xml:space="preserve">采购项目的潜在投标人应在</w:t>
      </w:r>
      <w:r>
        <w:rPr>
          <w:rFonts w:hint="eastAsia" w:ascii="宋体" w:hAnsi="宋体"/>
          <w:color w:val="auto"/>
          <w:sz w:val="24"/>
          <w:szCs w:val="24"/>
          <w:highlight w:val="none"/>
        </w:rPr>
        <w:t xml:space="preserve">“无锡政府采购网”“江苏政府采购网”自行浏览招标文件，如有投标意向须在本招标文件有效获取期内通过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4年</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1月22</w:t>
      </w:r>
      <w:r>
        <w:rPr>
          <w:rFonts w:hint="eastAsia" w:ascii="宋体" w:hAnsi="宋体"/>
          <w:color w:val="auto"/>
          <w:sz w:val="24"/>
          <w:szCs w:val="24"/>
          <w:highlight w:val="none"/>
        </w:rPr>
        <w:t xml:space="preserve">日0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780"/>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JSZC-320200-JZCG-G2024-0224</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无锡市自然资源和规划局机房信息化设备维护项目</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162.3</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162.3</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780"/>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777"/>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78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777"/>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p>
    <w:p>
      <w:pPr>
        <w:pStyle w:val="777"/>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bCs/>
          <w:color w:val="auto"/>
          <w:sz w:val="24"/>
          <w:szCs w:val="24"/>
          <w:highlight w:val="none"/>
        </w:rPr>
      </w:r>
      <w:r>
        <w:rPr>
          <w:color w:val="auto"/>
          <w:highlight w:val="none"/>
        </w:rPr>
      </w:r>
    </w:p>
    <w:p>
      <w:pPr>
        <w:pStyle w:val="777"/>
        <w:ind w:firstLine="540"/>
        <w:spacing w:line="500" w:lineRule="exact"/>
        <w:rPr>
          <w:rStyle w:val="854"/>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854"/>
          <w:color w:val="auto"/>
          <w:highlight w:val="none"/>
        </w:rPr>
      </w:r>
      <w:r>
        <w:rPr>
          <w:color w:val="auto"/>
          <w:highlight w:val="none"/>
        </w:rPr>
      </w:r>
    </w:p>
    <w:p>
      <w:pPr>
        <w:pStyle w:val="777"/>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78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4年</w:t>
      </w:r>
      <w:r>
        <w:rPr>
          <w:rFonts w:hint="eastAsia" w:ascii="宋体" w:hAnsi="宋体"/>
          <w:bCs/>
          <w:color w:val="auto"/>
          <w:sz w:val="24"/>
          <w:szCs w:val="24"/>
          <w:highlight w:val="none"/>
        </w:rPr>
        <w:t xml:space="preserve">11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rPr>
        <w:t xml:space="preserve">22</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p>
    <w:p>
      <w:pPr>
        <w:pStyle w:val="777"/>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780"/>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78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780"/>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无锡市自然资源和规划局</w:t>
      </w:r>
      <w:r>
        <w:rPr>
          <w:rFonts w:ascii="宋体" w:hAnsi="宋体" w:cs="宋体"/>
          <w:color w:val="auto"/>
          <w:sz w:val="24"/>
          <w:szCs w:val="24"/>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无锡市文华路199号</w:t>
      </w:r>
      <w:r>
        <w:rPr>
          <w:rFonts w:ascii="宋体" w:hAnsi="宋体" w:cs="宋体"/>
          <w:color w:val="auto"/>
          <w:sz w:val="24"/>
          <w:szCs w:val="24"/>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777"/>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王元元</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85726091</w:t>
      </w:r>
      <w:r>
        <w:rPr>
          <w:rFonts w:hint="eastAsia" w:ascii="宋体" w:hAnsi="宋体" w:cs="宋体"/>
          <w:color w:val="auto"/>
          <w:sz w:val="24"/>
          <w:szCs w:val="24"/>
          <w:highlight w:val="none"/>
        </w:rPr>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王元元</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85726091</w:t>
      </w:r>
      <w:r>
        <w:rPr>
          <w:rFonts w:hint="eastAsia" w:ascii="宋体" w:hAnsi="宋体" w:cs="宋体"/>
          <w:color w:val="auto"/>
          <w:sz w:val="24"/>
          <w:szCs w:val="24"/>
          <w:highlight w:val="none"/>
        </w:rPr>
      </w:r>
      <w:r>
        <w:rPr>
          <w:color w:val="auto"/>
          <w:highlight w:val="none"/>
        </w:rPr>
      </w:r>
    </w:p>
    <w:p>
      <w:pPr>
        <w:pStyle w:val="777"/>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78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777"/>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777"/>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777"/>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777"/>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p>
    <w:p>
      <w:pPr>
        <w:pStyle w:val="777"/>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shd w:val="clear" w:color="ffffff" w:fill="d9d9d9"/>
        </w:rPr>
      </w:r>
      <w:r>
        <w:rPr>
          <w:color w:val="auto"/>
          <w:highlight w:val="none"/>
        </w:rPr>
      </w:r>
    </w:p>
    <w:p>
      <w:pPr>
        <w:pStyle w:val="777"/>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777"/>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w:t>
      </w:r>
      <w:r>
        <w:rPr>
          <w:rFonts w:hint="eastAsia" w:ascii="宋体" w:hAnsi="宋体"/>
          <w:color w:val="auto"/>
          <w:sz w:val="24"/>
          <w:highlight w:val="none"/>
        </w:rPr>
        <w:t xml:space="preserve">，</w:t>
      </w:r>
      <w:r>
        <w:rPr>
          <w:rFonts w:hint="eastAsia" w:ascii="宋体" w:hAnsi="宋体"/>
          <w:color w:val="auto"/>
          <w:sz w:val="24"/>
          <w:highlight w:val="none"/>
        </w:rPr>
        <w:t xml:space="preserve">完整、正确填写投标函、承诺书</w:t>
      </w:r>
      <w:r>
        <w:rPr>
          <w:rFonts w:hint="eastAsia" w:ascii="宋体" w:hAnsi="宋体"/>
          <w:color w:val="auto"/>
          <w:sz w:val="24"/>
          <w:highlight w:val="none"/>
        </w:rPr>
        <w:t xml:space="preserve">；投标人应按照“苏采云”系统中的</w:t>
      </w:r>
      <w:r>
        <w:rPr>
          <w:rFonts w:hint="eastAsia" w:ascii="宋体" w:hAnsi="宋体"/>
          <w:color w:val="auto"/>
          <w:sz w:val="24"/>
          <w:highlight w:val="none"/>
        </w:rPr>
        <w:t xml:space="preserve">给定格式</w:t>
      </w:r>
      <w:r>
        <w:rPr>
          <w:rFonts w:hint="eastAsia" w:ascii="宋体" w:hAnsi="宋体"/>
          <w:color w:val="auto"/>
          <w:sz w:val="24"/>
          <w:highlight w:val="none"/>
        </w:rPr>
        <w:t xml:space="preserve">模块为准，完整、正确填写开标一览表</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777"/>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890"/>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777"/>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rPr>
        <w:t xml:space="preserve">。</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777"/>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rFonts w:hint="eastAsia" w:ascii="宋体" w:hAnsi="宋体"/>
          <w:color w:val="auto"/>
          <w:sz w:val="24"/>
          <w:szCs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777"/>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777"/>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777"/>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777"/>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777"/>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777"/>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777"/>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rFonts w:hint="eastAsia" w:ascii="宋体" w:hAnsi="宋体"/>
          <w:bCs/>
          <w:color w:val="auto"/>
          <w:sz w:val="24"/>
          <w:highlight w:val="none"/>
          <w:shd w:val="clear" w:color="ffffff" w:fill="d9d9d9"/>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highlight w:val="none"/>
        </w:rPr>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777"/>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777"/>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777"/>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777"/>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777"/>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p>
    <w:p>
      <w:pPr>
        <w:pStyle w:val="777"/>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777"/>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77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777"/>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777"/>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777"/>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777"/>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780"/>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777"/>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781"/>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792"/>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p>
    <w:p>
      <w:pPr>
        <w:pStyle w:val="777"/>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777"/>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rFonts w:ascii="宋体" w:hAnsi="宋体"/>
          <w:b/>
          <w:bCs/>
          <w:color w:val="auto"/>
          <w:sz w:val="30"/>
          <w:szCs w:val="20"/>
          <w:highlight w:val="none"/>
        </w:rPr>
      </w:r>
      <w:r>
        <w:rPr>
          <w:color w:val="auto"/>
          <w:highlight w:val="none"/>
        </w:rPr>
      </w:r>
    </w:p>
    <w:p>
      <w:pPr>
        <w:pStyle w:val="816"/>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p>
    <w:p>
      <w:pPr>
        <w:pStyle w:val="816"/>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p>
    <w:p>
      <w:pPr>
        <w:pStyle w:val="816"/>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rFonts w:hint="eastAsia" w:hAnsi="宋体"/>
          <w:color w:val="auto"/>
          <w:sz w:val="24"/>
          <w:szCs w:val="24"/>
          <w:highlight w:val="none"/>
        </w:rPr>
      </w:r>
      <w:r>
        <w:rPr>
          <w:color w:val="auto"/>
          <w:highlight w:val="none"/>
        </w:rPr>
      </w:r>
    </w:p>
    <w:p>
      <w:pPr>
        <w:pStyle w:val="816"/>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rFonts w:hAnsi="宋体"/>
          <w:b/>
          <w:color w:val="auto"/>
          <w:sz w:val="24"/>
          <w:szCs w:val="24"/>
          <w:highlight w:val="none"/>
        </w:rPr>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p>
    <w:p>
      <w:pPr>
        <w:pStyle w:val="816"/>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p>
    <w:p>
      <w:pPr>
        <w:pStyle w:val="816"/>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rFonts w:hAnsi="宋体"/>
          <w:color w:val="auto"/>
          <w:sz w:val="24"/>
          <w:szCs w:val="24"/>
          <w:highlight w:val="none"/>
        </w:rPr>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Ansi="宋体"/>
          <w:color w:val="auto"/>
          <w:sz w:val="24"/>
          <w:szCs w:val="24"/>
          <w:highlight w:val="none"/>
        </w:rPr>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p>
    <w:p>
      <w:pPr>
        <w:pStyle w:val="816"/>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rFonts w:hint="eastAsia" w:hAnsi="宋体"/>
          <w:color w:val="auto"/>
          <w:sz w:val="24"/>
          <w:szCs w:val="24"/>
          <w:highlight w:val="none"/>
        </w:rPr>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p>
    <w:p>
      <w:pPr>
        <w:pStyle w:val="816"/>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p>
    <w:p>
      <w:pPr>
        <w:pStyle w:val="816"/>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rFonts w:hint="eastAsia" w:hAnsi="宋体"/>
          <w:color w:val="auto"/>
          <w:sz w:val="24"/>
          <w:szCs w:val="24"/>
          <w:highlight w:val="none"/>
        </w:rPr>
      </w:r>
      <w:r>
        <w:rPr>
          <w:color w:val="auto"/>
          <w:highlight w:val="none"/>
        </w:rPr>
      </w:r>
    </w:p>
    <w:p>
      <w:pPr>
        <w:pStyle w:val="816"/>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rFonts w:hAnsi="宋体"/>
          <w:color w:val="auto"/>
          <w:sz w:val="24"/>
          <w:szCs w:val="24"/>
          <w:highlight w:val="none"/>
          <w:u w:val="single"/>
        </w:rPr>
      </w:r>
      <w:r>
        <w:rPr>
          <w:color w:val="auto"/>
          <w:highlight w:val="none"/>
        </w:rPr>
      </w:r>
    </w:p>
    <w:p>
      <w:pPr>
        <w:pStyle w:val="816"/>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rFonts w:hAnsi="宋体"/>
          <w:color w:val="auto"/>
          <w:sz w:val="24"/>
          <w:szCs w:val="24"/>
          <w:highlight w:val="none"/>
          <w:u w:val="single"/>
        </w:rPr>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p>
    <w:p>
      <w:pPr>
        <w:pStyle w:val="816"/>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p>
    <w:p>
      <w:pPr>
        <w:pStyle w:val="816"/>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rFonts w:hAnsi="宋体"/>
          <w:color w:val="auto"/>
          <w:sz w:val="24"/>
          <w:szCs w:val="24"/>
          <w:highlight w:val="none"/>
        </w:rPr>
      </w:r>
      <w:r>
        <w:rPr>
          <w:color w:val="auto"/>
          <w:highlight w:val="none"/>
        </w:rPr>
      </w:r>
    </w:p>
    <w:p>
      <w:pPr>
        <w:pStyle w:val="777"/>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777"/>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777"/>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rFonts w:hint="eastAsia" w:ascii="宋体" w:hAnsi="宋体"/>
          <w:color w:val="auto"/>
          <w:sz w:val="24"/>
          <w:szCs w:val="24"/>
          <w:highlight w:val="none"/>
        </w:rPr>
      </w:r>
      <w:r>
        <w:rPr>
          <w:color w:val="auto"/>
          <w:highlight w:val="none"/>
        </w:rPr>
      </w:r>
    </w:p>
    <w:p>
      <w:pPr>
        <w:pStyle w:val="777"/>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rFonts w:ascii="宋体" w:hAnsi="宋体" w:eastAsia="仿宋_GB2312"/>
          <w:color w:val="auto"/>
          <w:sz w:val="24"/>
          <w:szCs w:val="24"/>
          <w:highlight w:val="none"/>
        </w:rPr>
      </w:r>
      <w:r>
        <w:rPr>
          <w:color w:val="auto"/>
          <w:highlight w:val="none"/>
        </w:rPr>
      </w:r>
    </w:p>
    <w:p>
      <w:pPr>
        <w:pStyle w:val="816"/>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p>
    <w:p>
      <w:pPr>
        <w:pStyle w:val="816"/>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尾款支付时间：服务结束并验收合格,采购人收到发票后</w:t>
      </w:r>
      <w:r>
        <w:rPr>
          <w:rFonts w:hint="eastAsia" w:hAnsi="宋体"/>
          <w:color w:val="auto"/>
          <w:sz w:val="24"/>
          <w:szCs w:val="24"/>
          <w:highlight w:val="none"/>
          <w:lang w:eastAsia="zh-CN"/>
        </w:rPr>
        <w:t xml:space="preserve">10个工作日</w:t>
      </w:r>
      <w:r>
        <w:rPr>
          <w:rFonts w:hint="eastAsia" w:hAnsi="宋体"/>
          <w:color w:val="auto"/>
          <w:sz w:val="24"/>
          <w:szCs w:val="24"/>
          <w:highlight w:val="none"/>
        </w:rPr>
        <w:t xml:space="preserve">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816"/>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auto"/>
          <w:sz w:val="24"/>
          <w:szCs w:val="24"/>
          <w:highlight w:val="none"/>
        </w:rPr>
        <w:t xml:space="preserve">如</w:t>
      </w:r>
      <w:r>
        <w:rPr>
          <w:rFonts w:hint="eastAsia" w:hAnsi="宋体"/>
          <w:bCs/>
          <w:color w:val="auto"/>
          <w:sz w:val="24"/>
          <w:szCs w:val="24"/>
          <w:highlight w:val="none"/>
        </w:rPr>
        <w:t xml:space="preserve">供应商明确表示无需预付款或者主动要求降低预付款比例的，采购人可不适用前述规定。）</w:t>
      </w:r>
      <w:r>
        <w:rPr>
          <w:rFonts w:hint="eastAsia" w:hAnsi="宋体"/>
          <w:bCs/>
          <w:color w:val="auto"/>
          <w:sz w:val="24"/>
          <w:szCs w:val="24"/>
          <w:highlight w:val="none"/>
        </w:rPr>
      </w:r>
      <w:r>
        <w:rPr>
          <w:color w:val="auto"/>
          <w:highlight w:val="none"/>
        </w:rPr>
      </w:r>
    </w:p>
    <w:p>
      <w:pPr>
        <w:pStyle w:val="777"/>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777"/>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rFonts w:hAnsi="宋体"/>
          <w:b/>
          <w:color w:val="auto"/>
          <w:sz w:val="24"/>
          <w:szCs w:val="24"/>
          <w:highlight w:val="none"/>
        </w:rPr>
      </w:r>
      <w:r>
        <w:rPr>
          <w:color w:val="auto"/>
          <w:highlight w:val="none"/>
        </w:rPr>
      </w:r>
    </w:p>
    <w:p>
      <w:pPr>
        <w:pStyle w:val="816"/>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p>
    <w:p>
      <w:pPr>
        <w:pStyle w:val="816"/>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p>
    <w:p>
      <w:pPr>
        <w:pStyle w:val="816"/>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p>
    <w:p>
      <w:pPr>
        <w:pStyle w:val="816"/>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p>
    <w:p>
      <w:pPr>
        <w:pStyle w:val="816"/>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p>
    <w:p>
      <w:pPr>
        <w:pStyle w:val="816"/>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p>
    <w:p>
      <w:pPr>
        <w:pStyle w:val="816"/>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rFonts w:hint="eastAsia"/>
          <w:color w:val="auto"/>
          <w:highlight w:val="none"/>
        </w:rPr>
      </w:r>
      <w:r>
        <w:rPr>
          <w:color w:val="auto"/>
          <w:highlight w:val="none"/>
        </w:rPr>
      </w:r>
    </w:p>
    <w:p>
      <w:pPr>
        <w:pStyle w:val="777"/>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sz w:val="24"/>
          <w:szCs w:val="24"/>
          <w:highlight w:val="none"/>
        </w:rPr>
      </w:r>
      <w:r>
        <w:rPr>
          <w:color w:val="auto"/>
          <w:highlight w:val="none"/>
        </w:rPr>
      </w:r>
    </w:p>
    <w:p>
      <w:pPr>
        <w:pStyle w:val="777"/>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hAnsi="宋体"/>
          <w:color w:val="auto"/>
          <w:sz w:val="36"/>
          <w:szCs w:val="36"/>
          <w:highlight w:val="none"/>
        </w:rPr>
      </w:r>
      <w:r>
        <w:rPr>
          <w:color w:val="auto"/>
          <w:highlight w:val="none"/>
        </w:rPr>
      </w:r>
    </w:p>
    <w:p>
      <w:pPr>
        <w:pStyle w:val="777"/>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p>
    <w:p>
      <w:pPr>
        <w:pStyle w:val="777"/>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p>
    <w:p>
      <w:pPr>
        <w:pStyle w:val="777"/>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p>
    <w:p>
      <w:pPr>
        <w:pStyle w:val="777"/>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1.项目概况</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维保清单内的设备是在不同时间段内购置的，目前信息系统的软、硬件设备主要分布在本部机房和弱电间内，设备类型包括服务器、磁盘阵列、安全设备、交换机、虚拟化平台、UPS、精密空调等，为单位信息系统的运行提供信息基础保障。本次要求在1年服务期内，提供维护清单内的设备质保、安全设备特征库升级、信息系统运行保障（维护清单内设备及终端PC等）、网络安全服务、智能监测与预警等服务，确保采购单位设备和各项系统7*24小时正常运行。</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单位现有“自然资源规划一体化平台（信息安全等级保护备案三级）”、“电子政务云平台”、“不动产登记信息管理平台（信息安全等级保护备案三级）”等重要信息系统，网络分为业务专网和政务外网。机房位于运河东路199号12楼，现有办公区两处，分别位于运河东路199号和市民中心10号楼，两处办公区现有电脑终端约500台、打印机外设等约180台。</w:t>
      </w:r>
      <w:r>
        <w:rPr>
          <w:color w:val="auto"/>
          <w:highlight w:val="none"/>
        </w:rPr>
      </w:r>
    </w:p>
    <w:p>
      <w:pPr>
        <w:pStyle w:val="777"/>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2.技术要求</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中标供应商提供采购单位所有的现正在使用的机房信息化软硬件产品(具体清单见附件一)及维护期内采购单位新增计算机软硬件产品的一年维护及技术支持，确保采购单位设备和各项系统7*24小时正常运行。</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总体要求如下：</w:t>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中标供应商硬件维护、保修的范围包括对清单所列硬件产品，在维护期内当设备发生故障后，均由中标供应商提供专业工程师上门免费维修及备件更换服务；</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中标供应商必须协助采购单位完成数据中心关联的网络系统、容灾系统、安全系统等整体规划，并在维护期内不断加以补充与完善；</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中标供应商必须协助采购单位完成维护期内业务应用系统的升级改造，协助软件开发单位严格按照相关管理要求进行部署；</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中标供应商软件维护的范围包括采购单位机房内的设备操作系统、数据库系统等，出现问题均由中标供应商负责恢复至正常状态；</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中标供应商保证采购单位计算机信息系统全年</w:t>
      </w:r>
      <w:r>
        <w:rPr>
          <w:rFonts w:ascii="宋体" w:hAnsi="宋体"/>
          <w:bCs/>
          <w:color w:val="auto"/>
          <w:sz w:val="24"/>
          <w:szCs w:val="24"/>
          <w:highlight w:val="none"/>
        </w:rPr>
        <w:t xml:space="preserve">7*24</w:t>
      </w:r>
      <w:r>
        <w:rPr>
          <w:rFonts w:hint="eastAsia" w:ascii="宋体" w:hAnsi="宋体"/>
          <w:bCs/>
          <w:color w:val="auto"/>
          <w:sz w:val="24"/>
          <w:szCs w:val="24"/>
          <w:highlight w:val="none"/>
        </w:rPr>
        <w:t xml:space="preserve">小时安全、稳定、高效运行。在接到采购单位故障报修电话后，中标供应商维护工程师在采购单位工作时间必须立即响应并在</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分钟内达到故障现场（不仅限于机房和办公区）排查原因，非工作时间接到采购单位故障报修电话后应立即响应并在</w:t>
      </w: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分钟内达到现场排查原因；如到达现场维护人员无法解决的，即刻派相关技术专家到现场解决，并要求</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小时内到达现场，到达现场后</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小时内恢复，保证系统能够正常运行；如仍无法解决的，应提供同等性能的备机以确保采购单位信息系统的正常运行；返修设备需在</w:t>
      </w:r>
      <w:r>
        <w:rPr>
          <w:rFonts w:ascii="宋体" w:hAnsi="宋体"/>
          <w:bCs/>
          <w:color w:val="auto"/>
          <w:sz w:val="24"/>
          <w:szCs w:val="24"/>
          <w:highlight w:val="none"/>
        </w:rPr>
        <w:t xml:space="preserve">15</w:t>
      </w:r>
      <w:r>
        <w:rPr>
          <w:rFonts w:hint="eastAsia" w:ascii="宋体" w:hAnsi="宋体"/>
          <w:bCs/>
          <w:color w:val="auto"/>
          <w:sz w:val="24"/>
          <w:szCs w:val="24"/>
          <w:highlight w:val="none"/>
        </w:rPr>
        <w:t xml:space="preserve">日内（服务期结束时间小于15日的相应顺延）返回并替换备机，如返修设备未及时返回的，备机将不予退还并转移为采购单位的日常备品备件，原维修设备在1个月内仍未回的，采购单位保留追回设备的权利；</w:t>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中标供应商需根据维护清单的设备，在供应商单位建立备品备件库，以满足本项目的维修需要；</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中标供应商需为维护清单内带有特征库升级的安全设备提供升级服务，确保维护期内所有特征库保持最新，以满足网络安全的防护需要；</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中标供应商需在一年维护期内，针对信息系统提供基线核查、漏洞扫描、人工渗透测试等安全服务，并出具相应安全报告，协助处理报告中提出的安全问题；</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中标供应商上门服务的维护工程师须具备一定的技术响应能力，</w:t>
      </w:r>
      <w:r>
        <w:rPr>
          <w:rFonts w:hint="eastAsia" w:ascii="宋体" w:hAnsi="宋体"/>
          <w:bCs/>
          <w:color w:val="auto"/>
          <w:sz w:val="24"/>
          <w:szCs w:val="24"/>
          <w:highlight w:val="none"/>
        </w:rPr>
        <w:t xml:space="preserve">维护工程师在全年每个工作日针对两处办公区各被维护系统提供上门巡检服务，出具巡检报告，直至采购人同意后方可离开。</w:t>
      </w:r>
      <w:r>
        <w:rPr>
          <w:rFonts w:hint="eastAsia" w:ascii="宋体" w:hAnsi="宋体"/>
          <w:bCs/>
          <w:color w:val="auto"/>
          <w:sz w:val="24"/>
          <w:szCs w:val="24"/>
          <w:highlight w:val="none"/>
        </w:rPr>
        <w:t xml:space="preserve">机房和办公区需保证在上述要求的故障响应时间内到达，为保证问题解决后的稳定性，到达现场的工程师须做好全天候的现场日常保障服务工</w:t>
      </w:r>
      <w:r>
        <w:rPr>
          <w:rFonts w:hint="eastAsia" w:ascii="宋体" w:hAnsi="宋体"/>
          <w:bCs/>
          <w:color w:val="auto"/>
          <w:sz w:val="24"/>
          <w:szCs w:val="24"/>
          <w:highlight w:val="none"/>
        </w:rPr>
        <w:t xml:space="preserve">作，直至采购人同意离开为止。</w:t>
      </w:r>
      <w:r>
        <w:rPr>
          <w:rFonts w:hint="eastAsia" w:ascii="宋体" w:hAnsi="宋体"/>
          <w:bCs/>
          <w:color w:val="auto"/>
          <w:sz w:val="24"/>
          <w:szCs w:val="24"/>
          <w:highlight w:val="none"/>
        </w:rPr>
        <w:t xml:space="preserve">中标供应商</w:t>
      </w:r>
      <w:r>
        <w:rPr>
          <w:rFonts w:hint="eastAsia" w:ascii="宋体" w:hAnsi="宋体"/>
          <w:bCs/>
          <w:color w:val="auto"/>
          <w:sz w:val="24"/>
          <w:szCs w:val="24"/>
          <w:highlight w:val="none"/>
        </w:rPr>
        <w:t xml:space="preserve">应保证中标后</w:t>
      </w:r>
      <w:r>
        <w:rPr>
          <w:rFonts w:hint="eastAsia" w:ascii="宋体" w:hAnsi="宋体"/>
          <w:bCs/>
          <w:color w:val="auto"/>
          <w:sz w:val="24"/>
          <w:szCs w:val="24"/>
          <w:highlight w:val="none"/>
        </w:rPr>
        <w:t xml:space="preserve">为本项目配备的</w:t>
      </w:r>
      <w:r>
        <w:rPr>
          <w:rFonts w:hint="eastAsia" w:ascii="宋体" w:hAnsi="宋体"/>
          <w:bCs/>
          <w:color w:val="auto"/>
          <w:sz w:val="24"/>
          <w:szCs w:val="24"/>
          <w:highlight w:val="none"/>
        </w:rPr>
        <w:t xml:space="preserve">所有人员须具有中级及以上职称、</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年及以上工作经验。具体要求不低于：终端及外设系统故障问题处理人员须具有终端电脑类工程师认证证书，网络系统故障问题处理人员须具有</w:t>
      </w:r>
      <w:r>
        <w:rPr>
          <w:rFonts w:ascii="宋体" w:hAnsi="宋体"/>
          <w:bCs/>
          <w:color w:val="auto"/>
          <w:sz w:val="24"/>
          <w:szCs w:val="24"/>
          <w:highlight w:val="none"/>
        </w:rPr>
        <w:t xml:space="preserve">HCNP</w:t>
      </w:r>
      <w:r>
        <w:rPr>
          <w:rFonts w:hint="eastAsia" w:ascii="宋体" w:hAnsi="宋体"/>
          <w:bCs/>
          <w:color w:val="auto"/>
          <w:sz w:val="24"/>
          <w:szCs w:val="24"/>
          <w:highlight w:val="none"/>
        </w:rPr>
        <w:t xml:space="preserve">等中级网络工程师认证证书，服务器虚拟化系统故障问题处理人员须具有</w:t>
      </w:r>
      <w:r>
        <w:rPr>
          <w:rFonts w:ascii="宋体" w:hAnsi="宋体"/>
          <w:bCs/>
          <w:color w:val="auto"/>
          <w:sz w:val="24"/>
          <w:szCs w:val="24"/>
          <w:highlight w:val="none"/>
        </w:rPr>
        <w:t xml:space="preserve">VCP</w:t>
      </w:r>
      <w:r>
        <w:rPr>
          <w:rFonts w:hint="eastAsia" w:ascii="宋体" w:hAnsi="宋体"/>
          <w:bCs/>
          <w:color w:val="auto"/>
          <w:sz w:val="24"/>
          <w:szCs w:val="24"/>
          <w:highlight w:val="none"/>
        </w:rPr>
        <w:t xml:space="preserve">虚拟化认证工程师证书，数据库系统故障问题处理人员须具有</w:t>
      </w:r>
      <w:r>
        <w:rPr>
          <w:rFonts w:ascii="宋体" w:hAnsi="宋体"/>
          <w:bCs/>
          <w:color w:val="auto"/>
          <w:sz w:val="24"/>
          <w:szCs w:val="24"/>
          <w:highlight w:val="none"/>
        </w:rPr>
        <w:t xml:space="preserve">OCP/O</w:t>
      </w:r>
      <w:r>
        <w:rPr>
          <w:rFonts w:hint="eastAsia" w:ascii="宋体" w:hAnsi="宋体"/>
          <w:bCs/>
          <w:color w:val="auto"/>
          <w:sz w:val="24"/>
          <w:szCs w:val="24"/>
          <w:highlight w:val="none"/>
        </w:rPr>
        <w:t xml:space="preserve">CM数据库认证工程师证书；</w:t>
      </w:r>
      <w:r>
        <w:rPr>
          <w:color w:val="auto"/>
          <w:highlight w:val="none"/>
        </w:rPr>
      </w:r>
    </w:p>
    <w:p>
      <w:pPr>
        <w:pStyle w:val="777"/>
        <w:numPr>
          <w:ilvl w:val="0"/>
          <w:numId w:val="21"/>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需提供不同专业系统管理经验丰富的运维服务工程师进行周期性维护和故障响应服务，专业领域不仅限于网络系统、服务器系统、虚拟化系统、存储系统、信息安全系统、容灾系统及机房各类基础智能化系统等。要求提供规定响应时间的现场技术支持与服务，同时发生多项故障时需提供多人现场响应服务，以便及时处理各项系统运行中的各种日常问题。运维服务工程师需负责采购单位文华路办公区及机房、市民中心办公区、市民中心机房等所有的网络系统、服务器系统、虚拟化系统、存储系统、信息安全系统、容灾系统、视频会议系统、</w:t>
      </w:r>
      <w:r>
        <w:rPr>
          <w:rFonts w:ascii="宋体" w:hAnsi="宋体"/>
          <w:bCs/>
          <w:color w:val="auto"/>
          <w:sz w:val="24"/>
          <w:szCs w:val="24"/>
          <w:highlight w:val="none"/>
        </w:rPr>
        <w:t xml:space="preserve">UPS</w:t>
      </w:r>
      <w:r>
        <w:rPr>
          <w:rFonts w:hint="eastAsia" w:ascii="宋体" w:hAnsi="宋体"/>
          <w:bCs/>
          <w:color w:val="auto"/>
          <w:sz w:val="24"/>
          <w:szCs w:val="24"/>
          <w:highlight w:val="none"/>
        </w:rPr>
        <w:t xml:space="preserve">不间断电源系统、精密空调系统、环境监控等系统问题处理工作；中标供应商需针对本项目配备项目经理1名，负责项目的总体协调；</w:t>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中标供应商在本项目合同规定维护期内的法定节假日，应根据采购单位的要求安排工程师进行应急保障，做好紧急情况处理工作；</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必须对维护范围内的系统和设备根据采购单位要求进行定期现场巡检（巡检内容见下述详细服务内容）；及时发现采购单位数据中心信息系统存在的隐患与安全漏洞，向采购单位提出书面报告，并协助采购单位解决存在的问题与隐患。以上巡检均需提供巡检单并由采购单位确认巡检结果，作为服务评定结果的依据；</w:t>
      </w:r>
      <w:r>
        <w:rPr>
          <w:rFonts w:ascii="宋体" w:hAnsi="宋体"/>
          <w:bCs/>
          <w:color w:val="auto"/>
          <w:sz w:val="24"/>
          <w:szCs w:val="24"/>
          <w:highlight w:val="none"/>
        </w:rPr>
      </w:r>
      <w:r>
        <w:rPr>
          <w:color w:val="auto"/>
          <w:highlight w:val="none"/>
        </w:rPr>
      </w:r>
    </w:p>
    <w:p>
      <w:pPr>
        <w:pStyle w:val="777"/>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供应商在签订合同后，须在一个月内根据采购单位各系统实际情况，针对每个系统编写人员岗位操作手册及与之对应的系统应急预案，并要求每半年进行一次模拟应急演练测试工作，中标供应商应在模拟演练测试过程中做好系统的各项保障工作。</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详细服务内容：</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信息资产建档</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对采购单位有关信息资产情况不定期进行全面梳理，生成相应的资产统计表、机柜图和系统档案。根据采购单位资产变动情况及时更新、重新统计，确保系统运行维护服务的全面、准确。</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建档内容包括：</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（1）硬件设备品牌、型号、数量、序列号、服务编号、保修日期，BIOS版本，ESM FIRMWARE版本，RAID卡型号，RAID卡firmware版本，RAID卡硬盘配置信息等。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（2）软件产品型号、OS版本和SERVICE PACKAGE情况，数据库版本，应用软件版本，数据及日志大小，存放情况，备份情况。</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（3）网络结构拓扑图、路由信息、IP地址、网络设备配置等信息。</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（4）综合布线系统结构图、机柜图。</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（5）机房环境设备（如专用空调、UPS等）信息。</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（6）数据备份策略和实施计划。</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（7）硬件设备维修记录。</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2.2.2 机房设备维护服务</w:t>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2.2.2.1  </w:t>
      </w:r>
      <w:r>
        <w:rPr>
          <w:rFonts w:hint="eastAsia" w:ascii="宋体" w:hAnsi="宋体"/>
          <w:bCs/>
          <w:color w:val="auto"/>
          <w:sz w:val="24"/>
          <w:szCs w:val="24"/>
          <w:highlight w:val="none"/>
        </w:rPr>
        <w:t xml:space="preserve">存储设备、</w:t>
      </w:r>
      <w:r>
        <w:rPr>
          <w:rFonts w:ascii="宋体" w:hAnsi="宋体"/>
          <w:bCs/>
          <w:color w:val="auto"/>
          <w:sz w:val="24"/>
          <w:szCs w:val="24"/>
          <w:highlight w:val="none"/>
        </w:rPr>
        <w:t xml:space="preserve">PC</w:t>
      </w:r>
      <w:r>
        <w:rPr>
          <w:rFonts w:hint="eastAsia" w:ascii="宋体" w:hAnsi="宋体"/>
          <w:bCs/>
          <w:color w:val="auto"/>
          <w:sz w:val="24"/>
          <w:szCs w:val="24"/>
          <w:highlight w:val="none"/>
        </w:rPr>
        <w:t xml:space="preserve">服务器</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维护工程师在全年每个工作日进行现场巡检，每季度派遣具有存储设备、PC服务器维护经验的资深认证工程师对采购单位的存储设备、PC服务器进行全面现场巡检，确认设备运行状态，检查系统错误记录，排除潜在隐患，以确保业务系统能正常稳定运行。</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2.2.2.2  </w:t>
      </w:r>
      <w:r>
        <w:rPr>
          <w:rFonts w:hint="eastAsia" w:ascii="宋体" w:hAnsi="宋体"/>
          <w:bCs/>
          <w:color w:val="auto"/>
          <w:sz w:val="24"/>
          <w:szCs w:val="24"/>
          <w:highlight w:val="none"/>
        </w:rPr>
        <w:t xml:space="preserve">检查的主要内容包括：</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（1）主机系统硬件各部分检查，实时监控主机电源、风扇的使用情况及主机机箱内部温度，监控主机网卡、阵列卡等硬件状态。定期进行RAID一致性校验，防止潜在的硬盘故障。</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（2）操作系统的检查。</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（3）服务器硬件健康检查、系统性能检查及优化：CPU性能、内存使用情况、硬盘运行状态、硬盘利用情况、系统进程、主机性能、文件系统、主机HA运行状况。</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（4）监控备份服务进程、备份情况（起止时间、是否成功、出错告警）。</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（5）监控记录存储设备及相关联的光纤交换机的设备状态、端口状态、传输速度，以及存储的性能（如高速缓存、光纤通道等）。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（6）对设备运行整体性能检查和评估，提出存储设备扩容及优化的建议；</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（7）协助采购单位进行系统软硬件升级和功能扩展。</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（8）提供定期上门巡检报告。</w:t>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2.2.2.3  </w:t>
      </w:r>
      <w:r>
        <w:rPr>
          <w:rFonts w:hint="eastAsia" w:ascii="宋体" w:hAnsi="宋体"/>
          <w:bCs/>
          <w:color w:val="auto"/>
          <w:sz w:val="24"/>
          <w:szCs w:val="24"/>
          <w:highlight w:val="none"/>
        </w:rPr>
        <w:t xml:space="preserve">安全设备</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安全设备包括交换平台、网闸、负载均衡、漏洞扫描、防火墙（包括UTM、应用防火墙）、入侵检测、日志审计、数据库审计、堡垒机等。中标供应商维护工程师在全年每个工作日进行现场巡检，每季度派遣具有安全设备维护经验的资深认证工程师，对采购单位的安全设备进行全面检测，确认设备运行状态，检查系统错误记录，排除潜在隐患，以确保安全设备能正常稳定运行。并对相关的关键安全设备提供原厂质保服务。检查的主要内容包括：</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（1）对设备进行全面检测，包括安全设备的运行状态的监控，对各种安全设备的日志检查，对重点事件进行记录等。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（2）定期进行漏洞扫描、入侵检测、日志审计、数据库审计等，对安全事件的产生原因进行判断，及时发现问题并提出解决方案，加强系统防护，防患于未然。</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（3）对设备的运行数据（配置、性能、故障等）进行记录，形成报表进行统计分析，便于进行系统的分析和故障的提前预知。</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（4）提供定期上门巡检报告。</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中标供应商需根据维护清单的具有特征库升级的安全设备，确保维护期内所有特征库保持原厂最新和证书续费，以满足网络安全的防护需要。设备原厂升级清单如下：</w:t>
      </w:r>
      <w:r>
        <w:rPr>
          <w:rFonts w:hint="eastAsia" w:ascii="宋体" w:hAnsi="宋体"/>
          <w:bCs/>
          <w:color w:val="auto"/>
          <w:sz w:val="24"/>
          <w:szCs w:val="24"/>
          <w:highlight w:val="none"/>
        </w:rPr>
      </w:r>
      <w:r>
        <w:rPr>
          <w:color w:val="auto"/>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826"/>
        <w:gridCol w:w="3807"/>
        <w:gridCol w:w="829"/>
        <w:gridCol w:w="891"/>
      </w:tblGrid>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序号</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软件名称</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品牌型号</w:t>
            </w:r>
            <w:r>
              <w:rPr>
                <w:rFonts w:ascii="宋体" w:hAnsi="宋体"/>
                <w:color w:val="auto"/>
                <w:sz w:val="18"/>
                <w:szCs w:val="18"/>
                <w:highlight w:val="none"/>
              </w:rPr>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数量</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单位</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虚拟化安全防护系统</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w:t>
            </w:r>
            <w:r>
              <w:rPr>
                <w:rFonts w:ascii="宋体" w:hAnsi="宋体"/>
                <w:color w:val="auto"/>
                <w:sz w:val="18"/>
                <w:szCs w:val="18"/>
                <w:highlight w:val="none"/>
              </w:rPr>
              <w:t xml:space="preserve">VMS7.0-CPU-ARS</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市民中心</w:t>
            </w:r>
            <w:r>
              <w:rPr>
                <w:rFonts w:ascii="宋体" w:hAnsi="宋体"/>
                <w:color w:val="auto"/>
                <w:sz w:val="18"/>
                <w:szCs w:val="18"/>
                <w:highlight w:val="none"/>
              </w:rPr>
              <w:t xml:space="preserve">UTM安全网关</w:t>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山石网科</w:t>
            </w:r>
            <w:r>
              <w:rPr>
                <w:rFonts w:ascii="宋体" w:hAnsi="宋体"/>
                <w:color w:val="auto"/>
                <w:sz w:val="18"/>
                <w:szCs w:val="18"/>
                <w:highlight w:val="none"/>
              </w:rPr>
              <w:t xml:space="preserve"> SG-6000 E2800</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3</w:t>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市民中心</w:t>
            </w:r>
            <w:r>
              <w:rPr>
                <w:rFonts w:ascii="宋体" w:hAnsi="宋体"/>
                <w:color w:val="auto"/>
                <w:sz w:val="18"/>
                <w:szCs w:val="18"/>
                <w:highlight w:val="none"/>
              </w:rPr>
              <w:t xml:space="preserve">UTM安全网关</w:t>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山石网科</w:t>
            </w:r>
            <w:r>
              <w:rPr>
                <w:rFonts w:ascii="宋体" w:hAnsi="宋体"/>
                <w:color w:val="auto"/>
                <w:sz w:val="18"/>
                <w:szCs w:val="18"/>
                <w:highlight w:val="none"/>
              </w:rPr>
              <w:t xml:space="preserve"> SG-6000 E2800</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未知威胁发现设备</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亚信</w:t>
            </w:r>
            <w:r>
              <w:rPr>
                <w:rFonts w:ascii="宋体" w:hAnsi="宋体"/>
                <w:color w:val="auto"/>
                <w:sz w:val="18"/>
                <w:szCs w:val="18"/>
                <w:highlight w:val="none"/>
              </w:rPr>
              <w:t xml:space="preserve">TDA EE 1300</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漏扫设备</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绿盟</w:t>
            </w:r>
            <w:r>
              <w:rPr>
                <w:rFonts w:ascii="宋体" w:hAnsi="宋体"/>
                <w:color w:val="auto"/>
                <w:sz w:val="18"/>
                <w:szCs w:val="18"/>
                <w:highlight w:val="none"/>
              </w:rPr>
              <w:t xml:space="preserve">RSAS NX3-X-C</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下属汇聚防火墙</w:t>
            </w:r>
            <w:r>
              <w:rPr>
                <w:rFonts w:ascii="宋体" w:hAnsi="宋体"/>
                <w:color w:val="auto"/>
                <w:sz w:val="18"/>
                <w:szCs w:val="18"/>
                <w:highlight w:val="none"/>
              </w:rPr>
              <w:t xml:space="preserve">-主</w:t>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w:t>
            </w:r>
            <w:r>
              <w:rPr>
                <w:rFonts w:ascii="宋体" w:hAnsi="宋体"/>
                <w:color w:val="auto"/>
                <w:sz w:val="18"/>
                <w:szCs w:val="18"/>
                <w:highlight w:val="none"/>
              </w:rPr>
              <w:t xml:space="preserve">V6000-F6200P</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下属汇聚防火墙</w:t>
            </w:r>
            <w:r>
              <w:rPr>
                <w:rFonts w:ascii="宋体" w:hAnsi="宋体"/>
                <w:color w:val="auto"/>
                <w:sz w:val="18"/>
                <w:szCs w:val="18"/>
                <w:highlight w:val="none"/>
              </w:rPr>
              <w:t xml:space="preserve">-</w:t>
            </w:r>
            <w:r>
              <w:rPr>
                <w:rFonts w:hint="eastAsia" w:ascii="宋体" w:hAnsi="宋体"/>
                <w:color w:val="auto"/>
                <w:sz w:val="18"/>
                <w:szCs w:val="18"/>
                <w:highlight w:val="none"/>
              </w:rPr>
              <w:t xml:space="preserve">备</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w:t>
            </w:r>
            <w:r>
              <w:rPr>
                <w:rFonts w:ascii="宋体" w:hAnsi="宋体"/>
                <w:color w:val="auto"/>
                <w:sz w:val="18"/>
                <w:szCs w:val="18"/>
                <w:highlight w:val="none"/>
              </w:rPr>
              <w:t xml:space="preserve">V6000-F6200P</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防病毒软件</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360天擎终端安全管理系统</w:t>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w:t>
            </w:r>
            <w:r>
              <w:rPr>
                <w:rFonts w:ascii="宋体" w:hAnsi="宋体"/>
                <w:color w:val="auto"/>
                <w:sz w:val="18"/>
                <w:szCs w:val="18"/>
                <w:highlight w:val="none"/>
              </w:rPr>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w:t>
            </w:r>
            <w:r>
              <w:rPr>
                <w:rFonts w:ascii="宋体" w:hAnsi="宋体"/>
                <w:color w:val="auto"/>
                <w:sz w:val="18"/>
                <w:szCs w:val="18"/>
                <w:highlight w:val="none"/>
              </w:rPr>
              <w:t xml:space="preserve">ips-备</w:t>
            </w:r>
            <w:r>
              <w:rPr>
                <w:rFonts w:hint="eastAsia" w:ascii="宋体" w:hAnsi="宋体"/>
                <w:color w:val="auto"/>
                <w:sz w:val="18"/>
                <w:szCs w:val="18"/>
                <w:highlight w:val="none"/>
              </w:rPr>
              <w:t xml:space="preserve"> </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网御Leadsec-6800</w:t>
            </w:r>
            <w:r>
              <w:rPr>
                <w:rFonts w:ascii="宋体" w:hAnsi="宋体"/>
                <w:color w:val="auto"/>
                <w:sz w:val="18"/>
                <w:szCs w:val="18"/>
                <w:highlight w:val="none"/>
              </w:rPr>
              <w:t xml:space="preserve"> </w:t>
            </w:r>
            <w:r>
              <w:rPr>
                <w:rFonts w:hint="eastAsia" w:ascii="宋体" w:hAnsi="宋体"/>
                <w:color w:val="auto"/>
                <w:sz w:val="18"/>
                <w:szCs w:val="18"/>
                <w:highlight w:val="none"/>
              </w:rPr>
              <w:t xml:space="preserve">IPS</w:t>
            </w:r>
            <w:r>
              <w:rPr>
                <w:rFonts w:ascii="宋体" w:hAnsi="宋体"/>
                <w:color w:val="auto"/>
                <w:sz w:val="18"/>
                <w:szCs w:val="18"/>
                <w:highlight w:val="none"/>
              </w:rPr>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t xml:space="preserve">0</w:t>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w:t>
            </w:r>
            <w:r>
              <w:rPr>
                <w:rFonts w:ascii="宋体" w:hAnsi="宋体"/>
                <w:color w:val="auto"/>
                <w:sz w:val="18"/>
                <w:szCs w:val="18"/>
                <w:highlight w:val="none"/>
              </w:rPr>
              <w:t xml:space="preserve">ips-主</w:t>
            </w:r>
            <w:r>
              <w:rPr>
                <w:rFonts w:hint="eastAsia" w:ascii="宋体" w:hAnsi="宋体"/>
                <w:color w:val="auto"/>
                <w:sz w:val="18"/>
                <w:szCs w:val="18"/>
                <w:highlight w:val="none"/>
              </w:rPr>
              <w:t xml:space="preserve"> </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网御Leadsec-6800</w:t>
            </w:r>
            <w:r>
              <w:rPr>
                <w:rFonts w:ascii="宋体" w:hAnsi="宋体"/>
                <w:color w:val="auto"/>
                <w:sz w:val="18"/>
                <w:szCs w:val="18"/>
                <w:highlight w:val="none"/>
              </w:rPr>
              <w:t xml:space="preserve"> </w:t>
            </w:r>
            <w:r>
              <w:rPr>
                <w:rFonts w:hint="eastAsia" w:ascii="宋体" w:hAnsi="宋体"/>
                <w:color w:val="auto"/>
                <w:sz w:val="18"/>
                <w:szCs w:val="18"/>
                <w:highlight w:val="none"/>
              </w:rPr>
              <w:t xml:space="preserve">IPS</w:t>
            </w:r>
            <w:r>
              <w:rPr>
                <w:rFonts w:ascii="宋体" w:hAnsi="宋体"/>
                <w:color w:val="auto"/>
                <w:sz w:val="18"/>
                <w:szCs w:val="18"/>
                <w:highlight w:val="none"/>
              </w:rPr>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台</w:t>
            </w:r>
            <w:r>
              <w:rPr>
                <w:rFonts w:ascii="宋体" w:hAnsi="宋体"/>
                <w:color w:val="auto"/>
                <w:sz w:val="18"/>
                <w:szCs w:val="18"/>
                <w:highlight w:val="none"/>
              </w:rPr>
            </w:r>
            <w:r>
              <w:rPr>
                <w:color w:val="auto"/>
                <w:highlight w:val="none"/>
              </w:rPr>
            </w:r>
          </w:p>
        </w:tc>
      </w:tr>
      <w:tr>
        <w:trPr>
          <w:trHeight w:val="20"/>
        </w:trPr>
        <w:tc>
          <w:tcPr>
            <w:tcW w:w="81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t xml:space="preserve">1</w:t>
            </w:r>
            <w:r>
              <w:rPr>
                <w:color w:val="auto"/>
                <w:highlight w:val="none"/>
              </w:rPr>
            </w:r>
          </w:p>
        </w:tc>
        <w:tc>
          <w:tcPr>
            <w:tcW w:w="2826"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备份云平台</w:t>
            </w:r>
            <w:r>
              <w:rPr>
                <w:rFonts w:ascii="宋体" w:hAnsi="宋体"/>
                <w:color w:val="auto"/>
                <w:sz w:val="18"/>
                <w:szCs w:val="18"/>
                <w:highlight w:val="none"/>
              </w:rPr>
            </w:r>
            <w:r>
              <w:rPr>
                <w:color w:val="auto"/>
                <w:highlight w:val="none"/>
              </w:rPr>
            </w:r>
          </w:p>
        </w:tc>
        <w:tc>
          <w:tcPr>
            <w:tcW w:w="3807"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爱数AnyBackupCloud</w:t>
            </w:r>
            <w:r>
              <w:rPr>
                <w:rFonts w:ascii="宋体" w:hAnsi="宋体"/>
                <w:color w:val="auto"/>
                <w:sz w:val="18"/>
                <w:szCs w:val="18"/>
                <w:highlight w:val="none"/>
              </w:rPr>
            </w:r>
            <w:r>
              <w:rPr>
                <w:color w:val="auto"/>
                <w:highlight w:val="none"/>
              </w:rPr>
            </w:r>
          </w:p>
        </w:tc>
        <w:tc>
          <w:tcPr>
            <w:tcW w:w="829"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bl>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2.2.2.4  </w:t>
      </w:r>
      <w:r>
        <w:rPr>
          <w:rFonts w:hint="eastAsia" w:ascii="宋体" w:hAnsi="宋体"/>
          <w:bCs/>
          <w:color w:val="auto"/>
          <w:sz w:val="24"/>
          <w:szCs w:val="24"/>
          <w:highlight w:val="none"/>
        </w:rPr>
        <w:t xml:space="preserve">网络设备（含网络）</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维护工程师在全年每个工作日进行现场巡检，每季度派遣具有网络设备维护经验的资深认证工程师，对采购单位的网络设备进行全面检测，从网络的连通性、网络的性能、网络的监控管理等方面对网络系统进行管理。确认设备运行状态，检查系统错误记录，排除潜在隐患，保障交换机、路由器等网络设备的正常运转，保证网络的实时连通和可用。检查的主要内容包括：</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（1）对设备进行全面检测，包括硬件运行状态（如电源、风扇、模块等）、系统运行状态（如交换机的端口是否可以正常使用，网络的转发和路由是否正常进行、交换机的性能检测等）、日志检查等。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（2）提供机房和办公环境的网络布局、网络接入和故障排除服务。包括：网络环境布局的设计，网络接入服务及相关设备的安装调试服务，提供IP地址的分配、配置服务等。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（3）对网络进行整体性能评估，针对网络的利用率进行优化并提出网络扩容和优化的建议；</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（3）对设备的运行数据（配置、性能、故障等）进行记录，形成报表进行统计分析，便于进行网络系统的分析和故障的提前预知；</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（4）提供定期上门巡检报告。</w:t>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2.2.2.5  </w:t>
      </w:r>
      <w:r>
        <w:rPr>
          <w:rFonts w:hint="eastAsia" w:ascii="宋体" w:hAnsi="宋体"/>
          <w:bCs/>
          <w:color w:val="auto"/>
          <w:sz w:val="24"/>
          <w:szCs w:val="24"/>
          <w:highlight w:val="none"/>
        </w:rPr>
        <w:t xml:space="preserve">其他机房设备</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机房规模为32个机柜，中标供应商维护工程师负责在全年每个工作日进行UPS不间断电源系统、精密空调系统、环境监控系统等现场巡检、每季度派遣具有设备维护经验的资深认证工程师，对采购单位的本部机房内的设备进行现场全面检测，确认设备运行状态，检查系统错误记录，排除潜在隐患，以确保安全设备能正常稳定运行。巡检检查的主要内容包括：</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（1）对设备进行全面检测，包括设备硬件各部分的检查，运行状态的监控等；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（2）设备运行性能检查及优化；</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（3）提供定期上门巡检报告。</w:t>
      </w:r>
      <w:r>
        <w:rPr>
          <w:rFonts w:hint="eastAsia"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软件维护服务</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服务范围</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设备上运行的各类软件的维护，如操作系统（Linux、windows、Redhat、统信UOS、麒麟等）、办公软件（Office、WPS、永中Office等）、数据库（Oracle、SQL、神舟通用等）、安全应用软件（防病毒软件、IT运维管理系统、容灾备份系统等）等。服务范围如下：</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服务要求</w:t>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操作系统</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根据采购单位工作人员要求安装相应版本操作系统，定期检查操作系统环境，分析操作系统日志，查看各类关键JOB执行结果，避免故障隐患；由中标供应商根据实施情况提出升级建议，采购单位同意后完成操作系统小版本升级，提供现场支持服务；定期检查各文件系统的利用率情况，根据数据增长量预估决定是否要增加其容量。</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维护工程师在全年每个工作日进行负责对操作系统及安全管理软件进行现场巡检、故障解决、病毒查杀等。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如果系统运行出现异常，中标供应商对操作系统进行系统性能调整、补丁升级和系统优化，提高系统效率和安全性。巡检检查完毕后，中标供应商将巡检报告、故障处理报告提交给采购单位。</w:t>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数据库</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维护工程师全年每个工作日通过主动式性能管理了解“自然资源规划一体化平台”、“电子政务云平台”、“不动产登记信息管理平台”等系统数据库的日常运行状态，快速发现、诊断和识别数据库的性能问题发生在什么地方，有针对性地进行性能优化。同时，密切注意数据库系统的变化，及时找出性能瓶颈，主动预防可能发生的问题，确保应用系统高效运行。并提供巡检报告。</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rPr>
        <w:t xml:space="preserve">数据库现场安装、升级服务</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中标供应商有相关工作经验和资格认证的资深数据库认证工程师，提供各种数据库版本的现场服务，包括数据库软件安装、数据库双机集群配置、数据库软件升级的规划和实施等。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rPr>
        <w:t xml:space="preserve">数据库健康检查服务</w:t>
      </w:r>
      <w:r>
        <w:rPr>
          <w:rFonts w:hint="eastAsia"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数据库健康检查主要涉及以下四个方面：</w:t>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系统和数据库的可用性</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系统和数据库的完整性</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系统、数据库和应用的性能</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系统备份和恢复方案的评估</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库健康检查由具有相关工作经验的资深认证工程师完成，采用适当的步骤完成内容丰富的检查表，检查前向采购单位提供所有检查表及检查方法、方案，经采购单位确认后前来实施。通过对系统结果及运行架构进行高层面的评测，得出采购单位数据库的整体运行情况，指出系统运作流程中的潜在风险区域，通过改善系统环境的稳定性来降低潜在的系统宕机时间。应在检查后5个工作日内向采购单位提供全面建议报告。</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通常进行的检查内容包括：</w:t>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检查数据库的结构、初始化参数、主要配置文件</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检查并分析系统日志及跟踪文件</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检查影响数据库性能的其他参数及设置</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检查系统和数据库是否需要应用最新的补丁集</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检查数据库空间的使用情况及规划管理</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检查数据库备份的完整性</w:t>
      </w:r>
      <w:r>
        <w:rPr>
          <w:rFonts w:ascii="宋体" w:hAnsi="宋体"/>
          <w:bCs/>
          <w:color w:val="auto"/>
          <w:sz w:val="24"/>
          <w:szCs w:val="24"/>
          <w:highlight w:val="none"/>
        </w:rPr>
      </w:r>
      <w:r>
        <w:rPr>
          <w:color w:val="auto"/>
          <w:highlight w:val="none"/>
        </w:rPr>
      </w:r>
    </w:p>
    <w:p>
      <w:pPr>
        <w:pStyle w:val="777"/>
        <w:numPr>
          <w:ilvl w:val="0"/>
          <w:numId w:val="22"/>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监控数据库的性能</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确认系统的资源需求</w:t>
      </w:r>
      <w:r>
        <w:rPr>
          <w:rFonts w:hint="eastAsia"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③</w:t>
      </w:r>
      <w:r>
        <w:rPr>
          <w:rFonts w:ascii="宋体" w:hAnsi="宋体"/>
          <w:bCs/>
          <w:color w:val="auto"/>
          <w:sz w:val="24"/>
          <w:szCs w:val="24"/>
          <w:highlight w:val="none"/>
        </w:rPr>
        <w:t xml:space="preserve">数据库性能评估及优化调整服务</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数据库性能优化调整的内容主要包括：</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数据库性能的监控和调整</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数据库安全及用户的管理</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系统资源的监控及管理</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数据库的备份和恢复</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数据库空间管理</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DBA的工作职责及日常数据库系统的维护</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数据库性能评估由具有相关工作经验的资深认证工程师完成，采用适当的步骤完成内容丰富的信息采集，评估优化方案必须经采购单位同意。评估的方式主要有以下几种：</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分析用户的应用类型和用户行为</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评价并修改数据库的参数设置</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评价并调整数据库的数据分布</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评价应用对硬件和数据库系统的使用情况</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利用先进的性能调整工具实施数据库的性能调整</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通过评估后在5个工作日内向采购单位提供全面评估报告。评估报告应包括以下内容：</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针对数据库文件分布的变化提出建议</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使用经过检测的工具、脚本</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系统测评相应的软件功能</w:t>
      </w:r>
      <w:r>
        <w:rPr>
          <w:color w:val="auto"/>
          <w:highlight w:val="none"/>
        </w:rPr>
      </w:r>
    </w:p>
    <w:p>
      <w:pPr>
        <w:pStyle w:val="777"/>
        <w:numPr>
          <w:ilvl w:val="0"/>
          <w:numId w:val="23"/>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确认系统中已存在或潜在的问题</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在系统瓶颈出现之前发现它们，并了解它们对性能的影响</w:t>
      </w:r>
      <w:r>
        <w:rPr>
          <w:color w:val="auto"/>
          <w:highlight w:val="none"/>
        </w:rPr>
      </w:r>
    </w:p>
    <w:p>
      <w:pPr>
        <w:pStyle w:val="777"/>
        <w:numPr>
          <w:ilvl w:val="0"/>
          <w:numId w:val="24"/>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防病毒软件</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中标供应商</w:t>
      </w:r>
      <w:r>
        <w:rPr>
          <w:rFonts w:hint="eastAsia" w:ascii="宋体" w:hAnsi="宋体"/>
          <w:bCs/>
          <w:color w:val="auto"/>
          <w:sz w:val="24"/>
          <w:szCs w:val="24"/>
          <w:highlight w:val="none"/>
        </w:rPr>
        <w:t xml:space="preserve">维护工程师在全年每个工作日</w:t>
      </w:r>
      <w:r>
        <w:rPr>
          <w:rFonts w:ascii="宋体" w:hAnsi="宋体"/>
          <w:bCs/>
          <w:color w:val="auto"/>
          <w:sz w:val="24"/>
          <w:szCs w:val="24"/>
          <w:highlight w:val="none"/>
        </w:rPr>
        <w:t xml:space="preserve">提供杀毒软件服务器端的安装和维护服务。主要包括：</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1）杀毒软件服务器端的升级、管理、日志等服务.</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2）杀毒软件用户端的部署、策略管理服务。</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3）响应杀毒软件用户端的上门服务请求。</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4）每月定期杀毒软件用户端的现场回访服务。</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5）服务器及系统等应急现场杀毒技术支持。</w:t>
      </w:r>
      <w:r>
        <w:rPr>
          <w:color w:val="auto"/>
          <w:highlight w:val="none"/>
        </w:rPr>
      </w:r>
    </w:p>
    <w:p>
      <w:pPr>
        <w:pStyle w:val="777"/>
        <w:numPr>
          <w:ilvl w:val="0"/>
          <w:numId w:val="24"/>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IT运维管理软件</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按照采购单位要求，中标供应商</w:t>
      </w:r>
      <w:r>
        <w:rPr>
          <w:rFonts w:hint="eastAsia" w:ascii="宋体" w:hAnsi="宋体"/>
          <w:bCs/>
          <w:color w:val="auto"/>
          <w:sz w:val="24"/>
          <w:szCs w:val="24"/>
          <w:highlight w:val="none"/>
        </w:rPr>
        <w:t xml:space="preserve">维护工程师在全年每个工作日</w:t>
      </w:r>
      <w:r>
        <w:rPr>
          <w:rFonts w:ascii="宋体" w:hAnsi="宋体"/>
          <w:bCs/>
          <w:color w:val="auto"/>
          <w:sz w:val="24"/>
          <w:szCs w:val="24"/>
          <w:highlight w:val="none"/>
        </w:rPr>
        <w:t xml:space="preserve">提供软件的维护、升级、配置、调试等服务。</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中标供应商</w:t>
      </w:r>
      <w:r>
        <w:rPr>
          <w:rFonts w:hint="eastAsia" w:ascii="宋体" w:hAnsi="宋体"/>
          <w:bCs/>
          <w:color w:val="auto"/>
          <w:sz w:val="24"/>
          <w:szCs w:val="24"/>
          <w:highlight w:val="none"/>
        </w:rPr>
        <w:t xml:space="preserve">运维服务</w:t>
      </w:r>
      <w:r>
        <w:rPr>
          <w:rFonts w:ascii="宋体" w:hAnsi="宋体"/>
          <w:bCs/>
          <w:color w:val="auto"/>
          <w:sz w:val="24"/>
          <w:szCs w:val="24"/>
          <w:highlight w:val="none"/>
        </w:rPr>
        <w:t xml:space="preserve">人员需熟练掌握采购单位安装的IT运维管理软件的管理操作功能，并使用该软件定期对采购单位的信息系统软硬件环境进行日常监控维护。</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1）监控PC服务器、存储设备、网络设备、安全设备等主机的运行状态；</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2）监控网络链路的连接和运行状态；</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3）监控Oracle数据库的运行状态；</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4）发现故障提示和报警信息，应及时记录、反馈问题，并尽快解决；</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5）提供系统巡检监控日志。</w:t>
      </w:r>
      <w:r>
        <w:rPr>
          <w:color w:val="auto"/>
          <w:highlight w:val="none"/>
        </w:rPr>
      </w:r>
    </w:p>
    <w:p>
      <w:pPr>
        <w:pStyle w:val="777"/>
        <w:numPr>
          <w:ilvl w:val="0"/>
          <w:numId w:val="24"/>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容灾备份系统</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中标供应商</w:t>
      </w:r>
      <w:r>
        <w:rPr>
          <w:rFonts w:hint="eastAsia" w:ascii="宋体" w:hAnsi="宋体"/>
          <w:bCs/>
          <w:color w:val="auto"/>
          <w:sz w:val="24"/>
          <w:szCs w:val="24"/>
          <w:highlight w:val="none"/>
        </w:rPr>
        <w:t xml:space="preserve">维护工程师在全年每个工作日</w:t>
      </w:r>
      <w:r>
        <w:rPr>
          <w:rFonts w:ascii="宋体" w:hAnsi="宋体"/>
          <w:bCs/>
          <w:color w:val="auto"/>
          <w:sz w:val="24"/>
          <w:szCs w:val="24"/>
          <w:highlight w:val="none"/>
        </w:rPr>
        <w:t xml:space="preserve">对采购单位</w:t>
      </w:r>
      <w:r>
        <w:rPr>
          <w:rFonts w:hint="eastAsia" w:ascii="宋体" w:hAnsi="宋体"/>
          <w:bCs/>
          <w:color w:val="auto"/>
          <w:sz w:val="24"/>
          <w:szCs w:val="24"/>
          <w:highlight w:val="none"/>
        </w:rPr>
        <w:t xml:space="preserve">的爱数</w:t>
      </w:r>
      <w:r>
        <w:rPr>
          <w:rFonts w:ascii="宋体" w:hAnsi="宋体"/>
          <w:bCs/>
          <w:color w:val="auto"/>
          <w:sz w:val="24"/>
          <w:szCs w:val="24"/>
          <w:highlight w:val="none"/>
        </w:rPr>
        <w:t xml:space="preserve">备份系统进行</w:t>
      </w:r>
      <w:r>
        <w:rPr>
          <w:rFonts w:hint="eastAsia" w:ascii="宋体" w:hAnsi="宋体"/>
          <w:bCs/>
          <w:color w:val="auto"/>
          <w:sz w:val="24"/>
          <w:szCs w:val="24"/>
          <w:highlight w:val="none"/>
        </w:rPr>
        <w:t xml:space="preserve">现场</w:t>
      </w:r>
      <w:r>
        <w:rPr>
          <w:rFonts w:ascii="宋体" w:hAnsi="宋体"/>
          <w:bCs/>
          <w:color w:val="auto"/>
          <w:sz w:val="24"/>
          <w:szCs w:val="24"/>
          <w:highlight w:val="none"/>
        </w:rPr>
        <w:t xml:space="preserve">例行巡检，以确保在故障发生时，灾备系统能正常</w:t>
      </w:r>
      <w:r>
        <w:rPr>
          <w:rFonts w:hint="eastAsia" w:ascii="宋体" w:hAnsi="宋体"/>
          <w:bCs/>
          <w:color w:val="auto"/>
          <w:sz w:val="24"/>
          <w:szCs w:val="24"/>
          <w:highlight w:val="none"/>
        </w:rPr>
        <w:t xml:space="preserve">进行数据恢复</w:t>
      </w:r>
      <w:r>
        <w:rPr>
          <w:rFonts w:ascii="宋体" w:hAnsi="宋体"/>
          <w:bCs/>
          <w:color w:val="auto"/>
          <w:sz w:val="24"/>
          <w:szCs w:val="24"/>
          <w:highlight w:val="none"/>
        </w:rPr>
        <w:t xml:space="preserve">。</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1）检查和分析系统日志，特别是</w:t>
      </w:r>
      <w:r>
        <w:rPr>
          <w:rFonts w:hint="eastAsia" w:ascii="宋体" w:hAnsi="宋体"/>
          <w:bCs/>
          <w:color w:val="auto"/>
          <w:sz w:val="24"/>
          <w:szCs w:val="24"/>
          <w:highlight w:val="none"/>
        </w:rPr>
        <w:t xml:space="preserve">备份</w:t>
      </w:r>
      <w:r>
        <w:rPr>
          <w:rFonts w:ascii="宋体" w:hAnsi="宋体"/>
          <w:bCs/>
          <w:color w:val="auto"/>
          <w:sz w:val="24"/>
          <w:szCs w:val="24"/>
          <w:highlight w:val="none"/>
        </w:rPr>
        <w:t xml:space="preserve">资源运行状态的日志，</w:t>
      </w:r>
      <w:r>
        <w:rPr>
          <w:rFonts w:hint="eastAsia" w:ascii="宋体" w:hAnsi="宋体"/>
          <w:bCs/>
          <w:color w:val="auto"/>
          <w:sz w:val="24"/>
          <w:szCs w:val="24"/>
          <w:highlight w:val="none"/>
        </w:rPr>
        <w:t xml:space="preserve">备份</w:t>
      </w:r>
      <w:r>
        <w:rPr>
          <w:rFonts w:ascii="宋体" w:hAnsi="宋体"/>
          <w:bCs/>
          <w:color w:val="auto"/>
          <w:sz w:val="24"/>
          <w:szCs w:val="24"/>
          <w:highlight w:val="none"/>
        </w:rPr>
        <w:t xml:space="preserve">涉及的文件系统情况，根据数据增长量预估决定是否要增加其容量。</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2）定期检查数据备份计划和执行情况（包括</w:t>
      </w:r>
      <w:r>
        <w:rPr>
          <w:rFonts w:hint="eastAsia" w:ascii="宋体" w:hAnsi="宋体"/>
          <w:bCs/>
          <w:color w:val="auto"/>
          <w:sz w:val="24"/>
          <w:szCs w:val="24"/>
          <w:highlight w:val="none"/>
        </w:rPr>
        <w:t xml:space="preserve">爱数备份软件、备份一体机及锡山分局备份存储</w:t>
      </w:r>
      <w:r>
        <w:rPr>
          <w:rFonts w:ascii="宋体" w:hAnsi="宋体"/>
          <w:bCs/>
          <w:color w:val="auto"/>
          <w:sz w:val="24"/>
          <w:szCs w:val="24"/>
          <w:highlight w:val="none"/>
        </w:rPr>
        <w:t xml:space="preserve">等），进行数据备份恢复测试，并根据实际情况协助采购单位优化备份策略。</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3）配合采购单位做好每</w:t>
      </w:r>
      <w:r>
        <w:rPr>
          <w:rFonts w:hint="eastAsia" w:ascii="宋体" w:hAnsi="宋体"/>
          <w:bCs/>
          <w:color w:val="auto"/>
          <w:sz w:val="24"/>
          <w:szCs w:val="24"/>
          <w:highlight w:val="none"/>
        </w:rPr>
        <w:t xml:space="preserve">半年</w:t>
      </w:r>
      <w:r>
        <w:rPr>
          <w:rFonts w:ascii="宋体" w:hAnsi="宋体"/>
          <w:bCs/>
          <w:color w:val="auto"/>
          <w:sz w:val="24"/>
          <w:szCs w:val="24"/>
          <w:highlight w:val="none"/>
        </w:rPr>
        <w:t xml:space="preserve">一次的容灾备份演练工作。</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4）对检查中发现的问题进行分析和诊断，并及时解决问题。</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5）提供系统巡检服务报告。</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附件一：</w:t>
      </w:r>
      <w:r>
        <w:rPr>
          <w:rFonts w:hint="eastAsia" w:ascii="宋体" w:hAnsi="宋体"/>
          <w:bCs/>
          <w:color w:val="auto"/>
          <w:sz w:val="24"/>
          <w:szCs w:val="24"/>
          <w:highlight w:val="none"/>
        </w:rPr>
      </w:r>
      <w:r>
        <w:rPr>
          <w:color w:val="auto"/>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27"/>
        <w:gridCol w:w="2712"/>
        <w:gridCol w:w="3314"/>
        <w:gridCol w:w="891"/>
      </w:tblGrid>
      <w:tr>
        <w:trPr>
          <w:trHeight w:val="20"/>
        </w:trPr>
        <w:tc>
          <w:tcPr>
            <w:tcW w:w="825" w:type="dxa"/>
            <w:vAlign w:val="center"/>
            <w:textDirection w:val="lrTb"/>
            <w:noWrap/>
          </w:tcPr>
          <w:p>
            <w:pPr>
              <w:pStyle w:val="777"/>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rPr>
                <w:rFonts w:ascii="宋体" w:hAnsi="宋体"/>
                <w:b/>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b/>
                <w:color w:val="auto"/>
                <w:sz w:val="18"/>
                <w:szCs w:val="18"/>
                <w:highlight w:val="none"/>
              </w:rPr>
            </w:pPr>
            <w:r>
              <w:rPr>
                <w:rFonts w:hint="eastAsia" w:ascii="宋体" w:hAnsi="宋体"/>
                <w:b/>
                <w:color w:val="auto"/>
                <w:sz w:val="18"/>
                <w:szCs w:val="18"/>
                <w:highlight w:val="none"/>
              </w:rPr>
              <w:t xml:space="preserve">设备类别</w:t>
            </w:r>
            <w:r>
              <w:rPr>
                <w:rFonts w:ascii="宋体" w:hAnsi="宋体"/>
                <w:b/>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b/>
                <w:color w:val="auto"/>
                <w:sz w:val="18"/>
                <w:szCs w:val="18"/>
                <w:highlight w:val="none"/>
              </w:rPr>
            </w:pPr>
            <w:r>
              <w:rPr>
                <w:rFonts w:hint="eastAsia" w:ascii="宋体" w:hAnsi="宋体"/>
                <w:b/>
                <w:color w:val="auto"/>
                <w:sz w:val="18"/>
                <w:szCs w:val="18"/>
                <w:highlight w:val="none"/>
              </w:rPr>
              <w:t xml:space="preserve">设备名称</w:t>
            </w:r>
            <w:r>
              <w:rPr>
                <w:rFonts w:ascii="宋体" w:hAnsi="宋体"/>
                <w:b/>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b/>
                <w:color w:val="auto"/>
                <w:sz w:val="18"/>
                <w:szCs w:val="18"/>
                <w:highlight w:val="none"/>
              </w:rPr>
            </w:pPr>
            <w:r>
              <w:rPr>
                <w:rFonts w:hint="eastAsia" w:ascii="宋体" w:hAnsi="宋体"/>
                <w:b/>
                <w:color w:val="auto"/>
                <w:sz w:val="18"/>
                <w:szCs w:val="18"/>
                <w:highlight w:val="none"/>
              </w:rPr>
              <w:t xml:space="preserve">品牌型号</w:t>
            </w:r>
            <w:r>
              <w:rPr>
                <w:rFonts w:ascii="宋体" w:hAnsi="宋体"/>
                <w:b/>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b/>
                <w:color w:val="auto"/>
                <w:sz w:val="18"/>
                <w:szCs w:val="18"/>
                <w:highlight w:val="none"/>
              </w:rPr>
            </w:pPr>
            <w:r>
              <w:rPr>
                <w:rFonts w:hint="eastAsia" w:ascii="宋体" w:hAnsi="宋体"/>
                <w:b/>
                <w:color w:val="auto"/>
                <w:sz w:val="18"/>
                <w:szCs w:val="18"/>
                <w:highlight w:val="none"/>
              </w:rPr>
              <w:t xml:space="preserve">数量</w:t>
            </w:r>
            <w:r>
              <w:rPr>
                <w:rFonts w:ascii="宋体" w:hAnsi="宋体"/>
                <w:b/>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内网核心交换机-主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华为12708</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内网核心交换机-备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华为12708</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下属分局交换机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新区及下属交换机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外联单位交换机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外联单位级联交换机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土地视频监控交换机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外网核心级联交换机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思科4506</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国产服务器交换机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华为5700-52C-SI</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政务网曙光集群交换机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DS-300B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DS-300B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DS-300B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DS-300B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博科BR-310-0008</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博科BR-310-0008</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外网核心交换机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楼层交换机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华为5720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服务器接入交换机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迪普LSW5602</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服务器接入交换机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迪普LSW5602</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SAN交换机模块</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博科DS300B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SAN交换机模块</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博科DS300B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300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光纤交换机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300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内网核心防火墙-主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NSG5500-TY20PW</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内网核心防火墙-备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NSG5500-TY20PW</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省厅视频会议防火墙</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NSG3500-TE20PW</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外联单位防火墙</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华为USG5000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市民中心UTM安全网关</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山石网科 SG-6000 E2800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市民中心UTM安全网关</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山石网科 SG-6000 E2800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安恒数据库审计</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明御DAS-DBAuditor</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网御星云日志审计</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网御RS-300JP</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堡垒机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深信服OSM-1000-A600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不动产至房屋中心网闸</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G5000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外网应用区网络审计</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启明TSOC- SA1800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外网数据区防火墙-主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NSG3500-TE20PW</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外网数据区防火墙-备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NSG3500-TE20PW</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天行网安数据交换区UAS-主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天行网安DTP1089</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天行网安数据交换区网闸-主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天行网安DTP1089-G</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天行网安数据交换区TAS-主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天行网安DTP1089</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天行网安数据交换区UAS-备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天行网安DTP1089</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天行网安数据交换区网闸-备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天行网安DTP1089-G</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天行网安数据交换区TAS-备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天行网安DTP1089</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土地视频监控交换设备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网御SIS-3000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至规划信息中心网闸</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网神3600 G5000-TG12</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外网防火墙-主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网御Power V6000-F7310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外网防火墙-备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网御Power V6000-F7310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外网ips-主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网御Leadsec-6800IPS</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外网ips-备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网御Leadsec-6800IPS</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防火墙</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深信服AF-1320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防火墙</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深信服AF-1320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网关</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天清汉马SAG-6000-3100UD</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下属汇聚防火墙-主</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网御V6000-F6200P</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下属汇聚防火墙-备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网御V6000-F6200P</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未知威胁发现设备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亚信TDA EE 1300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漏扫设备</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绿盟RSAS NX3-X-C</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安全系统</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防勒索软件</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美创NANJ-100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车载GPS/阳关权力服务</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IBM X3650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财务服务器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IBM X3650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内网准入服务器  </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R420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四全数据库服务器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R820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四全数据库服务器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R820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中天数据库服务器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R930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村镇土地再开发服务器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R820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激扬档案服务器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IBM X3650 M3</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CA在线更新系统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意源IdeaBank Cerupdate</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CA身份认证</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意源IdeaBank SAP1000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CA身份认证备机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意源IdeaBank SAP1000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盖章服务器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意源IdeaBank TrusEss</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虚拟化服务器142</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虚拟化服务器141</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虚拟化服务器143</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虚拟化服务器145</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OA应用服务器</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R930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中天数据库服务器</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R930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时钟服务器</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K806卫星同步时钟</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中天不动产数据库</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R930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中天不动产数据库</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R930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曙光服务器1</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曙光I620-G20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曙光服务器2</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曙光I620-G20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color w:val="auto"/>
                <w:highlight w:val="none"/>
              </w:rPr>
            </w:pPr>
            <w:r>
              <w:rPr>
                <w:rFonts w:hint="eastAsia" w:ascii="宋体" w:hAnsi="宋体"/>
                <w:color w:val="auto"/>
                <w:sz w:val="18"/>
                <w:szCs w:val="18"/>
                <w:highlight w:val="none"/>
              </w:rPr>
              <w:t xml:space="preserve">虚拟化服务器138</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R910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99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虚拟化服务器139</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R910</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四全数据汇交服务器（市级）</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IBM X3650 M3</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一张图监控服务器</w:t>
            </w:r>
            <w:r>
              <w:rPr>
                <w:rFonts w:ascii="宋体" w:hAnsi="宋体"/>
                <w:color w:val="auto"/>
                <w:sz w:val="18"/>
                <w:szCs w:val="18"/>
                <w:highlight w:val="none"/>
              </w:rPr>
            </w:r>
            <w:r>
              <w:rPr>
                <w:color w:val="auto"/>
                <w:highlight w:val="none"/>
              </w:rPr>
            </w:r>
          </w:p>
        </w:tc>
        <w:tc>
          <w:tcPr>
            <w:tcW w:w="331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IBM X3650 M3</w:t>
            </w:r>
            <w:r>
              <w:rPr>
                <w:rFonts w:ascii="宋体" w:hAnsi="宋体"/>
                <w:color w:val="auto"/>
                <w:sz w:val="18"/>
                <w:szCs w:val="18"/>
                <w:highlight w:val="none"/>
              </w:rPr>
            </w:r>
            <w:r>
              <w:rPr>
                <w:color w:val="auto"/>
                <w:highlight w:val="none"/>
              </w:rPr>
            </w:r>
          </w:p>
        </w:tc>
        <w:tc>
          <w:tcPr>
            <w:tcW w:w="89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不动产签名验签服务器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IdeaBank SAP1000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不动产电子签章服务器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IdeaBank SAP1000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大华视频服务器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DH-DSS-N8000S2</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大华视频网关</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DH-AGS-B8101S3C</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视频会议服务器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宝利通 RMX500C</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数据保全服务器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R730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数据保全服务器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R730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109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四全一体化服务器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DELL EMC R940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D51B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D51B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D51B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D51B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D51B</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备份服务器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IBM X3650M5</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EMC存储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VNX5500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EMC存储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VNX5600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EMC双活主存储控制器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Vplex</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119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EMC双活备存储控制器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Vplex Metro</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不动产OGG数据库存储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联想 Storage V3500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曙光存储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曙光DS600-G20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存储扩容</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DAE 3.5寸扩展柜、15块600G 15K硬盘</w:t>
            </w:r>
            <w:r>
              <w:rPr>
                <w:rFonts w:ascii="宋体" w:hAnsi="宋体"/>
                <w:color w:val="auto"/>
                <w:sz w:val="18"/>
                <w:szCs w:val="18"/>
                <w:highlight w:val="none"/>
              </w:rPr>
            </w:r>
            <w:r>
              <w:rPr>
                <w:color w:val="auto"/>
                <w:highlight w:val="none"/>
              </w:rPr>
            </w:r>
          </w:p>
        </w:tc>
        <w:tc>
          <w:tcPr>
            <w:tcW w:w="891" w:type="dxa"/>
            <w:vAlign w:val="top"/>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存储系统1扩容</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VNX5500 UPG，1个DAE 3.5寸扩展柜，10块 900G 10K 3.5英寸SAS硬盘，5块 2TB 7.2K转3.5英寸 NLSAS硬盘</w:t>
            </w:r>
            <w:r>
              <w:rPr>
                <w:rFonts w:ascii="宋体" w:hAnsi="宋体"/>
                <w:color w:val="auto"/>
                <w:sz w:val="18"/>
                <w:szCs w:val="18"/>
                <w:highlight w:val="none"/>
              </w:rPr>
            </w:r>
            <w:r>
              <w:rPr>
                <w:color w:val="auto"/>
                <w:highlight w:val="none"/>
              </w:rPr>
            </w:r>
          </w:p>
        </w:tc>
        <w:tc>
          <w:tcPr>
            <w:tcW w:w="891" w:type="dxa"/>
            <w:vAlign w:val="top"/>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存储系统2扩容</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VNX5600 UPG，1个DAE 2.5寸扩展柜，15块 900G 10K SAS硬盘，5块 2TB 7.2K转 NLSAS硬盘</w:t>
            </w:r>
            <w:r>
              <w:rPr>
                <w:rFonts w:ascii="宋体" w:hAnsi="宋体"/>
                <w:color w:val="auto"/>
                <w:sz w:val="18"/>
                <w:szCs w:val="18"/>
                <w:highlight w:val="none"/>
              </w:rPr>
            </w:r>
            <w:r>
              <w:rPr>
                <w:color w:val="auto"/>
                <w:highlight w:val="none"/>
              </w:rPr>
            </w:r>
          </w:p>
        </w:tc>
        <w:tc>
          <w:tcPr>
            <w:tcW w:w="891" w:type="dxa"/>
            <w:vAlign w:val="top"/>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备份一体机</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爱数VX1200</w:t>
            </w:r>
            <w:r>
              <w:rPr>
                <w:rFonts w:ascii="宋体" w:hAnsi="宋体"/>
                <w:color w:val="auto"/>
                <w:sz w:val="18"/>
                <w:szCs w:val="18"/>
                <w:highlight w:val="none"/>
              </w:rPr>
            </w:r>
            <w:r>
              <w:rPr>
                <w:color w:val="auto"/>
                <w:highlight w:val="none"/>
              </w:rPr>
            </w:r>
          </w:p>
        </w:tc>
        <w:tc>
          <w:tcPr>
            <w:tcW w:w="891" w:type="dxa"/>
            <w:vAlign w:val="top"/>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视频UNIVIEW</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Uniview</w:t>
            </w:r>
            <w:r>
              <w:rPr>
                <w:rFonts w:ascii="宋体" w:hAnsi="宋体"/>
                <w:color w:val="auto"/>
                <w:sz w:val="18"/>
                <w:szCs w:val="18"/>
                <w:highlight w:val="none"/>
              </w:rPr>
            </w:r>
            <w:r>
              <w:rPr>
                <w:color w:val="auto"/>
                <w:highlight w:val="none"/>
              </w:rPr>
            </w:r>
          </w:p>
        </w:tc>
        <w:tc>
          <w:tcPr>
            <w:tcW w:w="891" w:type="dxa"/>
            <w:vAlign w:val="top"/>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备份存储扩容</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VNX5600 UPG</w:t>
            </w:r>
            <w:r>
              <w:rPr>
                <w:rFonts w:ascii="宋体" w:hAnsi="宋体"/>
                <w:color w:val="auto"/>
                <w:sz w:val="18"/>
                <w:szCs w:val="18"/>
                <w:highlight w:val="none"/>
              </w:rPr>
            </w:r>
            <w:r>
              <w:rPr>
                <w:color w:val="auto"/>
                <w:highlight w:val="none"/>
              </w:rPr>
            </w:r>
          </w:p>
        </w:tc>
        <w:tc>
          <w:tcPr>
            <w:tcW w:w="891" w:type="dxa"/>
            <w:vAlign w:val="top"/>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存储管理系统扩容</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EMC VPLEX UPG</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129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存储设备</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虚拟化存储</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HDS VSP G200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通用系统软件</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服务器端病毒防护系统扩容</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360天擎</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通用系统软件</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虚拟化安全防护系统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网神VMS7.0-CPU-ARS</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应用软件</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备份软件</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爱数AnyBackup企业版</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133</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应用软件</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备份云管理平台</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爱数AnyBackupCloud云平台</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134</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应用软件</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防病毒软件</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360天擎终端安全管理系统</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135</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应用软件</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综合运维管理平台</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恒维 铂金版</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136</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机房环境监控系统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金榜智能KingWeb3.0</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套</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137</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精密空调1</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艾特网能CM035DA</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138</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精密空调2</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艾特网能CM035DA</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139</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KVM管理系统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蓝宝AR1016-S</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140</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气体灭火控制系统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安宇</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141</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UPS不间断电源系统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艾默生UL33-0600L</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tcW w:w="825"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142</w:t>
            </w:r>
            <w:r>
              <w:rPr>
                <w:rFonts w:ascii="宋体" w:hAnsi="宋体"/>
                <w:color w:val="auto"/>
                <w:sz w:val="18"/>
                <w:szCs w:val="18"/>
                <w:highlight w:val="none"/>
              </w:rPr>
            </w:r>
            <w:r>
              <w:rPr>
                <w:color w:val="auto"/>
                <w:highlight w:val="none"/>
              </w:rPr>
            </w:r>
          </w:p>
        </w:tc>
        <w:tc>
          <w:tcPr>
            <w:tcW w:w="1427"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机房环境</w:t>
            </w:r>
            <w:r>
              <w:rPr>
                <w:rFonts w:ascii="宋体" w:hAnsi="宋体"/>
                <w:color w:val="auto"/>
                <w:sz w:val="18"/>
                <w:szCs w:val="18"/>
                <w:highlight w:val="none"/>
              </w:rPr>
            </w:r>
            <w:r>
              <w:rPr>
                <w:color w:val="auto"/>
                <w:highlight w:val="none"/>
              </w:rPr>
            </w:r>
          </w:p>
        </w:tc>
        <w:tc>
          <w:tcPr>
            <w:tcW w:w="2712"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UPS不间断电源系统</w:t>
            </w:r>
            <w:r>
              <w:rPr>
                <w:rFonts w:ascii="宋体" w:hAnsi="宋体"/>
                <w:color w:val="auto"/>
                <w:sz w:val="18"/>
                <w:szCs w:val="18"/>
                <w:highlight w:val="none"/>
              </w:rPr>
            </w:r>
            <w:r>
              <w:rPr>
                <w:color w:val="auto"/>
                <w:highlight w:val="none"/>
              </w:rPr>
            </w:r>
          </w:p>
        </w:tc>
        <w:tc>
          <w:tcPr>
            <w:tcW w:w="3314"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艾默生UL33-0600L</w:t>
            </w:r>
            <w:r>
              <w:rPr>
                <w:rFonts w:ascii="宋体" w:hAnsi="宋体"/>
                <w:color w:val="auto"/>
                <w:sz w:val="18"/>
                <w:szCs w:val="18"/>
                <w:highlight w:val="none"/>
              </w:rPr>
            </w:r>
            <w:r>
              <w:rPr>
                <w:color w:val="auto"/>
                <w:highlight w:val="none"/>
              </w:rPr>
            </w:r>
          </w:p>
        </w:tc>
        <w:tc>
          <w:tcPr>
            <w:tcW w:w="891" w:type="dxa"/>
            <w:vAlign w:val="center"/>
            <w:textDirection w:val="lrTb"/>
            <w:noWrap/>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1台</w:t>
            </w:r>
            <w:r>
              <w:rPr>
                <w:rFonts w:ascii="宋体" w:hAnsi="宋体"/>
                <w:color w:val="auto"/>
                <w:sz w:val="18"/>
                <w:szCs w:val="18"/>
                <w:highlight w:val="none"/>
              </w:rPr>
            </w:r>
            <w:r>
              <w:rPr>
                <w:color w:val="auto"/>
                <w:highlight w:val="none"/>
              </w:rPr>
            </w:r>
          </w:p>
        </w:tc>
      </w:tr>
      <w:tr>
        <w:trPr>
          <w:trHeight w:val="20"/>
        </w:trPr>
        <w:tc>
          <w:tcPr>
            <w:gridSpan w:val="5"/>
            <w:tcW w:w="9169" w:type="dxa"/>
            <w:vAlign w:val="center"/>
            <w:textDirection w:val="lrTb"/>
            <w:noWrap/>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备注：其中核心交换机、市民中心UTM安全网关、天行网安数据交换区设备、下属汇聚防火墙、土地视频监控交换设备、外网防火墙、外网</w:t>
            </w:r>
            <w:r>
              <w:rPr>
                <w:rFonts w:ascii="宋体" w:hAnsi="宋体"/>
                <w:color w:val="auto"/>
                <w:sz w:val="18"/>
                <w:szCs w:val="18"/>
                <w:highlight w:val="none"/>
              </w:rPr>
              <w:t xml:space="preserve">IPS</w:t>
            </w:r>
            <w:r>
              <w:rPr>
                <w:rFonts w:hint="eastAsia" w:ascii="宋体" w:hAnsi="宋体"/>
                <w:color w:val="auto"/>
                <w:sz w:val="18"/>
                <w:szCs w:val="18"/>
                <w:highlight w:val="none"/>
              </w:rPr>
              <w:t xml:space="preserve">、漏扫设备、未知威胁发现设备、备份一体机、备份云管理平台、虚拟化安全防护系统、综合运维管理平台须提供原厂质保函原件（</w:t>
            </w:r>
            <w:r>
              <w:rPr>
                <w:rFonts w:hint="eastAsia" w:ascii="宋体" w:hAnsi="宋体"/>
                <w:color w:val="auto"/>
                <w:sz w:val="18"/>
                <w:szCs w:val="18"/>
                <w:highlight w:val="none"/>
              </w:rPr>
              <w:t xml:space="preserve">由中标供应商</w:t>
            </w:r>
            <w:r>
              <w:rPr>
                <w:rFonts w:hint="eastAsia" w:ascii="宋体" w:hAnsi="宋体"/>
                <w:color w:val="auto"/>
                <w:sz w:val="18"/>
                <w:szCs w:val="18"/>
                <w:highlight w:val="none"/>
              </w:rPr>
              <w:t xml:space="preserve">入场维护后一周内</w:t>
            </w:r>
            <w:r>
              <w:rPr>
                <w:rFonts w:hint="eastAsia" w:ascii="宋体" w:hAnsi="宋体"/>
                <w:color w:val="auto"/>
                <w:sz w:val="18"/>
                <w:szCs w:val="18"/>
                <w:highlight w:val="none"/>
              </w:rPr>
              <w:t xml:space="preserve">向采购人</w:t>
            </w:r>
            <w:r>
              <w:rPr>
                <w:rFonts w:hint="eastAsia" w:ascii="宋体" w:hAnsi="宋体"/>
                <w:color w:val="auto"/>
                <w:sz w:val="18"/>
                <w:szCs w:val="18"/>
                <w:highlight w:val="none"/>
              </w:rPr>
              <w:t xml:space="preserve">提供</w:t>
            </w:r>
            <w:r>
              <w:rPr>
                <w:rFonts w:hint="eastAsia" w:ascii="宋体" w:hAnsi="宋体"/>
                <w:color w:val="auto"/>
                <w:sz w:val="18"/>
                <w:szCs w:val="18"/>
                <w:highlight w:val="none"/>
              </w:rPr>
              <w:t xml:space="preserve">备案</w:t>
            </w:r>
            <w:r>
              <w:rPr>
                <w:rFonts w:hint="eastAsia" w:ascii="宋体" w:hAnsi="宋体"/>
                <w:color w:val="auto"/>
                <w:sz w:val="18"/>
                <w:szCs w:val="18"/>
                <w:highlight w:val="none"/>
              </w:rPr>
              <w:t xml:space="preserve">，否则采购人依法追究，项目所有款项均不予支付）。</w:t>
            </w:r>
            <w:r>
              <w:rPr>
                <w:rFonts w:ascii="宋体" w:hAnsi="宋体"/>
                <w:color w:val="auto"/>
                <w:sz w:val="18"/>
                <w:szCs w:val="18"/>
                <w:highlight w:val="none"/>
              </w:rPr>
            </w:r>
            <w:r>
              <w:rPr>
                <w:color w:val="auto"/>
                <w:highlight w:val="none"/>
              </w:rPr>
            </w:r>
          </w:p>
        </w:tc>
      </w:tr>
    </w:tbl>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2.2.4</w:t>
      </w:r>
      <w:r>
        <w:rPr>
          <w:rFonts w:hint="eastAsia" w:ascii="宋体" w:hAnsi="宋体"/>
          <w:bCs/>
          <w:color w:val="auto"/>
          <w:sz w:val="24"/>
          <w:szCs w:val="24"/>
          <w:highlight w:val="none"/>
        </w:rPr>
        <w:t xml:space="preserve">  网络安全技术</w:t>
      </w:r>
      <w:r>
        <w:rPr>
          <w:rFonts w:ascii="宋体" w:hAnsi="宋体"/>
          <w:bCs/>
          <w:color w:val="auto"/>
          <w:sz w:val="24"/>
          <w:szCs w:val="24"/>
          <w:highlight w:val="none"/>
        </w:rPr>
        <w:t xml:space="preserve">服务</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安全服务目标</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为防范化解采购单位网络安全风险</w:t>
      </w:r>
      <w:r>
        <w:rPr>
          <w:rFonts w:ascii="宋体" w:hAnsi="宋体"/>
          <w:bCs/>
          <w:color w:val="auto"/>
          <w:sz w:val="24"/>
          <w:szCs w:val="24"/>
          <w:highlight w:val="none"/>
        </w:rPr>
        <w:t xml:space="preserve">，提升网络安全防护能力，确保不发生较大及</w:t>
      </w:r>
      <w:r>
        <w:rPr>
          <w:rFonts w:hint="eastAsia" w:ascii="宋体" w:hAnsi="宋体"/>
          <w:bCs/>
          <w:color w:val="auto"/>
          <w:sz w:val="24"/>
          <w:szCs w:val="24"/>
          <w:highlight w:val="none"/>
        </w:rPr>
        <w:t xml:space="preserve">以上</w:t>
      </w:r>
      <w:r>
        <w:rPr>
          <w:rFonts w:ascii="宋体" w:hAnsi="宋体"/>
          <w:bCs/>
          <w:color w:val="auto"/>
          <w:sz w:val="24"/>
          <w:szCs w:val="24"/>
          <w:highlight w:val="none"/>
        </w:rPr>
        <w:t xml:space="preserve">网络安全事件，</w:t>
      </w:r>
      <w:r>
        <w:rPr>
          <w:rFonts w:hint="eastAsia" w:ascii="宋体" w:hAnsi="宋体"/>
          <w:bCs/>
          <w:color w:val="auto"/>
          <w:sz w:val="24"/>
          <w:szCs w:val="24"/>
          <w:highlight w:val="none"/>
        </w:rPr>
        <w:t xml:space="preserve">按照“谁主管、谁负责；谁运营、谁负责”的原则，依法落实网络安全技术措施，现拟购买第三方专业网络安全机构进行网络安全监测、维护等工作，保障各系统不出现安全问题和降低被安全通报的可能。</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通过对采购单位互联网及内部系统进行周期性网络安全服务，能够</w:t>
      </w:r>
      <w:r>
        <w:rPr>
          <w:rFonts w:ascii="宋体" w:hAnsi="宋体"/>
          <w:bCs/>
          <w:color w:val="auto"/>
          <w:sz w:val="24"/>
          <w:szCs w:val="24"/>
          <w:highlight w:val="none"/>
        </w:rPr>
        <w:t xml:space="preserve">应对当前复杂的网络安全形势，提升</w:t>
      </w:r>
      <w:r>
        <w:rPr>
          <w:rFonts w:hint="eastAsia" w:ascii="宋体" w:hAnsi="宋体"/>
          <w:bCs/>
          <w:color w:val="auto"/>
          <w:sz w:val="24"/>
          <w:szCs w:val="24"/>
          <w:highlight w:val="none"/>
        </w:rPr>
        <w:t xml:space="preserve">采购单位</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安全防护能力与服务质量，建立长效的安全保障机制，保证信息系统的正常运行，建立、健全网络安全事件预防和应急处置工作机制，</w:t>
      </w:r>
      <w:r>
        <w:rPr>
          <w:rFonts w:hint="eastAsia" w:ascii="宋体" w:hAnsi="宋体"/>
          <w:bCs/>
          <w:color w:val="auto"/>
          <w:sz w:val="24"/>
          <w:szCs w:val="24"/>
          <w:highlight w:val="none"/>
        </w:rPr>
        <w:t xml:space="preserve">从而能够有效保障各项公共服务的正常开展。</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要求根据安全技术服务的技术要求，提供安全服务的配套工具。</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服务时间</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和本项目整体维保时间一致：合同签订</w:t>
      </w:r>
      <w:r>
        <w:rPr>
          <w:rFonts w:hint="eastAsia" w:ascii="宋体" w:hAnsi="宋体"/>
          <w:bCs/>
          <w:color w:val="auto"/>
          <w:sz w:val="24"/>
          <w:szCs w:val="24"/>
          <w:highlight w:val="none"/>
        </w:rPr>
        <w:t xml:space="preserve">生效</w:t>
      </w:r>
      <w:r>
        <w:rPr>
          <w:rFonts w:hint="eastAsia" w:ascii="宋体" w:hAnsi="宋体"/>
          <w:bCs/>
          <w:color w:val="auto"/>
          <w:sz w:val="24"/>
          <w:szCs w:val="24"/>
          <w:highlight w:val="none"/>
        </w:rPr>
        <w:t xml:space="preserve">后1年。</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（3）安全服务内容</w:t>
      </w:r>
      <w:r>
        <w:rPr>
          <w:rFonts w:ascii="宋体" w:hAnsi="宋体"/>
          <w:bCs/>
          <w:color w:val="auto"/>
          <w:sz w:val="24"/>
          <w:szCs w:val="24"/>
          <w:highlight w:val="none"/>
        </w:rPr>
      </w:r>
      <w:r>
        <w:rPr>
          <w:color w:val="auto"/>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821"/>
        <w:gridCol w:w="5465"/>
        <w:gridCol w:w="1060"/>
      </w:tblGrid>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序号</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服务类型</w:t>
            </w:r>
            <w:r>
              <w:rPr>
                <w:color w:val="auto"/>
                <w:highlight w:val="none"/>
              </w:rPr>
            </w:r>
          </w:p>
        </w:tc>
        <w:tc>
          <w:tcPr>
            <w:tcW w:w="5465"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服务描述</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备注</w:t>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资产发现服务</w:t>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ascii="宋体" w:hAnsi="宋体"/>
                <w:color w:val="auto"/>
                <w:sz w:val="18"/>
                <w:szCs w:val="18"/>
                <w:highlight w:val="none"/>
              </w:rPr>
              <w:t xml:space="preserve">基于网络扫描、搜索引擎、互联网基础数据引擎主动探测用户在互联网上暴露的资产，可以形成明确的资产清单，帮助用户发现自己的未知资产。</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1次/年</w:t>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漏洞验证服务</w:t>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根据</w:t>
            </w:r>
            <w:r>
              <w:rPr>
                <w:rFonts w:ascii="宋体" w:hAnsi="宋体"/>
                <w:color w:val="auto"/>
                <w:sz w:val="18"/>
                <w:szCs w:val="18"/>
                <w:highlight w:val="none"/>
              </w:rPr>
              <w:t xml:space="preserve">网络安全扫描工具</w:t>
            </w:r>
            <w:r>
              <w:rPr>
                <w:rFonts w:hint="eastAsia" w:ascii="宋体" w:hAnsi="宋体"/>
                <w:color w:val="auto"/>
                <w:sz w:val="18"/>
                <w:szCs w:val="18"/>
                <w:highlight w:val="none"/>
              </w:rPr>
              <w:t xml:space="preserve">生成的报告，</w:t>
            </w:r>
            <w:r>
              <w:rPr>
                <w:rFonts w:ascii="宋体" w:hAnsi="宋体"/>
                <w:color w:val="auto"/>
                <w:sz w:val="18"/>
                <w:szCs w:val="18"/>
                <w:highlight w:val="none"/>
              </w:rPr>
              <w:t xml:space="preserve">对所有有效授权资产的扫描结果进行人工验证，明确漏洞信息真实存在，由专业技术人员出具</w:t>
            </w:r>
            <w:r>
              <w:rPr>
                <w:rFonts w:hint="eastAsia" w:ascii="宋体" w:hAnsi="宋体"/>
                <w:color w:val="auto"/>
                <w:sz w:val="18"/>
                <w:szCs w:val="18"/>
                <w:highlight w:val="none"/>
              </w:rPr>
              <w:t xml:space="preserve">验证</w:t>
            </w:r>
            <w:r>
              <w:rPr>
                <w:rFonts w:ascii="宋体" w:hAnsi="宋体"/>
                <w:color w:val="auto"/>
                <w:sz w:val="18"/>
                <w:szCs w:val="18"/>
                <w:highlight w:val="none"/>
              </w:rPr>
              <w:t xml:space="preserve">报告。</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4次/年</w:t>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3</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渗透测试</w:t>
            </w:r>
            <w:r>
              <w:rPr>
                <w:rFonts w:hint="eastAsia" w:ascii="宋体" w:hAnsi="宋体"/>
                <w:color w:val="auto"/>
                <w:sz w:val="18"/>
                <w:szCs w:val="18"/>
                <w:highlight w:val="none"/>
              </w:rPr>
              <w:t xml:space="preserve">服务</w:t>
            </w:r>
            <w:r>
              <w:rPr>
                <w:rFonts w:ascii="宋体" w:hAnsi="宋体"/>
                <w:color w:val="auto"/>
                <w:sz w:val="18"/>
                <w:szCs w:val="18"/>
                <w:highlight w:val="none"/>
              </w:rPr>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针对单位的互联网资产</w:t>
            </w:r>
            <w:r>
              <w:rPr>
                <w:rFonts w:ascii="宋体" w:hAnsi="宋体"/>
                <w:color w:val="auto"/>
                <w:sz w:val="18"/>
                <w:szCs w:val="18"/>
                <w:highlight w:val="none"/>
              </w:rPr>
              <w:t xml:space="preserve">通过渗透测试评估系统安全风险状况，发现系统安全漏洞，并针对安全风险提出修复建议，提升系统安全性。通过模拟真实的黑客攻击发现现有平台在整体安全防御体系中有哪些缺失的部分，并且检测已有安全产品及安全策略是否能够实时防御安全攻击。针对发现的安全防御体系中存在安全风险，提出安全解决方案，完整现有防御体系，优化安全策略。</w:t>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渗透系统：主要包括“自然资源规划一体化平台”、“电子政务云平台”、“不动产登记信息管理平台”等，以及采购人提供的专网、政务外网、互联网资产清单。</w:t>
            </w:r>
            <w:r>
              <w:rPr>
                <w:rFonts w:ascii="宋体" w:hAnsi="宋体"/>
                <w:color w:val="auto"/>
                <w:sz w:val="18"/>
                <w:szCs w:val="18"/>
                <w:highlight w:val="none"/>
              </w:rPr>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4次/年</w:t>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rFonts w:ascii="宋体" w:hAnsi="宋体"/>
                <w:color w:val="auto"/>
                <w:sz w:val="18"/>
                <w:szCs w:val="18"/>
                <w:highlight w:val="none"/>
              </w:rPr>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全流量分析服务</w:t>
            </w:r>
            <w:r>
              <w:rPr>
                <w:rFonts w:ascii="宋体" w:hAnsi="宋体"/>
                <w:color w:val="auto"/>
                <w:sz w:val="18"/>
                <w:szCs w:val="18"/>
                <w:highlight w:val="none"/>
              </w:rPr>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针对信息系统使用专业流量分析设备，</w:t>
            </w:r>
            <w:r>
              <w:rPr>
                <w:rFonts w:ascii="宋体" w:hAnsi="宋体"/>
                <w:color w:val="auto"/>
                <w:sz w:val="18"/>
                <w:szCs w:val="18"/>
                <w:highlight w:val="none"/>
              </w:rPr>
              <w:t xml:space="preserve">通过采集网络边界、终端、服务器、存储和移动办公等环节的流量和安全日志，结合收集来自于全球的海量威胁情报，监测分析全网资产安全状况，</w:t>
            </w:r>
            <w:r>
              <w:rPr>
                <w:rFonts w:hint="eastAsia" w:ascii="宋体" w:hAnsi="宋体"/>
                <w:color w:val="auto"/>
                <w:sz w:val="18"/>
                <w:szCs w:val="18"/>
                <w:highlight w:val="none"/>
              </w:rPr>
              <w:t xml:space="preserve">及时</w:t>
            </w:r>
            <w:r>
              <w:rPr>
                <w:rFonts w:ascii="宋体" w:hAnsi="宋体"/>
                <w:color w:val="auto"/>
                <w:sz w:val="18"/>
                <w:szCs w:val="18"/>
                <w:highlight w:val="none"/>
              </w:rPr>
              <w:t xml:space="preserve">发现内外部的各种已知和未知的安全威胁与风险，实现风险真正的可知可视可控。</w:t>
            </w:r>
            <w:r>
              <w:rPr>
                <w:rFonts w:hint="eastAsia" w:ascii="宋体" w:hAnsi="宋体"/>
                <w:color w:val="auto"/>
                <w:sz w:val="18"/>
                <w:szCs w:val="18"/>
                <w:highlight w:val="none"/>
              </w:rPr>
              <w:t xml:space="preserve">并根据分析结果形成安全状况报告，协助管理员解决系统所存在的未知安全风险。</w:t>
            </w:r>
            <w:r>
              <w:rPr>
                <w:rFonts w:ascii="宋体" w:hAnsi="宋体"/>
                <w:color w:val="auto"/>
                <w:sz w:val="18"/>
                <w:szCs w:val="18"/>
                <w:highlight w:val="none"/>
              </w:rPr>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1次/年</w:t>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5</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应急演练</w:t>
            </w:r>
            <w:r>
              <w:rPr>
                <w:rFonts w:hint="eastAsia" w:ascii="宋体" w:hAnsi="宋体"/>
                <w:color w:val="auto"/>
                <w:sz w:val="18"/>
                <w:szCs w:val="18"/>
                <w:highlight w:val="none"/>
              </w:rPr>
              <w:t xml:space="preserve">服务</w:t>
            </w:r>
            <w:r>
              <w:rPr>
                <w:rFonts w:ascii="宋体" w:hAnsi="宋体"/>
                <w:color w:val="auto"/>
                <w:sz w:val="18"/>
                <w:szCs w:val="18"/>
                <w:highlight w:val="none"/>
              </w:rPr>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ascii="宋体" w:hAnsi="宋体"/>
                <w:color w:val="auto"/>
                <w:sz w:val="18"/>
                <w:szCs w:val="18"/>
                <w:highlight w:val="none"/>
              </w:rPr>
              <w:t xml:space="preserve">为检验本单位应急预案的有效性、应急准备的完善性、应急响应能力的适应性和应急人员的协同性而进行的一种模拟应急响应的实践活动；模拟安全事件发生并响应处理的整个流程。</w:t>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全局范围内（含江阴、宜兴），3个场景如：D</w:t>
            </w:r>
            <w:r>
              <w:rPr>
                <w:rFonts w:ascii="宋体" w:hAnsi="宋体"/>
                <w:color w:val="auto"/>
                <w:sz w:val="18"/>
                <w:szCs w:val="18"/>
                <w:highlight w:val="none"/>
              </w:rPr>
              <w:t xml:space="preserve">DOS</w:t>
            </w:r>
            <w:r>
              <w:rPr>
                <w:rFonts w:hint="eastAsia" w:ascii="宋体" w:hAnsi="宋体"/>
                <w:color w:val="auto"/>
                <w:sz w:val="18"/>
                <w:szCs w:val="18"/>
                <w:highlight w:val="none"/>
              </w:rPr>
              <w:t xml:space="preserve">攻击、勒索病毒爆发、网页被篡改等。</w:t>
            </w:r>
            <w:r>
              <w:rPr>
                <w:rFonts w:ascii="宋体" w:hAnsi="宋体"/>
                <w:color w:val="auto"/>
                <w:sz w:val="18"/>
                <w:szCs w:val="18"/>
                <w:highlight w:val="none"/>
              </w:rPr>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1次/年（包含3个场景）</w:t>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6</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网络安全咨询服务</w:t>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ascii="宋体" w:hAnsi="宋体"/>
                <w:color w:val="auto"/>
                <w:sz w:val="18"/>
                <w:szCs w:val="18"/>
                <w:highlight w:val="none"/>
              </w:rPr>
              <w:t xml:space="preserve">针对各级网络安全主管部门提出的各类安全自查、安全整改提供技术资料；针对现有信息化建设方面在网络安全方面存在的隐患和改良建议；参照网络安全等级保护基本要求、行业相关网络安全要求和网络安全法等相关法律法规文件要求，完善安全技术体系和管理体系，协助用户网络安全工作正常开展。</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全年</w:t>
            </w:r>
            <w:r>
              <w:rPr>
                <w:rFonts w:ascii="宋体" w:hAnsi="宋体"/>
                <w:color w:val="auto"/>
                <w:sz w:val="18"/>
                <w:szCs w:val="18"/>
                <w:highlight w:val="none"/>
              </w:rPr>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7</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网络安全培训</w:t>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ascii="宋体" w:hAnsi="宋体"/>
                <w:color w:val="auto"/>
                <w:sz w:val="18"/>
                <w:szCs w:val="18"/>
                <w:highlight w:val="none"/>
              </w:rPr>
              <w:t xml:space="preserve">为进一步提高各级组织网络安全意识和应急处置能力,增强网络安全防范意识,更好地应对网络安全事故,确保全局意识形态工作，安排专业安服工程师对各级组织开展网络安全培训，培训人数不限。</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2次</w:t>
            </w:r>
            <w:r>
              <w:rPr>
                <w:rFonts w:hint="eastAsia" w:ascii="宋体" w:hAnsi="宋体"/>
                <w:color w:val="auto"/>
                <w:sz w:val="18"/>
                <w:szCs w:val="18"/>
                <w:highlight w:val="none"/>
              </w:rPr>
              <w:t xml:space="preserve">/年</w:t>
            </w:r>
            <w:r>
              <w:rPr>
                <w:rFonts w:ascii="宋体" w:hAnsi="宋体"/>
                <w:color w:val="auto"/>
                <w:sz w:val="18"/>
                <w:szCs w:val="18"/>
                <w:highlight w:val="none"/>
              </w:rPr>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8</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应急响应</w:t>
            </w:r>
            <w:r>
              <w:rPr>
                <w:rFonts w:hint="eastAsia" w:ascii="宋体" w:hAnsi="宋体"/>
                <w:color w:val="auto"/>
                <w:sz w:val="18"/>
                <w:szCs w:val="18"/>
                <w:highlight w:val="none"/>
              </w:rPr>
              <w:t xml:space="preserve">服务</w:t>
            </w:r>
            <w:r>
              <w:rPr>
                <w:rFonts w:ascii="宋体" w:hAnsi="宋体"/>
                <w:color w:val="auto"/>
                <w:sz w:val="18"/>
                <w:szCs w:val="18"/>
                <w:highlight w:val="none"/>
              </w:rPr>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ascii="宋体" w:hAnsi="宋体"/>
                <w:color w:val="auto"/>
                <w:sz w:val="18"/>
                <w:szCs w:val="18"/>
                <w:highlight w:val="none"/>
              </w:rPr>
              <w:t xml:space="preserve">在用户发生确切的安全事件时，15分钟内电话或远程应急响应，实施人员及时采取行动限制事件扩散和影响的范围，限制潜在的损失与破坏服务基础上，实施人员1小时内达到现场，协助客户检查所有受影响的系统，在准确判断安全事件原因的基础上，提出基于安全事件整体安全解决方案，排除系统安全风险并协助追查事件来源、提出解决方案、协助后续处置。</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全年</w:t>
            </w:r>
            <w:r>
              <w:rPr>
                <w:rFonts w:ascii="宋体" w:hAnsi="宋体"/>
                <w:color w:val="auto"/>
                <w:sz w:val="18"/>
                <w:szCs w:val="18"/>
                <w:highlight w:val="none"/>
              </w:rPr>
            </w:r>
            <w:r>
              <w:rPr>
                <w:color w:val="auto"/>
                <w:highlight w:val="none"/>
              </w:rPr>
            </w:r>
          </w:p>
        </w:tc>
      </w:tr>
      <w:tr>
        <w:trPr>
          <w:trHeight w:val="20"/>
        </w:trPr>
        <w:tc>
          <w:tcPr>
            <w:tcW w:w="823"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9</w:t>
            </w:r>
            <w:r>
              <w:rPr>
                <w:color w:val="auto"/>
                <w:highlight w:val="none"/>
              </w:rPr>
            </w:r>
          </w:p>
        </w:tc>
        <w:tc>
          <w:tcPr>
            <w:tcW w:w="1821"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通报预警服务</w:t>
            </w:r>
            <w:r>
              <w:rPr>
                <w:color w:val="auto"/>
                <w:highlight w:val="none"/>
              </w:rPr>
            </w:r>
          </w:p>
        </w:tc>
        <w:tc>
          <w:tcPr>
            <w:tcW w:w="5465" w:type="dxa"/>
            <w:vAlign w:val="center"/>
            <w:textDirection w:val="lrTb"/>
            <w:noWrap w:val="false"/>
          </w:tcPr>
          <w:p>
            <w:pPr>
              <w:pStyle w:val="777"/>
              <w:rPr>
                <w:rFonts w:ascii="宋体" w:hAnsi="宋体"/>
                <w:color w:val="auto"/>
                <w:sz w:val="18"/>
                <w:szCs w:val="18"/>
                <w:highlight w:val="none"/>
              </w:rPr>
            </w:pPr>
            <w:r>
              <w:rPr>
                <w:rFonts w:ascii="宋体" w:hAnsi="宋体"/>
                <w:color w:val="auto"/>
                <w:sz w:val="18"/>
                <w:szCs w:val="18"/>
                <w:highlight w:val="none"/>
              </w:rPr>
              <w:t xml:space="preserve">定期及在突发重大安全事件后以邮件形式向全区所有单位推送行业内安全事件、重大舆情信息、重要系统漏洞</w:t>
            </w:r>
            <w:r>
              <w:rPr>
                <w:rFonts w:hint="eastAsia" w:ascii="宋体" w:hAnsi="宋体"/>
                <w:color w:val="auto"/>
                <w:sz w:val="18"/>
                <w:szCs w:val="18"/>
                <w:highlight w:val="none"/>
              </w:rPr>
              <w:t xml:space="preserve">及</w:t>
            </w:r>
            <w:r>
              <w:rPr>
                <w:rFonts w:ascii="宋体" w:hAnsi="宋体"/>
                <w:color w:val="auto"/>
                <w:sz w:val="18"/>
                <w:szCs w:val="18"/>
                <w:highlight w:val="none"/>
              </w:rPr>
              <w:t xml:space="preserve">补丁信息等。</w:t>
            </w:r>
            <w:r>
              <w:rPr>
                <w:color w:val="auto"/>
                <w:highlight w:val="none"/>
              </w:rPr>
            </w:r>
          </w:p>
        </w:tc>
        <w:tc>
          <w:tcPr>
            <w:tcW w:w="1060" w:type="dxa"/>
            <w:vAlign w:val="center"/>
            <w:textDirection w:val="lrTb"/>
            <w:noWrap w:val="false"/>
          </w:tcPr>
          <w:p>
            <w:pPr>
              <w:pStyle w:val="777"/>
              <w:jc w:val="center"/>
              <w:rPr>
                <w:rFonts w:ascii="宋体" w:hAnsi="宋体"/>
                <w:color w:val="auto"/>
                <w:sz w:val="18"/>
                <w:szCs w:val="18"/>
                <w:highlight w:val="none"/>
              </w:rPr>
            </w:pPr>
            <w:r>
              <w:rPr>
                <w:rFonts w:ascii="宋体" w:hAnsi="宋体"/>
                <w:color w:val="auto"/>
                <w:sz w:val="18"/>
                <w:szCs w:val="18"/>
                <w:highlight w:val="none"/>
              </w:rPr>
              <w:t xml:space="preserve">全年</w:t>
            </w:r>
            <w:r>
              <w:rPr>
                <w:color w:val="auto"/>
                <w:highlight w:val="none"/>
              </w:rPr>
            </w:r>
          </w:p>
        </w:tc>
      </w:tr>
    </w:tbl>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智能监测与预警服务</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（1）服务目标</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通过对采购单位的软硬件系统进行监测与预警，及时发现问题并处理，确保系统运行稳定。</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（2）服务内容</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针对采购单位信息系统的现状情况，同时根据系统监测的要求，将对现有系统进行实时监测与预警，及时了解系统运行状态，将问题处理在萌芽中。</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本次智能监测与预警服务内容如下：</w:t>
      </w:r>
      <w:r>
        <w:rPr>
          <w:rFonts w:hint="eastAsia" w:ascii="宋体" w:hAnsi="宋体"/>
          <w:bCs/>
          <w:color w:val="auto"/>
          <w:sz w:val="24"/>
          <w:szCs w:val="24"/>
          <w:highlight w:val="none"/>
        </w:rPr>
      </w:r>
      <w:r>
        <w:rPr>
          <w:color w:val="auto"/>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694"/>
        <w:gridCol w:w="6635"/>
      </w:tblGrid>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序号</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服务大类</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描述</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服务器运行监控和预警服务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1、实时监控服务器系统（进程、重要文件、系统日志、系统登录、漏洞补丁等）</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2、实时监控数据和历史数据的对比分析和预警</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2</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网络运行监控和预警服务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1、实时监控网络设备日志</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2、实时监控数据和历史数据的对比分析及预警。</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3</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网络安全设备监控和预警服务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1、实时监控网络安全系统日志</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2、实时监控数据和历史数据的对比分析及预警。</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互联网业务软件监控和预警服务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1、实时监控互联网业务响应和互联网网络出口</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2、实时报警和监控数据阈值调优</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ascii="宋体" w:hAnsi="宋体"/>
                <w:color w:val="auto"/>
                <w:sz w:val="18"/>
                <w:szCs w:val="18"/>
                <w:highlight w:val="none"/>
              </w:rPr>
              <w:t xml:space="preserve">3</w:t>
            </w:r>
            <w:r>
              <w:rPr>
                <w:rFonts w:hint="eastAsia" w:ascii="宋体" w:hAnsi="宋体"/>
                <w:color w:val="auto"/>
                <w:sz w:val="18"/>
                <w:szCs w:val="18"/>
                <w:highlight w:val="none"/>
              </w:rPr>
              <w:t xml:space="preserve">、实时监控互联网业务程序文件完整性</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ascii="宋体" w:hAnsi="宋体"/>
                <w:color w:val="auto"/>
                <w:sz w:val="18"/>
                <w:szCs w:val="18"/>
                <w:highlight w:val="none"/>
              </w:rPr>
              <w:t xml:space="preserve">4</w:t>
            </w:r>
            <w:r>
              <w:rPr>
                <w:rFonts w:hint="eastAsia" w:ascii="宋体" w:hAnsi="宋体"/>
                <w:color w:val="auto"/>
                <w:sz w:val="18"/>
                <w:szCs w:val="18"/>
                <w:highlight w:val="none"/>
              </w:rPr>
              <w:t xml:space="preserve">、实时监控互联网业务程序业务响应的对比分析及预警。</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5</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业务系统监控和预警服务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1、实时监控互联网业务响应，</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2、实时报警和监控数据阈值调优</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ascii="宋体" w:hAnsi="宋体"/>
                <w:color w:val="auto"/>
                <w:sz w:val="18"/>
                <w:szCs w:val="18"/>
                <w:highlight w:val="none"/>
              </w:rPr>
              <w:t xml:space="preserve">3</w:t>
            </w:r>
            <w:r>
              <w:rPr>
                <w:rFonts w:hint="eastAsia" w:ascii="宋体" w:hAnsi="宋体"/>
                <w:color w:val="auto"/>
                <w:sz w:val="18"/>
                <w:szCs w:val="18"/>
                <w:highlight w:val="none"/>
              </w:rPr>
              <w:t xml:space="preserve">、实时监控业务系统健康状态，包括响应、进程、吞吐量、会话数、日志、程序文件等</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ascii="宋体" w:hAnsi="宋体"/>
                <w:color w:val="auto"/>
                <w:sz w:val="18"/>
                <w:szCs w:val="18"/>
                <w:highlight w:val="none"/>
              </w:rPr>
              <w:t xml:space="preserve">4</w:t>
            </w:r>
            <w:r>
              <w:rPr>
                <w:rFonts w:hint="eastAsia" w:ascii="宋体" w:hAnsi="宋体"/>
                <w:color w:val="auto"/>
                <w:sz w:val="18"/>
                <w:szCs w:val="18"/>
                <w:highlight w:val="none"/>
              </w:rPr>
              <w:t xml:space="preserve">、实时监控数据和历史数据的对比分析及预警。</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6</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数据库监控和预警服务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1、实时监控数据库的日志、非法登录、漏洞补丁、高级巡检等</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2、实时监控和分析数据库系统日志</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3、实时监控数据和历史数据的对比分析及预警。</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7</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备份系统监控和预警服务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1、实时监控备份系统运行、备份状态和备份空间</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hint="eastAsia" w:ascii="宋体" w:hAnsi="宋体"/>
                <w:color w:val="auto"/>
                <w:sz w:val="18"/>
                <w:szCs w:val="18"/>
                <w:highlight w:val="none"/>
              </w:rPr>
              <w:t xml:space="preserve">2、实时监控报警和监控数据阈值调优 </w:t>
            </w:r>
            <w:r>
              <w:rPr>
                <w:rFonts w:ascii="宋体" w:hAnsi="宋体"/>
                <w:color w:val="auto"/>
                <w:sz w:val="18"/>
                <w:szCs w:val="18"/>
                <w:highlight w:val="none"/>
              </w:rPr>
            </w:r>
            <w:r>
              <w:rPr>
                <w:color w:val="auto"/>
                <w:highlight w:val="none"/>
              </w:rPr>
            </w:r>
          </w:p>
        </w:tc>
      </w:tr>
      <w:tr>
        <w:trPr>
          <w:trHeight w:val="20"/>
        </w:trPr>
        <w:tc>
          <w:tcPr>
            <w:tcW w:w="840"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8</w:t>
            </w:r>
            <w:r>
              <w:rPr>
                <w:rFonts w:ascii="宋体" w:hAnsi="宋体"/>
                <w:color w:val="auto"/>
                <w:sz w:val="18"/>
                <w:szCs w:val="18"/>
                <w:highlight w:val="none"/>
              </w:rPr>
            </w:r>
            <w:r>
              <w:rPr>
                <w:color w:val="auto"/>
                <w:highlight w:val="none"/>
              </w:rPr>
            </w:r>
          </w:p>
        </w:tc>
        <w:tc>
          <w:tcPr>
            <w:tcW w:w="1694" w:type="dxa"/>
            <w:vAlign w:val="center"/>
            <w:textDirection w:val="lrTb"/>
            <w:noWrap w:val="false"/>
          </w:tcPr>
          <w:p>
            <w:pPr>
              <w:pStyle w:val="777"/>
              <w:jc w:val="center"/>
              <w:rPr>
                <w:rFonts w:ascii="宋体" w:hAnsi="宋体"/>
                <w:color w:val="auto"/>
                <w:sz w:val="18"/>
                <w:szCs w:val="18"/>
                <w:highlight w:val="none"/>
              </w:rPr>
            </w:pPr>
            <w:r>
              <w:rPr>
                <w:rFonts w:hint="eastAsia" w:ascii="宋体" w:hAnsi="宋体"/>
                <w:color w:val="auto"/>
                <w:sz w:val="18"/>
                <w:szCs w:val="18"/>
                <w:highlight w:val="none"/>
              </w:rPr>
              <w:t xml:space="preserve">预警消息服务</w:t>
            </w:r>
            <w:r>
              <w:rPr>
                <w:rFonts w:ascii="宋体" w:hAnsi="宋体"/>
                <w:color w:val="auto"/>
                <w:sz w:val="18"/>
                <w:szCs w:val="18"/>
                <w:highlight w:val="none"/>
              </w:rPr>
            </w:r>
            <w:r>
              <w:rPr>
                <w:color w:val="auto"/>
                <w:highlight w:val="none"/>
              </w:rPr>
            </w:r>
          </w:p>
        </w:tc>
        <w:tc>
          <w:tcPr>
            <w:tcW w:w="6635" w:type="dxa"/>
            <w:vAlign w:val="center"/>
            <w:textDirection w:val="lrTb"/>
            <w:noWrap w:val="false"/>
          </w:tcPr>
          <w:p>
            <w:pPr>
              <w:pStyle w:val="777"/>
              <w:rPr>
                <w:rFonts w:ascii="宋体" w:hAnsi="宋体"/>
                <w:color w:val="auto"/>
                <w:sz w:val="18"/>
                <w:szCs w:val="18"/>
                <w:highlight w:val="none"/>
              </w:rPr>
            </w:pPr>
            <w:r>
              <w:rPr>
                <w:rFonts w:hint="eastAsia" w:ascii="宋体" w:hAnsi="宋体"/>
                <w:color w:val="auto"/>
                <w:sz w:val="18"/>
                <w:szCs w:val="18"/>
                <w:highlight w:val="none"/>
              </w:rPr>
              <w:t xml:space="preserve">1、智能报警短信提醒服务</w:t>
            </w:r>
            <w:r>
              <w:rPr>
                <w:rFonts w:ascii="宋体" w:hAnsi="宋体"/>
                <w:color w:val="auto"/>
                <w:sz w:val="18"/>
                <w:szCs w:val="18"/>
                <w:highlight w:val="none"/>
              </w:rPr>
            </w:r>
            <w:r>
              <w:rPr>
                <w:color w:val="auto"/>
                <w:highlight w:val="none"/>
              </w:rPr>
            </w:r>
          </w:p>
          <w:p>
            <w:pPr>
              <w:pStyle w:val="777"/>
              <w:rPr>
                <w:rFonts w:ascii="宋体" w:hAnsi="宋体"/>
                <w:color w:val="auto"/>
                <w:sz w:val="18"/>
                <w:szCs w:val="18"/>
                <w:highlight w:val="none"/>
              </w:rPr>
            </w:pPr>
            <w:r>
              <w:rPr>
                <w:rFonts w:ascii="宋体" w:hAnsi="宋体"/>
                <w:color w:val="auto"/>
                <w:sz w:val="18"/>
                <w:szCs w:val="18"/>
                <w:highlight w:val="none"/>
              </w:rPr>
              <w:t xml:space="preserve">2</w:t>
            </w:r>
            <w:r>
              <w:rPr>
                <w:rFonts w:hint="eastAsia" w:ascii="宋体" w:hAnsi="宋体"/>
                <w:color w:val="auto"/>
                <w:sz w:val="18"/>
                <w:szCs w:val="18"/>
                <w:highlight w:val="none"/>
              </w:rPr>
              <w:t xml:space="preserve">、智能报警电话提醒服务</w:t>
            </w:r>
            <w:r>
              <w:rPr>
                <w:rFonts w:ascii="宋体" w:hAnsi="宋体"/>
                <w:color w:val="auto"/>
                <w:sz w:val="18"/>
                <w:szCs w:val="18"/>
                <w:highlight w:val="none"/>
              </w:rPr>
            </w:r>
            <w:r>
              <w:rPr>
                <w:color w:val="auto"/>
                <w:highlight w:val="none"/>
              </w:rPr>
            </w:r>
          </w:p>
        </w:tc>
      </w:tr>
    </w:tbl>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为满足相关智能监测与预警服务的要求，要求根据投标人自有配套工具产生的基础数据以及安全管理平台的辅助分析，来进行持续常态化的安全服务，相关安全服务配套工具平台的技术要求如下：</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工作台功能</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平台主页面能够展示总体概括信息，如平台使用统计，待办统计，预警列表，待办列表，重要消息展示各类系统消息处理中心。可快捷穿透办理代待办任务（事件），可穿透展示系统所有消息通知。</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支持考勤管理功能，提供用户登录后自动签到、签退功能，系统会自动判断用户是否在工作时间内迟到、早退；提供用户申请请假、出差、考勤补录等审批功能，管理员可对运维人员申请进行审核并批复。</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资产管理</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资产的信息化管理，比如软件版本号、逻辑位置、维保信息、合同信息等，同时对资产的申请、入库、使用、交接、维修、报废进行全生命周期的管理，并且对资产更新提供数据支撑和汇总功能，可形成相应的台账；能够实现资产盘点，任务信息包含编号、名称、资产类型、办理人、状态等。</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巡检管理</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任务引擎根据巡检设置、频率参数、节假日等模块的设置，周期性生成待办巡检任务；巡检管理员可在此模块，完成巡检表单里各个巡检项的巡检工作；巡检管理员完成巡检任务后，提交巡检结果，发起巡检审核流程；巡检管理员可以选择设置好的巡检模板，自主发起巡检任务。与当前登录巡检管理人员相关的，巡检记录的查看与处置。</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绩效考评</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执行绩效考评任务的功能模块。绩效考评员可根据考评规则，对运维单位，进行周期性的考评扣分。绩效考评的设置模块，设置考评计划，绑定执行频率。</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服务管理</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服务级别管理，根据服务级别重要程度判定是否需要立即处置或在一定期限内结束处置。</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通过流程管理设计服务处理流程；</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由运维人员、管理人员等提出服务申请或系统其他模块自动生成服务流程，对所需服务或流程经信息部门主管人员审批确认后流转至现场运维负责人，运维负责人进行审批派单，派送至相关负责人员，负责人员在实施服务过程中的服务情况和问题进行记录，并对完成情况进行反馈，最终服务发起者对服务进行评价。</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报警管理</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报警管理包括报警处置、历史报警查询。报警处置支持查询、忽略和转服务。报警信息通过与业务系统相关联，快速定位故障及影响范围。根据配置的报警策略及时将告警信息通过短信或电话的形式推送到相关人员。</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绩效考评</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执行绩效考评任务功能。绩效考评员可根据考评规则，对运维单位，进行周期性的考评扣分。绩效考评的设置模块，设置考评计划，绑定执行频率。</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计划管理</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对巡检计划、策略和制度体系的评审修订周期、密码更新周期等制度规定的计划节点进行统一管理。</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可视化</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大屏展示内容可依照具体情况进行调整；</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结合各设备实时运行状态数据展示，将一定统计时间内的各类告警、数据汇总等以图表等方式集中在监控中心展示，系统运行情况一目了然；</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用户可以通过监控中心的可视化展示，方便快捷地获取整个系统的健康状态情况；</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图形化展示每日实时各类事件占比、在处置事件/问题数量、实时性能及运行数据、月度系统运行曲线及基线、信息告警等。</w:t>
      </w:r>
      <w:r>
        <w:rPr>
          <w:color w:val="auto"/>
          <w:highlight w:val="none"/>
        </w:rPr>
      </w:r>
    </w:p>
    <w:p>
      <w:pPr>
        <w:pStyle w:val="777"/>
        <w:numPr>
          <w:ilvl w:val="0"/>
          <w:numId w:val="34"/>
        </w:numPr>
        <w:ind w:left="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智能运维与智能分析</w:t>
      </w:r>
      <w:r>
        <w:rPr>
          <w:rFonts w:hint="eastAsia"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智能采集</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对服务器、交换机、路由器、安全设备、网络流量等进行采集、监控；</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支持多种类型数据的采集，包括日志、端口、进程及插件等。</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在“进程”数据采集中，支持对service、采集方式、命令行、采集周期相关功能的设置；</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智能分析</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智能分析模块对采集到的基础数据实现展示，同时支持多种类型与功能的展示：</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支持多种类型指标的数据展示，包括CPU、内存、磁盘、网络、系统、进程、日志，即时了解设备运行状态；</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支持对监控图表的多种操作，包括分享图表、克隆图表、删除图表；</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支持监控图表之间任意拖动实现图表之间重新排序，以满足监控整体需求；</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智能报警</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支持对报警策略的设置，包括生效节点、排除节点、级别、统计周期、触发条件等；</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触发条件支持“常用”和“与条件”；同时支持多种算法，包括连续发生、最大值、最小值、平均值、求和、数据上报中断等；</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支持报警升级功能，超过一定时间未处理报警时，将支持重新设置故障等级并发送给运维人员；</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支持在规定时间内给运维人员最多发送几次报警的功能；</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支持查询未恢复报警的历史信息，同时显示的信息内容包括发生时间、策略名称、级别及通知结果及操作等</w:t>
      </w:r>
      <w:r>
        <w:rPr>
          <w:rFonts w:ascii="宋体" w:hAnsi="宋体"/>
          <w:bCs/>
          <w:color w:val="auto"/>
          <w:sz w:val="24"/>
          <w:szCs w:val="24"/>
          <w:highlight w:val="none"/>
        </w:rPr>
      </w:r>
      <w:r>
        <w:rPr>
          <w:color w:val="auto"/>
          <w:highlight w:val="none"/>
        </w:rPr>
      </w:r>
    </w:p>
    <w:p>
      <w:pPr>
        <w:pStyle w:val="777"/>
        <w:numPr>
          <w:ilvl w:val="0"/>
          <w:numId w:val="34"/>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国产化产品监控运维支持</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平台能够支持国产化设备，包括国产服务器、国产操作系统、国产数据库、国产中间件等，对资源进行采集、分析与报警，实现对国产化设备的管理。</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运维平台工具使用</w:t>
      </w:r>
      <w:r>
        <w:rPr>
          <w:rFonts w:ascii="宋体" w:hAnsi="宋体"/>
          <w:bCs/>
          <w:color w:val="auto"/>
          <w:sz w:val="24"/>
          <w:szCs w:val="24"/>
          <w:highlight w:val="none"/>
        </w:rPr>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为保证维护服务质量，中标供应商</w:t>
      </w:r>
      <w:r>
        <w:rPr>
          <w:rFonts w:hint="eastAsia" w:ascii="宋体" w:hAnsi="宋体"/>
          <w:bCs/>
          <w:color w:val="auto"/>
          <w:sz w:val="24"/>
          <w:szCs w:val="24"/>
          <w:highlight w:val="none"/>
        </w:rPr>
        <w:t xml:space="preserve">在运维过程中需提供标准化、体系化、流程化的运维平台工具，用于提高日常运维的服务质量和服务效率，可实现如下管理功能：</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安全策略和制度体系化管理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展示管理策略和制度体系；</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通过计划管理设置定期评审修订的周期，并实现到期告警；</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评审修订过程通过流程管理履行发布审批手续，最终以版本控制方式进行发布登记。</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对照等保要求进行各项子制度和规定的分类匹配核查。</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制度管理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展示信息系统管理制度，通过计划管理设置定期评审修订的周期，支持制度的评审修订并显示</w:t>
      </w:r>
      <w:r>
        <w:rPr>
          <w:rFonts w:hint="eastAsia" w:ascii="宋体" w:hAnsi="宋体"/>
          <w:bCs/>
          <w:color w:val="auto"/>
          <w:sz w:val="24"/>
          <w:szCs w:val="24"/>
          <w:highlight w:val="none"/>
        </w:rPr>
        <w:t xml:space="preserve">该</w:t>
      </w:r>
      <w:r>
        <w:rPr>
          <w:rFonts w:hint="eastAsia" w:ascii="宋体" w:hAnsi="宋体"/>
          <w:bCs/>
          <w:color w:val="auto"/>
          <w:sz w:val="24"/>
          <w:szCs w:val="24"/>
          <w:highlight w:val="none"/>
        </w:rPr>
        <w:t xml:space="preserve">制度的修订次数。</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机房出入管理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现对出入机房的人员的申请审批，审批内容包括申请人员身份、进入事由、进入区域、进入时间及时长、是否有专人陪同；审批通过后，对相应人员进行门禁系统授权，申请人员方可进出。超过申请时长，门禁系统授权失效，超时离开报警、提供延长出入时间申请。</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对超时离开纳入绩效考评。</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审计员随机抽查监控、门禁记录、纸质机房出入登记表与系统审批记录，通过比对确认落实情况，并纳入绩效考评。</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实现各项目相关管理流程中的招投标文件、设计方案、合同、清单、过程文档、应收付款、变更文件、项目阶段性成果、项目交付档案等资料进行线上归档；</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各项目资料文档可根据关键词或分类等在系统查寻。</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风险管理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能够通过新增或导入风险评估规则，对信息资产进行风险识别，并对识别结果进行上报审核。风险识别规则库保存历史版本方便备查。</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密码管理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实现密码的集中管理，设立专门的系统密码管理员，仅其拥有该模块操作权限，其不参与任何实际的运维操作，仅负责密码集中管理。统一由密码管理员更新维护堡垒机上各权限账号密码。</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集中存储的密码加密存储，仅密码管理员可见。每次更新，对于平台产生一条更新记录，便于审计员核查及测评审查需要。同时每次更新，衍生相关设备和堡垒机的维护服务申请审批流程。</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通过计划管理设置密码更新周期，提前进行告警。通过后台策略设置控制密码长度、复杂度。</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同一密码在一定时间内不可重复使用。</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外来设备及介质接入管理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实现对外部设备或介质接入受控网络访问系统进行申请审批；</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申请审批内容包括：拟接入设备或介质类型、规格、特征码/序列号、接入事由、接入位置、接入时间及时长等。</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审批通过后形成变更事件，由专人在相关准入系统授权许可后，方能接入；</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超出授权时长自动报警，同时停止接入授权。</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流程管理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根据用户需求进行流程及流程表单进行设计。设计好的表单可以进行集中管理，显示内容包括表单</w:t>
      </w:r>
      <w:r>
        <w:rPr>
          <w:rFonts w:ascii="宋体" w:hAnsi="宋体"/>
          <w:bCs/>
          <w:color w:val="auto"/>
          <w:sz w:val="24"/>
          <w:szCs w:val="24"/>
          <w:highlight w:val="none"/>
        </w:rPr>
        <w:t xml:space="preserve">id、表单名称、状态、操作人以及操作时间，并支持按表单名称条件进行筛选。</w:t>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支持对表单的相关模型的管理，显示内容包括模型</w:t>
      </w:r>
      <w:r>
        <w:rPr>
          <w:rFonts w:ascii="宋体" w:hAnsi="宋体"/>
          <w:bCs/>
          <w:color w:val="auto"/>
          <w:sz w:val="24"/>
          <w:szCs w:val="24"/>
          <w:highlight w:val="none"/>
        </w:rPr>
        <w:t xml:space="preserve">key、模型名称、模型类别、版本、是否发布、创建时间以及更新时间，并支持按流程key、流程名称和模型类别条件进行筛选。</w:t>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支持对表单的相关模型的对应流程的管理，显示内容包括流程定义名称、模型定义</w:t>
      </w:r>
      <w:r>
        <w:rPr>
          <w:rFonts w:ascii="宋体" w:hAnsi="宋体"/>
          <w:bCs/>
          <w:color w:val="auto"/>
          <w:sz w:val="24"/>
          <w:szCs w:val="24"/>
          <w:highlight w:val="none"/>
        </w:rPr>
        <w:t xml:space="preserve">KEY、流程定义分类、版本、状态以及表单KEY，并支持按流程定义KEY、流程定义名称和流程定义分类条件进行筛选。</w:t>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支持对发起并执行的表单实例的管理，显示内容包含包括流程实例</w:t>
      </w:r>
      <w:r>
        <w:rPr>
          <w:rFonts w:ascii="宋体" w:hAnsi="宋体"/>
          <w:bCs/>
          <w:color w:val="auto"/>
          <w:sz w:val="24"/>
          <w:szCs w:val="24"/>
          <w:highlight w:val="none"/>
        </w:rPr>
        <w:t xml:space="preserve">ID、流程定义名称、流程定义KEY、版本、开始时间以及结束时间，并支持按流程实例KEY、流程定义名称、业务主键和实例状态条件进行筛选。</w:t>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人员管理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实现对人员录用、调岗、离岗和请假等人员角色调整按流程进行申请和审批；</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与人员角色调整有关的录用函、调度函、请假说明和销假等信息进行归档记录；</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通过审批后，将消息推送至权限管理相关负责人，负责人对人员角色调整当事人的各类权限进行统一更改。</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通过计划管理对人员进行定期培训和考核，并将安全基础知识、岗位操作规程等培训内容、培训人员相关信息及考核情况进行归档备案，考核结果可作为人员管理的评价指标。</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知识管理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汇总最新的策略和制度、风险评估报告、拓扑图、设备设施日常操作维护手册以及不断增加运维过程中遇到的已经解决的并经审核的处理解决指南，方便现场运维人员的日常工作参考。</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对于新发现问题，运维管理团队在问题解决后进行审核整理，会将处理办法纳入知识库，形成知识类文件并不断完善。</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档案管理 </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可实现各项目相关管理流程中的招投标文件、设计方案、合同、清单、过程文档、应收付款、变更文件、项目阶段性成果、项目交付档案等资料进行线上归档；各项目资料文档可根据关键词或分类等在系统查寻。</w:t>
      </w:r>
      <w:r>
        <w:rPr>
          <w:rFonts w:ascii="宋体" w:hAnsi="宋体"/>
          <w:bCs/>
          <w:color w:val="auto"/>
          <w:sz w:val="24"/>
          <w:szCs w:val="24"/>
          <w:highlight w:val="none"/>
        </w:rPr>
      </w:r>
      <w:r>
        <w:rPr>
          <w:color w:val="auto"/>
          <w:highlight w:val="none"/>
        </w:rPr>
      </w:r>
    </w:p>
    <w:p>
      <w:pPr>
        <w:pStyle w:val="777"/>
        <w:numPr>
          <w:ilvl w:val="0"/>
          <w:numId w:val="30"/>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创建维护平台的操作使用人员账户信息，并匹配相关权限； </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修改并展示现场运维人员、技术支持团队、公司运维管理团队和信息安全管理中心管理人员四类系统用户的人员权限和人员职责；</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根据系统用户的工作目标、工作境况和工作性质制定符合其工作特点的权责分配，权责不同，应用系统时可浏览操作的内容不同，并实现权责统一管理；</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可与日常管理模块中人员权限申请审批关联进行权限分配、回收；</w:t>
      </w:r>
      <w:r>
        <w:rPr>
          <w:rFonts w:ascii="宋体" w:hAnsi="宋体"/>
          <w:bCs/>
          <w:color w:val="auto"/>
          <w:sz w:val="24"/>
          <w:szCs w:val="24"/>
          <w:highlight w:val="none"/>
        </w:rPr>
      </w:r>
      <w:r>
        <w:rPr>
          <w:color w:val="auto"/>
          <w:highlight w:val="none"/>
        </w:rPr>
      </w:r>
    </w:p>
    <w:p>
      <w:pPr>
        <w:pStyle w:val="777"/>
        <w:numPr>
          <w:ilvl w:val="0"/>
          <w:numId w:val="3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权限依照各个模块设计，便于对权限进行统一修改，包含权限新增、权限修改，依照角色的权限配置等功能。</w:t>
      </w:r>
      <w:r>
        <w:rPr>
          <w:rFonts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服务质量要求：</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（1）保证采购单位设备365天*24小时安全、稳定、高效运行。对于采购单位系统出现的任何软、硬件故障，中标供应商必须在规定的时间内加以解决，否则承担采购单位由此造成的损失。</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为保证维护服务质量，中标供应商必须为本项目作出独立的针对性投资，必须做出备件投资、人力投资、技术培训投资，投资成本必须体现并已经包含在维护报价中，拒绝不顾质量的恶意竞标行为。中标供应商应根据采购单位实际情况配备有关设备备件（如硬盘、内存等），以保证出现紧急故障情况时可快速调配使用。备用机是为发生紧急情况时可以应急替换使用，所有权归中标供应商,但硬盘在维护结束后应无偿送交采购单位按照保密规定销毁处置。</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故障处理速度和质量要求：对于维护范围内的故障，中标供应商应在故障发生后立即响应，并尽快加以解决；对于非维护范围内的故障，中标供应商应在故障发生后积极配合其他服务商尽快加以解决。维保期间，采购单位在进行硬件设备更新、升级、系统迁移等操作时，中标供应商须积极提供现场技术支持服务；如遇重大保障任务时，中标供应商需派驻专人进行现场保障服务。</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（4）针对所有维保设备，中标供应商须建立详细档案并在日常巡检维护中同步更新。同时，应制定、整理、完善应急预案及典型案例，培训、协助采购单位技术人员不断提高应急保障能力。</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（5）中标供应商提供的软件及其他服务不得侵害第三方的知识产权。</w:t>
      </w:r>
      <w:r>
        <w:rPr>
          <w:rFonts w:hint="eastAsia"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为保证系统维护质量和维护效率，中标供应商提供上门维护服务的有相关工作经验的工程师应相对固定，入场维护三日内需提供项目组人员清单，并提供项目组人员资质证书进行备案，每次故障响应时，采购单位有权核实人员信息。中标供应商需要更换维护人员，应提前一个月以书面形式向采购单位提出人员变更申请，说明人员的离职原因、离职人员的安全保密措施、变更人员资质及身份证明材料等。采购单位有特殊需要时，中标供应商应加派服务人员。服务人员需遵守采购单位的各项管理规范及管理制度，如有违反将影响服务评定结果。</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中标供应商不得向第三方透露在运维期间获得和知晓的采购单位的系统数据、技术资料信息及属于第三方但中标供应商负有保密义务的信息，中标供应商人员泄密行为视为公司行为。须签订一份保密协议作为项目合同的补充。</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 服务质量考核：</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单位服务期结束一周内，根据《无锡市自然资源和规划局信息系统运维商评分表》对维保供应商进行服务质量考核，考核结果≥90分为合格；低于90分的，每10分（不足10分按10分计算）服务期顺延2个月（服务要求参照本项目招标文件总体要求），顺延期满后，重新进行服务质量考核，考核结果≥90分为合格，如仍低于90分的，继续按以上要求进行顺延，直至服务质量考核合格为止。（上述为合同不可缺少部分）</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《无锡市自然资源和规划局信息系统运维商评分表》（满分100分）</w:t>
      </w:r>
      <w:r>
        <w:rPr>
          <w:rFonts w:hint="eastAsia" w:ascii="宋体" w:hAnsi="宋体"/>
          <w:bCs/>
          <w:color w:val="auto"/>
          <w:sz w:val="24"/>
          <w:szCs w:val="24"/>
          <w:highlight w:val="none"/>
        </w:rPr>
      </w:r>
      <w:r>
        <w:rPr>
          <w:color w:val="auto"/>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265"/>
        <w:gridCol w:w="6957"/>
      </w:tblGrid>
      <w:tr>
        <w:trPr/>
        <w:tc>
          <w:tcPr>
            <w:tcW w:w="947"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考核项目</w:t>
            </w:r>
            <w:r>
              <w:rPr>
                <w:rFonts w:ascii="宋体" w:hAnsi="宋体"/>
                <w:color w:val="auto"/>
                <w:sz w:val="18"/>
                <w:szCs w:val="18"/>
                <w:highlight w:val="none"/>
              </w:rPr>
            </w:r>
            <w:r>
              <w:rPr>
                <w:color w:val="auto"/>
                <w:highlight w:val="none"/>
              </w:rP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考核内容</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评分细则</w:t>
            </w:r>
            <w:r>
              <w:rPr>
                <w:rFonts w:ascii="宋体" w:hAnsi="宋体"/>
                <w:color w:val="auto"/>
                <w:sz w:val="18"/>
                <w:szCs w:val="18"/>
                <w:highlight w:val="none"/>
              </w:rPr>
            </w:r>
            <w:r>
              <w:rPr>
                <w:color w:val="auto"/>
                <w:highlight w:val="none"/>
              </w:rPr>
            </w:r>
          </w:p>
        </w:tc>
      </w:tr>
      <w:tr>
        <w:trPr>
          <w:cantSplit/>
        </w:trPr>
        <w:tc>
          <w:tcPr>
            <w:tcW w:w="947" w:type="dxa"/>
            <w:vAlign w:val="center"/>
            <w:vMerge w:val="restart"/>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服务质量</w:t>
            </w:r>
            <w:r>
              <w:rPr>
                <w:rFonts w:ascii="宋体" w:hAnsi="宋体"/>
                <w:color w:val="auto"/>
                <w:sz w:val="18"/>
                <w:szCs w:val="18"/>
                <w:highlight w:val="none"/>
              </w:rPr>
            </w:r>
            <w:r>
              <w:rPr>
                <w:color w:val="auto"/>
                <w:highlight w:val="none"/>
              </w:rP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响应及到达现场时间</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1、对采购人的出现的软硬件故障，维保单位应</w:t>
            </w:r>
            <w:r>
              <w:rPr>
                <w:rFonts w:ascii="宋体" w:hAnsi="宋体"/>
                <w:color w:val="auto"/>
                <w:sz w:val="18"/>
                <w:szCs w:val="18"/>
                <w:highlight w:val="none"/>
              </w:rPr>
              <w:t xml:space="preserve">10</w:t>
            </w:r>
            <w:r>
              <w:rPr>
                <w:rFonts w:hint="eastAsia" w:ascii="宋体" w:hAnsi="宋体"/>
                <w:color w:val="auto"/>
                <w:sz w:val="18"/>
                <w:szCs w:val="18"/>
                <w:highlight w:val="none"/>
              </w:rPr>
              <w:t xml:space="preserve">分钟内派技术人员到现场解决（以采购人电话接通时间、微信、短信的回复时间、书面通知的签字时间为准），</w:t>
            </w:r>
            <w:r>
              <w:rPr>
                <w:rFonts w:ascii="宋体" w:hAnsi="宋体"/>
                <w:color w:val="auto"/>
                <w:sz w:val="18"/>
                <w:szCs w:val="18"/>
                <w:highlight w:val="none"/>
              </w:rPr>
              <w:t xml:space="preserve">10</w:t>
            </w:r>
            <w:r>
              <w:rPr>
                <w:rFonts w:hint="eastAsia" w:ascii="宋体" w:hAnsi="宋体"/>
                <w:color w:val="auto"/>
                <w:sz w:val="18"/>
                <w:szCs w:val="18"/>
                <w:highlight w:val="none"/>
              </w:rPr>
              <w:t xml:space="preserve">分钟内未到现场的，每次扣</w:t>
            </w:r>
            <w:r>
              <w:rPr>
                <w:rFonts w:ascii="宋体" w:hAnsi="宋体"/>
                <w:color w:val="auto"/>
                <w:sz w:val="18"/>
                <w:szCs w:val="18"/>
                <w:highlight w:val="none"/>
              </w:rPr>
              <w:t xml:space="preserve">2</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2、现场维护人员无法解决的，维保单位应</w:t>
            </w:r>
            <w:r>
              <w:rPr>
                <w:rFonts w:ascii="宋体" w:hAnsi="宋体"/>
                <w:color w:val="auto"/>
                <w:sz w:val="18"/>
                <w:szCs w:val="18"/>
                <w:highlight w:val="none"/>
              </w:rPr>
              <w:t xml:space="preserve">1</w:t>
            </w:r>
            <w:r>
              <w:rPr>
                <w:rFonts w:hint="eastAsia" w:ascii="宋体" w:hAnsi="宋体"/>
                <w:color w:val="auto"/>
                <w:sz w:val="18"/>
                <w:szCs w:val="18"/>
                <w:highlight w:val="none"/>
              </w:rPr>
              <w:t xml:space="preserve">小时内派技术专家到现场解决（以采购人电话接通时间、微信、短信的回复时间、书面通知的签字时间为准），</w:t>
            </w:r>
            <w:r>
              <w:rPr>
                <w:rFonts w:ascii="宋体" w:hAnsi="宋体"/>
                <w:color w:val="auto"/>
                <w:sz w:val="18"/>
                <w:szCs w:val="18"/>
                <w:highlight w:val="none"/>
              </w:rPr>
              <w:t xml:space="preserve">1</w:t>
            </w:r>
            <w:r>
              <w:rPr>
                <w:rFonts w:hint="eastAsia" w:ascii="宋体" w:hAnsi="宋体"/>
                <w:color w:val="auto"/>
                <w:sz w:val="18"/>
                <w:szCs w:val="18"/>
                <w:highlight w:val="none"/>
              </w:rPr>
              <w:t xml:space="preserve">小时内未到现场，每次扣</w:t>
            </w:r>
            <w:r>
              <w:rPr>
                <w:rFonts w:ascii="宋体" w:hAnsi="宋体"/>
                <w:color w:val="auto"/>
                <w:sz w:val="18"/>
                <w:szCs w:val="18"/>
                <w:highlight w:val="none"/>
              </w:rPr>
              <w:t xml:space="preserve">5</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tc>
      </w:tr>
      <w:tr>
        <w:trPr>
          <w:cantSplit/>
        </w:trPr>
        <w:tc>
          <w:tcPr>
            <w:tcW w:w="947" w:type="dxa"/>
            <w:vAlign w:val="center"/>
            <w:vMerge w:val="continue"/>
            <w:textDirection w:val="lrTb"/>
            <w:noWrap w:val="false"/>
          </w:tcPr>
          <w:p>
            <w:pPr>
              <w:pStyle w:val="777"/>
              <w:jc w:val="center"/>
              <w:tabs>
                <w:tab w:val="num" w:pos="525" w:leader="none"/>
                <w:tab w:val="num" w:pos="630" w:leader="none"/>
                <w:tab w:val="left" w:pos="1050" w:leader="none"/>
              </w:tabs>
              <w:rPr>
                <w:rFonts w:ascii="宋体" w:hAnsi="宋体"/>
                <w:sz w:val="18"/>
                <w:szCs w:val="18"/>
              </w:rPr>
            </w:pPr>
            <w:r>
              <w:rPr>
                <w:rFonts w:ascii="宋体" w:hAnsi="宋体"/>
                <w:sz w:val="18"/>
                <w:szCs w:val="18"/>
              </w:rPr>
            </w: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人员响应落实</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1、维保单位提供上门服务的维护工程师，未按照备案的项目组固定人员名单落实的，每次扣</w:t>
            </w:r>
            <w:r>
              <w:rPr>
                <w:rFonts w:ascii="宋体" w:hAnsi="宋体"/>
                <w:color w:val="auto"/>
                <w:sz w:val="18"/>
                <w:szCs w:val="18"/>
                <w:highlight w:val="none"/>
              </w:rPr>
              <w:t xml:space="preserve">2</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ascii="宋体" w:hAnsi="宋体"/>
                <w:color w:val="auto"/>
                <w:sz w:val="18"/>
                <w:szCs w:val="18"/>
                <w:highlight w:val="none"/>
              </w:rPr>
              <w:t xml:space="preserve">2</w:t>
            </w:r>
            <w:r>
              <w:rPr>
                <w:rFonts w:hint="eastAsia" w:ascii="宋体" w:hAnsi="宋体"/>
                <w:color w:val="auto"/>
                <w:sz w:val="18"/>
                <w:szCs w:val="18"/>
                <w:highlight w:val="none"/>
              </w:rPr>
              <w:t xml:space="preserve">、维保单位提供上门服务的维护工程师，按照被维护系统类别，不具备相应维护能力的（参照技术要求中总体要求），每次扣</w:t>
            </w:r>
            <w:r>
              <w:rPr>
                <w:rFonts w:ascii="宋体" w:hAnsi="宋体"/>
                <w:color w:val="auto"/>
                <w:sz w:val="18"/>
                <w:szCs w:val="18"/>
                <w:highlight w:val="none"/>
              </w:rPr>
              <w:t xml:space="preserve">2</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（因外界不可抗力因素情况导致无法及时响应的，须向采购人汇报并填写情况说明）</w:t>
            </w:r>
            <w:r>
              <w:rPr>
                <w:rFonts w:ascii="宋体" w:hAnsi="宋体"/>
                <w:color w:val="auto"/>
                <w:sz w:val="18"/>
                <w:szCs w:val="18"/>
                <w:highlight w:val="none"/>
              </w:rPr>
            </w:r>
            <w:r>
              <w:rPr>
                <w:color w:val="auto"/>
                <w:highlight w:val="none"/>
              </w:rPr>
            </w:r>
          </w:p>
        </w:tc>
      </w:tr>
      <w:tr>
        <w:trPr>
          <w:cantSplit/>
        </w:trPr>
        <w:tc>
          <w:tcPr>
            <w:tcW w:w="947" w:type="dxa"/>
            <w:vAlign w:val="center"/>
            <w:vMerge w:val="continue"/>
            <w:textDirection w:val="lrTb"/>
            <w:noWrap w:val="false"/>
          </w:tcPr>
          <w:p>
            <w:pPr>
              <w:pStyle w:val="777"/>
              <w:jc w:val="center"/>
              <w:tabs>
                <w:tab w:val="num" w:pos="525" w:leader="none"/>
                <w:tab w:val="num" w:pos="630" w:leader="none"/>
                <w:tab w:val="left" w:pos="1050" w:leader="none"/>
              </w:tabs>
              <w:rPr>
                <w:rFonts w:ascii="宋体" w:hAnsi="宋体"/>
                <w:sz w:val="18"/>
                <w:szCs w:val="18"/>
              </w:rPr>
            </w:pPr>
            <w:r>
              <w:rPr>
                <w:rFonts w:ascii="宋体" w:hAnsi="宋体"/>
                <w:sz w:val="18"/>
                <w:szCs w:val="18"/>
              </w:rPr>
            </w: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维保计划落实</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1、维保单位应在合同签署后5个工作日内，制定相关符合招标文件要求的维保计划，并提交至采购人评审，未按时提交并通过审核的，扣</w:t>
            </w:r>
            <w:r>
              <w:rPr>
                <w:rFonts w:ascii="宋体" w:hAnsi="宋体"/>
                <w:color w:val="auto"/>
                <w:sz w:val="18"/>
                <w:szCs w:val="18"/>
                <w:highlight w:val="none"/>
              </w:rPr>
              <w:t xml:space="preserve">10</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ascii="宋体" w:hAnsi="宋体"/>
                <w:color w:val="auto"/>
                <w:sz w:val="18"/>
                <w:szCs w:val="18"/>
                <w:highlight w:val="none"/>
              </w:rPr>
              <w:t xml:space="preserve">2</w:t>
            </w:r>
            <w:r>
              <w:rPr>
                <w:rFonts w:hint="eastAsia" w:ascii="宋体" w:hAnsi="宋体"/>
                <w:color w:val="auto"/>
                <w:sz w:val="18"/>
                <w:szCs w:val="18"/>
                <w:highlight w:val="none"/>
              </w:rPr>
              <w:t xml:space="preserve">、采购单位根据维保计划，监督计划落实，维保单位未落实维保计划内容，每次扣5分。</w:t>
            </w:r>
            <w:r>
              <w:rPr>
                <w:rFonts w:ascii="宋体" w:hAnsi="宋体"/>
                <w:color w:val="auto"/>
                <w:sz w:val="18"/>
                <w:szCs w:val="18"/>
                <w:highlight w:val="none"/>
              </w:rPr>
            </w:r>
            <w:r>
              <w:rPr>
                <w:color w:val="auto"/>
                <w:highlight w:val="none"/>
              </w:rPr>
            </w:r>
          </w:p>
        </w:tc>
      </w:tr>
      <w:tr>
        <w:trPr>
          <w:cantSplit/>
        </w:trPr>
        <w:tc>
          <w:tcPr>
            <w:tcW w:w="947" w:type="dxa"/>
            <w:vAlign w:val="center"/>
            <w:vMerge w:val="continue"/>
            <w:textDirection w:val="lrTb"/>
            <w:noWrap w:val="false"/>
          </w:tcPr>
          <w:p>
            <w:pPr>
              <w:pStyle w:val="777"/>
              <w:jc w:val="center"/>
              <w:tabs>
                <w:tab w:val="num" w:pos="525" w:leader="none"/>
                <w:tab w:val="num" w:pos="630" w:leader="none"/>
                <w:tab w:val="left" w:pos="1050" w:leader="none"/>
              </w:tabs>
              <w:rPr>
                <w:rFonts w:ascii="宋体" w:hAnsi="宋体"/>
                <w:sz w:val="18"/>
                <w:szCs w:val="18"/>
              </w:rPr>
            </w:pPr>
            <w:r>
              <w:rPr>
                <w:rFonts w:ascii="宋体" w:hAnsi="宋体"/>
                <w:sz w:val="18"/>
                <w:szCs w:val="18"/>
              </w:rPr>
            </w: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安全规范维保</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jc w:val="left"/>
              <w:tabs>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1、维保单位人员应根据日常巡检结果如实填写巡检报告，并交由采购人机房管理人员签字确认，未落实签字确认流程的，每次扣2分。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2、维保单位人员对信息系统核心数据库巡检，应按照采购人要求填写巡检申请，审批通过后进行巡检，未经审批流程进行巡检，每次扣5分；未在巡检当日填写巡检报告交至采购人签字确认的，每次扣2分；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3、维保单位巡检人员在对数据库、存储、中间件、服务器等设备巡检时发现异常必须在第一时间告知采购人人员，因未及时告知采购人，导致未能及时处理，造成业务中断，扣</w:t>
            </w:r>
            <w:r>
              <w:rPr>
                <w:rFonts w:ascii="宋体" w:hAnsi="宋体"/>
                <w:color w:val="auto"/>
                <w:sz w:val="18"/>
                <w:szCs w:val="18"/>
                <w:highlight w:val="none"/>
              </w:rPr>
              <w:t xml:space="preserve">10</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p>
            <w:pPr>
              <w:pStyle w:val="777"/>
              <w:jc w:val="left"/>
              <w:tabs>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4、维保单位人员对机房内设备进行配置修改前，应按照采购人要求填写申请，审批通过后方能进行修改，未经审批流程进行修改的，每次扣</w:t>
            </w:r>
            <w:r>
              <w:rPr>
                <w:rFonts w:ascii="宋体" w:hAnsi="宋体"/>
                <w:color w:val="auto"/>
                <w:sz w:val="18"/>
                <w:szCs w:val="18"/>
                <w:highlight w:val="none"/>
              </w:rPr>
              <w:t xml:space="preserve">5</w:t>
            </w:r>
            <w:r>
              <w:rPr>
                <w:rFonts w:hint="eastAsia" w:ascii="宋体" w:hAnsi="宋体"/>
                <w:color w:val="auto"/>
                <w:sz w:val="18"/>
                <w:szCs w:val="18"/>
                <w:highlight w:val="none"/>
              </w:rPr>
              <w:t xml:space="preserve">分；如因维保单位人员擅自修改，导致采购单位业务系统停用、暂停情况，每次扣</w:t>
            </w:r>
            <w:r>
              <w:rPr>
                <w:rFonts w:ascii="宋体" w:hAnsi="宋体"/>
                <w:color w:val="auto"/>
                <w:sz w:val="18"/>
                <w:szCs w:val="18"/>
                <w:highlight w:val="none"/>
              </w:rPr>
              <w:t xml:space="preserve">10</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tc>
      </w:tr>
      <w:tr>
        <w:trPr>
          <w:cantSplit/>
        </w:trPr>
        <w:tc>
          <w:tcPr>
            <w:tcW w:w="947" w:type="dxa"/>
            <w:vAlign w:val="center"/>
            <w:vMerge w:val="continue"/>
            <w:textDirection w:val="lrTb"/>
            <w:noWrap w:val="false"/>
          </w:tcPr>
          <w:p>
            <w:pPr>
              <w:pStyle w:val="777"/>
              <w:jc w:val="center"/>
              <w:tabs>
                <w:tab w:val="num" w:pos="525" w:leader="none"/>
                <w:tab w:val="num" w:pos="630" w:leader="none"/>
                <w:tab w:val="left" w:pos="1050" w:leader="none"/>
              </w:tabs>
              <w:rPr>
                <w:rFonts w:ascii="宋体" w:hAnsi="宋体"/>
                <w:sz w:val="18"/>
                <w:szCs w:val="18"/>
              </w:rPr>
            </w:pPr>
            <w:r>
              <w:rPr>
                <w:rFonts w:ascii="宋体" w:hAnsi="宋体"/>
                <w:sz w:val="18"/>
                <w:szCs w:val="18"/>
              </w:rPr>
            </w: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故障修复响应</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业务软件系统发生问题，现场维护人员应配合采购人解决故障，如未按照采购人要求去执行，扣2分；</w:t>
            </w:r>
            <w:r>
              <w:rPr>
                <w:rFonts w:ascii="宋体" w:hAnsi="宋体"/>
                <w:color w:val="auto"/>
                <w:sz w:val="18"/>
                <w:szCs w:val="18"/>
                <w:highlight w:val="none"/>
              </w:rPr>
            </w:r>
            <w:r>
              <w:rPr>
                <w:color w:val="auto"/>
                <w:highlight w:val="none"/>
              </w:rPr>
            </w:r>
          </w:p>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维护范围内硬件系统发生问题，须在</w:t>
            </w:r>
            <w:r>
              <w:rPr>
                <w:rFonts w:ascii="宋体" w:hAnsi="宋体"/>
                <w:color w:val="auto"/>
                <w:sz w:val="18"/>
                <w:szCs w:val="18"/>
                <w:highlight w:val="none"/>
              </w:rPr>
              <w:t xml:space="preserve">2</w:t>
            </w:r>
            <w:r>
              <w:rPr>
                <w:rFonts w:hint="eastAsia" w:ascii="宋体" w:hAnsi="宋体"/>
                <w:color w:val="auto"/>
                <w:sz w:val="18"/>
                <w:szCs w:val="18"/>
                <w:highlight w:val="none"/>
              </w:rPr>
              <w:t xml:space="preserve">小时内恢复，保证系统能够正常运行；如在响应</w:t>
            </w:r>
            <w:r>
              <w:rPr>
                <w:rFonts w:ascii="宋体" w:hAnsi="宋体"/>
                <w:color w:val="auto"/>
                <w:sz w:val="18"/>
                <w:szCs w:val="18"/>
                <w:highlight w:val="none"/>
              </w:rPr>
              <w:t xml:space="preserve">4</w:t>
            </w:r>
            <w:r>
              <w:rPr>
                <w:rFonts w:hint="eastAsia" w:ascii="宋体" w:hAnsi="宋体"/>
                <w:color w:val="auto"/>
                <w:sz w:val="18"/>
                <w:szCs w:val="18"/>
                <w:highlight w:val="none"/>
              </w:rPr>
              <w:t xml:space="preserve">小时后仍无法解决的，应提供同等性能的备机以确保采购单位信息系统的正常运行，无法提供备机的，扣1</w:t>
            </w:r>
            <w:r>
              <w:rPr>
                <w:rFonts w:ascii="宋体" w:hAnsi="宋体"/>
                <w:color w:val="auto"/>
                <w:sz w:val="18"/>
                <w:szCs w:val="18"/>
                <w:highlight w:val="none"/>
              </w:rPr>
              <w:t xml:space="preserve">0</w:t>
            </w:r>
            <w:r>
              <w:rPr>
                <w:rFonts w:hint="eastAsia" w:ascii="宋体" w:hAnsi="宋体"/>
                <w:color w:val="auto"/>
                <w:sz w:val="18"/>
                <w:szCs w:val="18"/>
                <w:highlight w:val="none"/>
              </w:rPr>
              <w:t xml:space="preserve">分；</w:t>
            </w:r>
            <w:r>
              <w:rPr>
                <w:rFonts w:ascii="宋体" w:hAnsi="宋体"/>
                <w:color w:val="auto"/>
                <w:sz w:val="18"/>
                <w:szCs w:val="18"/>
                <w:highlight w:val="none"/>
              </w:rPr>
            </w:r>
            <w:r>
              <w:rPr>
                <w:color w:val="auto"/>
                <w:highlight w:val="none"/>
              </w:rPr>
            </w:r>
          </w:p>
        </w:tc>
      </w:tr>
      <w:tr>
        <w:trPr/>
        <w:tc>
          <w:tcPr>
            <w:tcW w:w="947"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安全生产</w:t>
            </w:r>
            <w:r>
              <w:rPr>
                <w:rFonts w:ascii="宋体" w:hAnsi="宋体"/>
                <w:color w:val="auto"/>
                <w:sz w:val="18"/>
                <w:szCs w:val="18"/>
                <w:highlight w:val="none"/>
              </w:rPr>
            </w:r>
            <w:r>
              <w:rPr>
                <w:color w:val="auto"/>
                <w:highlight w:val="none"/>
              </w:rPr>
            </w:r>
          </w:p>
        </w:tc>
        <w:tc>
          <w:tcPr>
            <w:tcW w:w="1265" w:type="dxa"/>
            <w:vAlign w:val="center"/>
            <w:textDirection w:val="lrTb"/>
            <w:noWrap w:val="false"/>
          </w:tcPr>
          <w:p>
            <w:pPr>
              <w:pStyle w:val="777"/>
              <w:jc w:val="center"/>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安全事件</w:t>
            </w:r>
            <w:r>
              <w:rPr>
                <w:rFonts w:ascii="宋体" w:hAnsi="宋体"/>
                <w:color w:val="auto"/>
                <w:sz w:val="18"/>
                <w:szCs w:val="18"/>
                <w:highlight w:val="none"/>
              </w:rPr>
            </w:r>
            <w:r>
              <w:rPr>
                <w:color w:val="auto"/>
                <w:highlight w:val="none"/>
              </w:rPr>
            </w:r>
          </w:p>
        </w:tc>
        <w:tc>
          <w:tcPr>
            <w:tcW w:w="6957" w:type="dxa"/>
            <w:vAlign w:val="center"/>
            <w:textDirection w:val="lrTb"/>
            <w:noWrap w:val="false"/>
          </w:tcPr>
          <w:p>
            <w:pPr>
              <w:pStyle w:val="777"/>
              <w:tabs>
                <w:tab w:val="num" w:pos="525" w:leader="none"/>
                <w:tab w:val="num" w:pos="630" w:leader="none"/>
                <w:tab w:val="left" w:pos="1050" w:leader="none"/>
              </w:tabs>
              <w:rPr>
                <w:rFonts w:ascii="宋体" w:hAnsi="宋体"/>
                <w:color w:val="auto"/>
                <w:sz w:val="18"/>
                <w:szCs w:val="18"/>
                <w:highlight w:val="none"/>
              </w:rPr>
            </w:pPr>
            <w:r>
              <w:rPr>
                <w:rFonts w:hint="eastAsia" w:ascii="宋体" w:hAnsi="宋体"/>
                <w:color w:val="auto"/>
                <w:sz w:val="18"/>
                <w:szCs w:val="18"/>
                <w:highlight w:val="none"/>
              </w:rPr>
              <w:t xml:space="preserve">维保单位未经采购人授权擅自操作，造成业务数据泄露引起重大后果的，本次考核不得分，必要时采购单位可追究其司法责任；</w:t>
            </w:r>
            <w:r>
              <w:rPr>
                <w:rFonts w:ascii="宋体" w:hAnsi="宋体"/>
                <w:color w:val="auto"/>
                <w:sz w:val="18"/>
                <w:szCs w:val="18"/>
                <w:highlight w:val="none"/>
              </w:rPr>
            </w:r>
            <w:r>
              <w:rPr>
                <w:color w:val="auto"/>
                <w:highlight w:val="none"/>
              </w:rPr>
            </w:r>
          </w:p>
        </w:tc>
      </w:tr>
    </w:tbl>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网络安全责任条款：</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（1）中标供应商应建立相对独立的管理技术团队、政务信息平台，团队人员应为中标供应商正式员工，并指定网络安全负责人。</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（2）中标供应商不得转包、分包合同任务；确需分包的，应报经采购人同意，并在分包合同中明确相应的网络安全责任和义务，但不得将合同任务主体和关键部分分包。</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（3）外包活动中产生的政务数据、系统运行数据及收集的个人信息等数据资产归采购人所有。</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（4）中标供应商应严格按照采购人要求收集、使用、存储、处理数据和个人信息，保证采购人对政务数据的访问、利用、支配。</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中标供应商应严格将政务数据与其他数据分开存储、处理，未经采购人单位同意，不得变更数据用途、用法，不得访问、修改、公开、披露、利用、转让、销毁、私自留存或向第三方提供；合同终止时中标供应商要按照采购人要求及时处理数据。</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（6）中标供应商应当按照《</w:t>
      </w:r>
      <w:r>
        <w:rPr>
          <w:rFonts w:hint="eastAsia" w:ascii="宋体" w:hAnsi="宋体"/>
          <w:bCs/>
          <w:color w:val="auto"/>
          <w:sz w:val="24"/>
          <w:szCs w:val="24"/>
          <w:highlight w:val="none"/>
        </w:rPr>
        <w:t xml:space="preserve">中华人民共和国数据安全法</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中华人民共和国个人信息保护法</w:t>
      </w:r>
      <w:r>
        <w:rPr>
          <w:rFonts w:hint="eastAsia" w:ascii="宋体" w:hAnsi="宋体"/>
          <w:bCs/>
          <w:color w:val="auto"/>
          <w:sz w:val="24"/>
          <w:szCs w:val="24"/>
          <w:highlight w:val="none"/>
        </w:rPr>
        <w:t xml:space="preserve">》等法律法规及相关政策规定的要求，加强个人信息保护。</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（7）中标供应商应严格按照规定采购相关产品和服务，应当优先采用安全可信的软硬件产品；涉及密码的，应当符合国家密码管理规定。</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（8）中标供应商要建立健全网络和数据安全保护机制，发现的网络安全漏洞和其他风险隐患应及时向采购人报告；未经采购人或相关部门同意，不得公开或向第三方提供。</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（9）中标供应商发生业务转型、合并重组、投资并购等重大事项，或者管理技术团队人员发生重大变化，应提前向采购人报告。</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如中标供应商建设运维的政务信息平台注册用户超过100万，或涉及人民群众出行、教育、求职、医疗、缴费等重要业务，中标供应商每年必须要向采购人提交网络安全报告，报告至少包括网络安全管理、数据安全管理、平台关键软硬件供应链安全、技术团队变化等情况。</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（11）中标供应商应积极配合相关部门开展网络安全检查、测评、审计等监督管理工作，应如实完整提供外包网络安全管理情况，不得拒绝、隐匿、瞒报。</w:t>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（12）中标供应商应落实网络安全相关法律、法规要求。</w:t>
      </w:r>
      <w:r>
        <w:rPr>
          <w:rFonts w:hint="eastAsia" w:ascii="宋体" w:hAnsi="宋体"/>
          <w:bCs/>
          <w:color w:val="auto"/>
          <w:sz w:val="24"/>
          <w:szCs w:val="24"/>
          <w:highlight w:val="none"/>
        </w:rPr>
      </w:r>
      <w:r>
        <w:rPr>
          <w:color w:val="auto"/>
          <w:highlight w:val="none"/>
        </w:rPr>
      </w:r>
    </w:p>
    <w:p>
      <w:pPr>
        <w:pStyle w:val="777"/>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777"/>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777"/>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rFonts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w:t>
      </w:r>
      <w:r>
        <w:rPr>
          <w:rFonts w:hint="eastAsia" w:ascii="宋体" w:hAnsi="宋体"/>
          <w:bCs/>
          <w:color w:val="auto"/>
          <w:sz w:val="24"/>
          <w:szCs w:val="24"/>
          <w:highlight w:val="none"/>
        </w:rPr>
        <w:t xml:space="preserve">价范围。</w:t>
      </w:r>
      <w:r>
        <w:rPr>
          <w:rFonts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rFonts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ascii="宋体" w:hAnsi="宋体"/>
          <w:bCs/>
          <w:color w:val="auto"/>
          <w:sz w:val="24"/>
          <w:szCs w:val="24"/>
          <w:highlight w:val="none"/>
        </w:rPr>
        <w:t xml:space="preserve">服务期</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自合同签订生效之日起一年。</w:t>
      </w:r>
      <w:r>
        <w:rPr>
          <w:rFonts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合同签订生效后10个工作日内支付合同总价的50%；服务期结束一周内组织年度服务质量考核，合格（评分≥90分）后组织项目验收，项目验收通过后支付剩余服务费用。</w:t>
      </w:r>
      <w:r>
        <w:rPr>
          <w:rFonts w:ascii="宋体"/>
          <w:bCs/>
          <w:color w:val="auto"/>
          <w:sz w:val="24"/>
          <w:szCs w:val="24"/>
          <w:highlight w:val="none"/>
        </w:rPr>
      </w:r>
      <w:r>
        <w:rPr>
          <w:color w:val="auto"/>
          <w:highlight w:val="none"/>
        </w:rP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color w:val="auto"/>
          <w:sz w:val="24"/>
          <w:szCs w:val="24"/>
          <w:highlight w:val="none"/>
        </w:rPr>
      </w:pPr>
      <w:r>
        <w:rPr>
          <w:rFonts w:ascii="宋体"/>
          <w:bCs/>
          <w:color w:val="auto"/>
          <w:sz w:val="24"/>
          <w:szCs w:val="24"/>
          <w:highlight w:val="none"/>
        </w:rPr>
      </w:r>
      <w:r>
        <w:rPr>
          <w:rFonts w:ascii="宋体"/>
          <w:bCs/>
          <w:color w:val="auto"/>
          <w:sz w:val="24"/>
          <w:szCs w:val="24"/>
          <w:highlight w:val="none"/>
        </w:rPr>
        <w:t xml:space="preserve">中标（成交）供应商以履约保函（保险）形式按签约合同价的5%提供履约担保。中标（成交）供应商可采用电子履约保函（保险）形式,具体操作可登录江苏政府采购网的保险保函模块进行办理。</w:t>
      </w:r>
      <w:r>
        <w:rPr>
          <w:rFonts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77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77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777"/>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777"/>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777"/>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p>
    <w:p>
      <w:pPr>
        <w:pStyle w:val="77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p>
    <w:p>
      <w:pPr>
        <w:pStyle w:val="77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p>
    <w:p>
      <w:pPr>
        <w:pStyle w:val="777"/>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777"/>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none"/>
        </w:rPr>
      </w:r>
      <w:r>
        <w:rPr>
          <w:color w:val="auto"/>
          <w:highlight w:val="none"/>
        </w:rPr>
      </w:r>
    </w:p>
    <w:p>
      <w:pPr>
        <w:pStyle w:val="777"/>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none"/>
        </w:rPr>
      </w:r>
      <w:r>
        <w:rPr>
          <w:color w:val="auto"/>
          <w:highlight w:val="none"/>
        </w:rPr>
      </w:r>
    </w:p>
    <w:p>
      <w:pPr>
        <w:pStyle w:val="777"/>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none"/>
        </w:rPr>
      </w:r>
      <w:r>
        <w:rPr>
          <w:color w:val="auto"/>
          <w:highlight w:val="none"/>
        </w:rPr>
      </w:r>
    </w:p>
    <w:p>
      <w:pPr>
        <w:pStyle w:val="77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auto"/>
          <w:sz w:val="24"/>
          <w:szCs w:val="24"/>
          <w:highlight w:val="none"/>
        </w:rPr>
      </w:r>
      <w:r>
        <w:rPr>
          <w:color w:val="auto"/>
          <w:highlight w:val="none"/>
        </w:rPr>
      </w:r>
    </w:p>
    <w:p>
      <w:pPr>
        <w:pStyle w:val="777"/>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777"/>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77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none"/>
          <w:lang w:val="en"/>
        </w:rPr>
      </w:r>
      <w:r>
        <w:rPr>
          <w:color w:val="auto"/>
          <w:highlight w:val="none"/>
        </w:rPr>
      </w:r>
    </w:p>
    <w:p>
      <w:pPr>
        <w:pStyle w:val="77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77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3"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rFonts w:hint="eastAsia" w:ascii="黑体" w:hAnsi="黑体" w:eastAsia="黑体"/>
          <w:bCs/>
          <w:color w:val="auto"/>
          <w:sz w:val="36"/>
          <w:szCs w:val="36"/>
          <w:highlight w:val="none"/>
        </w:rPr>
      </w:r>
      <w:r>
        <w:rPr>
          <w:color w:val="auto"/>
          <w:highlight w:val="none"/>
        </w:rPr>
      </w:r>
    </w:p>
    <w:p>
      <w:pPr>
        <w:pStyle w:val="865"/>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865"/>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865"/>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865"/>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一，以此类推，按排名先后顺序选取3名中标候选人。</w:t>
      </w:r>
      <w:r>
        <w:rPr>
          <w:rFonts w:hint="eastAsia" w:ascii="宋体" w:hAnsi="宋体"/>
          <w:bCs/>
          <w:color w:val="auto"/>
          <w:highlight w:val="none"/>
        </w:rPr>
      </w:r>
      <w:r>
        <w:rPr>
          <w:color w:val="auto"/>
          <w:highlight w:val="none"/>
        </w:rPr>
      </w:r>
    </w:p>
    <w:p>
      <w:pPr>
        <w:pStyle w:val="865"/>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865"/>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865"/>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777"/>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777"/>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777"/>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777"/>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777"/>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777"/>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777"/>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777"/>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865"/>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color w:val="auto"/>
          <w:highlight w:val="none"/>
          <w:shd w:val="clear" w:color="ffffff" w:fill="d9d9d9"/>
        </w:rPr>
      </w:r>
      <w:r>
        <w:rPr>
          <w:color w:val="auto"/>
          <w:highlight w:val="none"/>
        </w:rPr>
      </w:r>
    </w:p>
    <w:p>
      <w:pPr>
        <w:pStyle w:val="77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25</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777"/>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777"/>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777"/>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bCs/>
          <w:color w:val="auto"/>
          <w:sz w:val="24"/>
          <w:szCs w:val="24"/>
          <w:highlight w:val="none"/>
        </w:rPr>
      </w:r>
      <w:r>
        <w:rPr>
          <w:color w:val="auto"/>
          <w:highlight w:val="none"/>
        </w:rPr>
      </w:r>
    </w:p>
    <w:p>
      <w:pPr>
        <w:pStyle w:val="77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w:t>
      </w:r>
      <w:r>
        <w:rPr>
          <w:rFonts w:hint="eastAsia" w:ascii="宋体" w:hAnsi="宋体"/>
          <w:b/>
          <w:bCs/>
          <w:color w:val="auto"/>
          <w:sz w:val="24"/>
          <w:szCs w:val="24"/>
          <w:highlight w:val="none"/>
        </w:rPr>
        <w:t xml:space="preserve">情况（</w:t>
      </w:r>
      <w:r>
        <w:rPr>
          <w:rFonts w:hint="eastAsia" w:ascii="宋体" w:hAnsi="宋体"/>
          <w:b/>
          <w:bCs/>
          <w:color w:val="auto"/>
          <w:sz w:val="24"/>
          <w:szCs w:val="24"/>
          <w:highlight w:val="none"/>
        </w:rPr>
        <w:t xml:space="preserve">15</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bCs/>
          <w:color w:val="auto"/>
          <w:sz w:val="24"/>
          <w:szCs w:val="24"/>
          <w:highlight w:val="none"/>
        </w:rPr>
        <w:t xml:space="preserve">考察</w:t>
      </w:r>
      <w:r>
        <w:rPr>
          <w:rFonts w:hint="eastAsia" w:ascii="宋体" w:hAnsi="宋体"/>
          <w:bCs/>
          <w:color w:val="auto"/>
          <w:sz w:val="24"/>
          <w:szCs w:val="24"/>
          <w:highlight w:val="none"/>
        </w:rPr>
        <w:t xml:space="preserve">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auto"/>
          <w:sz w:val="24"/>
          <w:szCs w:val="24"/>
          <w:highlight w:val="none"/>
        </w:rPr>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2.1  </w:t>
      </w:r>
      <w:r>
        <w:rPr>
          <w:rFonts w:hint="eastAsia" w:ascii="宋体" w:hAnsi="宋体"/>
          <w:color w:val="auto"/>
          <w:sz w:val="24"/>
          <w:highlight w:val="none"/>
        </w:rPr>
        <w:t xml:space="preserve">项目经理（4分）：投标人为本项目配备一名项目经理，该项目经理具有</w:t>
      </w:r>
      <w:r>
        <w:rPr>
          <w:rFonts w:hint="eastAsia" w:ascii="宋体" w:hAnsi="宋体"/>
          <w:color w:val="auto"/>
          <w:sz w:val="24"/>
          <w:highlight w:val="none"/>
        </w:rPr>
        <w:t xml:space="preserve">：</w:t>
      </w:r>
      <w:r>
        <w:rPr>
          <w:rFonts w:hint="eastAsia" w:ascii="宋体" w:hAnsi="宋体"/>
          <w:color w:val="auto"/>
          <w:sz w:val="24"/>
          <w:highlight w:val="none"/>
        </w:rPr>
        <w:t xml:space="preserve">信息系统项目管理师（高级）</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、注册信息安全人员（CISP）</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、信息安全保障人员（CISAW风险管理）证书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、信息技术应用创新专业人员证书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；须提供</w:t>
      </w:r>
      <w:r>
        <w:rPr>
          <w:rFonts w:hint="eastAsia" w:ascii="宋体" w:hAnsi="宋体"/>
          <w:color w:val="auto"/>
          <w:sz w:val="24"/>
          <w:highlight w:val="none"/>
        </w:rPr>
        <w:t xml:space="preserve">相应有效证书证明材料。</w:t>
      </w:r>
      <w:r>
        <w:rPr>
          <w:rFonts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w:t>
      </w:r>
      <w:r>
        <w:rPr>
          <w:rFonts w:hint="eastAsia" w:ascii="宋体" w:hAnsi="宋体"/>
          <w:color w:val="auto"/>
          <w:sz w:val="24"/>
          <w:highlight w:val="none"/>
        </w:rPr>
        <w:t xml:space="preserve">项目技术负责人（4分）：投标人为本项目配备一名技术负责人（与项目经理不能是同一人），该项目技术负责人具有</w:t>
      </w:r>
      <w:r>
        <w:rPr>
          <w:rFonts w:hint="eastAsia" w:ascii="宋体" w:hAnsi="宋体"/>
          <w:color w:val="auto"/>
          <w:sz w:val="24"/>
          <w:highlight w:val="none"/>
        </w:rPr>
        <w:t xml:space="preserve">：</w:t>
      </w:r>
      <w:r>
        <w:rPr>
          <w:rFonts w:hint="eastAsia" w:ascii="宋体" w:hAnsi="宋体"/>
          <w:color w:val="auto"/>
          <w:sz w:val="24"/>
          <w:highlight w:val="none"/>
        </w:rPr>
        <w:t xml:space="preserve">注册信息安全讲师（CISI）证书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注册信息安全人员（CISP）</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、信息安全保障人员（CISAW应急服务）证书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、国产数据库（神通）认证工程师</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；须提供</w:t>
      </w:r>
      <w:r>
        <w:rPr>
          <w:rFonts w:hint="eastAsia" w:ascii="宋体" w:hAnsi="宋体"/>
          <w:color w:val="auto"/>
          <w:sz w:val="24"/>
          <w:highlight w:val="none"/>
        </w:rPr>
        <w:t xml:space="preserve">相应有效证书证明材料。</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  项目网络安全岗负责人（</w:t>
      </w:r>
      <w:r>
        <w:rPr>
          <w:rFonts w:hint="eastAsia" w:ascii="宋体" w:hAnsi="宋体"/>
          <w:color w:val="auto"/>
          <w:sz w:val="24"/>
          <w:highlight w:val="none"/>
        </w:rPr>
        <w:t xml:space="preserve">4</w:t>
      </w:r>
      <w:r>
        <w:rPr>
          <w:rFonts w:hint="eastAsia" w:ascii="宋体" w:hAnsi="宋体"/>
          <w:color w:val="auto"/>
          <w:sz w:val="24"/>
          <w:highlight w:val="none"/>
        </w:rPr>
        <w:t xml:space="preserve">分）：投标人为本项目配备一名网络安全岗负责人（与项目经理和技术负责人</w:t>
      </w:r>
      <w:r>
        <w:rPr>
          <w:rFonts w:hint="eastAsia" w:ascii="宋体" w:hAnsi="宋体"/>
          <w:color w:val="auto"/>
          <w:sz w:val="24"/>
          <w:highlight w:val="none"/>
        </w:rPr>
        <w:t xml:space="preserve">均</w:t>
      </w:r>
      <w:r>
        <w:rPr>
          <w:rFonts w:hint="eastAsia" w:ascii="宋体" w:hAnsi="宋体"/>
          <w:color w:val="auto"/>
          <w:sz w:val="24"/>
          <w:highlight w:val="none"/>
        </w:rPr>
        <w:t xml:space="preserve">不能是同一人），该项目岗位负责人具有</w:t>
      </w:r>
      <w:r>
        <w:rPr>
          <w:rFonts w:hint="eastAsia" w:ascii="宋体" w:hAnsi="宋体"/>
          <w:color w:val="auto"/>
          <w:sz w:val="24"/>
          <w:highlight w:val="none"/>
        </w:rPr>
        <w:t xml:space="preserve">：</w:t>
      </w:r>
      <w:r>
        <w:rPr>
          <w:rFonts w:hint="eastAsia" w:ascii="宋体" w:hAnsi="宋体"/>
          <w:color w:val="auto"/>
          <w:sz w:val="24"/>
          <w:highlight w:val="none"/>
        </w:rPr>
        <w:t xml:space="preserve">信息安全保障人员（CISAW应急服务）证书</w:t>
      </w:r>
      <w:r>
        <w:rPr>
          <w:rFonts w:hint="eastAsia" w:ascii="宋体" w:hAnsi="宋体"/>
          <w:color w:val="auto"/>
          <w:sz w:val="24"/>
          <w:highlight w:val="none"/>
        </w:rPr>
        <w:t xml:space="preserve">的得</w:t>
      </w:r>
      <w:r>
        <w:rPr>
          <w:rFonts w:hint="eastAsia" w:ascii="宋体" w:hAnsi="宋体"/>
          <w:color w:val="auto"/>
          <w:sz w:val="24"/>
          <w:highlight w:val="none"/>
        </w:rPr>
        <w:t xml:space="preserve">1</w:t>
      </w:r>
      <w:r>
        <w:rPr>
          <w:rFonts w:hint="eastAsia" w:ascii="宋体" w:hAnsi="宋体"/>
          <w:color w:val="auto"/>
          <w:sz w:val="24"/>
          <w:highlight w:val="none"/>
        </w:rPr>
        <w:t xml:space="preserve">分</w:t>
      </w:r>
      <w:r>
        <w:rPr>
          <w:rFonts w:hint="eastAsia" w:ascii="宋体" w:hAnsi="宋体"/>
          <w:color w:val="auto"/>
          <w:sz w:val="24"/>
          <w:highlight w:val="none"/>
        </w:rPr>
        <w:t xml:space="preserve">、注册信息安全人员（CISP）</w:t>
      </w:r>
      <w:r>
        <w:rPr>
          <w:rFonts w:hint="eastAsia" w:ascii="宋体" w:hAnsi="宋体"/>
          <w:color w:val="auto"/>
          <w:sz w:val="24"/>
          <w:highlight w:val="none"/>
        </w:rPr>
        <w:t xml:space="preserve">证书的得</w:t>
      </w:r>
      <w:r>
        <w:rPr>
          <w:rFonts w:hint="eastAsia" w:ascii="宋体" w:hAnsi="宋体"/>
          <w:color w:val="auto"/>
          <w:sz w:val="24"/>
          <w:highlight w:val="none"/>
        </w:rPr>
        <w:t xml:space="preserve">1分</w:t>
      </w:r>
      <w:r>
        <w:rPr>
          <w:rFonts w:hint="eastAsia" w:ascii="宋体" w:hAnsi="宋体"/>
          <w:color w:val="auto"/>
          <w:sz w:val="24"/>
          <w:highlight w:val="none"/>
        </w:rPr>
        <w:t xml:space="preserve">、数据安全官（DSO）证书</w:t>
      </w:r>
      <w:r>
        <w:rPr>
          <w:rFonts w:hint="eastAsia" w:ascii="宋体" w:hAnsi="宋体"/>
          <w:color w:val="auto"/>
          <w:sz w:val="24"/>
          <w:highlight w:val="none"/>
        </w:rPr>
        <w:t xml:space="preserve">的得</w:t>
      </w:r>
      <w:r>
        <w:rPr>
          <w:rFonts w:hint="eastAsia" w:ascii="宋体" w:hAnsi="宋体"/>
          <w:color w:val="auto"/>
          <w:sz w:val="24"/>
          <w:highlight w:val="none"/>
        </w:rPr>
        <w:t xml:space="preserve">1分</w:t>
      </w:r>
      <w:r>
        <w:rPr>
          <w:rFonts w:hint="eastAsia" w:ascii="宋体" w:hAnsi="宋体"/>
          <w:color w:val="auto"/>
          <w:sz w:val="24"/>
          <w:highlight w:val="none"/>
        </w:rPr>
        <w:t xml:space="preserve">、IT运维工程师（高级）证书</w:t>
      </w:r>
      <w:r>
        <w:rPr>
          <w:rFonts w:hint="eastAsia" w:ascii="宋体" w:hAnsi="宋体"/>
          <w:color w:val="auto"/>
          <w:sz w:val="24"/>
          <w:highlight w:val="none"/>
        </w:rPr>
        <w:t xml:space="preserve">的得</w:t>
      </w:r>
      <w:r>
        <w:rPr>
          <w:rFonts w:hint="eastAsia" w:ascii="宋体" w:hAnsi="宋体"/>
          <w:color w:val="auto"/>
          <w:sz w:val="24"/>
          <w:highlight w:val="none"/>
        </w:rPr>
        <w:t xml:space="preserve">1分</w:t>
      </w:r>
      <w:r>
        <w:rPr>
          <w:rFonts w:hint="eastAsia" w:ascii="宋体" w:hAnsi="宋体"/>
          <w:color w:val="auto"/>
          <w:sz w:val="24"/>
          <w:highlight w:val="none"/>
        </w:rPr>
        <w:t xml:space="preserve">；须提供相应有效证书证明材料</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  其他项目成员（3分）：除项目经理、项目技术负责人</w:t>
      </w:r>
      <w:r>
        <w:rPr>
          <w:rFonts w:hint="eastAsia" w:ascii="宋体" w:hAnsi="宋体"/>
          <w:color w:val="auto"/>
          <w:sz w:val="24"/>
          <w:highlight w:val="none"/>
        </w:rPr>
        <w:t xml:space="preserve">、</w:t>
      </w:r>
      <w:r>
        <w:rPr>
          <w:rFonts w:hint="eastAsia" w:ascii="宋体" w:hAnsi="宋体"/>
          <w:color w:val="auto"/>
          <w:sz w:val="24"/>
          <w:highlight w:val="none"/>
        </w:rPr>
        <w:t xml:space="preserve">项目网络安全岗负责</w:t>
      </w:r>
      <w:r>
        <w:rPr>
          <w:rFonts w:hint="eastAsia" w:ascii="宋体" w:hAnsi="宋体"/>
          <w:color w:val="auto"/>
          <w:sz w:val="24"/>
          <w:highlight w:val="none"/>
        </w:rPr>
        <w:t xml:space="preserve">人外，项目组其他成员</w:t>
      </w:r>
      <w:r>
        <w:rPr>
          <w:rFonts w:hint="eastAsia" w:ascii="宋体" w:hAnsi="宋体"/>
          <w:color w:val="auto"/>
          <w:sz w:val="24"/>
          <w:highlight w:val="none"/>
        </w:rPr>
        <w:t xml:space="preserve">具有</w:t>
      </w:r>
      <w:r>
        <w:rPr>
          <w:rFonts w:hint="eastAsia" w:ascii="宋体" w:hAnsi="宋体"/>
          <w:color w:val="auto"/>
          <w:sz w:val="24"/>
          <w:highlight w:val="none"/>
        </w:rPr>
        <w:t xml:space="preserve">：信息安全保障人员（CISAW安全运维）证书的得0.5分</w:t>
      </w:r>
      <w:r>
        <w:rPr>
          <w:rFonts w:hint="eastAsia" w:ascii="宋体" w:hAnsi="宋体"/>
          <w:color w:val="auto"/>
          <w:sz w:val="24"/>
          <w:highlight w:val="none"/>
        </w:rPr>
        <w:t xml:space="preserve">，</w:t>
      </w:r>
      <w:r>
        <w:rPr>
          <w:rFonts w:hint="eastAsia" w:ascii="宋体" w:hAnsi="宋体"/>
          <w:color w:val="auto"/>
          <w:sz w:val="24"/>
          <w:highlight w:val="none"/>
        </w:rPr>
        <w:t xml:space="preserve">ITSS IT服务项目经理证书的得0.5分</w:t>
      </w:r>
      <w:r>
        <w:rPr>
          <w:rFonts w:hint="eastAsia" w:ascii="宋体" w:hAnsi="宋体"/>
          <w:color w:val="auto"/>
          <w:sz w:val="24"/>
          <w:highlight w:val="none"/>
        </w:rPr>
        <w:t xml:space="preserve">，</w:t>
      </w:r>
      <w:r>
        <w:rPr>
          <w:rFonts w:hint="eastAsia" w:ascii="宋体" w:hAnsi="宋体"/>
          <w:color w:val="auto"/>
          <w:sz w:val="24"/>
          <w:highlight w:val="none"/>
        </w:rPr>
        <w:t xml:space="preserve">高级数据库管理工程师证书的得0.5分</w:t>
      </w:r>
      <w:r>
        <w:rPr>
          <w:rFonts w:hint="eastAsia" w:ascii="宋体" w:hAnsi="宋体"/>
          <w:color w:val="auto"/>
          <w:sz w:val="24"/>
          <w:highlight w:val="none"/>
        </w:rPr>
        <w:t xml:space="preserve">，</w:t>
      </w:r>
      <w:r>
        <w:rPr>
          <w:rFonts w:hint="eastAsia" w:ascii="宋体" w:hAnsi="宋体"/>
          <w:color w:val="auto"/>
          <w:sz w:val="24"/>
          <w:highlight w:val="none"/>
        </w:rPr>
        <w:t xml:space="preserve">高级软件工程师证书的得0.5分</w:t>
      </w:r>
      <w:r>
        <w:rPr>
          <w:rFonts w:hint="eastAsia" w:ascii="宋体" w:hAnsi="宋体"/>
          <w:color w:val="auto"/>
          <w:sz w:val="24"/>
          <w:highlight w:val="none"/>
        </w:rPr>
        <w:t xml:space="preserve">，</w:t>
      </w:r>
      <w:r>
        <w:rPr>
          <w:rFonts w:hint="eastAsia" w:ascii="宋体" w:hAnsi="宋体"/>
          <w:color w:val="auto"/>
          <w:sz w:val="24"/>
          <w:highlight w:val="none"/>
        </w:rPr>
        <w:t xml:space="preserve">数据安全评估师证书（DSA）的得0.5分</w:t>
      </w:r>
      <w:r>
        <w:rPr>
          <w:rFonts w:hint="eastAsia" w:ascii="宋体" w:hAnsi="宋体"/>
          <w:color w:val="auto"/>
          <w:sz w:val="24"/>
          <w:highlight w:val="none"/>
        </w:rPr>
        <w:t xml:space="preserve">，</w:t>
      </w:r>
      <w:r>
        <w:rPr>
          <w:rFonts w:hint="eastAsia" w:ascii="宋体" w:hAnsi="宋体"/>
          <w:color w:val="auto"/>
          <w:sz w:val="24"/>
          <w:highlight w:val="none"/>
        </w:rPr>
        <w:t xml:space="preserve">IT运维工程师（</w:t>
      </w:r>
      <w:r>
        <w:rPr>
          <w:rFonts w:hint="eastAsia" w:ascii="宋体" w:hAnsi="宋体"/>
          <w:color w:val="auto"/>
          <w:sz w:val="24"/>
          <w:highlight w:val="none"/>
        </w:rPr>
        <w:t xml:space="preserve">中</w:t>
      </w:r>
      <w:r>
        <w:rPr>
          <w:rFonts w:hint="eastAsia" w:ascii="宋体" w:hAnsi="宋体"/>
          <w:color w:val="auto"/>
          <w:sz w:val="24"/>
          <w:highlight w:val="none"/>
        </w:rPr>
        <w:t xml:space="preserve">级</w:t>
      </w:r>
      <w:r>
        <w:rPr>
          <w:rFonts w:hint="eastAsia" w:ascii="宋体" w:hAnsi="宋体"/>
          <w:color w:val="auto"/>
          <w:sz w:val="24"/>
          <w:highlight w:val="none"/>
        </w:rPr>
        <w:t xml:space="preserve">或中级以上</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；须提供相应有效证书证明材料，同一个人具有多种证书的只计算一次，同一种证书也只计算一次，均不重复得分。</w:t>
      </w:r>
      <w:r>
        <w:rPr>
          <w:color w:val="auto"/>
          <w:highlight w:val="none"/>
        </w:rPr>
      </w:r>
    </w:p>
    <w:p>
      <w:pPr>
        <w:pStyle w:val="77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ascii="宋体" w:hAnsi="宋体"/>
          <w:b/>
          <w:bCs/>
          <w:color w:val="auto"/>
          <w:sz w:val="24"/>
          <w:szCs w:val="24"/>
          <w:highlight w:val="none"/>
        </w:rPr>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业绩（</w:t>
      </w:r>
      <w:r>
        <w:rPr>
          <w:rFonts w:hint="eastAsia" w:ascii="宋体" w:hAnsi="宋体"/>
          <w:color w:val="auto"/>
          <w:sz w:val="24"/>
          <w:highlight w:val="none"/>
        </w:rPr>
        <w:t xml:space="preserve">2</w:t>
      </w:r>
      <w:r>
        <w:rPr>
          <w:rFonts w:hint="eastAsia" w:ascii="宋体" w:hAnsi="宋体"/>
          <w:color w:val="auto"/>
          <w:sz w:val="24"/>
          <w:highlight w:val="none"/>
        </w:rPr>
        <w:t xml:space="preserve">分）：投标人自2022年1月1日以来（以合同签订时间为准）具有与本项目类似项目成功案例的，每有一个得</w:t>
      </w:r>
      <w:r>
        <w:rPr>
          <w:rFonts w:hint="eastAsia" w:ascii="宋体" w:hAnsi="宋体"/>
          <w:color w:val="auto"/>
          <w:sz w:val="24"/>
          <w:highlight w:val="none"/>
        </w:rPr>
        <w:t xml:space="preserve">1</w:t>
      </w:r>
      <w:r>
        <w:rPr>
          <w:rFonts w:hint="eastAsia" w:ascii="宋体" w:hAnsi="宋体"/>
          <w:color w:val="auto"/>
          <w:sz w:val="24"/>
          <w:highlight w:val="none"/>
        </w:rPr>
        <w:t xml:space="preserve">分，最高</w:t>
      </w:r>
      <w:r>
        <w:rPr>
          <w:rFonts w:hint="eastAsia" w:ascii="宋体" w:hAnsi="宋体"/>
          <w:color w:val="auto"/>
          <w:sz w:val="24"/>
          <w:highlight w:val="none"/>
        </w:rPr>
        <w:t xml:space="preserve">2</w:t>
      </w:r>
      <w:r>
        <w:rPr>
          <w:rFonts w:hint="eastAsia" w:ascii="宋体" w:hAnsi="宋体"/>
          <w:color w:val="auto"/>
          <w:sz w:val="24"/>
          <w:highlight w:val="none"/>
        </w:rPr>
        <w:t xml:space="preserve">分；须提供相应有效合同扫描件。</w:t>
      </w:r>
      <w:r>
        <w:rPr>
          <w:rFonts w:ascii="宋体" w:hAnsi="宋体"/>
          <w:color w:val="auto"/>
          <w:sz w:val="24"/>
          <w:highlight w:val="none"/>
        </w:rPr>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2</w:t>
      </w:r>
      <w:r>
        <w:rPr>
          <w:rFonts w:hint="eastAsia" w:ascii="宋体" w:hAnsi="宋体"/>
          <w:color w:val="auto"/>
          <w:sz w:val="24"/>
          <w:highlight w:val="none"/>
        </w:rPr>
        <w:t xml:space="preserve">  </w:t>
      </w:r>
      <w:r>
        <w:rPr>
          <w:rFonts w:hint="eastAsia" w:ascii="宋体" w:hAnsi="宋体"/>
          <w:color w:val="auto"/>
          <w:sz w:val="24"/>
          <w:highlight w:val="none"/>
        </w:rPr>
        <w:t xml:space="preserve">体系认证（4分）：投标人具有有效的：质量管理体系认证证书的得1分、信息安全管理体系认证证书的得1分、数据治理安全管理体系认证证书的得1分、数据存储安全管理体系认证证书的得1分；须提供相应有效认证证书扫描件，同时还须提供该证书在“国家市场监督管理总局-全国认证认可信息公共服务平台”网站查询到的有效认证截图并加盖投标人公章。</w:t>
      </w:r>
      <w:r>
        <w:rPr>
          <w:rFonts w:ascii="宋体" w:hAnsi="宋体"/>
          <w:color w:val="auto"/>
          <w:sz w:val="24"/>
          <w:highlight w:val="none"/>
        </w:rPr>
      </w:r>
      <w:r>
        <w:rPr>
          <w:color w:val="auto"/>
          <w:highlight w:val="none"/>
        </w:rPr>
      </w:r>
    </w:p>
    <w:p>
      <w:pPr>
        <w:pStyle w:val="77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服务能力</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ascii="宋体" w:hAnsi="宋体"/>
          <w:b/>
          <w:bCs/>
          <w:color w:val="auto"/>
          <w:sz w:val="24"/>
          <w:szCs w:val="24"/>
          <w:highlight w:val="none"/>
        </w:rPr>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rPr>
        <w:t xml:space="preserve">运维工具平台自有服务能力（2分）：投标人具有智能监测和预警平台、网络安全管理运维服务平台</w:t>
      </w:r>
      <w:r>
        <w:rPr>
          <w:rFonts w:hint="eastAsia" w:ascii="宋体" w:hAnsi="宋体"/>
          <w:color w:val="auto"/>
          <w:sz w:val="24"/>
          <w:highlight w:val="none"/>
        </w:rPr>
        <w:t xml:space="preserve">的</w:t>
      </w:r>
      <w:r>
        <w:rPr>
          <w:rFonts w:hint="eastAsia" w:ascii="宋体" w:hAnsi="宋体"/>
          <w:color w:val="auto"/>
          <w:sz w:val="24"/>
          <w:highlight w:val="none"/>
        </w:rPr>
        <w:t xml:space="preserve">软件著作权登记证书的，</w:t>
      </w:r>
      <w:r>
        <w:rPr>
          <w:rFonts w:hint="eastAsia" w:ascii="宋体" w:hAnsi="宋体"/>
          <w:color w:val="auto"/>
          <w:sz w:val="24"/>
          <w:highlight w:val="none"/>
        </w:rPr>
        <w:t xml:space="preserve">每有上述一种软件著作权登记证书的得1分，最高2分；须提供相应有效软件著作权登记证书扫描件。</w:t>
      </w:r>
      <w:r>
        <w:rPr>
          <w:rFonts w:ascii="宋体" w:hAnsi="宋体"/>
          <w:color w:val="auto"/>
          <w:sz w:val="24"/>
          <w:highlight w:val="none"/>
        </w:rPr>
      </w:r>
      <w:r>
        <w:rPr>
          <w:color w:val="auto"/>
          <w:highlight w:val="none"/>
        </w:rPr>
      </w:r>
    </w:p>
    <w:p>
      <w:pPr>
        <w:pStyle w:val="777"/>
        <w:ind w:firstLine="480"/>
        <w:spacing w:line="500" w:lineRule="exact"/>
        <w:rPr>
          <w:rFonts w:ascii="宋体" w:hAnsi="宋体"/>
          <w:color w:val="auto"/>
          <w:sz w:val="24"/>
          <w:highlight w:val="none"/>
        </w:rPr>
      </w:pPr>
      <w:r>
        <w:rPr>
          <w:rFonts w:hint="eastAsia" w:ascii="宋体" w:hAnsi="宋体"/>
          <w:color w:val="auto"/>
          <w:sz w:val="24"/>
          <w:highlight w:val="none"/>
        </w:rPr>
        <w:t xml:space="preserve">4.2  </w:t>
      </w:r>
      <w:r>
        <w:rPr>
          <w:rFonts w:hint="eastAsia" w:ascii="宋体" w:hAnsi="宋体"/>
          <w:color w:val="auto"/>
          <w:sz w:val="24"/>
          <w:highlight w:val="none"/>
        </w:rPr>
        <w:t xml:space="preserve">智能监测和预警平台兼容性能力（</w:t>
      </w:r>
      <w:r>
        <w:rPr>
          <w:rFonts w:hint="eastAsia" w:ascii="宋体" w:hAnsi="宋体"/>
          <w:color w:val="auto"/>
          <w:sz w:val="24"/>
          <w:highlight w:val="none"/>
        </w:rPr>
        <w:t xml:space="preserve">2</w:t>
      </w:r>
      <w:r>
        <w:rPr>
          <w:rFonts w:hint="eastAsia" w:ascii="宋体" w:hAnsi="宋体"/>
          <w:color w:val="auto"/>
          <w:sz w:val="24"/>
          <w:highlight w:val="none"/>
        </w:rPr>
        <w:t xml:space="preserve">分）：投标人提供服务的自有平台能够和安超、华云等国产云操作系统相适配及兼容</w:t>
      </w:r>
      <w:r>
        <w:rPr>
          <w:rFonts w:hint="eastAsia" w:ascii="宋体" w:hAnsi="宋体"/>
          <w:color w:val="auto"/>
          <w:sz w:val="24"/>
          <w:highlight w:val="none"/>
        </w:rPr>
        <w:t xml:space="preserve">的</w:t>
      </w:r>
      <w:r>
        <w:rPr>
          <w:rFonts w:hint="eastAsia" w:ascii="宋体" w:hAnsi="宋体"/>
          <w:color w:val="auto"/>
          <w:sz w:val="24"/>
          <w:highlight w:val="none"/>
        </w:rPr>
        <w:t xml:space="preserve">得</w:t>
      </w:r>
      <w:r>
        <w:rPr>
          <w:rFonts w:hint="eastAsia" w:ascii="宋体" w:hAnsi="宋体"/>
          <w:color w:val="auto"/>
          <w:sz w:val="24"/>
          <w:highlight w:val="none"/>
        </w:rPr>
        <w:t xml:space="preserve">1</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rFonts w:hint="eastAsia" w:ascii="宋体" w:hAnsi="宋体"/>
          <w:color w:val="auto"/>
          <w:sz w:val="24"/>
          <w:highlight w:val="none"/>
        </w:rPr>
        <w:t xml:space="preserve">能够兼容国产申威环境，在国产统信服务器操作系统上运行稳定</w:t>
      </w:r>
      <w:r>
        <w:rPr>
          <w:rFonts w:hint="eastAsia" w:ascii="宋体" w:hAnsi="宋体"/>
          <w:color w:val="auto"/>
          <w:sz w:val="24"/>
          <w:highlight w:val="none"/>
        </w:rPr>
        <w:t xml:space="preserve">的</w:t>
      </w:r>
      <w:r>
        <w:rPr>
          <w:rFonts w:hint="eastAsia" w:ascii="宋体" w:hAnsi="宋体"/>
          <w:color w:val="auto"/>
          <w:sz w:val="24"/>
          <w:highlight w:val="none"/>
        </w:rPr>
        <w:t xml:space="preserve">得</w:t>
      </w:r>
      <w:r>
        <w:rPr>
          <w:rFonts w:hint="eastAsia" w:ascii="宋体" w:hAnsi="宋体"/>
          <w:color w:val="auto"/>
          <w:sz w:val="24"/>
          <w:highlight w:val="none"/>
        </w:rPr>
        <w:t xml:space="preserve">1</w:t>
      </w:r>
      <w:r>
        <w:rPr>
          <w:rFonts w:hint="eastAsia" w:ascii="宋体" w:hAnsi="宋体"/>
          <w:color w:val="auto"/>
          <w:sz w:val="24"/>
          <w:highlight w:val="none"/>
        </w:rPr>
        <w:t xml:space="preserve">分。须提供</w:t>
      </w:r>
      <w:r>
        <w:rPr>
          <w:rFonts w:hint="eastAsia" w:ascii="宋体" w:hAnsi="宋体"/>
          <w:color w:val="auto"/>
          <w:sz w:val="24"/>
          <w:highlight w:val="none"/>
        </w:rPr>
        <w:t xml:space="preserve">相应</w:t>
      </w:r>
      <w:r>
        <w:rPr>
          <w:rFonts w:hint="eastAsia" w:ascii="宋体" w:hAnsi="宋体"/>
          <w:color w:val="auto"/>
          <w:sz w:val="24"/>
          <w:highlight w:val="none"/>
        </w:rPr>
        <w:t xml:space="preserve">产品兼容性认证证书</w:t>
      </w:r>
      <w:r>
        <w:rPr>
          <w:rFonts w:hint="eastAsia" w:ascii="宋体" w:hAnsi="宋体"/>
          <w:color w:val="auto"/>
          <w:sz w:val="24"/>
          <w:highlight w:val="none"/>
        </w:rPr>
        <w:t xml:space="preserve">扫描件。</w:t>
      </w:r>
      <w:r>
        <w:rPr>
          <w:rFonts w:ascii="宋体" w:hAnsi="宋体"/>
          <w:color w:val="auto"/>
          <w:sz w:val="24"/>
          <w:highlight w:val="none"/>
        </w:rPr>
      </w:r>
      <w:r>
        <w:rPr>
          <w:color w:val="auto"/>
          <w:highlight w:val="none"/>
        </w:rPr>
      </w:r>
    </w:p>
    <w:p>
      <w:pPr>
        <w:pStyle w:val="777"/>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50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无方案不得分。</w:t>
      </w:r>
      <w:r>
        <w:rPr>
          <w:rFonts w:ascii="宋体" w:hAnsi="宋体"/>
          <w:b/>
          <w:bCs/>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5.1  对现有机房运维服务背景、整体机房运行情况熟悉与理解（8分）：根据实际</w:t>
      </w:r>
      <w:r>
        <w:rPr>
          <w:rFonts w:hint="eastAsia" w:ascii="宋体" w:hAnsi="宋体"/>
          <w:color w:val="auto"/>
          <w:sz w:val="24"/>
          <w:highlight w:val="none"/>
        </w:rPr>
        <w:t xml:space="preserve">情况提供机房机柜及设备详细布置图并进行方案描述，熟悉维护单位业务系统软件业务流向，提供自然资源规划一体化平台业务系统关联硬件的业务视图并进行方案描述、提供不动产登记信息管理平台业务系统关联硬件的业务视图并进行方案描述、提供电子政务云平台系统关联硬件的业务视图并进行方案描述。</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图纸提供完整</w:t>
      </w:r>
      <w:r>
        <w:rPr>
          <w:rFonts w:hint="eastAsia" w:ascii="宋体" w:hAnsi="宋体"/>
          <w:color w:val="auto"/>
          <w:sz w:val="24"/>
          <w:highlight w:val="none"/>
        </w:rPr>
        <w:t xml:space="preserve">，</w:t>
      </w: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图纸提供</w:t>
      </w:r>
      <w:r>
        <w:rPr>
          <w:rFonts w:hint="eastAsia" w:ascii="宋体" w:hAnsi="宋体"/>
          <w:color w:val="auto"/>
          <w:sz w:val="24"/>
          <w:highlight w:val="none"/>
        </w:rPr>
        <w:t xml:space="preserve">较为</w:t>
      </w:r>
      <w:r>
        <w:rPr>
          <w:rFonts w:hint="eastAsia" w:ascii="宋体" w:hAnsi="宋体"/>
          <w:color w:val="auto"/>
          <w:sz w:val="24"/>
          <w:highlight w:val="none"/>
        </w:rPr>
        <w:t xml:space="preserve">完整</w:t>
      </w:r>
      <w:r>
        <w:rPr>
          <w:rFonts w:hint="eastAsia" w:ascii="宋体" w:hAnsi="宋体"/>
          <w:color w:val="auto"/>
          <w:sz w:val="24"/>
          <w:highlight w:val="none"/>
        </w:rPr>
        <w:t xml:space="preserve">，</w:t>
      </w: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未提供</w:t>
      </w:r>
      <w:r>
        <w:rPr>
          <w:rFonts w:hint="eastAsia" w:ascii="宋体" w:hAnsi="宋体"/>
          <w:color w:val="auto"/>
          <w:sz w:val="24"/>
          <w:highlight w:val="none"/>
        </w:rPr>
        <w:t xml:space="preserve">图纸</w:t>
      </w:r>
      <w:r>
        <w:rPr>
          <w:rFonts w:hint="eastAsia" w:ascii="宋体" w:hAnsi="宋体"/>
          <w:color w:val="auto"/>
          <w:sz w:val="24"/>
          <w:highlight w:val="none"/>
        </w:rPr>
        <w:t xml:space="preserve">，</w:t>
      </w: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w:t>
      </w:r>
      <w:r>
        <w:rPr>
          <w:rFonts w:hint="eastAsia" w:ascii="宋体" w:hAnsi="宋体"/>
          <w:color w:val="auto"/>
          <w:sz w:val="24"/>
          <w:highlight w:val="none"/>
        </w:rPr>
        <w:t xml:space="preserve">了</w:t>
      </w:r>
      <w:r>
        <w:rPr>
          <w:rFonts w:hint="eastAsia" w:ascii="宋体" w:hAnsi="宋体"/>
          <w:color w:val="auto"/>
          <w:sz w:val="24"/>
          <w:highlight w:val="none"/>
        </w:rPr>
        <w:t xml:space="preserve">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w:t>
      </w:r>
      <w:r>
        <w:rPr>
          <w:rFonts w:hint="eastAsia" w:ascii="宋体" w:hAnsi="宋体"/>
          <w:color w:val="auto"/>
          <w:sz w:val="24"/>
          <w:highlight w:val="none"/>
        </w:rPr>
        <w:t xml:space="preserve">，得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5.2  </w:t>
      </w:r>
      <w:r>
        <w:rPr>
          <w:rFonts w:hint="eastAsia" w:ascii="宋体" w:hAnsi="宋体"/>
          <w:color w:val="auto"/>
          <w:sz w:val="24"/>
          <w:highlight w:val="none"/>
        </w:rPr>
        <w:t xml:space="preserve">运维管理及作业指导方案（8分）：结合现有机房内人员、设备、资料台账运维管理服务的要求，能够提供更加科学合理及可操作性的ITSS运维管理流程和制度、数据库管理员作业指导书、网络管理员作业指导书。</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只提供了基本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5.3  </w:t>
      </w:r>
      <w:r>
        <w:rPr>
          <w:rFonts w:hint="eastAsia" w:ascii="宋体" w:hAnsi="宋体"/>
          <w:color w:val="auto"/>
          <w:sz w:val="24"/>
          <w:highlight w:val="none"/>
        </w:rPr>
        <w:t xml:space="preserve">设备管理服务方案（8分）：根据机房基础设备和业务系统设备的用途、功能、属性等信息，梳理清晰、准确的设备信息资源台账和日常巡检单，并提供更加科学合理的设备运维管理服务方案。</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只提供了基本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5.4  </w:t>
      </w:r>
      <w:r>
        <w:rPr>
          <w:rFonts w:hint="eastAsia" w:ascii="宋体" w:hAnsi="宋体"/>
          <w:color w:val="auto"/>
          <w:sz w:val="24"/>
          <w:highlight w:val="none"/>
        </w:rPr>
        <w:t xml:space="preserve">业务核心系统服务内容及运维方案（8分）：包括核心数据库运维服务内容及运维方案、存储双活系统服务内容及运维方案、机房双活网络系统服务内容及运维方案、系统监控服务内容及运维方案、信息系统应急方案。</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只提供了基本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5.5  </w:t>
      </w:r>
      <w:r>
        <w:rPr>
          <w:rFonts w:hint="eastAsia" w:ascii="宋体" w:hAnsi="宋体"/>
          <w:color w:val="auto"/>
          <w:sz w:val="24"/>
          <w:highlight w:val="none"/>
        </w:rPr>
        <w:t xml:space="preserve">应急方案（6分）：根据现有机房内部综合布线架构和设备之间物理连接状态，梳理清晰、准确的各系统区域网络及安全设备连接资源台账，并提供更加合理科学的应急处理程序和分类突发事件应急处理措施方案。</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，得6分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，得5分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，得4分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只提供了基本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，方案基本满足要求的，得3分。</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5.6  </w:t>
      </w:r>
      <w:r>
        <w:rPr>
          <w:rFonts w:hint="eastAsia" w:ascii="宋体" w:hAnsi="宋体"/>
          <w:color w:val="auto"/>
          <w:sz w:val="24"/>
          <w:highlight w:val="none"/>
        </w:rPr>
        <w:t xml:space="preserve">机房内部主要设备运维方案（6分）：结合UPS不间断电源系统、精密空调系统、环境监控系统等设备运行状态，能够提供详细的设备运行情况分析描述（如照片、设备面板信息或软件界面信息），并根据现状分析描述提供针对性的系统运维服务方案。</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，得6分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，得5分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，得4分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只提供了基本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，方案基本满足要求的，得3分。</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5.7  </w:t>
      </w:r>
      <w:r>
        <w:rPr>
          <w:rFonts w:hint="eastAsia" w:ascii="宋体" w:hAnsi="宋体"/>
          <w:color w:val="auto"/>
          <w:sz w:val="24"/>
          <w:highlight w:val="none"/>
        </w:rPr>
        <w:t xml:space="preserve">核心系统应急事件措施及演练方案（6分）：包含服务器应急处理措施、网络系统应急演练方案、数据库应急演练方案、机房基础环境设施演练方案。</w:t>
      </w:r>
      <w:r>
        <w:rPr>
          <w:rFonts w:hint="eastAsia" w:ascii="宋体" w:hAnsi="宋体"/>
          <w:color w:val="auto"/>
          <w:sz w:val="24"/>
          <w:highlight w:val="none"/>
        </w:rPr>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，得6分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，得5分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，得4分</w:t>
      </w:r>
      <w:r>
        <w:rPr>
          <w:rFonts w:hint="eastAsia" w:ascii="宋体" w:hAnsi="宋体"/>
          <w:color w:val="auto"/>
          <w:sz w:val="24"/>
          <w:highlight w:val="none"/>
        </w:rPr>
        <w:t xml:space="preserve">；</w:t>
      </w:r>
      <w:r>
        <w:rPr>
          <w:color w:val="auto"/>
          <w:highlight w:val="none"/>
        </w:rPr>
      </w:r>
    </w:p>
    <w:p>
      <w:pPr>
        <w:pStyle w:val="777"/>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只提供了基本</w:t>
      </w:r>
      <w:r>
        <w:rPr>
          <w:rFonts w:hint="eastAsia" w:ascii="宋体" w:hAnsi="宋体"/>
          <w:color w:val="auto"/>
          <w:sz w:val="24"/>
          <w:highlight w:val="none"/>
        </w:rPr>
        <w:t xml:space="preserve">方案</w:t>
      </w:r>
      <w:r>
        <w:rPr>
          <w:rFonts w:hint="eastAsia" w:ascii="宋体" w:hAnsi="宋体"/>
          <w:color w:val="auto"/>
          <w:sz w:val="24"/>
          <w:highlight w:val="none"/>
        </w:rPr>
        <w:t xml:space="preserve">，方案基本满足要求的，得3分。</w:t>
      </w:r>
      <w:r>
        <w:rPr>
          <w:color w:val="auto"/>
          <w:highlight w:val="none"/>
        </w:rPr>
      </w:r>
    </w:p>
    <w:p>
      <w:pPr>
        <w:pStyle w:val="777"/>
        <w:ind w:firstLine="480"/>
        <w:spacing w:line="500" w:lineRule="exact"/>
        <w:rPr>
          <w:rFonts w:ascii="宋体" w:hAnsi="宋体"/>
          <w:color w:val="auto"/>
          <w:sz w:val="24"/>
          <w:highlight w:val="none"/>
        </w:rPr>
      </w:pPr>
      <w:r>
        <w:rPr>
          <w:rFonts w:ascii="宋体" w:hAnsi="宋体"/>
          <w:color w:val="auto"/>
          <w:sz w:val="24"/>
          <w:highlight w:val="none"/>
        </w:rPr>
      </w:r>
      <w:r>
        <w:rPr>
          <w:color w:val="auto"/>
          <w:highlight w:val="none"/>
        </w:rPr>
      </w:r>
    </w:p>
    <w:p>
      <w:pPr>
        <w:pStyle w:val="865"/>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193"/>
      <w:r>
        <w:rPr>
          <w:rFonts w:hint="eastAsia" w:ascii="黑体" w:eastAsia="黑体"/>
          <w:bCs/>
          <w:color w:val="auto"/>
          <w:sz w:val="36"/>
          <w:szCs w:val="36"/>
          <w:highlight w:val="none"/>
        </w:rPr>
        <w:t xml:space="preserve">投标文件内容与格式</w:t>
      </w:r>
      <w:r>
        <w:rPr>
          <w:color w:val="auto"/>
          <w:highlight w:val="none"/>
        </w:rPr>
      </w:r>
    </w:p>
    <w:p>
      <w:pPr>
        <w:pStyle w:val="865"/>
        <w:ind w:firstLine="602"/>
        <w:spacing w:before="0" w:after="0" w:line="500" w:lineRule="exact"/>
        <w:rPr>
          <w:rFonts w:hint="eastAsia" w:cs="Arial"/>
          <w:b/>
          <w:color w:val="auto"/>
          <w:sz w:val="30"/>
          <w:szCs w:val="30"/>
          <w:highlight w:val="none"/>
        </w:rPr>
      </w:pPr>
      <w:r>
        <w:rPr>
          <w:color w:val="auto"/>
          <w:highlight w:val="none"/>
        </w:rPr>
      </w:r>
      <w:bookmarkStart w:id="194" w:name="_Hlt26955039"/>
      <w:r>
        <w:rPr>
          <w:color w:val="auto"/>
          <w:highlight w:val="none"/>
        </w:rPr>
      </w:r>
      <w:bookmarkEnd w:id="194"/>
      <w:r>
        <w:rPr>
          <w:color w:val="auto"/>
          <w:highlight w:val="none"/>
        </w:rPr>
      </w:r>
      <w:bookmarkStart w:id="195" w:name="_Toc49090576"/>
      <w:r>
        <w:rPr>
          <w:color w:val="auto"/>
          <w:highlight w:val="none"/>
        </w:rPr>
      </w:r>
      <w:bookmarkStart w:id="196" w:name="_Toc120614282"/>
      <w:r>
        <w:rPr>
          <w:color w:val="auto"/>
          <w:highlight w:val="none"/>
        </w:rPr>
      </w:r>
      <w:bookmarkStart w:id="197" w:name="_Toc26554094"/>
      <w:r>
        <w:rPr>
          <w:color w:val="auto"/>
          <w:highlight w:val="none"/>
        </w:rPr>
      </w:r>
      <w:bookmarkStart w:id="198" w:name="_Hlt26671244"/>
      <w:r>
        <w:rPr>
          <w:color w:val="auto"/>
          <w:highlight w:val="none"/>
        </w:rPr>
      </w:r>
      <w:bookmarkEnd w:id="198"/>
      <w:r>
        <w:rPr>
          <w:rFonts w:hint="eastAsia" w:cs="Arial"/>
          <w:b/>
          <w:color w:val="auto"/>
          <w:sz w:val="30"/>
          <w:szCs w:val="30"/>
          <w:highlight w:val="none"/>
        </w:rPr>
        <w:t xml:space="preserve">第一部分  投标文件内容</w:t>
      </w:r>
      <w:r>
        <w:rPr>
          <w:color w:val="auto"/>
          <w:highlight w:val="none"/>
        </w:rPr>
      </w:r>
    </w:p>
    <w:p>
      <w:pPr>
        <w:pStyle w:val="865"/>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6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865"/>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86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8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8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8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86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8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4"/>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86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8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86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8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86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86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86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86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p>
        </w:tc>
        <w:tc>
          <w:tcPr>
            <w:tcW w:w="6104" w:type="dxa"/>
            <w:vAlign w:val="center"/>
            <w:textDirection w:val="lrTb"/>
            <w:noWrap w:val="false"/>
          </w:tcPr>
          <w:p>
            <w:pPr>
              <w:pStyle w:val="86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tc>
        <w:tc>
          <w:tcPr>
            <w:tcW w:w="2449" w:type="dxa"/>
            <w:vAlign w:val="center"/>
            <w:textDirection w:val="lrTb"/>
            <w:noWrap w:val="false"/>
          </w:tcPr>
          <w:p>
            <w:pPr>
              <w:pStyle w:val="86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rFonts w:ascii="宋体" w:hAnsi="宋体" w:cs="宋体"/>
                <w:color w:val="auto"/>
                <w:highlight w:val="none"/>
              </w:rPr>
            </w:r>
            <w:r>
              <w:rPr>
                <w:color w:val="auto"/>
                <w:highlight w:val="none"/>
              </w:rPr>
            </w:r>
          </w:p>
        </w:tc>
      </w:tr>
      <w:tr>
        <w:trPr>
          <w:trHeight w:val="726"/>
        </w:trPr>
        <w:tc>
          <w:tcPr>
            <w:tcW w:w="719" w:type="dxa"/>
            <w:vAlign w:val="center"/>
            <w:textDirection w:val="lrTb"/>
            <w:noWrap w:val="false"/>
          </w:tcPr>
          <w:p>
            <w:pPr>
              <w:pStyle w:val="865"/>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865"/>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865"/>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865"/>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865"/>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rFonts w:hint="eastAsia" w:ascii="宋体" w:hAnsi="宋体" w:cs="宋体"/>
                <w:color w:val="auto"/>
                <w:highlight w:val="none"/>
              </w:rPr>
            </w:r>
            <w:r>
              <w:rPr>
                <w:color w:val="auto"/>
                <w:highlight w:val="none"/>
              </w:rPr>
            </w:r>
          </w:p>
        </w:tc>
      </w:tr>
    </w:tbl>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777"/>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777"/>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p>
    <w:p>
      <w:pPr>
        <w:pStyle w:val="777"/>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none"/>
        </w:rPr>
      </w:r>
      <w:r>
        <w:rPr>
          <w:color w:val="auto"/>
          <w:highlight w:val="none"/>
        </w:rPr>
      </w:r>
    </w:p>
    <w:p>
      <w:pPr>
        <w:pStyle w:val="777"/>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777"/>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rFonts w:hint="eastAsia" w:ascii="宋体" w:hAnsi="宋体"/>
          <w:color w:val="auto"/>
          <w:sz w:val="24"/>
          <w:szCs w:val="24"/>
          <w:highlight w:val="none"/>
        </w:rPr>
      </w:r>
      <w:r>
        <w:rPr>
          <w:color w:val="auto"/>
          <w:highlight w:val="none"/>
        </w:rPr>
      </w:r>
    </w:p>
    <w:p>
      <w:pPr>
        <w:pStyle w:val="777"/>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rFonts w:hint="eastAsia"/>
          <w:b/>
          <w:color w:val="auto"/>
          <w:sz w:val="28"/>
          <w:szCs w:val="28"/>
          <w:highlight w:val="none"/>
        </w:rPr>
      </w:r>
      <w:r>
        <w:rPr>
          <w:color w:val="auto"/>
          <w:highlight w:val="none"/>
        </w:rPr>
      </w:r>
    </w:p>
    <w:p>
      <w:pPr>
        <w:pStyle w:val="777"/>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65"/>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865"/>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865"/>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865"/>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86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865"/>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865"/>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86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865"/>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6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86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color w:val="auto"/>
                <w:highlight w:val="none"/>
              </w:rPr>
              <w:t xml:space="preserve">“苏采云”系统中</w:t>
            </w:r>
            <w:r>
              <w:rPr>
                <w:rFonts w:hint="eastAsia" w:ascii="宋体" w:hAnsi="宋体"/>
                <w:color w:val="auto"/>
                <w:highlight w:val="none"/>
              </w:rPr>
              <w:t xml:space="preserve">给定格式</w:t>
            </w:r>
            <w:r>
              <w:rPr>
                <w:rFonts w:hint="eastAsia" w:ascii="宋体" w:hAnsi="宋体"/>
                <w:color w:val="auto"/>
                <w:highlight w:val="none"/>
              </w:rPr>
              <w:t xml:space="preserve">）</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865"/>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86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86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865"/>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6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86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865"/>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86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865"/>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865"/>
              <w:ind w:firstLine="0"/>
              <w:jc w:val="center"/>
              <w:spacing w:before="0" w:after="0" w:line="240" w:lineRule="auto"/>
              <w:rPr>
                <w:rFonts w:hint="eastAsia" w:cs="Arial"/>
              </w:rPr>
            </w:pPr>
            <w:r>
              <w:rPr>
                <w:rFonts w:hint="eastAsia" w:cs="Arial"/>
              </w:rPr>
            </w:r>
            <w:r/>
          </w:p>
        </w:tc>
      </w:tr>
    </w:tbl>
    <w:p>
      <w:pPr>
        <w:pStyle w:val="777"/>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777"/>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p>
    <w:p>
      <w:pPr>
        <w:pStyle w:val="777"/>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rFonts w:hint="eastAsia" w:ascii="宋体" w:hAnsi="宋体"/>
          <w:color w:val="auto"/>
          <w:sz w:val="24"/>
          <w:szCs w:val="24"/>
          <w:highlight w:val="none"/>
        </w:rPr>
      </w:r>
      <w:r>
        <w:rPr>
          <w:color w:val="auto"/>
          <w:highlight w:val="none"/>
        </w:rPr>
      </w:r>
    </w:p>
    <w:p>
      <w:pPr>
        <w:pStyle w:val="777"/>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r>
      <w:r>
        <w:rPr>
          <w:color w:val="auto"/>
          <w:highlight w:val="none"/>
        </w:rPr>
      </w:r>
    </w:p>
    <w:p>
      <w:pPr>
        <w:pStyle w:val="777"/>
        <w:rPr>
          <w:rFonts w:hint="eastAsia"/>
          <w:b/>
          <w:color w:val="auto"/>
          <w:sz w:val="28"/>
          <w:szCs w:val="28"/>
          <w:highlight w:val="none"/>
        </w:rPr>
      </w:pPr>
      <w:r>
        <w:rPr>
          <w:rFonts w:hint="eastAsia"/>
          <w:b/>
          <w:color w:val="auto"/>
          <w:sz w:val="28"/>
          <w:szCs w:val="28"/>
          <w:highlight w:val="none"/>
        </w:rPr>
      </w:r>
      <w:r>
        <w:rPr>
          <w:color w:val="auto"/>
          <w:highlight w:val="none"/>
        </w:rPr>
      </w:r>
    </w:p>
    <w:p>
      <w:pPr>
        <w:pStyle w:val="777"/>
        <w:rPr>
          <w:rFonts w:hint="eastAsia"/>
          <w:b/>
          <w:color w:val="auto"/>
          <w:sz w:val="28"/>
          <w:szCs w:val="28"/>
          <w:highlight w:val="none"/>
        </w:rPr>
      </w:pPr>
      <w:r>
        <w:rPr>
          <w:rFonts w:hint="eastAsia"/>
          <w:b/>
          <w:color w:val="auto"/>
          <w:sz w:val="28"/>
          <w:szCs w:val="28"/>
          <w:highlight w:val="none"/>
        </w:rPr>
        <w:t xml:space="preserve">（二）其他证明文件</w:t>
      </w:r>
      <w:r>
        <w:rPr>
          <w:rFonts w:hint="eastAsia"/>
          <w:b/>
          <w:color w:val="auto"/>
          <w:sz w:val="28"/>
          <w:szCs w:val="28"/>
          <w:highlight w:val="none"/>
        </w:rPr>
      </w:r>
      <w:r>
        <w:rPr>
          <w:color w:val="auto"/>
          <w:highlight w:val="none"/>
        </w:rPr>
      </w:r>
    </w:p>
    <w:p>
      <w:pPr>
        <w:pStyle w:val="777"/>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777"/>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p>
    <w:p>
      <w:pPr>
        <w:pStyle w:val="777"/>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865"/>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777"/>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777"/>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777"/>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777"/>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777"/>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777"/>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777"/>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777"/>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JSZC-320200-JZCG-G2024-0224</w:t>
      </w:r>
      <w:r>
        <w:rPr>
          <w:rFonts w:ascii="黑体" w:hAnsi="华文中宋" w:eastAsia="黑体"/>
          <w:bCs/>
          <w:color w:val="auto"/>
          <w:sz w:val="30"/>
          <w:szCs w:val="30"/>
          <w:highlight w:val="none"/>
        </w:rPr>
      </w:r>
      <w:r>
        <w:rPr>
          <w:color w:val="auto"/>
          <w:highlight w:val="none"/>
        </w:rPr>
      </w:r>
    </w:p>
    <w:p>
      <w:pPr>
        <w:pStyle w:val="777"/>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无锡市自然资源和规划局机房信息化设备维护项目</w:t>
      </w:r>
      <w:r>
        <w:rPr>
          <w:rFonts w:hint="eastAsia" w:ascii="黑体" w:hAnsi="华文中宋" w:eastAsia="黑体"/>
          <w:bCs/>
          <w:color w:val="auto"/>
          <w:sz w:val="30"/>
          <w:szCs w:val="30"/>
          <w:highlight w:val="none"/>
        </w:rPr>
      </w:r>
      <w:r>
        <w:rPr>
          <w:color w:val="auto"/>
          <w:highlight w:val="none"/>
        </w:rPr>
      </w:r>
    </w:p>
    <w:p>
      <w:pPr>
        <w:pStyle w:val="777"/>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777"/>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777"/>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777"/>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863"/>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JSZC-320200-JZCG-G2024-0224</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863"/>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863"/>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863"/>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863"/>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863"/>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863"/>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863"/>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863"/>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rFonts w:hint="eastAsia"/>
          <w:color w:val="auto"/>
          <w:sz w:val="24"/>
          <w:szCs w:val="24"/>
          <w:highlight w:val="none"/>
        </w:rPr>
      </w:r>
      <w:r>
        <w:rPr>
          <w:color w:val="auto"/>
          <w:highlight w:val="none"/>
        </w:rPr>
      </w:r>
    </w:p>
    <w:p>
      <w:pPr>
        <w:pStyle w:val="863"/>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p>
    <w:p>
      <w:pPr>
        <w:pStyle w:val="863"/>
        <w:numPr>
          <w:ilvl w:val="0"/>
          <w:numId w:val="12"/>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p>
    <w:p>
      <w:pPr>
        <w:pStyle w:val="863"/>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p>
    <w:p>
      <w:pPr>
        <w:pStyle w:val="863"/>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p>
    <w:p>
      <w:pPr>
        <w:pStyle w:val="863"/>
        <w:numPr>
          <w:ilvl w:val="0"/>
          <w:numId w:val="12"/>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auto"/>
          <w:sz w:val="24"/>
          <w:szCs w:val="20"/>
          <w:highlight w:val="none"/>
        </w:rPr>
      </w:r>
      <w:r>
        <w:rPr>
          <w:color w:val="auto"/>
          <w:highlight w:val="none"/>
        </w:rPr>
      </w:r>
    </w:p>
    <w:p>
      <w:pPr>
        <w:pStyle w:val="863"/>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777"/>
        <w:jc w:val="center"/>
        <w:rPr>
          <w:rFonts w:ascii="黑体" w:eastAsia="黑体"/>
          <w:bCs/>
          <w:color w:val="auto"/>
          <w:sz w:val="28"/>
          <w:szCs w:val="28"/>
          <w:highlight w:val="none"/>
        </w:rPr>
        <w:outlineLvl w:val="0"/>
      </w:pPr>
      <w:r>
        <w:rPr>
          <w:color w:val="auto"/>
          <w:highlight w:val="none"/>
        </w:rPr>
      </w:r>
      <w:bookmarkStart w:id="199" w:name="报价方关于资格的声明函（格式）"/>
      <w:r>
        <w:rPr>
          <w:color w:val="auto"/>
          <w:highlight w:val="none"/>
        </w:rPr>
      </w:r>
      <w:bookmarkEnd w:id="199"/>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777"/>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777"/>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777"/>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JSZC-320200-JZCG-G2024-0224</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rFonts w:ascii="宋体" w:hAnsi="宋体"/>
          <w:bCs/>
          <w:color w:val="auto"/>
          <w:sz w:val="24"/>
          <w:szCs w:val="24"/>
          <w:highlight w:val="none"/>
        </w:rPr>
      </w:r>
      <w:r>
        <w:rPr>
          <w:color w:val="auto"/>
          <w:highlight w:val="none"/>
        </w:rPr>
      </w:r>
    </w:p>
    <w:p>
      <w:pPr>
        <w:pStyle w:val="777"/>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777"/>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777"/>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777"/>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777"/>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777"/>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777"/>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777"/>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777"/>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777"/>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p>
    <w:p>
      <w:pPr>
        <w:pStyle w:val="777"/>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777"/>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777"/>
        <w:ind w:firstLine="420"/>
        <w:spacing w:line="360" w:lineRule="auto"/>
        <w:rPr>
          <w:rFonts w:hint="eastAsia"/>
          <w:color w:val="auto"/>
          <w:highlight w:val="none"/>
        </w:rPr>
      </w:pPr>
      <w:r>
        <w:rPr>
          <w:rFonts w:hint="eastAsia"/>
          <w:color w:val="auto"/>
          <w:highlight w:val="none"/>
        </w:rPr>
      </w:r>
      <w:r>
        <w:rPr>
          <w:color w:val="auto"/>
          <w:highlight w:val="none"/>
        </w:rPr>
      </w:r>
    </w:p>
    <w:p>
      <w:pPr>
        <w:pStyle w:val="777"/>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777"/>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p>
    <w:p>
      <w:pPr>
        <w:pStyle w:val="777"/>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777"/>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777"/>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777"/>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777"/>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777"/>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777"/>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777"/>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777"/>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777"/>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777"/>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777"/>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777"/>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777"/>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777"/>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777"/>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777"/>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JSZC-320200-JZCG-G2024-0224</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rFonts w:ascii="宋体"/>
          <w:bCs/>
          <w:color w:val="auto"/>
          <w:sz w:val="24"/>
          <w:szCs w:val="24"/>
          <w:highlight w:val="none"/>
        </w:rPr>
      </w:r>
      <w:r>
        <w:rPr>
          <w:color w:val="auto"/>
          <w:highlight w:val="none"/>
        </w:rPr>
      </w:r>
    </w:p>
    <w:p>
      <w:pPr>
        <w:pStyle w:val="77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52"/>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852"/>
          <w:bCs/>
          <w:color w:val="auto"/>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77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777"/>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777"/>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777"/>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777"/>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777"/>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777"/>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777"/>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JSZC-320200-JZCG-G2024-0224</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777"/>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777"/>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777"/>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777"/>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777"/>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777"/>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777"/>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777"/>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777"/>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777"/>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777"/>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777"/>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rPr>
          <w:color w:val="auto"/>
          <w:highlight w:val="none"/>
        </w:rPr>
      </w:r>
    </w:p>
    <w:p>
      <w:pPr>
        <w:pStyle w:val="777"/>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777"/>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777"/>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77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rPr>
          <w:rFonts w:hint="eastAsia" w:ascii="黑体" w:eastAsia="黑体"/>
          <w:bCs/>
          <w:color w:val="auto"/>
          <w:sz w:val="24"/>
          <w:szCs w:val="24"/>
          <w:highlight w:val="none"/>
        </w:rPr>
      </w:r>
      <w:r>
        <w:rPr>
          <w:color w:val="auto"/>
          <w:highlight w:val="none"/>
        </w:rPr>
      </w:r>
    </w:p>
    <w:p>
      <w:pPr>
        <w:pStyle w:val="777"/>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777"/>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JSZC-320200-JZCG-G2024-0224</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77"/>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777"/>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891"/>
              <w:jc w:val="center"/>
              <w:spacing w:line="400" w:lineRule="exact"/>
              <w:rPr>
                <w:rFonts w:hAnsi="宋体"/>
                <w:bCs/>
                <w:color w:val="auto"/>
                <w:szCs w:val="24"/>
                <w:highlight w:val="none"/>
              </w:rPr>
            </w:pPr>
            <w:r>
              <w:rPr>
                <w:rFonts w:hint="eastAsia" w:hAnsi="宋体"/>
                <w:bCs/>
                <w:color w:val="auto"/>
                <w:szCs w:val="24"/>
                <w:highlight w:val="none"/>
              </w:rPr>
              <w:t xml:space="preserve">无锡市自然资源和规划局机房信息化设备维护项目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891"/>
              <w:jc w:val="center"/>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777"/>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777"/>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p>
    <w:p>
      <w:pPr>
        <w:pStyle w:val="777"/>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777"/>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777"/>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w:t>
      </w:r>
      <w:r>
        <w:rPr>
          <w:rFonts w:hint="eastAsia" w:ascii="黑体" w:eastAsia="黑体"/>
          <w:bCs/>
          <w:color w:val="auto"/>
          <w:sz w:val="24"/>
          <w:szCs w:val="24"/>
          <w:highlight w:val="none"/>
        </w:rPr>
        <w:t xml:space="preserve">因</w:t>
      </w:r>
      <w:r>
        <w:rPr>
          <w:rFonts w:hint="eastAsia" w:ascii="黑体" w:eastAsia="黑体"/>
          <w:bCs/>
          <w:color w:val="auto"/>
          <w:sz w:val="24"/>
          <w:szCs w:val="24"/>
          <w:highlight w:val="none"/>
        </w:rPr>
        <w:t xml:space="preserve">“苏采云”系统</w:t>
      </w:r>
      <w:r>
        <w:rPr>
          <w:rFonts w:hint="eastAsia" w:ascii="黑体" w:eastAsia="黑体"/>
          <w:bCs/>
          <w:color w:val="auto"/>
          <w:sz w:val="24"/>
          <w:szCs w:val="24"/>
          <w:highlight w:val="none"/>
        </w:rPr>
        <w:t xml:space="preserve">自带</w:t>
      </w:r>
      <w:r>
        <w:rPr>
          <w:rFonts w:hint="eastAsia" w:ascii="黑体" w:eastAsia="黑体"/>
          <w:bCs/>
          <w:color w:val="auto"/>
          <w:sz w:val="24"/>
          <w:szCs w:val="24"/>
          <w:highlight w:val="none"/>
        </w:rPr>
        <w:t xml:space="preserve">“开标一览表”模块，</w:t>
      </w:r>
      <w:r>
        <w:rPr>
          <w:rFonts w:hint="eastAsia" w:ascii="黑体" w:eastAsia="黑体"/>
          <w:bCs/>
          <w:color w:val="auto"/>
          <w:sz w:val="24"/>
          <w:szCs w:val="24"/>
          <w:highlight w:val="none"/>
        </w:rPr>
        <w:t xml:space="preserve">投标人</w:t>
      </w:r>
      <w:r>
        <w:rPr>
          <w:rFonts w:hint="eastAsia" w:ascii="黑体" w:eastAsia="黑体"/>
          <w:bCs/>
          <w:color w:val="auto"/>
          <w:sz w:val="24"/>
          <w:szCs w:val="24"/>
          <w:highlight w:val="none"/>
        </w:rPr>
        <w:t xml:space="preserve">须按“苏采云”系统中给定</w:t>
      </w:r>
      <w:r>
        <w:rPr>
          <w:rFonts w:hint="eastAsia" w:ascii="黑体" w:eastAsia="黑体"/>
          <w:bCs/>
          <w:color w:val="auto"/>
          <w:sz w:val="24"/>
          <w:szCs w:val="24"/>
          <w:highlight w:val="none"/>
        </w:rPr>
        <w:t xml:space="preserve">的</w:t>
      </w:r>
      <w:r>
        <w:rPr>
          <w:rFonts w:hint="eastAsia" w:ascii="黑体" w:eastAsia="黑体"/>
          <w:bCs/>
          <w:color w:val="auto"/>
          <w:sz w:val="24"/>
          <w:szCs w:val="24"/>
          <w:highlight w:val="none"/>
        </w:rPr>
        <w:t xml:space="preserve">模块</w:t>
      </w:r>
      <w:r>
        <w:rPr>
          <w:rFonts w:hint="eastAsia" w:ascii="黑体" w:eastAsia="黑体"/>
          <w:bCs/>
          <w:color w:val="auto"/>
          <w:sz w:val="24"/>
          <w:szCs w:val="24"/>
          <w:highlight w:val="none"/>
        </w:rPr>
        <w:t xml:space="preserve">格式</w:t>
      </w:r>
      <w:r>
        <w:rPr>
          <w:rFonts w:hint="eastAsia" w:ascii="黑体" w:eastAsia="黑体"/>
          <w:bCs/>
          <w:color w:val="auto"/>
          <w:sz w:val="24"/>
          <w:szCs w:val="24"/>
          <w:highlight w:val="none"/>
        </w:rPr>
        <w:t xml:space="preserve">，完整、正确地进行填报（具体位置为“基本目录”</w:t>
      </w:r>
      <w:r>
        <w:rPr>
          <w:rFonts w:hint="eastAsia" w:ascii="黑体" w:eastAsia="黑体"/>
          <w:bCs/>
          <w:color w:val="auto"/>
          <w:sz w:val="24"/>
          <w:szCs w:val="24"/>
          <w:highlight w:val="none"/>
        </w:rPr>
        <w:t xml:space="preserve">——“开标一览表”</w:t>
      </w:r>
      <w:r>
        <w:rPr>
          <w:rFonts w:hint="eastAsia" w:ascii="黑体" w:eastAsia="黑体"/>
          <w:bCs/>
          <w:color w:val="auto"/>
          <w:sz w:val="24"/>
          <w:szCs w:val="24"/>
          <w:highlight w:val="none"/>
        </w:rPr>
        <w:t xml:space="preserve">）</w:t>
      </w:r>
      <w:r>
        <w:rPr>
          <w:rFonts w:hint="eastAsia" w:ascii="黑体" w:eastAsia="黑体"/>
          <w:bCs/>
          <w:color w:val="auto"/>
          <w:sz w:val="24"/>
          <w:szCs w:val="24"/>
          <w:highlight w:val="none"/>
        </w:rPr>
        <w:t xml:space="preserve">，此处</w:t>
      </w:r>
      <w:r>
        <w:rPr>
          <w:rFonts w:hint="eastAsia" w:ascii="黑体" w:eastAsia="黑体"/>
          <w:bCs/>
          <w:color w:val="auto"/>
          <w:sz w:val="24"/>
          <w:szCs w:val="24"/>
          <w:highlight w:val="none"/>
        </w:rPr>
        <w:t xml:space="preserve">可不用再重复填报</w:t>
      </w:r>
      <w:r>
        <w:rPr>
          <w:rFonts w:hint="eastAsia" w:ascii="黑体" w:eastAsia="黑体"/>
          <w:bCs/>
          <w:color w:val="auto"/>
          <w:sz w:val="24"/>
          <w:szCs w:val="24"/>
          <w:highlight w:val="none"/>
        </w:rPr>
        <w:t xml:space="preserve">。投标人的“开标一览表”及</w:t>
      </w:r>
      <w:r>
        <w:rPr>
          <w:rFonts w:hint="eastAsia" w:ascii="黑体" w:eastAsia="黑体"/>
          <w:bCs/>
          <w:color w:val="auto"/>
          <w:sz w:val="24"/>
          <w:szCs w:val="24"/>
          <w:highlight w:val="none"/>
        </w:rPr>
        <w:t xml:space="preserve">表</w:t>
      </w:r>
      <w:r>
        <w:rPr>
          <w:rFonts w:hint="eastAsia" w:ascii="黑体" w:eastAsia="黑体"/>
          <w:bCs/>
          <w:color w:val="auto"/>
          <w:sz w:val="24"/>
          <w:szCs w:val="24"/>
          <w:highlight w:val="none"/>
        </w:rPr>
        <w:t xml:space="preserve">中所填</w:t>
      </w:r>
      <w:r>
        <w:rPr>
          <w:rFonts w:hint="eastAsia" w:ascii="黑体" w:eastAsia="黑体"/>
          <w:bCs/>
          <w:color w:val="auto"/>
          <w:sz w:val="24"/>
          <w:szCs w:val="24"/>
          <w:highlight w:val="none"/>
        </w:rPr>
        <w:t xml:space="preserve">的投标</w:t>
      </w:r>
      <w:r>
        <w:rPr>
          <w:rFonts w:hint="eastAsia" w:ascii="黑体" w:eastAsia="黑体"/>
          <w:bCs/>
          <w:color w:val="auto"/>
          <w:sz w:val="24"/>
          <w:szCs w:val="24"/>
          <w:highlight w:val="none"/>
        </w:rPr>
        <w:t xml:space="preserve">报价均将</w:t>
      </w:r>
      <w:r>
        <w:rPr>
          <w:rFonts w:hint="eastAsia" w:ascii="黑体" w:eastAsia="黑体"/>
          <w:bCs/>
          <w:color w:val="auto"/>
          <w:sz w:val="24"/>
          <w:szCs w:val="24"/>
          <w:highlight w:val="none"/>
        </w:rPr>
        <w:t xml:space="preserve">以</w:t>
      </w:r>
      <w:r>
        <w:rPr>
          <w:rFonts w:hint="eastAsia" w:ascii="黑体" w:eastAsia="黑体"/>
          <w:bCs/>
          <w:color w:val="auto"/>
          <w:sz w:val="24"/>
          <w:szCs w:val="24"/>
          <w:highlight w:val="none"/>
        </w:rPr>
        <w:t xml:space="preserve">投标人在“苏采云”系统</w:t>
      </w:r>
      <w:r>
        <w:rPr>
          <w:rFonts w:hint="eastAsia" w:ascii="黑体" w:eastAsia="黑体"/>
          <w:bCs/>
          <w:color w:val="auto"/>
          <w:sz w:val="24"/>
          <w:szCs w:val="24"/>
          <w:highlight w:val="none"/>
        </w:rPr>
        <w:t xml:space="preserve">自带的</w:t>
      </w:r>
      <w:r>
        <w:rPr>
          <w:rFonts w:hint="eastAsia" w:ascii="黑体" w:eastAsia="黑体"/>
          <w:bCs/>
          <w:color w:val="auto"/>
          <w:sz w:val="24"/>
          <w:szCs w:val="24"/>
          <w:highlight w:val="none"/>
        </w:rPr>
        <w:t xml:space="preserve">模块格式中填报的为准。</w:t>
      </w:r>
      <w:r>
        <w:rPr>
          <w:rFonts w:hint="eastAsia" w:ascii="黑体" w:eastAsia="黑体"/>
          <w:bCs/>
          <w:color w:val="auto"/>
          <w:sz w:val="24"/>
          <w:szCs w:val="24"/>
          <w:highlight w:val="none"/>
        </w:rPr>
      </w:r>
      <w:r>
        <w:rPr>
          <w:color w:val="auto"/>
          <w:highlight w:val="none"/>
        </w:rPr>
      </w:r>
    </w:p>
    <w:p>
      <w:pPr>
        <w:pStyle w:val="777"/>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777"/>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777"/>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777"/>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JSZC-320200-JZCG-G2024-0224</w:t>
      </w:r>
      <w:r>
        <w:rPr>
          <w:rFonts w:ascii="黑体" w:eastAsia="黑体"/>
          <w:bCs/>
          <w:color w:val="auto"/>
          <w:sz w:val="24"/>
          <w:szCs w:val="24"/>
          <w:highlight w:val="none"/>
        </w:rPr>
      </w:r>
      <w:r>
        <w:rPr>
          <w:color w:val="auto"/>
          <w:highlight w:val="none"/>
        </w:rP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777"/>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777"/>
              <w:jc w:val="center"/>
              <w:spacing w:before="5"/>
              <w:rPr>
                <w:color w:val="auto"/>
                <w:sz w:val="18"/>
                <w:highlight w:val="none"/>
              </w:rPr>
            </w:pPr>
            <w:r>
              <w:rPr>
                <w:color w:val="auto"/>
                <w:sz w:val="18"/>
                <w:highlight w:val="none"/>
              </w:rPr>
              <w:t xml:space="preserve">服务内容</w:t>
            </w:r>
            <w:r>
              <w:rPr>
                <w:color w:val="auto"/>
                <w:highlight w:val="none"/>
              </w:rPr>
            </w:r>
          </w:p>
        </w:tc>
        <w:tc>
          <w:tcPr>
            <w:tcW w:w="851" w:type="dxa"/>
            <w:vAlign w:val="center"/>
            <w:textDirection w:val="lrTb"/>
            <w:noWrap w:val="false"/>
          </w:tcPr>
          <w:p>
            <w:pPr>
              <w:pStyle w:val="777"/>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777"/>
              <w:jc w:val="center"/>
              <w:spacing w:before="5"/>
              <w:rPr>
                <w:color w:val="auto"/>
                <w:sz w:val="18"/>
                <w:highlight w:val="none"/>
              </w:rPr>
            </w:pPr>
            <w:r>
              <w:rPr>
                <w:rFonts w:hint="eastAsia"/>
                <w:color w:val="auto"/>
                <w:sz w:val="18"/>
                <w:highlight w:val="none"/>
              </w:rPr>
              <w:t xml:space="preserve">单位</w:t>
            </w:r>
            <w:r>
              <w:rPr>
                <w:color w:val="auto"/>
                <w:sz w:val="18"/>
                <w:highlight w:val="none"/>
              </w:rPr>
            </w:r>
            <w:r>
              <w:rPr>
                <w:color w:val="auto"/>
                <w:highlight w:val="none"/>
              </w:rPr>
            </w:r>
          </w:p>
        </w:tc>
        <w:tc>
          <w:tcPr>
            <w:tcW w:w="1134" w:type="dxa"/>
            <w:vAlign w:val="center"/>
            <w:textDirection w:val="lrTb"/>
            <w:noWrap w:val="false"/>
          </w:tcPr>
          <w:p>
            <w:pPr>
              <w:pStyle w:val="777"/>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1276" w:type="dxa"/>
            <w:vAlign w:val="center"/>
            <w:textDirection w:val="lrTb"/>
            <w:noWrap w:val="false"/>
          </w:tcPr>
          <w:p>
            <w:pPr>
              <w:pStyle w:val="777"/>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827"/>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4930" w:type="dxa"/>
            <w:vAlign w:val="center"/>
            <w:textDirection w:val="lrTb"/>
            <w:noWrap/>
          </w:tcPr>
          <w:p>
            <w:pPr>
              <w:pStyle w:val="777"/>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777"/>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777"/>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777"/>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777"/>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777"/>
              <w:jc w:val="center"/>
              <w:rPr>
                <w:rFonts w:ascii="宋体"/>
                <w:color w:val="auto"/>
                <w:sz w:val="18"/>
                <w:highlight w:val="none"/>
              </w:rPr>
            </w:pP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777"/>
              <w:jc w:val="center"/>
              <w:rPr>
                <w:rFonts w:hint="eastAsia" w:ascii="黑体" w:eastAsia="黑体"/>
                <w:b/>
                <w:bCs/>
                <w:color w:val="auto"/>
                <w:highlight w:val="none"/>
              </w:rPr>
            </w:pPr>
            <w:r>
              <w:rPr>
                <w:rFonts w:ascii="黑体" w:eastAsia="黑体"/>
                <w:b/>
                <w:bCs/>
                <w:color w:val="auto"/>
                <w:highlight w:val="none"/>
              </w:rPr>
              <w:t xml:space="preserve">……</w:t>
            </w:r>
            <w:r>
              <w:rPr>
                <w:rFonts w:hint="eastAsia" w:ascii="黑体" w:eastAsia="黑体"/>
                <w:b/>
                <w:bCs/>
                <w:color w:val="auto"/>
                <w:highlight w:val="none"/>
              </w:rPr>
            </w:r>
            <w:r>
              <w:rPr>
                <w:color w:val="auto"/>
                <w:highlight w:val="none"/>
              </w:rPr>
            </w:r>
          </w:p>
        </w:tc>
        <w:tc>
          <w:tcPr>
            <w:tcW w:w="851"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777"/>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134"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777"/>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777"/>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777"/>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777"/>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777"/>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777"/>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rFonts w:ascii="宋体" w:hAnsi="宋体"/>
          <w:bCs/>
          <w:color w:val="auto"/>
          <w:highlight w:val="none"/>
        </w:rPr>
      </w:r>
      <w:r>
        <w:rPr>
          <w:color w:val="auto"/>
          <w:highlight w:val="none"/>
        </w:rPr>
      </w:r>
    </w:p>
    <w:p>
      <w:pPr>
        <w:pStyle w:val="777"/>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195"/>
      <w:r>
        <w:rPr>
          <w:color w:val="auto"/>
          <w:highlight w:val="none"/>
        </w:rPr>
      </w:r>
      <w:bookmarkEnd w:id="196"/>
      <w:r>
        <w:rPr>
          <w:color w:val="auto"/>
          <w:highlight w:val="none"/>
        </w:rPr>
      </w:r>
      <w:bookmarkEnd w:id="197"/>
      <w:r>
        <w:rPr>
          <w:color w:val="auto"/>
          <w:highlight w:val="none"/>
        </w:rPr>
      </w:r>
      <w:bookmarkStart w:id="200"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777"/>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777"/>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777"/>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777"/>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777"/>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JSZC-320200-JZCG-G2024-0224</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7"/>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7"/>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7"/>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7"/>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7"/>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7"/>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7"/>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7"/>
              <w:jc w:val="center"/>
              <w:rPr>
                <w:rFonts w:ascii="宋体"/>
                <w:bCs/>
                <w:color w:val="auto"/>
                <w:highlight w:val="none"/>
              </w:rPr>
            </w:pPr>
            <w:r>
              <w:rPr>
                <w:rFonts w:ascii="宋体"/>
                <w:bCs/>
                <w:color w:val="auto"/>
                <w:highlight w:val="none"/>
              </w:rPr>
            </w:r>
            <w:r>
              <w:rPr>
                <w:color w:val="auto"/>
                <w:highlight w:val="none"/>
              </w:rPr>
            </w:r>
          </w:p>
        </w:tc>
      </w:tr>
    </w:tbl>
    <w:p>
      <w:pPr>
        <w:pStyle w:val="777"/>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777"/>
        <w:rPr>
          <w:rFonts w:ascii="宋体"/>
          <w:bCs/>
          <w:color w:val="auto"/>
          <w:sz w:val="30"/>
          <w:highlight w:val="none"/>
        </w:rPr>
      </w:pPr>
      <w:r>
        <w:rPr>
          <w:rFonts w:ascii="宋体"/>
          <w:bCs/>
          <w:color w:val="auto"/>
          <w:sz w:val="30"/>
          <w:highlight w:val="none"/>
        </w:rPr>
      </w:r>
      <w:r>
        <w:rPr>
          <w:color w:val="auto"/>
          <w:highlight w:val="none"/>
        </w:rPr>
      </w:r>
    </w:p>
    <w:p>
      <w:pPr>
        <w:pStyle w:val="777"/>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777"/>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777"/>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00"/>
      <w:r>
        <w:rPr>
          <w:color w:val="auto"/>
          <w:highlight w:val="none"/>
        </w:rPr>
      </w:r>
      <w:bookmarkStart w:id="201" w:name="_Hlt26671374"/>
      <w:r>
        <w:rPr>
          <w:color w:val="auto"/>
          <w:highlight w:val="none"/>
        </w:rPr>
      </w:r>
      <w:bookmarkEnd w:id="201"/>
      <w:r>
        <w:rPr>
          <w:color w:val="auto"/>
          <w:highlight w:val="none"/>
        </w:rPr>
      </w:r>
      <w:bookmarkStart w:id="202" w:name="_格式2__法定代表人授权书"/>
      <w:r>
        <w:rPr>
          <w:color w:val="auto"/>
          <w:highlight w:val="none"/>
        </w:rPr>
      </w:r>
      <w:bookmarkEnd w:id="202"/>
      <w:r>
        <w:rPr>
          <w:color w:val="auto"/>
          <w:highlight w:val="none"/>
        </w:rPr>
      </w:r>
      <w:bookmarkStart w:id="203" w:name="_Hlt26955066"/>
      <w:r>
        <w:rPr>
          <w:color w:val="auto"/>
          <w:highlight w:val="none"/>
        </w:rPr>
      </w:r>
      <w:bookmarkEnd w:id="203"/>
      <w:r>
        <w:rPr>
          <w:color w:val="auto"/>
          <w:highlight w:val="none"/>
        </w:rPr>
      </w:r>
      <w:bookmarkStart w:id="204" w:name="_Hlt26609389"/>
      <w:r>
        <w:rPr>
          <w:color w:val="auto"/>
          <w:highlight w:val="none"/>
        </w:rPr>
      </w:r>
      <w:bookmarkEnd w:id="204"/>
      <w:r>
        <w:rPr>
          <w:rFonts w:hint="eastAsia" w:ascii="宋体" w:hAnsi="宋体"/>
          <w:bCs/>
          <w:color w:val="auto"/>
          <w:sz w:val="24"/>
          <w:szCs w:val="24"/>
          <w:highlight w:val="none"/>
        </w:rPr>
      </w:r>
      <w:r>
        <w:rPr>
          <w:color w:val="auto"/>
          <w:highlight w:val="none"/>
        </w:rPr>
      </w:r>
    </w:p>
    <w:p>
      <w:pPr>
        <w:pStyle w:val="777"/>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p>
    <w:p>
      <w:pPr>
        <w:pStyle w:val="777"/>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b/>
          <w:color w:val="auto"/>
          <w:sz w:val="28"/>
          <w:szCs w:val="28"/>
          <w:highlight w:val="none"/>
        </w:rPr>
      </w:r>
      <w:r>
        <w:rPr>
          <w:color w:val="auto"/>
          <w:highlight w:val="none"/>
        </w:rPr>
      </w:r>
    </w:p>
    <w:p>
      <w:pPr>
        <w:pStyle w:val="777"/>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777"/>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p>
    <w:p>
      <w:pPr>
        <w:pStyle w:val="777"/>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777"/>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JSZC-320200-JZCG-G2024-0224</w:t>
      </w:r>
      <w:r>
        <w:rPr>
          <w:rFonts w:ascii="黑体" w:eastAsia="黑体"/>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77"/>
              <w:jc w:val="center"/>
              <w:rPr>
                <w:b/>
                <w:color w:val="auto"/>
                <w:sz w:val="24"/>
                <w:highlight w:val="none"/>
              </w:rPr>
            </w:pPr>
            <w:r>
              <w:rPr>
                <w:rFonts w:hint="eastAsia"/>
                <w:b/>
                <w:color w:val="auto"/>
                <w:sz w:val="24"/>
                <w:highlight w:val="none"/>
              </w:rPr>
              <w:t xml:space="preserve">序号</w:t>
            </w:r>
            <w:r>
              <w:rPr>
                <w:b/>
                <w:color w:val="auto"/>
                <w:sz w:val="24"/>
                <w:highlight w:val="none"/>
              </w:rPr>
            </w:r>
            <w:r>
              <w:rPr>
                <w:color w:val="auto"/>
                <w:highlight w:val="none"/>
              </w:rPr>
            </w:r>
          </w:p>
        </w:tc>
        <w:tc>
          <w:tcPr>
            <w:tcW w:w="1476" w:type="dxa"/>
            <w:vAlign w:val="center"/>
            <w:textDirection w:val="lrTb"/>
            <w:noWrap w:val="false"/>
          </w:tcPr>
          <w:p>
            <w:pPr>
              <w:pStyle w:val="777"/>
              <w:jc w:val="center"/>
              <w:rPr>
                <w:b/>
                <w:color w:val="auto"/>
                <w:sz w:val="24"/>
                <w:highlight w:val="none"/>
              </w:rPr>
            </w:pPr>
            <w:r>
              <w:rPr>
                <w:rFonts w:hint="eastAsia"/>
                <w:b/>
                <w:color w:val="auto"/>
                <w:sz w:val="24"/>
                <w:highlight w:val="none"/>
              </w:rPr>
              <w:t xml:space="preserve">姓名</w:t>
            </w:r>
            <w:r>
              <w:rPr>
                <w:b/>
                <w:color w:val="auto"/>
                <w:sz w:val="24"/>
                <w:highlight w:val="none"/>
              </w:rPr>
            </w:r>
            <w:r>
              <w:rPr>
                <w:color w:val="auto"/>
                <w:highlight w:val="none"/>
              </w:rPr>
            </w:r>
          </w:p>
        </w:tc>
        <w:tc>
          <w:tcPr>
            <w:tcW w:w="720" w:type="dxa"/>
            <w:vAlign w:val="center"/>
            <w:textDirection w:val="lrTb"/>
            <w:noWrap w:val="false"/>
          </w:tcPr>
          <w:p>
            <w:pPr>
              <w:pStyle w:val="777"/>
              <w:jc w:val="center"/>
              <w:rPr>
                <w:b/>
                <w:color w:val="auto"/>
                <w:sz w:val="24"/>
                <w:highlight w:val="none"/>
              </w:rPr>
            </w:pPr>
            <w:r>
              <w:rPr>
                <w:rFonts w:hint="eastAsia"/>
                <w:b/>
                <w:color w:val="auto"/>
                <w:sz w:val="24"/>
                <w:highlight w:val="none"/>
              </w:rPr>
              <w:t xml:space="preserve">年龄</w:t>
            </w:r>
            <w:r>
              <w:rPr>
                <w:b/>
                <w:color w:val="auto"/>
                <w:sz w:val="24"/>
                <w:highlight w:val="none"/>
              </w:rPr>
            </w:r>
            <w:r>
              <w:rPr>
                <w:color w:val="auto"/>
                <w:highlight w:val="none"/>
              </w:rPr>
            </w:r>
          </w:p>
        </w:tc>
        <w:tc>
          <w:tcPr>
            <w:tcW w:w="2520" w:type="dxa"/>
            <w:vAlign w:val="center"/>
            <w:textDirection w:val="lrTb"/>
            <w:noWrap w:val="false"/>
          </w:tcPr>
          <w:p>
            <w:pPr>
              <w:pStyle w:val="777"/>
              <w:jc w:val="center"/>
              <w:rPr>
                <w:b/>
                <w:color w:val="auto"/>
                <w:sz w:val="24"/>
                <w:highlight w:val="none"/>
              </w:rPr>
            </w:pPr>
            <w:r>
              <w:rPr>
                <w:rFonts w:hint="eastAsia"/>
                <w:b/>
                <w:color w:val="auto"/>
                <w:sz w:val="24"/>
                <w:highlight w:val="none"/>
              </w:rPr>
              <w:t xml:space="preserve">本项目职责</w:t>
            </w:r>
            <w:r>
              <w:rPr>
                <w:b/>
                <w:color w:val="auto"/>
                <w:sz w:val="24"/>
                <w:highlight w:val="none"/>
              </w:rPr>
            </w:r>
            <w:r>
              <w:rPr>
                <w:color w:val="auto"/>
                <w:highlight w:val="none"/>
              </w:rPr>
            </w:r>
          </w:p>
        </w:tc>
        <w:tc>
          <w:tcPr>
            <w:tcW w:w="3274" w:type="dxa"/>
            <w:vAlign w:val="center"/>
            <w:textDirection w:val="lrTb"/>
            <w:noWrap w:val="false"/>
          </w:tcPr>
          <w:p>
            <w:pPr>
              <w:pStyle w:val="777"/>
              <w:jc w:val="center"/>
              <w:rPr>
                <w:b/>
                <w:color w:val="auto"/>
                <w:sz w:val="24"/>
                <w:highlight w:val="none"/>
              </w:rPr>
            </w:pPr>
            <w:r>
              <w:rPr>
                <w:rFonts w:hint="eastAsia"/>
                <w:b/>
                <w:color w:val="auto"/>
                <w:sz w:val="24"/>
                <w:highlight w:val="none"/>
              </w:rPr>
              <w:t xml:space="preserve">人员证书名称</w:t>
            </w:r>
            <w:r>
              <w:rPr>
                <w:b/>
                <w:color w:val="auto"/>
                <w:sz w:val="24"/>
                <w:highlight w:val="none"/>
              </w:rPr>
            </w:r>
            <w:r>
              <w:rPr>
                <w:color w:val="auto"/>
                <w:highlight w:val="none"/>
              </w:rPr>
            </w:r>
          </w:p>
        </w:tc>
      </w:tr>
      <w:tr>
        <w:trPr>
          <w:trHeight w:val="680"/>
        </w:trPr>
        <w:tc>
          <w:tcPr>
            <w:tcW w:w="70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777"/>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bl>
    <w:p>
      <w:pPr>
        <w:pStyle w:val="777"/>
        <w:rPr>
          <w:b/>
          <w:bCs/>
          <w:color w:val="auto"/>
          <w:sz w:val="24"/>
          <w:szCs w:val="24"/>
          <w:highlight w:val="none"/>
        </w:rPr>
      </w:pPr>
      <w:r>
        <w:rPr>
          <w:rFonts w:hint="eastAsia" w:ascii="黑体" w:eastAsia="黑体"/>
          <w:bCs/>
          <w:color w:val="auto"/>
          <w:sz w:val="24"/>
          <w:szCs w:val="24"/>
          <w:highlight w:val="none"/>
        </w:rPr>
        <w:t xml:space="preserve">投标人名称（盖章）</w:t>
      </w:r>
      <w:r>
        <w:rPr>
          <w:b/>
          <w:bCs/>
          <w:color w:val="auto"/>
          <w:sz w:val="24"/>
          <w:szCs w:val="24"/>
          <w:highlight w:val="none"/>
        </w:rPr>
      </w:r>
      <w:r>
        <w:rPr>
          <w:color w:val="auto"/>
          <w:highlight w:val="none"/>
        </w:rPr>
      </w:r>
    </w:p>
    <w:p>
      <w:pPr>
        <w:pStyle w:val="777"/>
        <w:rPr>
          <w:rFonts w:hint="eastAsia" w:ascii="宋体" w:hAnsi="宋体"/>
          <w:bCs/>
          <w:color w:val="auto"/>
          <w:highlight w:val="none"/>
        </w:rPr>
      </w:pPr>
      <w:r>
        <w:rPr>
          <w:rFonts w:hint="eastAsia" w:ascii="宋体" w:hAnsi="宋体"/>
          <w:bCs/>
          <w:color w:val="auto"/>
          <w:highlight w:val="none"/>
        </w:rPr>
      </w:r>
      <w:r>
        <w:rPr>
          <w:color w:val="auto"/>
          <w:highlight w:val="none"/>
        </w:rPr>
      </w:r>
    </w:p>
    <w:p>
      <w:pPr>
        <w:pStyle w:val="777"/>
        <w:rPr>
          <w:rFonts w:ascii="宋体" w:hAnsi="宋体"/>
          <w:bCs/>
          <w:color w:val="auto"/>
          <w:highlight w:val="none"/>
        </w:rPr>
      </w:pPr>
      <w:r>
        <w:rPr>
          <w:rFonts w:hint="eastAsia" w:ascii="宋体" w:hAnsi="宋体"/>
          <w:bCs/>
          <w:color w:val="auto"/>
          <w:highlight w:val="none"/>
        </w:rPr>
        <w:t xml:space="preserve">注：1. 表格不够可自行延长。</w:t>
      </w:r>
      <w:r>
        <w:rPr>
          <w:rFonts w:ascii="宋体" w:hAnsi="宋体"/>
          <w:bCs/>
          <w:color w:val="auto"/>
          <w:highlight w:val="none"/>
        </w:rPr>
      </w:r>
      <w:r>
        <w:rPr>
          <w:color w:val="auto"/>
          <w:highlight w:val="none"/>
        </w:rPr>
      </w:r>
    </w:p>
    <w:p>
      <w:pPr>
        <w:pStyle w:val="777"/>
        <w:ind w:firstLine="420"/>
        <w:rPr>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楷体à.ā">
    <w:panose1 w:val="02010609060101010101"/>
  </w:font>
  <w:font w:name="Cambria">
    <w:panose1 w:val="0204050305040603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长城仿宋">
    <w:panose1 w:val="020B0503020202020204"/>
  </w:font>
  <w:font w:name="Arial Unicode MS">
    <w:panose1 w:val="020B0604020202020204"/>
  </w:font>
  <w:font w:name="Microsoft YaHei UI">
    <w:panose1 w:val="020B0503020204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50"/>
        <w:rFonts w:ascii="宋体" w:hAnsi="宋体"/>
      </w:rPr>
      <w:framePr w:wrap="around" w:vAnchor="text" w:hAnchor="margin" w:xAlign="center" w:y="1"/>
    </w:pPr>
    <w:r>
      <w:rPr>
        <w:rFonts w:ascii="宋体" w:hAnsi="宋体"/>
      </w:rPr>
      <w:fldChar w:fldCharType="begin"/>
    </w:r>
    <w:r>
      <w:rPr>
        <w:rStyle w:val="850"/>
        <w:rFonts w:ascii="宋体" w:hAnsi="宋体"/>
      </w:rPr>
      <w:instrText xml:space="preserve">PAGE  </w:instrText>
    </w:r>
    <w:r>
      <w:rPr>
        <w:rFonts w:ascii="宋体" w:hAnsi="宋体"/>
      </w:rPr>
      <w:fldChar w:fldCharType="separate"/>
    </w:r>
    <w:r>
      <w:rPr>
        <w:rStyle w:val="850"/>
        <w:rFonts w:ascii="宋体" w:hAnsi="宋体"/>
      </w:rPr>
      <w:t xml:space="preserve">１</w:t>
    </w:r>
    <w:r>
      <w:rPr>
        <w:rFonts w:ascii="宋体" w:hAnsi="宋体"/>
      </w:rPr>
      <w:fldChar w:fldCharType="end"/>
    </w:r>
    <w:r>
      <w:rPr>
        <w:rStyle w:val="850"/>
        <w:rFonts w:ascii="宋体" w:hAnsi="宋体"/>
      </w:rPr>
    </w:r>
    <w:r/>
  </w:p>
  <w:p>
    <w:pPr>
      <w:pStyle w:val="82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50"/>
      </w:rPr>
      <w:framePr w:wrap="around" w:vAnchor="text" w:hAnchor="margin" w:xAlign="center" w:y="1"/>
    </w:pPr>
    <w:r>
      <w:fldChar w:fldCharType="begin"/>
    </w:r>
    <w:r>
      <w:rPr>
        <w:rStyle w:val="850"/>
      </w:rPr>
      <w:instrText xml:space="preserve">PAGE  </w:instrText>
    </w:r>
    <w:r>
      <w:fldChar w:fldCharType="separate"/>
    </w:r>
    <w:r>
      <w:rPr>
        <w:rStyle w:val="850"/>
      </w:rPr>
      <w:t xml:space="preserve">1</w:t>
    </w:r>
    <w:r>
      <w:fldChar w:fldCharType="end"/>
    </w:r>
    <w:r>
      <w:rPr>
        <w:rStyle w:val="850"/>
      </w:rPr>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77"/>
        <w:ind w:left="1080" w:hanging="1080"/>
        <w:tabs>
          <w:tab w:val="num" w:pos="1080" w:leader="none"/>
        </w:tabs>
      </w:pPr>
      <w:rPr>
        <w:rFonts w:hint="eastAsia" w:cs="Times New Roman"/>
      </w:rPr>
    </w:lvl>
    <w:lvl w:ilvl="1">
      <w:start w:val="1"/>
      <w:numFmt w:val="decimal"/>
      <w:isLgl w:val="false"/>
      <w:suff w:val="tab"/>
      <w:lvlText w:val="%2."/>
      <w:lvlJc w:val="left"/>
      <w:pPr>
        <w:pStyle w:val="77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77"/>
        <w:ind w:left="1260" w:hanging="420"/>
        <w:tabs>
          <w:tab w:val="num" w:pos="1260" w:leader="none"/>
        </w:tabs>
      </w:pPr>
      <w:rPr>
        <w:rFonts w:cs="Times New Roman"/>
      </w:rPr>
    </w:lvl>
    <w:lvl w:ilvl="3">
      <w:start w:val="1"/>
      <w:numFmt w:val="decimal"/>
      <w:isLgl w:val="false"/>
      <w:suff w:val="tab"/>
      <w:lvlText w:val="%4."/>
      <w:lvlJc w:val="left"/>
      <w:pPr>
        <w:pStyle w:val="777"/>
        <w:ind w:left="1680" w:hanging="420"/>
        <w:tabs>
          <w:tab w:val="num" w:pos="1680" w:leader="none"/>
        </w:tabs>
      </w:pPr>
      <w:rPr>
        <w:rFonts w:cs="Times New Roman"/>
      </w:rPr>
    </w:lvl>
    <w:lvl w:ilvl="4">
      <w:start w:val="1"/>
      <w:numFmt w:val="lowerLetter"/>
      <w:isLgl w:val="false"/>
      <w:suff w:val="tab"/>
      <w:lvlText w:val="%5)"/>
      <w:lvlJc w:val="left"/>
      <w:pPr>
        <w:pStyle w:val="777"/>
        <w:ind w:left="2100" w:hanging="420"/>
        <w:tabs>
          <w:tab w:val="num" w:pos="2100" w:leader="none"/>
        </w:tabs>
      </w:pPr>
      <w:rPr>
        <w:rFonts w:cs="Times New Roman"/>
      </w:rPr>
    </w:lvl>
    <w:lvl w:ilvl="5">
      <w:start w:val="1"/>
      <w:numFmt w:val="lowerRoman"/>
      <w:isLgl w:val="false"/>
      <w:suff w:val="tab"/>
      <w:lvlText w:val="%6."/>
      <w:lvlJc w:val="right"/>
      <w:pPr>
        <w:pStyle w:val="777"/>
        <w:ind w:left="2520" w:hanging="420"/>
        <w:tabs>
          <w:tab w:val="num" w:pos="2520" w:leader="none"/>
        </w:tabs>
      </w:pPr>
      <w:rPr>
        <w:rFonts w:cs="Times New Roman"/>
      </w:rPr>
    </w:lvl>
    <w:lvl w:ilvl="6">
      <w:start w:val="1"/>
      <w:numFmt w:val="decimal"/>
      <w:isLgl w:val="false"/>
      <w:suff w:val="tab"/>
      <w:lvlText w:val="%7."/>
      <w:lvlJc w:val="left"/>
      <w:pPr>
        <w:pStyle w:val="777"/>
        <w:ind w:left="2940" w:hanging="420"/>
        <w:tabs>
          <w:tab w:val="num" w:pos="2940" w:leader="none"/>
        </w:tabs>
      </w:pPr>
      <w:rPr>
        <w:rFonts w:cs="Times New Roman"/>
      </w:rPr>
    </w:lvl>
    <w:lvl w:ilvl="7">
      <w:start w:val="1"/>
      <w:numFmt w:val="lowerLetter"/>
      <w:isLgl w:val="false"/>
      <w:suff w:val="tab"/>
      <w:lvlText w:val="%8)"/>
      <w:lvlJc w:val="left"/>
      <w:pPr>
        <w:pStyle w:val="777"/>
        <w:ind w:left="3360" w:hanging="420"/>
        <w:tabs>
          <w:tab w:val="num" w:pos="3360" w:leader="none"/>
        </w:tabs>
      </w:pPr>
      <w:rPr>
        <w:rFonts w:cs="Times New Roman"/>
      </w:rPr>
    </w:lvl>
    <w:lvl w:ilvl="8">
      <w:start w:val="1"/>
      <w:numFmt w:val="lowerRoman"/>
      <w:isLgl w:val="false"/>
      <w:suff w:val="tab"/>
      <w:lvlText w:val="%9."/>
      <w:lvlJc w:val="right"/>
      <w:pPr>
        <w:pStyle w:val="77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57"/>
      <w:isLgl w:val="false"/>
      <w:suff w:val="tab"/>
      <w:lvlText w:val="附录%1."/>
      <w:lvlJc w:val="left"/>
      <w:pPr>
        <w:pStyle w:val="7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pStyle w:val="1144"/>
      <w:isLgl w:val="false"/>
      <w:suff w:val="tab"/>
      <w:lvlText w:val="%1"/>
      <w:lvlJc w:val="left"/>
      <w:pPr>
        <w:pStyle w:val="777"/>
        <w:ind w:left="570" w:hanging="360"/>
        <w:tabs>
          <w:tab w:val="num" w:pos="570" w:leader="none"/>
        </w:tabs>
      </w:pPr>
      <w:rPr>
        <w:color w:val="000000"/>
      </w:rPr>
    </w:lvl>
    <w:lvl w:ilvl="1">
      <w:start w:val="1"/>
      <w:numFmt w:val="lowerLetter"/>
      <w:isLgl w:val="false"/>
      <w:suff w:val="tab"/>
      <w:lvlText w:val="%2)"/>
      <w:lvlJc w:val="left"/>
      <w:pPr>
        <w:pStyle w:val="777"/>
        <w:ind w:left="1050" w:hanging="420"/>
        <w:tabs>
          <w:tab w:val="num" w:pos="1050" w:leader="none"/>
        </w:tabs>
      </w:pPr>
    </w:lvl>
    <w:lvl w:ilvl="2">
      <w:start w:val="1"/>
      <w:numFmt w:val="lowerRoman"/>
      <w:isLgl w:val="false"/>
      <w:suff w:val="tab"/>
      <w:lvlText w:val="%3."/>
      <w:lvlJc w:val="right"/>
      <w:pPr>
        <w:pStyle w:val="777"/>
        <w:ind w:left="1470" w:hanging="420"/>
        <w:tabs>
          <w:tab w:val="num" w:pos="1470" w:leader="none"/>
        </w:tabs>
      </w:pPr>
    </w:lvl>
    <w:lvl w:ilvl="3">
      <w:start w:val="1"/>
      <w:numFmt w:val="decimal"/>
      <w:isLgl w:val="false"/>
      <w:suff w:val="tab"/>
      <w:lvlText w:val="%4."/>
      <w:lvlJc w:val="left"/>
      <w:pPr>
        <w:pStyle w:val="777"/>
        <w:ind w:left="1890" w:hanging="420"/>
        <w:tabs>
          <w:tab w:val="num" w:pos="1890" w:leader="none"/>
        </w:tabs>
      </w:pPr>
    </w:lvl>
    <w:lvl w:ilvl="4">
      <w:start w:val="1"/>
      <w:numFmt w:val="lowerLetter"/>
      <w:isLgl w:val="false"/>
      <w:suff w:val="tab"/>
      <w:lvlText w:val="%5)"/>
      <w:lvlJc w:val="left"/>
      <w:pPr>
        <w:pStyle w:val="777"/>
        <w:ind w:left="2310" w:hanging="420"/>
        <w:tabs>
          <w:tab w:val="num" w:pos="2310" w:leader="none"/>
        </w:tabs>
      </w:pPr>
    </w:lvl>
    <w:lvl w:ilvl="5">
      <w:start w:val="1"/>
      <w:numFmt w:val="lowerRoman"/>
      <w:isLgl w:val="false"/>
      <w:suff w:val="tab"/>
      <w:lvlText w:val="%6."/>
      <w:lvlJc w:val="right"/>
      <w:pPr>
        <w:pStyle w:val="777"/>
        <w:ind w:left="2730" w:hanging="420"/>
        <w:tabs>
          <w:tab w:val="num" w:pos="2730" w:leader="none"/>
        </w:tabs>
      </w:pPr>
    </w:lvl>
    <w:lvl w:ilvl="6">
      <w:start w:val="1"/>
      <w:numFmt w:val="decimal"/>
      <w:isLgl w:val="false"/>
      <w:suff w:val="tab"/>
      <w:lvlText w:val="%7."/>
      <w:lvlJc w:val="left"/>
      <w:pPr>
        <w:pStyle w:val="777"/>
        <w:ind w:left="3150" w:hanging="420"/>
        <w:tabs>
          <w:tab w:val="num" w:pos="3150" w:leader="none"/>
        </w:tabs>
      </w:pPr>
    </w:lvl>
    <w:lvl w:ilvl="7">
      <w:start w:val="1"/>
      <w:numFmt w:val="lowerLetter"/>
      <w:isLgl w:val="false"/>
      <w:suff w:val="tab"/>
      <w:lvlText w:val="%8)"/>
      <w:lvlJc w:val="left"/>
      <w:pPr>
        <w:pStyle w:val="777"/>
        <w:ind w:left="3570" w:hanging="420"/>
        <w:tabs>
          <w:tab w:val="num" w:pos="3570" w:leader="none"/>
        </w:tabs>
      </w:pPr>
    </w:lvl>
    <w:lvl w:ilvl="8">
      <w:start w:val="1"/>
      <w:numFmt w:val="lowerRoman"/>
      <w:isLgl w:val="false"/>
      <w:suff w:val="tab"/>
      <w:lvlText w:val="%9."/>
      <w:lvlJc w:val="right"/>
      <w:pPr>
        <w:pStyle w:val="777"/>
        <w:ind w:left="3990" w:hanging="420"/>
        <w:tabs>
          <w:tab w:val="num" w:pos="3990" w:leader="none"/>
        </w:tabs>
      </w:pPr>
    </w:lvl>
  </w:abstractNum>
  <w:abstractNum w:abstractNumId="5">
    <w:multiLevelType w:val="hybridMultilevel"/>
    <w:lvl w:ilvl="0">
      <w:start w:val="1"/>
      <w:numFmt w:val="upperLetter"/>
      <w:isLgl w:val="false"/>
      <w:suff w:val="tab"/>
      <w:lvlText w:val="%1."/>
      <w:lvlJc w:val="left"/>
      <w:pPr>
        <w:pStyle w:val="777"/>
        <w:ind w:left="360" w:hanging="360"/>
        <w:tabs>
          <w:tab w:val="num" w:pos="360" w:leader="none"/>
        </w:tabs>
      </w:pPr>
    </w:lvl>
    <w:lvl w:ilvl="1">
      <w:start w:val="1"/>
      <w:numFmt w:val="lowerLetter"/>
      <w:isLgl w:val="false"/>
      <w:suff w:val="tab"/>
      <w:lvlText w:val="%2)"/>
      <w:lvlJc w:val="left"/>
      <w:pPr>
        <w:pStyle w:val="777"/>
        <w:ind w:left="840" w:hanging="420"/>
        <w:tabs>
          <w:tab w:val="num" w:pos="840" w:leader="none"/>
        </w:tabs>
      </w:pPr>
    </w:lvl>
    <w:lvl w:ilvl="2">
      <w:start w:val="1"/>
      <w:numFmt w:val="lowerRoman"/>
      <w:isLgl w:val="false"/>
      <w:suff w:val="tab"/>
      <w:lvlText w:val="%3."/>
      <w:lvlJc w:val="right"/>
      <w:pPr>
        <w:pStyle w:val="777"/>
        <w:ind w:left="1260" w:hanging="420"/>
        <w:tabs>
          <w:tab w:val="num" w:pos="1260" w:leader="none"/>
        </w:tabs>
      </w:pPr>
    </w:lvl>
    <w:lvl w:ilvl="3">
      <w:start w:val="1"/>
      <w:numFmt w:val="decimal"/>
      <w:isLgl w:val="false"/>
      <w:suff w:val="tab"/>
      <w:lvlText w:val="%4."/>
      <w:lvlJc w:val="left"/>
      <w:pPr>
        <w:pStyle w:val="777"/>
        <w:ind w:left="1680" w:hanging="420"/>
        <w:tabs>
          <w:tab w:val="num" w:pos="1680" w:leader="none"/>
        </w:tabs>
      </w:pPr>
    </w:lvl>
    <w:lvl w:ilvl="4">
      <w:start w:val="1"/>
      <w:numFmt w:val="lowerLetter"/>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abstractNum w:abstractNumId="6">
    <w:multiLevelType w:val="hybridMultilevel"/>
    <w:lvl w:ilvl="0">
      <w:start w:val="1"/>
      <w:numFmt w:val="japaneseCounting"/>
      <w:isLgl w:val="false"/>
      <w:suff w:val="tab"/>
      <w:lvlText w:val="（%1）"/>
      <w:lvlJc w:val="left"/>
      <w:pPr>
        <w:pStyle w:val="777"/>
        <w:ind w:left="1080" w:hanging="1080"/>
        <w:tabs>
          <w:tab w:val="num" w:pos="1080" w:leader="none"/>
        </w:tabs>
      </w:pPr>
      <w:rPr>
        <w:rFonts w:hint="eastAsia" w:cs="Times New Roman"/>
      </w:rPr>
    </w:lvl>
    <w:lvl w:ilvl="1">
      <w:start w:val="1"/>
      <w:numFmt w:val="decimal"/>
      <w:isLgl w:val="false"/>
      <w:suff w:val="tab"/>
      <w:lvlText w:val="%2."/>
      <w:lvlJc w:val="left"/>
      <w:pPr>
        <w:pStyle w:val="77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77"/>
        <w:ind w:left="1260" w:hanging="420"/>
        <w:tabs>
          <w:tab w:val="num" w:pos="1260" w:leader="none"/>
        </w:tabs>
      </w:pPr>
      <w:rPr>
        <w:rFonts w:cs="Times New Roman"/>
      </w:rPr>
    </w:lvl>
    <w:lvl w:ilvl="3">
      <w:start w:val="1"/>
      <w:numFmt w:val="decimal"/>
      <w:isLgl w:val="false"/>
      <w:suff w:val="tab"/>
      <w:lvlText w:val="%4."/>
      <w:lvlJc w:val="left"/>
      <w:pPr>
        <w:pStyle w:val="777"/>
        <w:ind w:left="1680" w:hanging="420"/>
        <w:tabs>
          <w:tab w:val="num" w:pos="1680" w:leader="none"/>
        </w:tabs>
      </w:pPr>
      <w:rPr>
        <w:rFonts w:cs="Times New Roman"/>
      </w:rPr>
    </w:lvl>
    <w:lvl w:ilvl="4">
      <w:start w:val="1"/>
      <w:numFmt w:val="lowerLetter"/>
      <w:isLgl w:val="false"/>
      <w:suff w:val="tab"/>
      <w:lvlText w:val="%5)"/>
      <w:lvlJc w:val="left"/>
      <w:pPr>
        <w:pStyle w:val="777"/>
        <w:ind w:left="2100" w:hanging="420"/>
        <w:tabs>
          <w:tab w:val="num" w:pos="2100" w:leader="none"/>
        </w:tabs>
      </w:pPr>
      <w:rPr>
        <w:rFonts w:cs="Times New Roman"/>
      </w:rPr>
    </w:lvl>
    <w:lvl w:ilvl="5">
      <w:start w:val="1"/>
      <w:numFmt w:val="lowerRoman"/>
      <w:isLgl w:val="false"/>
      <w:suff w:val="tab"/>
      <w:lvlText w:val="%6."/>
      <w:lvlJc w:val="right"/>
      <w:pPr>
        <w:pStyle w:val="777"/>
        <w:ind w:left="2520" w:hanging="420"/>
        <w:tabs>
          <w:tab w:val="num" w:pos="2520" w:leader="none"/>
        </w:tabs>
      </w:pPr>
      <w:rPr>
        <w:rFonts w:cs="Times New Roman"/>
      </w:rPr>
    </w:lvl>
    <w:lvl w:ilvl="6">
      <w:start w:val="1"/>
      <w:numFmt w:val="decimal"/>
      <w:isLgl w:val="false"/>
      <w:suff w:val="tab"/>
      <w:lvlText w:val="%7."/>
      <w:lvlJc w:val="left"/>
      <w:pPr>
        <w:pStyle w:val="777"/>
        <w:ind w:left="2940" w:hanging="420"/>
        <w:tabs>
          <w:tab w:val="num" w:pos="2940" w:leader="none"/>
        </w:tabs>
      </w:pPr>
      <w:rPr>
        <w:rFonts w:cs="Times New Roman"/>
      </w:rPr>
    </w:lvl>
    <w:lvl w:ilvl="7">
      <w:start w:val="1"/>
      <w:numFmt w:val="lowerLetter"/>
      <w:isLgl w:val="false"/>
      <w:suff w:val="tab"/>
      <w:lvlText w:val="%8)"/>
      <w:lvlJc w:val="left"/>
      <w:pPr>
        <w:pStyle w:val="777"/>
        <w:ind w:left="3360" w:hanging="420"/>
        <w:tabs>
          <w:tab w:val="num" w:pos="3360" w:leader="none"/>
        </w:tabs>
      </w:pPr>
      <w:rPr>
        <w:rFonts w:cs="Times New Roman"/>
      </w:rPr>
    </w:lvl>
    <w:lvl w:ilvl="8">
      <w:start w:val="1"/>
      <w:numFmt w:val="lowerRoman"/>
      <w:isLgl w:val="false"/>
      <w:suff w:val="tab"/>
      <w:lvlText w:val="%9."/>
      <w:lvlJc w:val="right"/>
      <w:pPr>
        <w:pStyle w:val="777"/>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777"/>
        <w:ind w:left="900" w:hanging="420"/>
      </w:pPr>
      <w:rPr>
        <w:rFonts w:hint="eastAsia"/>
      </w:rPr>
    </w:lvl>
    <w:lvl w:ilvl="1">
      <w:start w:val="1"/>
      <w:numFmt w:val="lowerLetter"/>
      <w:isLgl w:val="false"/>
      <w:suff w:val="tab"/>
      <w:lvlText w:val="%2)"/>
      <w:lvlJc w:val="left"/>
      <w:pPr>
        <w:pStyle w:val="777"/>
        <w:ind w:left="1320" w:hanging="420"/>
      </w:pPr>
    </w:lvl>
    <w:lvl w:ilvl="2">
      <w:start w:val="1"/>
      <w:numFmt w:val="lowerRoman"/>
      <w:isLgl w:val="false"/>
      <w:suff w:val="tab"/>
      <w:lvlText w:val="%3."/>
      <w:lvlJc w:val="right"/>
      <w:pPr>
        <w:pStyle w:val="777"/>
        <w:ind w:left="1740" w:hanging="420"/>
      </w:pPr>
    </w:lvl>
    <w:lvl w:ilvl="3">
      <w:start w:val="1"/>
      <w:numFmt w:val="decimal"/>
      <w:isLgl w:val="false"/>
      <w:suff w:val="tab"/>
      <w:lvlText w:val="%4."/>
      <w:lvlJc w:val="left"/>
      <w:pPr>
        <w:pStyle w:val="777"/>
        <w:ind w:left="2160" w:hanging="420"/>
      </w:pPr>
    </w:lvl>
    <w:lvl w:ilvl="4">
      <w:start w:val="1"/>
      <w:numFmt w:val="lowerLetter"/>
      <w:isLgl w:val="false"/>
      <w:suff w:val="tab"/>
      <w:lvlText w:val="%5)"/>
      <w:lvlJc w:val="left"/>
      <w:pPr>
        <w:pStyle w:val="777"/>
        <w:ind w:left="2580" w:hanging="420"/>
      </w:pPr>
    </w:lvl>
    <w:lvl w:ilvl="5">
      <w:start w:val="1"/>
      <w:numFmt w:val="lowerRoman"/>
      <w:isLgl w:val="false"/>
      <w:suff w:val="tab"/>
      <w:lvlText w:val="%6."/>
      <w:lvlJc w:val="right"/>
      <w:pPr>
        <w:pStyle w:val="777"/>
        <w:ind w:left="3000" w:hanging="420"/>
      </w:pPr>
    </w:lvl>
    <w:lvl w:ilvl="6">
      <w:start w:val="1"/>
      <w:numFmt w:val="decimal"/>
      <w:isLgl w:val="false"/>
      <w:suff w:val="tab"/>
      <w:lvlText w:val="%7."/>
      <w:lvlJc w:val="left"/>
      <w:pPr>
        <w:pStyle w:val="777"/>
        <w:ind w:left="3420" w:hanging="420"/>
      </w:pPr>
    </w:lvl>
    <w:lvl w:ilvl="7">
      <w:start w:val="1"/>
      <w:numFmt w:val="lowerLetter"/>
      <w:isLgl w:val="false"/>
      <w:suff w:val="tab"/>
      <w:lvlText w:val="%8)"/>
      <w:lvlJc w:val="left"/>
      <w:pPr>
        <w:pStyle w:val="777"/>
        <w:ind w:left="3840" w:hanging="420"/>
      </w:pPr>
    </w:lvl>
    <w:lvl w:ilvl="8">
      <w:start w:val="1"/>
      <w:numFmt w:val="lowerRoman"/>
      <w:isLgl w:val="false"/>
      <w:suff w:val="tab"/>
      <w:lvlText w:val="%9."/>
      <w:lvlJc w:val="right"/>
      <w:pPr>
        <w:pStyle w:val="777"/>
        <w:ind w:left="4260" w:hanging="420"/>
      </w:pPr>
    </w:lvl>
  </w:abstractNum>
  <w:abstractNum w:abstractNumId="8">
    <w:multiLevelType w:val="hybridMultilevel"/>
    <w:lvl w:ilvl="0">
      <w:start w:val="1"/>
      <w:numFmt w:val="decimal"/>
      <w:isLgl w:val="false"/>
      <w:suff w:val="tab"/>
      <w:lvlText w:val="%1、"/>
      <w:lvlJc w:val="left"/>
      <w:pPr>
        <w:pStyle w:val="777"/>
        <w:ind w:left="720" w:hanging="720"/>
        <w:tabs>
          <w:tab w:val="num" w:pos="720" w:leader="none"/>
        </w:tabs>
      </w:pPr>
      <w:rPr>
        <w:rFonts w:hint="eastAsia"/>
      </w:rPr>
    </w:lvl>
    <w:lvl w:ilvl="1">
      <w:start w:val="1"/>
      <w:numFmt w:val="bullet"/>
      <w:isLgl w:val="false"/>
      <w:suff w:val="tab"/>
      <w:lvlText w:val=""/>
      <w:lvlJc w:val="left"/>
      <w:pPr>
        <w:pStyle w:val="777"/>
        <w:ind w:left="840" w:hanging="420"/>
        <w:tabs>
          <w:tab w:val="num" w:pos="840" w:leader="none"/>
        </w:tabs>
      </w:pPr>
      <w:rPr>
        <w:rFonts w:ascii="Wingdings" w:hAnsi="Wingdings"/>
      </w:rPr>
    </w:lvl>
    <w:lvl w:ilvl="2">
      <w:start w:val="1"/>
      <w:numFmt w:val="upperLetter"/>
      <w:isLgl w:val="false"/>
      <w:suff w:val="tab"/>
      <w:lvlText w:val="%3、"/>
      <w:lvlJc w:val="left"/>
      <w:pPr>
        <w:pStyle w:val="777"/>
        <w:ind w:left="1560" w:hanging="720"/>
        <w:tabs>
          <w:tab w:val="num" w:pos="1560" w:leader="none"/>
        </w:tabs>
      </w:pPr>
      <w:rPr>
        <w:rFonts w:hint="eastAsia"/>
      </w:rPr>
    </w:lvl>
    <w:lvl w:ilvl="3">
      <w:start w:val="1"/>
      <w:numFmt w:val="decimal"/>
      <w:isLgl w:val="false"/>
      <w:suff w:val="tab"/>
      <w:lvlText w:val="%4."/>
      <w:lvlJc w:val="left"/>
      <w:pPr>
        <w:pStyle w:val="777"/>
        <w:ind w:left="1680" w:hanging="420"/>
        <w:tabs>
          <w:tab w:val="num" w:pos="1680" w:leader="none"/>
        </w:tabs>
      </w:pPr>
    </w:lvl>
    <w:lvl w:ilvl="4">
      <w:start w:val="1"/>
      <w:numFmt w:val="lowerLetter"/>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777"/>
        <w:ind w:left="510" w:hanging="360"/>
        <w:tabs>
          <w:tab w:val="num" w:pos="510" w:leader="none"/>
        </w:tabs>
      </w:pPr>
      <w:rPr>
        <w:rFonts w:hint="eastAsia" w:cs="Times New Roman"/>
      </w:rPr>
    </w:lvl>
    <w:lvl w:ilvl="1">
      <w:start w:val="1"/>
      <w:numFmt w:val="decimal"/>
      <w:isLgl w:val="false"/>
      <w:suff w:val="tab"/>
      <w:lvlText w:val="%2．"/>
      <w:lvlJc w:val="left"/>
      <w:pPr>
        <w:pStyle w:val="777"/>
        <w:ind w:left="1290" w:hanging="720"/>
        <w:tabs>
          <w:tab w:val="num" w:pos="1290" w:leader="none"/>
        </w:tabs>
      </w:pPr>
      <w:rPr>
        <w:rFonts w:hint="eastAsia" w:cs="Times New Roman"/>
      </w:rPr>
    </w:lvl>
    <w:lvl w:ilvl="2">
      <w:start w:val="3"/>
      <w:numFmt w:val="decimal"/>
      <w:isLgl w:val="false"/>
      <w:suff w:val="tab"/>
      <w:lvlText w:val="（%3）"/>
      <w:lvlJc w:val="left"/>
      <w:pPr>
        <w:pStyle w:val="777"/>
        <w:ind w:left="1140" w:hanging="720"/>
        <w:tabs>
          <w:tab w:val="num" w:pos="1140" w:leader="none"/>
        </w:tabs>
      </w:pPr>
      <w:rPr>
        <w:rFonts w:hint="eastAsia" w:cs="Times New Roman"/>
      </w:rPr>
    </w:lvl>
    <w:lvl w:ilvl="3">
      <w:start w:val="1"/>
      <w:numFmt w:val="decimal"/>
      <w:isLgl w:val="false"/>
      <w:suff w:val="tab"/>
      <w:lvlText w:val="（%4）"/>
      <w:lvlJc w:val="left"/>
      <w:pPr>
        <w:pStyle w:val="77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7"/>
        <w:ind w:left="2250" w:hanging="420"/>
        <w:tabs>
          <w:tab w:val="num" w:pos="2250" w:leader="none"/>
        </w:tabs>
      </w:pPr>
      <w:rPr>
        <w:rFonts w:hint="eastAsia"/>
        <w:b/>
        <w:lang w:val="en-US"/>
      </w:rPr>
    </w:lvl>
    <w:lvl w:ilvl="5">
      <w:start w:val="10"/>
      <w:numFmt w:val="japaneseCounting"/>
      <w:isLgl w:val="false"/>
      <w:suff w:val="tab"/>
      <w:lvlText w:val="（%6）"/>
      <w:lvlJc w:val="left"/>
      <w:pPr>
        <w:pStyle w:val="777"/>
        <w:ind w:left="2970" w:hanging="720"/>
      </w:pPr>
      <w:rPr>
        <w:rFonts w:cs="Times New Roman"/>
      </w:rPr>
    </w:lvl>
    <w:lvl w:ilvl="6">
      <w:start w:val="1"/>
      <w:numFmt w:val="decimal"/>
      <w:isLgl w:val="false"/>
      <w:suff w:val="tab"/>
      <w:lvlText w:val="（%7）"/>
      <w:lvlJc w:val="left"/>
      <w:pPr>
        <w:pStyle w:val="77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77"/>
        <w:ind w:left="3510" w:hanging="420"/>
        <w:tabs>
          <w:tab w:val="num" w:pos="3510" w:leader="none"/>
        </w:tabs>
      </w:pPr>
      <w:rPr>
        <w:rFonts w:cs="Times New Roman"/>
      </w:rPr>
    </w:lvl>
    <w:lvl w:ilvl="8">
      <w:start w:val="1"/>
      <w:numFmt w:val="lowerRoman"/>
      <w:isLgl w:val="false"/>
      <w:suff w:val="tab"/>
      <w:lvlText w:val="%9."/>
      <w:lvlJc w:val="right"/>
      <w:pPr>
        <w:pStyle w:val="777"/>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777"/>
        <w:ind w:left="900" w:hanging="420"/>
      </w:pPr>
    </w:lvl>
    <w:lvl w:ilvl="1">
      <w:start w:val="1"/>
      <w:numFmt w:val="lowerLetter"/>
      <w:isLgl w:val="false"/>
      <w:suff w:val="tab"/>
      <w:lvlText w:val="%2)"/>
      <w:lvlJc w:val="left"/>
      <w:pPr>
        <w:pStyle w:val="777"/>
        <w:ind w:left="1320" w:hanging="420"/>
      </w:pPr>
    </w:lvl>
    <w:lvl w:ilvl="2">
      <w:start w:val="1"/>
      <w:numFmt w:val="lowerRoman"/>
      <w:isLgl w:val="false"/>
      <w:suff w:val="tab"/>
      <w:lvlText w:val="%3."/>
      <w:lvlJc w:val="right"/>
      <w:pPr>
        <w:pStyle w:val="777"/>
        <w:ind w:left="1740" w:hanging="420"/>
      </w:pPr>
    </w:lvl>
    <w:lvl w:ilvl="3">
      <w:start w:val="1"/>
      <w:numFmt w:val="decimal"/>
      <w:isLgl w:val="false"/>
      <w:suff w:val="tab"/>
      <w:lvlText w:val="%4."/>
      <w:lvlJc w:val="left"/>
      <w:pPr>
        <w:pStyle w:val="777"/>
        <w:ind w:left="2160" w:hanging="420"/>
      </w:pPr>
    </w:lvl>
    <w:lvl w:ilvl="4">
      <w:start w:val="1"/>
      <w:numFmt w:val="lowerLetter"/>
      <w:isLgl w:val="false"/>
      <w:suff w:val="tab"/>
      <w:lvlText w:val="%5)"/>
      <w:lvlJc w:val="left"/>
      <w:pPr>
        <w:pStyle w:val="777"/>
        <w:ind w:left="2580" w:hanging="420"/>
      </w:pPr>
    </w:lvl>
    <w:lvl w:ilvl="5">
      <w:start w:val="1"/>
      <w:numFmt w:val="lowerRoman"/>
      <w:isLgl w:val="false"/>
      <w:suff w:val="tab"/>
      <w:lvlText w:val="%6."/>
      <w:lvlJc w:val="right"/>
      <w:pPr>
        <w:pStyle w:val="777"/>
        <w:ind w:left="3000" w:hanging="420"/>
      </w:pPr>
    </w:lvl>
    <w:lvl w:ilvl="6">
      <w:start w:val="1"/>
      <w:numFmt w:val="decimal"/>
      <w:isLgl w:val="false"/>
      <w:suff w:val="tab"/>
      <w:lvlText w:val="%7."/>
      <w:lvlJc w:val="left"/>
      <w:pPr>
        <w:pStyle w:val="777"/>
        <w:ind w:left="3420" w:hanging="420"/>
      </w:pPr>
    </w:lvl>
    <w:lvl w:ilvl="7">
      <w:start w:val="1"/>
      <w:numFmt w:val="lowerLetter"/>
      <w:isLgl w:val="false"/>
      <w:suff w:val="tab"/>
      <w:lvlText w:val="%8)"/>
      <w:lvlJc w:val="left"/>
      <w:pPr>
        <w:pStyle w:val="777"/>
        <w:ind w:left="3840" w:hanging="420"/>
      </w:pPr>
    </w:lvl>
    <w:lvl w:ilvl="8">
      <w:start w:val="1"/>
      <w:numFmt w:val="lowerRoman"/>
      <w:isLgl w:val="false"/>
      <w:suff w:val="tab"/>
      <w:lvlText w:val="%9."/>
      <w:lvlJc w:val="right"/>
      <w:pPr>
        <w:pStyle w:val="777"/>
        <w:ind w:left="4260" w:hanging="420"/>
      </w:pPr>
    </w:lvl>
  </w:abstractNum>
  <w:abstractNum w:abstractNumId="11">
    <w:multiLevelType w:val="hybridMultilevel"/>
    <w:lvl w:ilvl="0">
      <w:start w:val="1"/>
      <w:numFmt w:val="bullet"/>
      <w:isLgl w:val="false"/>
      <w:suff w:val="tab"/>
      <w:lvlText w:val=""/>
      <w:lvlJc w:val="left"/>
      <w:pPr>
        <w:pStyle w:val="777"/>
        <w:ind w:left="1060" w:hanging="420"/>
      </w:pPr>
      <w:rPr>
        <w:rFonts w:ascii="Wingdings" w:hAnsi="Wingdings"/>
      </w:rPr>
    </w:lvl>
    <w:lvl w:ilvl="1">
      <w:start w:val="1"/>
      <w:numFmt w:val="bullet"/>
      <w:isLgl w:val="false"/>
      <w:suff w:val="tab"/>
      <w:lvlText w:val=""/>
      <w:lvlJc w:val="left"/>
      <w:pPr>
        <w:pStyle w:val="777"/>
        <w:ind w:left="1480" w:hanging="420"/>
      </w:pPr>
      <w:rPr>
        <w:rFonts w:ascii="Wingdings" w:hAnsi="Wingdings"/>
      </w:rPr>
    </w:lvl>
    <w:lvl w:ilvl="2">
      <w:start w:val="1"/>
      <w:numFmt w:val="bullet"/>
      <w:isLgl w:val="false"/>
      <w:suff w:val="tab"/>
      <w:lvlText w:val=""/>
      <w:lvlJc w:val="left"/>
      <w:pPr>
        <w:pStyle w:val="777"/>
        <w:ind w:left="1900" w:hanging="420"/>
      </w:pPr>
      <w:rPr>
        <w:rFonts w:ascii="Wingdings" w:hAnsi="Wingdings"/>
      </w:rPr>
    </w:lvl>
    <w:lvl w:ilvl="3">
      <w:start w:val="1"/>
      <w:numFmt w:val="bullet"/>
      <w:isLgl w:val="false"/>
      <w:suff w:val="tab"/>
      <w:lvlText w:val=""/>
      <w:lvlJc w:val="left"/>
      <w:pPr>
        <w:pStyle w:val="777"/>
        <w:ind w:left="2320" w:hanging="420"/>
      </w:pPr>
      <w:rPr>
        <w:rFonts w:ascii="Wingdings" w:hAnsi="Wingdings"/>
      </w:rPr>
    </w:lvl>
    <w:lvl w:ilvl="4">
      <w:start w:val="1"/>
      <w:numFmt w:val="bullet"/>
      <w:isLgl w:val="false"/>
      <w:suff w:val="tab"/>
      <w:lvlText w:val=""/>
      <w:lvlJc w:val="left"/>
      <w:pPr>
        <w:pStyle w:val="777"/>
        <w:ind w:left="2740" w:hanging="420"/>
      </w:pPr>
      <w:rPr>
        <w:rFonts w:ascii="Wingdings" w:hAnsi="Wingdings"/>
      </w:rPr>
    </w:lvl>
    <w:lvl w:ilvl="5">
      <w:start w:val="1"/>
      <w:numFmt w:val="bullet"/>
      <w:isLgl w:val="false"/>
      <w:suff w:val="tab"/>
      <w:lvlText w:val=""/>
      <w:lvlJc w:val="left"/>
      <w:pPr>
        <w:pStyle w:val="777"/>
        <w:ind w:left="3160" w:hanging="420"/>
      </w:pPr>
      <w:rPr>
        <w:rFonts w:ascii="Wingdings" w:hAnsi="Wingdings"/>
      </w:rPr>
    </w:lvl>
    <w:lvl w:ilvl="6">
      <w:start w:val="1"/>
      <w:numFmt w:val="bullet"/>
      <w:isLgl w:val="false"/>
      <w:suff w:val="tab"/>
      <w:lvlText w:val=""/>
      <w:lvlJc w:val="left"/>
      <w:pPr>
        <w:pStyle w:val="777"/>
        <w:ind w:left="3580" w:hanging="420"/>
      </w:pPr>
      <w:rPr>
        <w:rFonts w:ascii="Wingdings" w:hAnsi="Wingdings"/>
      </w:rPr>
    </w:lvl>
    <w:lvl w:ilvl="7">
      <w:start w:val="1"/>
      <w:numFmt w:val="bullet"/>
      <w:isLgl w:val="false"/>
      <w:suff w:val="tab"/>
      <w:lvlText w:val=""/>
      <w:lvlJc w:val="left"/>
      <w:pPr>
        <w:pStyle w:val="777"/>
        <w:ind w:left="4000" w:hanging="420"/>
      </w:pPr>
      <w:rPr>
        <w:rFonts w:ascii="Wingdings" w:hAnsi="Wingdings"/>
      </w:rPr>
    </w:lvl>
    <w:lvl w:ilvl="8">
      <w:start w:val="1"/>
      <w:numFmt w:val="bullet"/>
      <w:isLgl w:val="false"/>
      <w:suff w:val="tab"/>
      <w:lvlText w:val=""/>
      <w:lvlJc w:val="left"/>
      <w:pPr>
        <w:pStyle w:val="777"/>
        <w:ind w:left="4420" w:hanging="420"/>
      </w:pPr>
      <w:rPr>
        <w:rFonts w:ascii="Wingdings" w:hAnsi="Wingdings"/>
      </w:rPr>
    </w:lvl>
  </w:abstractNum>
  <w:abstractNum w:abstractNumId="12">
    <w:multiLevelType w:val="hybridMultilevel"/>
    <w:lvl w:ilvl="0">
      <w:start w:val="1"/>
      <w:numFmt w:val="decimal"/>
      <w:isLgl w:val="false"/>
      <w:suff w:val="tab"/>
      <w:lvlText w:val="%1."/>
      <w:lvlJc w:val="left"/>
      <w:pPr>
        <w:pStyle w:val="777"/>
        <w:ind w:left="510" w:hanging="360"/>
        <w:tabs>
          <w:tab w:val="num" w:pos="510" w:leader="none"/>
        </w:tabs>
      </w:pPr>
      <w:rPr>
        <w:rFonts w:hint="eastAsia" w:cs="Times New Roman"/>
      </w:rPr>
    </w:lvl>
    <w:lvl w:ilvl="1">
      <w:start w:val="1"/>
      <w:numFmt w:val="decimal"/>
      <w:isLgl w:val="false"/>
      <w:suff w:val="tab"/>
      <w:lvlText w:val="%2．"/>
      <w:lvlJc w:val="left"/>
      <w:pPr>
        <w:pStyle w:val="777"/>
        <w:ind w:left="1290" w:hanging="720"/>
        <w:tabs>
          <w:tab w:val="num" w:pos="1290" w:leader="none"/>
        </w:tabs>
      </w:pPr>
      <w:rPr>
        <w:rFonts w:hint="eastAsia" w:cs="Times New Roman"/>
      </w:rPr>
    </w:lvl>
    <w:lvl w:ilvl="2">
      <w:start w:val="3"/>
      <w:numFmt w:val="decimal"/>
      <w:isLgl w:val="false"/>
      <w:suff w:val="tab"/>
      <w:lvlText w:val="（%3）"/>
      <w:lvlJc w:val="left"/>
      <w:pPr>
        <w:pStyle w:val="777"/>
        <w:ind w:left="1140" w:hanging="720"/>
        <w:tabs>
          <w:tab w:val="num" w:pos="1140" w:leader="none"/>
        </w:tabs>
      </w:pPr>
      <w:rPr>
        <w:rFonts w:hint="eastAsia" w:cs="Times New Roman"/>
      </w:rPr>
    </w:lvl>
    <w:lvl w:ilvl="3">
      <w:start w:val="1"/>
      <w:numFmt w:val="decimal"/>
      <w:isLgl w:val="false"/>
      <w:suff w:val="tab"/>
      <w:lvlText w:val="（%4）"/>
      <w:lvlJc w:val="left"/>
      <w:pPr>
        <w:pStyle w:val="77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7"/>
        <w:ind w:left="2250" w:hanging="420"/>
        <w:tabs>
          <w:tab w:val="num" w:pos="2250" w:leader="none"/>
        </w:tabs>
      </w:pPr>
      <w:rPr>
        <w:rFonts w:hint="eastAsia"/>
        <w:b/>
        <w:lang w:val="en-US"/>
      </w:rPr>
    </w:lvl>
    <w:lvl w:ilvl="5">
      <w:start w:val="10"/>
      <w:numFmt w:val="japaneseCounting"/>
      <w:isLgl w:val="false"/>
      <w:suff w:val="tab"/>
      <w:lvlText w:val="（%6）"/>
      <w:lvlJc w:val="left"/>
      <w:pPr>
        <w:pStyle w:val="777"/>
        <w:ind w:left="2970" w:hanging="720"/>
      </w:pPr>
      <w:rPr>
        <w:rFonts w:cs="Times New Roman"/>
      </w:rPr>
    </w:lvl>
    <w:lvl w:ilvl="6">
      <w:start w:val="1"/>
      <w:numFmt w:val="decimal"/>
      <w:isLgl w:val="false"/>
      <w:suff w:val="tab"/>
      <w:lvlText w:val="（%7）"/>
      <w:lvlJc w:val="left"/>
      <w:pPr>
        <w:pStyle w:val="77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77"/>
        <w:ind w:left="3510" w:hanging="420"/>
        <w:tabs>
          <w:tab w:val="num" w:pos="3510" w:leader="none"/>
        </w:tabs>
      </w:pPr>
      <w:rPr>
        <w:rFonts w:cs="Times New Roman"/>
      </w:rPr>
    </w:lvl>
    <w:lvl w:ilvl="8">
      <w:start w:val="1"/>
      <w:numFmt w:val="lowerRoman"/>
      <w:isLgl w:val="false"/>
      <w:suff w:val="tab"/>
      <w:lvlText w:val="%9."/>
      <w:lvlJc w:val="right"/>
      <w:pPr>
        <w:pStyle w:val="777"/>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第%1条"/>
      <w:lvlJc w:val="left"/>
      <w:pPr>
        <w:pStyle w:val="777"/>
        <w:ind w:left="1505" w:hanging="945"/>
        <w:tabs>
          <w:tab w:val="num" w:pos="1505" w:leader="none"/>
        </w:tabs>
      </w:pPr>
      <w:rPr>
        <w:rFonts w:hint="eastAsia"/>
      </w:rPr>
    </w:lvl>
    <w:lvl w:ilvl="1">
      <w:start w:val="1"/>
      <w:numFmt w:val="decimal"/>
      <w:isLgl w:val="false"/>
      <w:suff w:val="tab"/>
      <w:lvlText w:val="%2、"/>
      <w:lvlJc w:val="left"/>
      <w:pPr>
        <w:pStyle w:val="777"/>
        <w:ind w:left="1340" w:hanging="360"/>
        <w:tabs>
          <w:tab w:val="num" w:pos="1340" w:leader="none"/>
        </w:tabs>
      </w:pPr>
      <w:rPr>
        <w:rFonts w:hint="eastAsia"/>
      </w:rPr>
    </w:lvl>
    <w:lvl w:ilvl="2">
      <w:start w:val="1"/>
      <w:numFmt w:val="japaneseCounting"/>
      <w:isLgl w:val="false"/>
      <w:suff w:val="tab"/>
      <w:lvlText w:val="%3、"/>
      <w:lvlJc w:val="left"/>
      <w:pPr>
        <w:pStyle w:val="777"/>
        <w:ind w:left="1820" w:hanging="420"/>
        <w:tabs>
          <w:tab w:val="num" w:pos="1820" w:leader="none"/>
        </w:tabs>
      </w:pPr>
      <w:rPr>
        <w:rFonts w:hint="eastAsia"/>
      </w:rPr>
    </w:lvl>
    <w:lvl w:ilvl="3">
      <w:start w:val="1"/>
      <w:numFmt w:val="decimal"/>
      <w:isLgl w:val="false"/>
      <w:suff w:val="tab"/>
      <w:lvlText w:val="%4."/>
      <w:lvlJc w:val="left"/>
      <w:pPr>
        <w:pStyle w:val="777"/>
        <w:ind w:left="2240" w:hanging="420"/>
        <w:tabs>
          <w:tab w:val="num" w:pos="2240" w:leader="none"/>
        </w:tabs>
      </w:pPr>
    </w:lvl>
    <w:lvl w:ilvl="4">
      <w:start w:val="1"/>
      <w:numFmt w:val="lowerLetter"/>
      <w:isLgl w:val="false"/>
      <w:suff w:val="tab"/>
      <w:lvlText w:val="%5)"/>
      <w:lvlJc w:val="left"/>
      <w:pPr>
        <w:pStyle w:val="777"/>
        <w:ind w:left="2660" w:hanging="420"/>
        <w:tabs>
          <w:tab w:val="num" w:pos="2660" w:leader="none"/>
        </w:tabs>
      </w:pPr>
    </w:lvl>
    <w:lvl w:ilvl="5">
      <w:start w:val="1"/>
      <w:numFmt w:val="lowerRoman"/>
      <w:isLgl w:val="false"/>
      <w:suff w:val="tab"/>
      <w:lvlText w:val="%6."/>
      <w:lvlJc w:val="right"/>
      <w:pPr>
        <w:pStyle w:val="777"/>
        <w:ind w:left="3080" w:hanging="420"/>
        <w:tabs>
          <w:tab w:val="num" w:pos="3080" w:leader="none"/>
        </w:tabs>
      </w:pPr>
    </w:lvl>
    <w:lvl w:ilvl="6">
      <w:start w:val="1"/>
      <w:numFmt w:val="decimal"/>
      <w:isLgl w:val="false"/>
      <w:suff w:val="tab"/>
      <w:lvlText w:val="%7."/>
      <w:lvlJc w:val="left"/>
      <w:pPr>
        <w:pStyle w:val="777"/>
        <w:ind w:left="3500" w:hanging="420"/>
        <w:tabs>
          <w:tab w:val="num" w:pos="3500" w:leader="none"/>
        </w:tabs>
      </w:pPr>
    </w:lvl>
    <w:lvl w:ilvl="7">
      <w:start w:val="1"/>
      <w:numFmt w:val="lowerLetter"/>
      <w:isLgl w:val="false"/>
      <w:suff w:val="tab"/>
      <w:lvlText w:val="%8)"/>
      <w:lvlJc w:val="left"/>
      <w:pPr>
        <w:pStyle w:val="777"/>
        <w:ind w:left="3920" w:hanging="420"/>
        <w:tabs>
          <w:tab w:val="num" w:pos="3920" w:leader="none"/>
        </w:tabs>
      </w:pPr>
    </w:lvl>
    <w:lvl w:ilvl="8">
      <w:start w:val="1"/>
      <w:numFmt w:val="lowerRoman"/>
      <w:isLgl w:val="false"/>
      <w:suff w:val="tab"/>
      <w:lvlText w:val="%9."/>
      <w:lvlJc w:val="right"/>
      <w:pPr>
        <w:pStyle w:val="777"/>
        <w:ind w:left="4340" w:hanging="420"/>
        <w:tabs>
          <w:tab w:val="num" w:pos="4340" w:leader="none"/>
        </w:tabs>
      </w:pPr>
    </w:lvl>
  </w:abstractNum>
  <w:abstractNum w:abstractNumId="14">
    <w:multiLevelType w:val="hybridMultilevel"/>
    <w:lvl w:ilvl="0">
      <w:start w:val="1"/>
      <w:numFmt w:val="decimal"/>
      <w:isLgl w:val="false"/>
      <w:suff w:val="tab"/>
      <w:lvlText w:val="%1."/>
      <w:lvlJc w:val="left"/>
      <w:pPr>
        <w:pStyle w:val="777"/>
        <w:ind w:left="510" w:hanging="360"/>
        <w:tabs>
          <w:tab w:val="num" w:pos="510" w:leader="none"/>
        </w:tabs>
      </w:pPr>
      <w:rPr>
        <w:rFonts w:hint="eastAsia" w:cs="Times New Roman"/>
      </w:rPr>
    </w:lvl>
    <w:lvl w:ilvl="1">
      <w:start w:val="1"/>
      <w:numFmt w:val="decimal"/>
      <w:isLgl w:val="false"/>
      <w:suff w:val="tab"/>
      <w:lvlText w:val="%2．"/>
      <w:lvlJc w:val="left"/>
      <w:pPr>
        <w:pStyle w:val="777"/>
        <w:ind w:left="1290" w:hanging="720"/>
        <w:tabs>
          <w:tab w:val="num" w:pos="1290" w:leader="none"/>
        </w:tabs>
      </w:pPr>
      <w:rPr>
        <w:rFonts w:hint="eastAsia" w:cs="Times New Roman"/>
      </w:rPr>
    </w:lvl>
    <w:lvl w:ilvl="2">
      <w:start w:val="3"/>
      <w:numFmt w:val="decimal"/>
      <w:isLgl w:val="false"/>
      <w:suff w:val="tab"/>
      <w:lvlText w:val="（%3）"/>
      <w:lvlJc w:val="left"/>
      <w:pPr>
        <w:pStyle w:val="777"/>
        <w:ind w:left="1140" w:hanging="720"/>
        <w:tabs>
          <w:tab w:val="num" w:pos="1140" w:leader="none"/>
        </w:tabs>
      </w:pPr>
      <w:rPr>
        <w:rFonts w:hint="eastAsia" w:cs="Times New Roman"/>
      </w:rPr>
    </w:lvl>
    <w:lvl w:ilvl="3">
      <w:start w:val="1"/>
      <w:numFmt w:val="decimal"/>
      <w:isLgl w:val="false"/>
      <w:suff w:val="tab"/>
      <w:lvlText w:val="（%4）"/>
      <w:lvlJc w:val="left"/>
      <w:pPr>
        <w:pStyle w:val="77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7"/>
        <w:ind w:left="2250" w:hanging="420"/>
        <w:tabs>
          <w:tab w:val="num" w:pos="2250" w:leader="none"/>
        </w:tabs>
      </w:pPr>
      <w:rPr>
        <w:rFonts w:hint="eastAsia"/>
        <w:b/>
        <w:lang w:val="en-US"/>
      </w:rPr>
    </w:lvl>
    <w:lvl w:ilvl="5">
      <w:start w:val="10"/>
      <w:numFmt w:val="japaneseCounting"/>
      <w:isLgl w:val="false"/>
      <w:suff w:val="tab"/>
      <w:lvlText w:val="（%6）"/>
      <w:lvlJc w:val="left"/>
      <w:pPr>
        <w:pStyle w:val="777"/>
        <w:ind w:left="2970" w:hanging="720"/>
      </w:pPr>
      <w:rPr>
        <w:rFonts w:cs="Times New Roman"/>
      </w:rPr>
    </w:lvl>
    <w:lvl w:ilvl="6">
      <w:start w:val="1"/>
      <w:numFmt w:val="decimal"/>
      <w:isLgl w:val="false"/>
      <w:suff w:val="tab"/>
      <w:lvlText w:val="（%7）"/>
      <w:lvlJc w:val="left"/>
      <w:pPr>
        <w:pStyle w:val="77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77"/>
        <w:ind w:left="3510" w:hanging="420"/>
        <w:tabs>
          <w:tab w:val="num" w:pos="3510" w:leader="none"/>
        </w:tabs>
      </w:pPr>
      <w:rPr>
        <w:rFonts w:cs="Times New Roman"/>
      </w:rPr>
    </w:lvl>
    <w:lvl w:ilvl="8">
      <w:start w:val="1"/>
      <w:numFmt w:val="lowerRoman"/>
      <w:isLgl w:val="false"/>
      <w:suff w:val="tab"/>
      <w:lvlText w:val="%9."/>
      <w:lvlJc w:val="right"/>
      <w:pPr>
        <w:pStyle w:val="777"/>
        <w:ind w:left="3930" w:hanging="420"/>
        <w:tabs>
          <w:tab w:val="num" w:pos="3930" w:leader="none"/>
        </w:tabs>
      </w:pPr>
      <w:rPr>
        <w:rFonts w:cs="Times New Roman"/>
      </w:rPr>
    </w:lvl>
  </w:abstractNum>
  <w:abstractNum w:abstractNumId="15">
    <w:multiLevelType w:val="hybridMultilevel"/>
    <w:lvl w:ilvl="0">
      <w:start w:val="8"/>
      <w:numFmt w:val="japaneseCounting"/>
      <w:isLgl w:val="false"/>
      <w:suff w:val="tab"/>
      <w:lvlText w:val="（%1）"/>
      <w:lvlJc w:val="left"/>
      <w:pPr>
        <w:pStyle w:val="777"/>
        <w:ind w:left="1239" w:hanging="720"/>
      </w:pPr>
      <w:rPr>
        <w:rFonts w:hAnsi="宋体"/>
      </w:rPr>
    </w:lvl>
    <w:lvl w:ilvl="1">
      <w:start w:val="1"/>
      <w:numFmt w:val="lowerLetter"/>
      <w:isLgl w:val="false"/>
      <w:suff w:val="tab"/>
      <w:lvlText w:val="%2)"/>
      <w:lvlJc w:val="left"/>
      <w:pPr>
        <w:pStyle w:val="777"/>
        <w:ind w:left="1359" w:hanging="420"/>
      </w:pPr>
    </w:lvl>
    <w:lvl w:ilvl="2">
      <w:start w:val="1"/>
      <w:numFmt w:val="lowerRoman"/>
      <w:isLgl w:val="false"/>
      <w:suff w:val="tab"/>
      <w:lvlText w:val="%3."/>
      <w:lvlJc w:val="right"/>
      <w:pPr>
        <w:pStyle w:val="777"/>
        <w:ind w:left="1779" w:hanging="420"/>
      </w:pPr>
    </w:lvl>
    <w:lvl w:ilvl="3">
      <w:start w:val="1"/>
      <w:numFmt w:val="decimal"/>
      <w:isLgl w:val="false"/>
      <w:suff w:val="tab"/>
      <w:lvlText w:val="%4."/>
      <w:lvlJc w:val="left"/>
      <w:pPr>
        <w:pStyle w:val="777"/>
        <w:ind w:left="2199" w:hanging="420"/>
      </w:pPr>
    </w:lvl>
    <w:lvl w:ilvl="4">
      <w:start w:val="1"/>
      <w:numFmt w:val="lowerLetter"/>
      <w:isLgl w:val="false"/>
      <w:suff w:val="tab"/>
      <w:lvlText w:val="%5)"/>
      <w:lvlJc w:val="left"/>
      <w:pPr>
        <w:pStyle w:val="777"/>
        <w:ind w:left="2619" w:hanging="420"/>
      </w:pPr>
    </w:lvl>
    <w:lvl w:ilvl="5">
      <w:start w:val="1"/>
      <w:numFmt w:val="lowerRoman"/>
      <w:isLgl w:val="false"/>
      <w:suff w:val="tab"/>
      <w:lvlText w:val="%6."/>
      <w:lvlJc w:val="right"/>
      <w:pPr>
        <w:pStyle w:val="777"/>
        <w:ind w:left="3039" w:hanging="420"/>
      </w:pPr>
    </w:lvl>
    <w:lvl w:ilvl="6">
      <w:start w:val="1"/>
      <w:numFmt w:val="decimal"/>
      <w:isLgl w:val="false"/>
      <w:suff w:val="tab"/>
      <w:lvlText w:val="%7."/>
      <w:lvlJc w:val="left"/>
      <w:pPr>
        <w:pStyle w:val="777"/>
        <w:ind w:left="3459" w:hanging="420"/>
      </w:pPr>
    </w:lvl>
    <w:lvl w:ilvl="7">
      <w:start w:val="1"/>
      <w:numFmt w:val="lowerLetter"/>
      <w:isLgl w:val="false"/>
      <w:suff w:val="tab"/>
      <w:lvlText w:val="%8)"/>
      <w:lvlJc w:val="left"/>
      <w:pPr>
        <w:pStyle w:val="777"/>
        <w:ind w:left="3879" w:hanging="420"/>
      </w:pPr>
    </w:lvl>
    <w:lvl w:ilvl="8">
      <w:start w:val="1"/>
      <w:numFmt w:val="lowerRoman"/>
      <w:isLgl w:val="false"/>
      <w:suff w:val="tab"/>
      <w:lvlText w:val="%9."/>
      <w:lvlJc w:val="right"/>
      <w:pPr>
        <w:pStyle w:val="777"/>
        <w:ind w:left="4299" w:hanging="420"/>
      </w:pPr>
    </w:lvl>
  </w:abstractNum>
  <w:abstractNum w:abstractNumId="16">
    <w:multiLevelType w:val="hybridMultilevel"/>
    <w:lvl w:ilvl="0">
      <w:start w:val="1"/>
      <w:numFmt w:val="decimal"/>
      <w:pStyle w:val="874"/>
      <w:isLgl w:val="false"/>
      <w:suff w:val="tab"/>
      <w:lvlText w:val="%1."/>
      <w:lvlJc w:val="left"/>
      <w:pPr>
        <w:pStyle w:val="777"/>
        <w:ind w:left="709" w:hanging="709"/>
        <w:tabs>
          <w:tab w:val="num" w:pos="709" w:leader="none"/>
        </w:tabs>
      </w:pPr>
      <w:rPr>
        <w:rFonts w:hint="eastAsia"/>
      </w:rPr>
    </w:lvl>
    <w:lvl w:ilvl="1">
      <w:start w:val="1"/>
      <w:numFmt w:val="decimal"/>
      <w:isLgl w:val="false"/>
      <w:suff w:val="tab"/>
      <w:lvlText w:val="%1.%2"/>
      <w:lvlJc w:val="left"/>
      <w:pPr>
        <w:pStyle w:val="777"/>
        <w:ind w:left="709" w:hanging="709"/>
        <w:tabs>
          <w:tab w:val="num" w:pos="709" w:leader="none"/>
        </w:tabs>
      </w:pPr>
      <w:rPr>
        <w:rFonts w:hint="eastAsia"/>
      </w:rPr>
    </w:lvl>
    <w:lvl w:ilvl="2">
      <w:start w:val="1"/>
      <w:numFmt w:val="decimal"/>
      <w:isLgl w:val="false"/>
      <w:suff w:val="tab"/>
      <w:lvlText w:val="%1.%2.%3."/>
      <w:lvlJc w:val="left"/>
      <w:pPr>
        <w:pStyle w:val="777"/>
        <w:ind w:left="425" w:hanging="425"/>
        <w:tabs>
          <w:tab w:val="num" w:pos="425" w:leader="none"/>
        </w:tabs>
      </w:pPr>
      <w:rPr>
        <w:rFonts w:hint="eastAsia"/>
      </w:rPr>
    </w:lvl>
    <w:lvl w:ilvl="3">
      <w:start w:val="1"/>
      <w:numFmt w:val="decimal"/>
      <w:isLgl w:val="false"/>
      <w:suff w:val="tab"/>
      <w:lvlText w:val="%1.%2.%3.%4."/>
      <w:lvlJc w:val="left"/>
      <w:pPr>
        <w:pStyle w:val="777"/>
        <w:ind w:left="851" w:hanging="851"/>
        <w:tabs>
          <w:tab w:val="num" w:pos="851" w:leader="none"/>
        </w:tabs>
      </w:pPr>
      <w:rPr>
        <w:rFonts w:hint="eastAsia"/>
      </w:rPr>
    </w:lvl>
    <w:lvl w:ilvl="4">
      <w:start w:val="1"/>
      <w:numFmt w:val="decimal"/>
      <w:isLgl w:val="false"/>
      <w:suff w:val="tab"/>
      <w:lvlText w:val="%1.%2.%3.%4.%5."/>
      <w:lvlJc w:val="left"/>
      <w:pPr>
        <w:pStyle w:val="777"/>
        <w:ind w:left="992" w:hanging="992"/>
        <w:tabs>
          <w:tab w:val="num" w:pos="992" w:leader="none"/>
        </w:tabs>
      </w:pPr>
      <w:rPr>
        <w:rFonts w:hint="eastAsia"/>
      </w:rPr>
    </w:lvl>
    <w:lvl w:ilvl="5">
      <w:start w:val="1"/>
      <w:numFmt w:val="decimal"/>
      <w:isLgl w:val="false"/>
      <w:suff w:val="tab"/>
      <w:lvlText w:val="%1.%2.%3.%4.%5.%6."/>
      <w:lvlJc w:val="left"/>
      <w:pPr>
        <w:pStyle w:val="777"/>
        <w:ind w:left="1134" w:hanging="1134"/>
        <w:tabs>
          <w:tab w:val="num" w:pos="1134" w:leader="none"/>
        </w:tabs>
      </w:pPr>
      <w:rPr>
        <w:rFonts w:hint="eastAsia"/>
      </w:rPr>
    </w:lvl>
    <w:lvl w:ilvl="6">
      <w:start w:val="1"/>
      <w:numFmt w:val="decimal"/>
      <w:isLgl w:val="false"/>
      <w:suff w:val="tab"/>
      <w:lvlText w:val="%1.%2.%3.%4.%5.%6.%7."/>
      <w:lvlJc w:val="left"/>
      <w:pPr>
        <w:pStyle w:val="777"/>
        <w:ind w:left="1276" w:hanging="1276"/>
        <w:tabs>
          <w:tab w:val="num" w:pos="1276" w:leader="none"/>
        </w:tabs>
      </w:pPr>
      <w:rPr>
        <w:rFonts w:hint="eastAsia"/>
      </w:rPr>
    </w:lvl>
    <w:lvl w:ilvl="7">
      <w:start w:val="1"/>
      <w:numFmt w:val="decimal"/>
      <w:isLgl w:val="false"/>
      <w:suff w:val="tab"/>
      <w:lvlText w:val="%1.%2.%3.%4.%5.%6.%7.%8."/>
      <w:lvlJc w:val="left"/>
      <w:pPr>
        <w:pStyle w:val="777"/>
        <w:ind w:left="1418" w:hanging="1418"/>
        <w:tabs>
          <w:tab w:val="num" w:pos="1418" w:leader="none"/>
        </w:tabs>
      </w:pPr>
      <w:rPr>
        <w:rFonts w:hint="eastAsia"/>
      </w:rPr>
    </w:lvl>
    <w:lvl w:ilvl="8">
      <w:start w:val="1"/>
      <w:numFmt w:val="decimal"/>
      <w:isLgl w:val="false"/>
      <w:suff w:val="tab"/>
      <w:lvlText w:val="%1.%2.%3.%4.%5.%6.%7.%8.%9."/>
      <w:lvlJc w:val="left"/>
      <w:pPr>
        <w:pStyle w:val="777"/>
        <w:ind w:left="1559" w:hanging="1559"/>
        <w:tabs>
          <w:tab w:val="num" w:pos="1559" w:leader="none"/>
        </w:tabs>
      </w:pPr>
      <w:rPr>
        <w:rFonts w:hint="eastAsia"/>
      </w:rPr>
    </w:lvl>
  </w:abstractNum>
  <w:abstractNum w:abstractNumId="17">
    <w:multiLevelType w:val="hybridMultilevel"/>
    <w:lvl w:ilvl="0">
      <w:start w:val="1"/>
      <w:numFmt w:val="bullet"/>
      <w:isLgl w:val="false"/>
      <w:suff w:val="tab"/>
      <w:lvlText w:val=""/>
      <w:lvlJc w:val="left"/>
      <w:pPr>
        <w:pStyle w:val="777"/>
        <w:ind w:left="1060" w:hanging="420"/>
      </w:pPr>
      <w:rPr>
        <w:rFonts w:ascii="Wingdings" w:hAnsi="Wingdings"/>
      </w:rPr>
    </w:lvl>
    <w:lvl w:ilvl="1">
      <w:start w:val="1"/>
      <w:numFmt w:val="bullet"/>
      <w:isLgl w:val="false"/>
      <w:suff w:val="tab"/>
      <w:lvlText w:val=""/>
      <w:lvlJc w:val="left"/>
      <w:pPr>
        <w:pStyle w:val="777"/>
        <w:ind w:left="1480" w:hanging="420"/>
      </w:pPr>
      <w:rPr>
        <w:rFonts w:ascii="Wingdings" w:hAnsi="Wingdings"/>
      </w:rPr>
    </w:lvl>
    <w:lvl w:ilvl="2">
      <w:start w:val="1"/>
      <w:numFmt w:val="bullet"/>
      <w:isLgl w:val="false"/>
      <w:suff w:val="tab"/>
      <w:lvlText w:val=""/>
      <w:lvlJc w:val="left"/>
      <w:pPr>
        <w:pStyle w:val="777"/>
        <w:ind w:left="1900" w:hanging="420"/>
      </w:pPr>
      <w:rPr>
        <w:rFonts w:ascii="Wingdings" w:hAnsi="Wingdings"/>
      </w:rPr>
    </w:lvl>
    <w:lvl w:ilvl="3">
      <w:start w:val="1"/>
      <w:numFmt w:val="bullet"/>
      <w:isLgl w:val="false"/>
      <w:suff w:val="tab"/>
      <w:lvlText w:val=""/>
      <w:lvlJc w:val="left"/>
      <w:pPr>
        <w:pStyle w:val="777"/>
        <w:ind w:left="2320" w:hanging="420"/>
      </w:pPr>
      <w:rPr>
        <w:rFonts w:ascii="Wingdings" w:hAnsi="Wingdings"/>
      </w:rPr>
    </w:lvl>
    <w:lvl w:ilvl="4">
      <w:start w:val="1"/>
      <w:numFmt w:val="bullet"/>
      <w:isLgl w:val="false"/>
      <w:suff w:val="tab"/>
      <w:lvlText w:val=""/>
      <w:lvlJc w:val="left"/>
      <w:pPr>
        <w:pStyle w:val="777"/>
        <w:ind w:left="2740" w:hanging="420"/>
      </w:pPr>
      <w:rPr>
        <w:rFonts w:ascii="Wingdings" w:hAnsi="Wingdings"/>
      </w:rPr>
    </w:lvl>
    <w:lvl w:ilvl="5">
      <w:start w:val="1"/>
      <w:numFmt w:val="bullet"/>
      <w:isLgl w:val="false"/>
      <w:suff w:val="tab"/>
      <w:lvlText w:val=""/>
      <w:lvlJc w:val="left"/>
      <w:pPr>
        <w:pStyle w:val="777"/>
        <w:ind w:left="3160" w:hanging="420"/>
      </w:pPr>
      <w:rPr>
        <w:rFonts w:ascii="Wingdings" w:hAnsi="Wingdings"/>
      </w:rPr>
    </w:lvl>
    <w:lvl w:ilvl="6">
      <w:start w:val="1"/>
      <w:numFmt w:val="bullet"/>
      <w:isLgl w:val="false"/>
      <w:suff w:val="tab"/>
      <w:lvlText w:val=""/>
      <w:lvlJc w:val="left"/>
      <w:pPr>
        <w:pStyle w:val="777"/>
        <w:ind w:left="3580" w:hanging="420"/>
      </w:pPr>
      <w:rPr>
        <w:rFonts w:ascii="Wingdings" w:hAnsi="Wingdings"/>
      </w:rPr>
    </w:lvl>
    <w:lvl w:ilvl="7">
      <w:start w:val="1"/>
      <w:numFmt w:val="bullet"/>
      <w:isLgl w:val="false"/>
      <w:suff w:val="tab"/>
      <w:lvlText w:val=""/>
      <w:lvlJc w:val="left"/>
      <w:pPr>
        <w:pStyle w:val="777"/>
        <w:ind w:left="4000" w:hanging="420"/>
      </w:pPr>
      <w:rPr>
        <w:rFonts w:ascii="Wingdings" w:hAnsi="Wingdings"/>
      </w:rPr>
    </w:lvl>
    <w:lvl w:ilvl="8">
      <w:start w:val="1"/>
      <w:numFmt w:val="bullet"/>
      <w:isLgl w:val="false"/>
      <w:suff w:val="tab"/>
      <w:lvlText w:val=""/>
      <w:lvlJc w:val="left"/>
      <w:pPr>
        <w:pStyle w:val="777"/>
        <w:ind w:left="4420" w:hanging="420"/>
      </w:pPr>
      <w:rPr>
        <w:rFonts w:ascii="Wingdings" w:hAnsi="Wingdings"/>
      </w:rPr>
    </w:lvl>
  </w:abstractNum>
  <w:abstractNum w:abstractNumId="18">
    <w:multiLevelType w:val="hybridMultilevel"/>
    <w:lvl w:ilvl="0">
      <w:start w:val="1"/>
      <w:numFmt w:val="decimal"/>
      <w:isLgl w:val="false"/>
      <w:suff w:val="tab"/>
      <w:lvlText w:val="%1."/>
      <w:lvlJc w:val="left"/>
      <w:pPr>
        <w:pStyle w:val="777"/>
        <w:ind w:left="510" w:hanging="360"/>
        <w:tabs>
          <w:tab w:val="num" w:pos="510" w:leader="none"/>
        </w:tabs>
      </w:pPr>
      <w:rPr>
        <w:rFonts w:hint="eastAsia" w:cs="Times New Roman"/>
      </w:rPr>
    </w:lvl>
    <w:lvl w:ilvl="1">
      <w:start w:val="1"/>
      <w:numFmt w:val="decimal"/>
      <w:isLgl w:val="false"/>
      <w:suff w:val="tab"/>
      <w:lvlText w:val="%2．"/>
      <w:lvlJc w:val="left"/>
      <w:pPr>
        <w:pStyle w:val="777"/>
        <w:ind w:left="1290" w:hanging="720"/>
        <w:tabs>
          <w:tab w:val="num" w:pos="1290" w:leader="none"/>
        </w:tabs>
      </w:pPr>
      <w:rPr>
        <w:rFonts w:hint="eastAsia" w:cs="Times New Roman"/>
      </w:rPr>
    </w:lvl>
    <w:lvl w:ilvl="2">
      <w:start w:val="3"/>
      <w:numFmt w:val="decimal"/>
      <w:isLgl w:val="false"/>
      <w:suff w:val="tab"/>
      <w:lvlText w:val="（%3）"/>
      <w:lvlJc w:val="left"/>
      <w:pPr>
        <w:pStyle w:val="777"/>
        <w:ind w:left="1140" w:hanging="720"/>
        <w:tabs>
          <w:tab w:val="num" w:pos="1140" w:leader="none"/>
        </w:tabs>
      </w:pPr>
      <w:rPr>
        <w:rFonts w:hint="eastAsia" w:cs="Times New Roman"/>
      </w:rPr>
    </w:lvl>
    <w:lvl w:ilvl="3">
      <w:start w:val="1"/>
      <w:numFmt w:val="decimal"/>
      <w:isLgl w:val="false"/>
      <w:suff w:val="tab"/>
      <w:lvlText w:val="（%4）"/>
      <w:lvlJc w:val="left"/>
      <w:pPr>
        <w:pStyle w:val="77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7"/>
        <w:ind w:left="2250" w:hanging="420"/>
        <w:tabs>
          <w:tab w:val="num" w:pos="2250" w:leader="none"/>
        </w:tabs>
      </w:pPr>
      <w:rPr>
        <w:rFonts w:hint="eastAsia"/>
        <w:b/>
        <w:lang w:val="en-US"/>
      </w:rPr>
    </w:lvl>
    <w:lvl w:ilvl="5">
      <w:start w:val="10"/>
      <w:numFmt w:val="japaneseCounting"/>
      <w:isLgl w:val="false"/>
      <w:suff w:val="tab"/>
      <w:lvlText w:val="（%6）"/>
      <w:lvlJc w:val="left"/>
      <w:pPr>
        <w:pStyle w:val="777"/>
        <w:ind w:left="2970" w:hanging="720"/>
      </w:pPr>
      <w:rPr>
        <w:rFonts w:cs="Times New Roman"/>
      </w:rPr>
    </w:lvl>
    <w:lvl w:ilvl="6">
      <w:start w:val="1"/>
      <w:numFmt w:val="decimal"/>
      <w:isLgl w:val="false"/>
      <w:suff w:val="tab"/>
      <w:lvlText w:val="（%7）"/>
      <w:lvlJc w:val="left"/>
      <w:pPr>
        <w:pStyle w:val="77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77"/>
        <w:ind w:left="3510" w:hanging="420"/>
        <w:tabs>
          <w:tab w:val="num" w:pos="3510" w:leader="none"/>
        </w:tabs>
      </w:pPr>
      <w:rPr>
        <w:rFonts w:cs="Times New Roman"/>
      </w:rPr>
    </w:lvl>
    <w:lvl w:ilvl="8">
      <w:start w:val="1"/>
      <w:numFmt w:val="lowerRoman"/>
      <w:isLgl w:val="false"/>
      <w:suff w:val="tab"/>
      <w:lvlText w:val="%9."/>
      <w:lvlJc w:val="right"/>
      <w:pPr>
        <w:pStyle w:val="777"/>
        <w:ind w:left="3930" w:hanging="420"/>
        <w:tabs>
          <w:tab w:val="num" w:pos="3930" w:leader="none"/>
        </w:tabs>
      </w:pPr>
      <w:rPr>
        <w:rFonts w:cs="Times New Roman"/>
      </w:rPr>
    </w:lvl>
  </w:abstractNum>
  <w:abstractNum w:abstractNumId="19">
    <w:multiLevelType w:val="hybridMultilevel"/>
    <w:lvl w:ilvl="0">
      <w:start w:val="1"/>
      <w:numFmt w:val="japaneseCounting"/>
      <w:isLgl w:val="false"/>
      <w:suff w:val="tab"/>
      <w:lvlText w:val="（%1）"/>
      <w:lvlJc w:val="left"/>
      <w:pPr>
        <w:pStyle w:val="777"/>
        <w:ind w:left="1080" w:hanging="1080"/>
        <w:tabs>
          <w:tab w:val="num" w:pos="1080" w:leader="none"/>
        </w:tabs>
      </w:pPr>
      <w:rPr>
        <w:rFonts w:hint="eastAsia" w:cs="Times New Roman"/>
      </w:rPr>
    </w:lvl>
    <w:lvl w:ilvl="1">
      <w:start w:val="1"/>
      <w:numFmt w:val="decimal"/>
      <w:isLgl w:val="false"/>
      <w:suff w:val="tab"/>
      <w:lvlText w:val="%2."/>
      <w:lvlJc w:val="left"/>
      <w:pPr>
        <w:pStyle w:val="77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77"/>
        <w:ind w:left="1260" w:hanging="420"/>
        <w:tabs>
          <w:tab w:val="num" w:pos="1260" w:leader="none"/>
        </w:tabs>
      </w:pPr>
      <w:rPr>
        <w:rFonts w:cs="Times New Roman"/>
      </w:rPr>
    </w:lvl>
    <w:lvl w:ilvl="3">
      <w:start w:val="1"/>
      <w:numFmt w:val="decimal"/>
      <w:isLgl w:val="false"/>
      <w:suff w:val="tab"/>
      <w:lvlText w:val="%4."/>
      <w:lvlJc w:val="left"/>
      <w:pPr>
        <w:pStyle w:val="777"/>
        <w:ind w:left="1680" w:hanging="420"/>
        <w:tabs>
          <w:tab w:val="num" w:pos="1680" w:leader="none"/>
        </w:tabs>
      </w:pPr>
      <w:rPr>
        <w:rFonts w:cs="Times New Roman"/>
      </w:rPr>
    </w:lvl>
    <w:lvl w:ilvl="4">
      <w:start w:val="1"/>
      <w:numFmt w:val="lowerLetter"/>
      <w:isLgl w:val="false"/>
      <w:suff w:val="tab"/>
      <w:lvlText w:val="%5)"/>
      <w:lvlJc w:val="left"/>
      <w:pPr>
        <w:pStyle w:val="777"/>
        <w:ind w:left="2100" w:hanging="420"/>
        <w:tabs>
          <w:tab w:val="num" w:pos="2100" w:leader="none"/>
        </w:tabs>
      </w:pPr>
      <w:rPr>
        <w:rFonts w:cs="Times New Roman"/>
      </w:rPr>
    </w:lvl>
    <w:lvl w:ilvl="5">
      <w:start w:val="1"/>
      <w:numFmt w:val="lowerRoman"/>
      <w:isLgl w:val="false"/>
      <w:suff w:val="tab"/>
      <w:lvlText w:val="%6."/>
      <w:lvlJc w:val="right"/>
      <w:pPr>
        <w:pStyle w:val="777"/>
        <w:ind w:left="2520" w:hanging="420"/>
        <w:tabs>
          <w:tab w:val="num" w:pos="2520" w:leader="none"/>
        </w:tabs>
      </w:pPr>
      <w:rPr>
        <w:rFonts w:cs="Times New Roman"/>
      </w:rPr>
    </w:lvl>
    <w:lvl w:ilvl="6">
      <w:start w:val="1"/>
      <w:numFmt w:val="decimal"/>
      <w:isLgl w:val="false"/>
      <w:suff w:val="tab"/>
      <w:lvlText w:val="%7."/>
      <w:lvlJc w:val="left"/>
      <w:pPr>
        <w:pStyle w:val="777"/>
        <w:ind w:left="2940" w:hanging="420"/>
        <w:tabs>
          <w:tab w:val="num" w:pos="2940" w:leader="none"/>
        </w:tabs>
      </w:pPr>
      <w:rPr>
        <w:rFonts w:cs="Times New Roman"/>
      </w:rPr>
    </w:lvl>
    <w:lvl w:ilvl="7">
      <w:start w:val="1"/>
      <w:numFmt w:val="lowerLetter"/>
      <w:isLgl w:val="false"/>
      <w:suff w:val="tab"/>
      <w:lvlText w:val="%8)"/>
      <w:lvlJc w:val="left"/>
      <w:pPr>
        <w:pStyle w:val="777"/>
        <w:ind w:left="3360" w:hanging="420"/>
        <w:tabs>
          <w:tab w:val="num" w:pos="3360" w:leader="none"/>
        </w:tabs>
      </w:pPr>
      <w:rPr>
        <w:rFonts w:cs="Times New Roman"/>
      </w:rPr>
    </w:lvl>
    <w:lvl w:ilvl="8">
      <w:start w:val="1"/>
      <w:numFmt w:val="lowerRoman"/>
      <w:isLgl w:val="false"/>
      <w:suff w:val="tab"/>
      <w:lvlText w:val="%9."/>
      <w:lvlJc w:val="right"/>
      <w:pPr>
        <w:pStyle w:val="777"/>
        <w:ind w:left="3780" w:hanging="420"/>
        <w:tabs>
          <w:tab w:val="num" w:pos="3780" w:leader="none"/>
        </w:tabs>
      </w:pPr>
      <w:rPr>
        <w:rFonts w:cs="Times New Roman"/>
      </w:rPr>
    </w:lvl>
  </w:abstractNum>
  <w:abstractNum w:abstractNumId="20">
    <w:multiLevelType w:val="hybridMultilevel"/>
    <w:lvl w:ilvl="0">
      <w:start w:val="1"/>
      <w:numFmt w:val="chineseCountingThousand"/>
      <w:isLgl w:val="false"/>
      <w:suff w:val="nothing"/>
      <w:lvlText w:val="第%1章 "/>
      <w:lvlJc w:val="left"/>
      <w:pPr>
        <w:pStyle w:val="777"/>
        <w:ind w:left="0" w:firstLine="0"/>
      </w:pPr>
      <w:rPr>
        <w:rFonts w:hint="eastAsia"/>
      </w:rPr>
    </w:lvl>
    <w:lvl w:ilvl="1">
      <w:start w:val="1"/>
      <w:numFmt w:val="decimal"/>
      <w:isLgl w:val="false"/>
      <w:suff w:val="nothing"/>
      <w:lvlText w:val="%2、"/>
      <w:lvlJc w:val="left"/>
      <w:pPr>
        <w:pStyle w:val="777"/>
        <w:ind w:left="0" w:firstLine="0"/>
      </w:pPr>
      <w:rPr>
        <w:rFonts w:hint="eastAsia"/>
      </w:rPr>
    </w:lvl>
    <w:lvl w:ilvl="2">
      <w:start w:val="1"/>
      <w:numFmt w:val="decimal"/>
      <w:isLgl w:val="false"/>
      <w:suff w:val="nothing"/>
      <w:lvlText w:val="%2.%3 "/>
      <w:lvlJc w:val="left"/>
      <w:pPr>
        <w:pStyle w:val="777"/>
        <w:ind w:left="0" w:firstLine="0"/>
      </w:pPr>
      <w:rPr>
        <w:rFonts w:hint="eastAsia"/>
      </w:rPr>
    </w:lvl>
    <w:lvl w:ilvl="3">
      <w:start w:val="1"/>
      <w:numFmt w:val="decimal"/>
      <w:isLgl w:val="false"/>
      <w:suff w:val="nothing"/>
      <w:lvlText w:val="%2.%3.%4 "/>
      <w:lvlJc w:val="left"/>
      <w:pPr>
        <w:pStyle w:val="777"/>
        <w:ind w:left="0" w:firstLine="0"/>
      </w:pPr>
      <w:rPr>
        <w:rFonts w:hint="eastAsia"/>
      </w:rPr>
    </w:lvl>
    <w:lvl w:ilvl="4">
      <w:start w:val="1"/>
      <w:numFmt w:val="decimal"/>
      <w:isLgl w:val="false"/>
      <w:suff w:val="nothing"/>
      <w:lvlText w:val="%2.%3.%4.%5 "/>
      <w:lvlJc w:val="left"/>
      <w:pPr>
        <w:pStyle w:val="777"/>
        <w:ind w:left="0" w:firstLine="0"/>
      </w:pPr>
      <w:rPr>
        <w:rFonts w:hint="eastAsia"/>
      </w:rPr>
    </w:lvl>
    <w:lvl w:ilvl="5">
      <w:start w:val="1"/>
      <w:numFmt w:val="decimal"/>
      <w:pStyle w:val="783"/>
      <w:isLgl w:val="false"/>
      <w:suff w:val="nothing"/>
      <w:lvlText w:val=""/>
      <w:lvlJc w:val="left"/>
      <w:pPr>
        <w:pStyle w:val="777"/>
        <w:ind w:left="0" w:firstLine="0"/>
      </w:pPr>
      <w:rPr>
        <w:rFonts w:hint="eastAsia"/>
      </w:rPr>
    </w:lvl>
    <w:lvl w:ilvl="6">
      <w:start w:val="1"/>
      <w:numFmt w:val="decimal"/>
      <w:pStyle w:val="784"/>
      <w:isLgl w:val="false"/>
      <w:suff w:val="nothing"/>
      <w:lvlText w:val=""/>
      <w:lvlJc w:val="left"/>
      <w:pPr>
        <w:pStyle w:val="777"/>
        <w:ind w:left="0" w:firstLine="0"/>
      </w:pPr>
      <w:rPr>
        <w:rFonts w:hint="eastAsia"/>
      </w:rPr>
    </w:lvl>
    <w:lvl w:ilvl="7">
      <w:start w:val="1"/>
      <w:numFmt w:val="decimal"/>
      <w:pStyle w:val="785"/>
      <w:isLgl w:val="false"/>
      <w:suff w:val="nothing"/>
      <w:lvlText w:val=""/>
      <w:lvlJc w:val="left"/>
      <w:pPr>
        <w:pStyle w:val="777"/>
        <w:ind w:left="0" w:firstLine="0"/>
      </w:pPr>
      <w:rPr>
        <w:rFonts w:hint="eastAsia"/>
      </w:rPr>
    </w:lvl>
    <w:lvl w:ilvl="8">
      <w:start w:val="1"/>
      <w:numFmt w:val="decimal"/>
      <w:pStyle w:val="786"/>
      <w:isLgl w:val="false"/>
      <w:suff w:val="nothing"/>
      <w:lvlText w:val=""/>
      <w:lvlJc w:val="left"/>
      <w:pPr>
        <w:pStyle w:val="777"/>
        <w:ind w:left="0" w:firstLine="0"/>
      </w:pPr>
      <w:rPr>
        <w:rFonts w:hint="eastAsia"/>
      </w:rPr>
    </w:lvl>
  </w:abstractNum>
  <w:abstractNum w:abstractNumId="21">
    <w:multiLevelType w:val="hybridMultilevel"/>
    <w:lvl w:ilvl="0">
      <w:start w:val="1"/>
      <w:numFmt w:val="chineseCounting"/>
      <w:isLgl w:val="false"/>
      <w:suff w:val="nothing"/>
      <w:lvlText w:val="%1、"/>
      <w:lvlJc w:val="left"/>
      <w:pPr>
        <w:pStyle w:val="777"/>
      </w:pPr>
      <w:rPr>
        <w:rFonts w:hint="eastAsia"/>
      </w:rPr>
    </w:lvl>
    <w:lvl w:ilvl="1">
      <w:start w:val="1"/>
      <w:numFmt w:val="bullet"/>
      <w:isLgl w:val="false"/>
      <w:suff w:val="tab"/>
      <w:lvlText w:val="o"/>
      <w:lvlJc w:val="left"/>
      <w:pPr>
        <w:pStyle w:val="777"/>
        <w:ind w:left="1440" w:hanging="360"/>
      </w:pPr>
      <w:rPr>
        <w:rFonts w:ascii="Courier New" w:hAnsi="Courier New" w:eastAsia="Courier New" w:cs="Courier New"/>
      </w:rPr>
    </w:lvl>
    <w:lvl w:ilvl="2">
      <w:start w:val="1"/>
      <w:numFmt w:val="bullet"/>
      <w:isLgl w:val="false"/>
      <w:suff w:val="tab"/>
      <w:lvlText w:val="§"/>
      <w:lvlJc w:val="left"/>
      <w:pPr>
        <w:pStyle w:val="777"/>
        <w:ind w:left="2160" w:hanging="360"/>
      </w:pPr>
      <w:rPr>
        <w:rFonts w:ascii="Wingdings" w:hAnsi="Wingdings" w:eastAsia="Wingdings" w:cs="Wingdings"/>
      </w:rPr>
    </w:lvl>
    <w:lvl w:ilvl="3">
      <w:start w:val="1"/>
      <w:numFmt w:val="bullet"/>
      <w:isLgl w:val="false"/>
      <w:suff w:val="tab"/>
      <w:lvlText w:val="·"/>
      <w:lvlJc w:val="left"/>
      <w:pPr>
        <w:pStyle w:val="777"/>
        <w:ind w:left="2880" w:hanging="360"/>
      </w:pPr>
      <w:rPr>
        <w:rFonts w:ascii="Symbol" w:hAnsi="Symbol" w:eastAsia="Symbol" w:cs="Symbol"/>
      </w:rPr>
    </w:lvl>
    <w:lvl w:ilvl="4">
      <w:start w:val="1"/>
      <w:numFmt w:val="bullet"/>
      <w:isLgl w:val="false"/>
      <w:suff w:val="tab"/>
      <w:lvlText w:val="o"/>
      <w:lvlJc w:val="left"/>
      <w:pPr>
        <w:pStyle w:val="777"/>
        <w:ind w:left="3600" w:hanging="360"/>
      </w:pPr>
      <w:rPr>
        <w:rFonts w:ascii="Courier New" w:hAnsi="Courier New" w:eastAsia="Courier New" w:cs="Courier New"/>
      </w:rPr>
    </w:lvl>
    <w:lvl w:ilvl="5">
      <w:start w:val="1"/>
      <w:numFmt w:val="bullet"/>
      <w:isLgl w:val="false"/>
      <w:suff w:val="tab"/>
      <w:lvlText w:val="§"/>
      <w:lvlJc w:val="left"/>
      <w:pPr>
        <w:pStyle w:val="777"/>
        <w:ind w:left="4320" w:hanging="360"/>
      </w:pPr>
      <w:rPr>
        <w:rFonts w:ascii="Wingdings" w:hAnsi="Wingdings" w:eastAsia="Wingdings" w:cs="Wingdings"/>
      </w:rPr>
    </w:lvl>
    <w:lvl w:ilvl="6">
      <w:start w:val="1"/>
      <w:numFmt w:val="bullet"/>
      <w:isLgl w:val="false"/>
      <w:suff w:val="tab"/>
      <w:lvlText w:val="·"/>
      <w:lvlJc w:val="left"/>
      <w:pPr>
        <w:pStyle w:val="777"/>
        <w:ind w:left="5040" w:hanging="360"/>
      </w:pPr>
      <w:rPr>
        <w:rFonts w:ascii="Symbol" w:hAnsi="Symbol" w:eastAsia="Symbol" w:cs="Symbol"/>
      </w:rPr>
    </w:lvl>
    <w:lvl w:ilvl="7">
      <w:start w:val="1"/>
      <w:numFmt w:val="bullet"/>
      <w:isLgl w:val="false"/>
      <w:suff w:val="tab"/>
      <w:lvlText w:val="o"/>
      <w:lvlJc w:val="left"/>
      <w:pPr>
        <w:pStyle w:val="777"/>
        <w:ind w:left="5760" w:hanging="360"/>
      </w:pPr>
      <w:rPr>
        <w:rFonts w:ascii="Courier New" w:hAnsi="Courier New" w:eastAsia="Courier New" w:cs="Courier New"/>
      </w:rPr>
    </w:lvl>
    <w:lvl w:ilvl="8">
      <w:start w:val="1"/>
      <w:numFmt w:val="bullet"/>
      <w:isLgl w:val="false"/>
      <w:suff w:val="tab"/>
      <w:lvlText w:val="§"/>
      <w:lvlJc w:val="left"/>
      <w:pPr>
        <w:pStyle w:val="777"/>
        <w:ind w:left="6480" w:hanging="360"/>
      </w:pPr>
      <w:rPr>
        <w:rFonts w:ascii="Wingdings" w:hAnsi="Wingdings" w:eastAsia="Wingdings" w:cs="Wingdings"/>
      </w:rPr>
    </w:lvl>
  </w:abstractNum>
  <w:abstractNum w:abstractNumId="22">
    <w:multiLevelType w:val="hybridMultilevel"/>
    <w:lvl w:ilvl="0">
      <w:start w:val="1"/>
      <w:numFmt w:val="bullet"/>
      <w:isLgl w:val="false"/>
      <w:suff w:val="tab"/>
      <w:lvlText w:val=""/>
      <w:lvlJc w:val="left"/>
      <w:pPr>
        <w:pStyle w:val="777"/>
        <w:ind w:left="900" w:hanging="420"/>
      </w:pPr>
      <w:rPr>
        <w:rFonts w:ascii="Wingdings" w:hAnsi="Wingdings"/>
      </w:rPr>
    </w:lvl>
    <w:lvl w:ilvl="1">
      <w:start w:val="1"/>
      <w:numFmt w:val="bullet"/>
      <w:isLgl w:val="false"/>
      <w:suff w:val="tab"/>
      <w:lvlText w:val=""/>
      <w:lvlJc w:val="left"/>
      <w:pPr>
        <w:pStyle w:val="777"/>
        <w:ind w:left="1320" w:hanging="420"/>
      </w:pPr>
      <w:rPr>
        <w:rFonts w:ascii="Wingdings" w:hAnsi="Wingdings"/>
      </w:rPr>
    </w:lvl>
    <w:lvl w:ilvl="2">
      <w:start w:val="1"/>
      <w:numFmt w:val="bullet"/>
      <w:isLgl w:val="false"/>
      <w:suff w:val="tab"/>
      <w:lvlText w:val=""/>
      <w:lvlJc w:val="left"/>
      <w:pPr>
        <w:pStyle w:val="777"/>
        <w:ind w:left="1740" w:hanging="420"/>
      </w:pPr>
      <w:rPr>
        <w:rFonts w:ascii="Wingdings" w:hAnsi="Wingdings"/>
      </w:rPr>
    </w:lvl>
    <w:lvl w:ilvl="3">
      <w:start w:val="1"/>
      <w:numFmt w:val="bullet"/>
      <w:isLgl w:val="false"/>
      <w:suff w:val="tab"/>
      <w:lvlText w:val=""/>
      <w:lvlJc w:val="left"/>
      <w:pPr>
        <w:pStyle w:val="777"/>
        <w:ind w:left="2160" w:hanging="420"/>
      </w:pPr>
      <w:rPr>
        <w:rFonts w:ascii="Wingdings" w:hAnsi="Wingdings"/>
      </w:rPr>
    </w:lvl>
    <w:lvl w:ilvl="4">
      <w:start w:val="1"/>
      <w:numFmt w:val="bullet"/>
      <w:isLgl w:val="false"/>
      <w:suff w:val="tab"/>
      <w:lvlText w:val=""/>
      <w:lvlJc w:val="left"/>
      <w:pPr>
        <w:pStyle w:val="777"/>
        <w:ind w:left="2580" w:hanging="420"/>
      </w:pPr>
      <w:rPr>
        <w:rFonts w:ascii="Wingdings" w:hAnsi="Wingdings"/>
      </w:rPr>
    </w:lvl>
    <w:lvl w:ilvl="5">
      <w:start w:val="1"/>
      <w:numFmt w:val="bullet"/>
      <w:isLgl w:val="false"/>
      <w:suff w:val="tab"/>
      <w:lvlText w:val=""/>
      <w:lvlJc w:val="left"/>
      <w:pPr>
        <w:pStyle w:val="777"/>
        <w:ind w:left="3000" w:hanging="420"/>
      </w:pPr>
      <w:rPr>
        <w:rFonts w:ascii="Wingdings" w:hAnsi="Wingdings"/>
      </w:rPr>
    </w:lvl>
    <w:lvl w:ilvl="6">
      <w:start w:val="1"/>
      <w:numFmt w:val="bullet"/>
      <w:isLgl w:val="false"/>
      <w:suff w:val="tab"/>
      <w:lvlText w:val=""/>
      <w:lvlJc w:val="left"/>
      <w:pPr>
        <w:pStyle w:val="777"/>
        <w:ind w:left="3420" w:hanging="420"/>
      </w:pPr>
      <w:rPr>
        <w:rFonts w:ascii="Wingdings" w:hAnsi="Wingdings"/>
      </w:rPr>
    </w:lvl>
    <w:lvl w:ilvl="7">
      <w:start w:val="1"/>
      <w:numFmt w:val="bullet"/>
      <w:isLgl w:val="false"/>
      <w:suff w:val="tab"/>
      <w:lvlText w:val=""/>
      <w:lvlJc w:val="left"/>
      <w:pPr>
        <w:pStyle w:val="777"/>
        <w:ind w:left="3840" w:hanging="420"/>
      </w:pPr>
      <w:rPr>
        <w:rFonts w:ascii="Wingdings" w:hAnsi="Wingdings"/>
      </w:rPr>
    </w:lvl>
    <w:lvl w:ilvl="8">
      <w:start w:val="1"/>
      <w:numFmt w:val="bullet"/>
      <w:isLgl w:val="false"/>
      <w:suff w:val="tab"/>
      <w:lvlText w:val=""/>
      <w:lvlJc w:val="left"/>
      <w:pPr>
        <w:pStyle w:val="777"/>
        <w:ind w:left="4260" w:hanging="420"/>
      </w:pPr>
      <w:rPr>
        <w:rFonts w:ascii="Wingdings" w:hAnsi="Wingdings"/>
      </w:rPr>
    </w:lvl>
  </w:abstractNum>
  <w:abstractNum w:abstractNumId="23">
    <w:multiLevelType w:val="hybridMultilevel"/>
    <w:lvl w:ilvl="0">
      <w:start w:val="1"/>
      <w:numFmt w:val="bullet"/>
      <w:isLgl w:val="false"/>
      <w:suff w:val="tab"/>
      <w:lvlText w:val=""/>
      <w:lvlJc w:val="left"/>
      <w:pPr>
        <w:pStyle w:val="777"/>
        <w:ind w:left="1060" w:hanging="420"/>
      </w:pPr>
      <w:rPr>
        <w:rFonts w:ascii="Wingdings" w:hAnsi="Wingdings"/>
      </w:rPr>
    </w:lvl>
    <w:lvl w:ilvl="1">
      <w:start w:val="1"/>
      <w:numFmt w:val="bullet"/>
      <w:isLgl w:val="false"/>
      <w:suff w:val="tab"/>
      <w:lvlText w:val=""/>
      <w:lvlJc w:val="left"/>
      <w:pPr>
        <w:pStyle w:val="777"/>
        <w:ind w:left="1480" w:hanging="420"/>
      </w:pPr>
      <w:rPr>
        <w:rFonts w:ascii="Wingdings" w:hAnsi="Wingdings"/>
      </w:rPr>
    </w:lvl>
    <w:lvl w:ilvl="2">
      <w:start w:val="1"/>
      <w:numFmt w:val="bullet"/>
      <w:isLgl w:val="false"/>
      <w:suff w:val="tab"/>
      <w:lvlText w:val=""/>
      <w:lvlJc w:val="left"/>
      <w:pPr>
        <w:pStyle w:val="777"/>
        <w:ind w:left="1900" w:hanging="420"/>
      </w:pPr>
      <w:rPr>
        <w:rFonts w:ascii="Wingdings" w:hAnsi="Wingdings"/>
      </w:rPr>
    </w:lvl>
    <w:lvl w:ilvl="3">
      <w:start w:val="1"/>
      <w:numFmt w:val="bullet"/>
      <w:isLgl w:val="false"/>
      <w:suff w:val="tab"/>
      <w:lvlText w:val=""/>
      <w:lvlJc w:val="left"/>
      <w:pPr>
        <w:pStyle w:val="777"/>
        <w:ind w:left="2320" w:hanging="420"/>
      </w:pPr>
      <w:rPr>
        <w:rFonts w:ascii="Wingdings" w:hAnsi="Wingdings"/>
      </w:rPr>
    </w:lvl>
    <w:lvl w:ilvl="4">
      <w:start w:val="1"/>
      <w:numFmt w:val="bullet"/>
      <w:isLgl w:val="false"/>
      <w:suff w:val="tab"/>
      <w:lvlText w:val=""/>
      <w:lvlJc w:val="left"/>
      <w:pPr>
        <w:pStyle w:val="777"/>
        <w:ind w:left="2740" w:hanging="420"/>
      </w:pPr>
      <w:rPr>
        <w:rFonts w:ascii="Wingdings" w:hAnsi="Wingdings"/>
      </w:rPr>
    </w:lvl>
    <w:lvl w:ilvl="5">
      <w:start w:val="1"/>
      <w:numFmt w:val="bullet"/>
      <w:isLgl w:val="false"/>
      <w:suff w:val="tab"/>
      <w:lvlText w:val=""/>
      <w:lvlJc w:val="left"/>
      <w:pPr>
        <w:pStyle w:val="777"/>
        <w:ind w:left="3160" w:hanging="420"/>
      </w:pPr>
      <w:rPr>
        <w:rFonts w:ascii="Wingdings" w:hAnsi="Wingdings"/>
      </w:rPr>
    </w:lvl>
    <w:lvl w:ilvl="6">
      <w:start w:val="1"/>
      <w:numFmt w:val="bullet"/>
      <w:isLgl w:val="false"/>
      <w:suff w:val="tab"/>
      <w:lvlText w:val=""/>
      <w:lvlJc w:val="left"/>
      <w:pPr>
        <w:pStyle w:val="777"/>
        <w:ind w:left="3580" w:hanging="420"/>
      </w:pPr>
      <w:rPr>
        <w:rFonts w:ascii="Wingdings" w:hAnsi="Wingdings"/>
      </w:rPr>
    </w:lvl>
    <w:lvl w:ilvl="7">
      <w:start w:val="1"/>
      <w:numFmt w:val="bullet"/>
      <w:isLgl w:val="false"/>
      <w:suff w:val="tab"/>
      <w:lvlText w:val=""/>
      <w:lvlJc w:val="left"/>
      <w:pPr>
        <w:pStyle w:val="777"/>
        <w:ind w:left="4000" w:hanging="420"/>
      </w:pPr>
      <w:rPr>
        <w:rFonts w:ascii="Wingdings" w:hAnsi="Wingdings"/>
      </w:rPr>
    </w:lvl>
    <w:lvl w:ilvl="8">
      <w:start w:val="1"/>
      <w:numFmt w:val="bullet"/>
      <w:isLgl w:val="false"/>
      <w:suff w:val="tab"/>
      <w:lvlText w:val=""/>
      <w:lvlJc w:val="left"/>
      <w:pPr>
        <w:pStyle w:val="777"/>
        <w:ind w:left="4420" w:hanging="420"/>
      </w:pPr>
      <w:rPr>
        <w:rFonts w:ascii="Wingdings" w:hAnsi="Wingdings"/>
      </w:rPr>
    </w:lvl>
  </w:abstractNum>
  <w:abstractNum w:abstractNumId="24">
    <w:multiLevelType w:val="hybridMultilevel"/>
    <w:lvl w:ilvl="0">
      <w:start w:val="1"/>
      <w:numFmt w:val="decimal"/>
      <w:isLgl w:val="false"/>
      <w:suff w:val="tab"/>
      <w:lvlText w:val="%1)"/>
      <w:lvlJc w:val="left"/>
      <w:pPr>
        <w:pStyle w:val="777"/>
        <w:ind w:left="980" w:hanging="420"/>
      </w:pPr>
    </w:lvl>
    <w:lvl w:ilvl="1">
      <w:start w:val="1"/>
      <w:numFmt w:val="lowerLetter"/>
      <w:isLgl w:val="false"/>
      <w:suff w:val="tab"/>
      <w:lvlText w:val="%2)"/>
      <w:lvlJc w:val="left"/>
      <w:pPr>
        <w:pStyle w:val="777"/>
        <w:ind w:left="1400" w:hanging="420"/>
      </w:pPr>
    </w:lvl>
    <w:lvl w:ilvl="2">
      <w:start w:val="1"/>
      <w:numFmt w:val="lowerRoman"/>
      <w:isLgl w:val="false"/>
      <w:suff w:val="tab"/>
      <w:lvlText w:val="%3."/>
      <w:lvlJc w:val="right"/>
      <w:pPr>
        <w:pStyle w:val="777"/>
        <w:ind w:left="1820" w:hanging="420"/>
      </w:pPr>
    </w:lvl>
    <w:lvl w:ilvl="3">
      <w:start w:val="1"/>
      <w:numFmt w:val="decimal"/>
      <w:isLgl w:val="false"/>
      <w:suff w:val="tab"/>
      <w:lvlText w:val="%4."/>
      <w:lvlJc w:val="left"/>
      <w:pPr>
        <w:pStyle w:val="777"/>
        <w:ind w:left="2240" w:hanging="420"/>
      </w:pPr>
    </w:lvl>
    <w:lvl w:ilvl="4">
      <w:start w:val="1"/>
      <w:numFmt w:val="lowerLetter"/>
      <w:isLgl w:val="false"/>
      <w:suff w:val="tab"/>
      <w:lvlText w:val="%5)"/>
      <w:lvlJc w:val="left"/>
      <w:pPr>
        <w:pStyle w:val="777"/>
        <w:ind w:left="2660" w:hanging="420"/>
      </w:pPr>
    </w:lvl>
    <w:lvl w:ilvl="5">
      <w:start w:val="1"/>
      <w:numFmt w:val="lowerRoman"/>
      <w:isLgl w:val="false"/>
      <w:suff w:val="tab"/>
      <w:lvlText w:val="%6."/>
      <w:lvlJc w:val="right"/>
      <w:pPr>
        <w:pStyle w:val="777"/>
        <w:ind w:left="3080" w:hanging="420"/>
      </w:pPr>
    </w:lvl>
    <w:lvl w:ilvl="6">
      <w:start w:val="1"/>
      <w:numFmt w:val="decimal"/>
      <w:isLgl w:val="false"/>
      <w:suff w:val="tab"/>
      <w:lvlText w:val="%7."/>
      <w:lvlJc w:val="left"/>
      <w:pPr>
        <w:pStyle w:val="777"/>
        <w:ind w:left="3500" w:hanging="420"/>
      </w:pPr>
    </w:lvl>
    <w:lvl w:ilvl="7">
      <w:start w:val="1"/>
      <w:numFmt w:val="lowerLetter"/>
      <w:isLgl w:val="false"/>
      <w:suff w:val="tab"/>
      <w:lvlText w:val="%8)"/>
      <w:lvlJc w:val="left"/>
      <w:pPr>
        <w:pStyle w:val="777"/>
        <w:ind w:left="3920" w:hanging="420"/>
      </w:pPr>
    </w:lvl>
    <w:lvl w:ilvl="8">
      <w:start w:val="1"/>
      <w:numFmt w:val="lowerRoman"/>
      <w:isLgl w:val="false"/>
      <w:suff w:val="tab"/>
      <w:lvlText w:val="%9."/>
      <w:lvlJc w:val="right"/>
      <w:pPr>
        <w:pStyle w:val="777"/>
        <w:ind w:left="4340" w:hanging="420"/>
      </w:pPr>
    </w:lvl>
  </w:abstractNum>
  <w:abstractNum w:abstractNumId="25">
    <w:multiLevelType w:val="hybridMultilevel"/>
    <w:lvl w:ilvl="0">
      <w:start w:val="1"/>
      <w:numFmt w:val="decimal"/>
      <w:isLgl w:val="false"/>
      <w:suff w:val="tab"/>
      <w:lvlText w:val="%1."/>
      <w:lvlJc w:val="left"/>
      <w:pPr>
        <w:pStyle w:val="777"/>
        <w:ind w:left="510" w:hanging="360"/>
        <w:tabs>
          <w:tab w:val="num" w:pos="510" w:leader="none"/>
        </w:tabs>
      </w:pPr>
      <w:rPr>
        <w:rFonts w:hint="eastAsia" w:cs="Times New Roman"/>
      </w:rPr>
    </w:lvl>
    <w:lvl w:ilvl="1">
      <w:start w:val="1"/>
      <w:numFmt w:val="decimal"/>
      <w:isLgl w:val="false"/>
      <w:suff w:val="tab"/>
      <w:lvlText w:val="%2．"/>
      <w:lvlJc w:val="left"/>
      <w:pPr>
        <w:pStyle w:val="777"/>
        <w:ind w:left="1290" w:hanging="720"/>
        <w:tabs>
          <w:tab w:val="num" w:pos="1290" w:leader="none"/>
        </w:tabs>
      </w:pPr>
      <w:rPr>
        <w:rFonts w:hint="eastAsia" w:cs="Times New Roman"/>
      </w:rPr>
    </w:lvl>
    <w:lvl w:ilvl="2">
      <w:start w:val="3"/>
      <w:numFmt w:val="decimal"/>
      <w:isLgl w:val="false"/>
      <w:suff w:val="tab"/>
      <w:lvlText w:val="（%3）"/>
      <w:lvlJc w:val="left"/>
      <w:pPr>
        <w:pStyle w:val="777"/>
        <w:ind w:left="1140" w:hanging="720"/>
        <w:tabs>
          <w:tab w:val="num" w:pos="1140" w:leader="none"/>
        </w:tabs>
      </w:pPr>
      <w:rPr>
        <w:rFonts w:hint="eastAsia" w:cs="Times New Roman"/>
      </w:rPr>
    </w:lvl>
    <w:lvl w:ilvl="3">
      <w:start w:val="1"/>
      <w:numFmt w:val="decimal"/>
      <w:isLgl w:val="false"/>
      <w:suff w:val="tab"/>
      <w:lvlText w:val="（%4）"/>
      <w:lvlJc w:val="left"/>
      <w:pPr>
        <w:pStyle w:val="77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7"/>
        <w:ind w:left="2250" w:hanging="420"/>
        <w:tabs>
          <w:tab w:val="num" w:pos="2250" w:leader="none"/>
        </w:tabs>
      </w:pPr>
      <w:rPr>
        <w:rFonts w:hint="eastAsia"/>
        <w:b/>
        <w:lang w:val="en-US"/>
      </w:rPr>
    </w:lvl>
    <w:lvl w:ilvl="5">
      <w:start w:val="10"/>
      <w:numFmt w:val="japaneseCounting"/>
      <w:isLgl w:val="false"/>
      <w:suff w:val="tab"/>
      <w:lvlText w:val="（%6）"/>
      <w:lvlJc w:val="left"/>
      <w:pPr>
        <w:pStyle w:val="777"/>
        <w:ind w:left="2970" w:hanging="720"/>
      </w:pPr>
      <w:rPr>
        <w:rFonts w:cs="Times New Roman"/>
      </w:rPr>
    </w:lvl>
    <w:lvl w:ilvl="6">
      <w:start w:val="1"/>
      <w:numFmt w:val="decimal"/>
      <w:isLgl w:val="false"/>
      <w:suff w:val="tab"/>
      <w:lvlText w:val="（%7）"/>
      <w:lvlJc w:val="left"/>
      <w:pPr>
        <w:pStyle w:val="77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77"/>
        <w:ind w:left="3510" w:hanging="420"/>
        <w:tabs>
          <w:tab w:val="num" w:pos="3510" w:leader="none"/>
        </w:tabs>
      </w:pPr>
      <w:rPr>
        <w:rFonts w:cs="Times New Roman"/>
      </w:rPr>
    </w:lvl>
    <w:lvl w:ilvl="8">
      <w:start w:val="1"/>
      <w:numFmt w:val="lowerRoman"/>
      <w:isLgl w:val="false"/>
      <w:suff w:val="tab"/>
      <w:lvlText w:val="%9."/>
      <w:lvlJc w:val="right"/>
      <w:pPr>
        <w:pStyle w:val="777"/>
        <w:ind w:left="3930" w:hanging="420"/>
        <w:tabs>
          <w:tab w:val="num" w:pos="3930" w:leader="none"/>
        </w:tabs>
      </w:pPr>
      <w:rPr>
        <w:rFonts w:cs="Times New Roman"/>
      </w:rPr>
    </w:lvl>
  </w:abstractNum>
  <w:abstractNum w:abstractNumId="26">
    <w:multiLevelType w:val="hybridMultilevel"/>
    <w:lvl w:ilvl="0">
      <w:start w:val="1"/>
      <w:numFmt w:val="japaneseCounting"/>
      <w:isLgl w:val="false"/>
      <w:suff w:val="tab"/>
      <w:lvlText w:val="%1、"/>
      <w:lvlJc w:val="left"/>
      <w:pPr>
        <w:pStyle w:val="77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77"/>
        <w:ind w:left="840" w:hanging="420"/>
        <w:tabs>
          <w:tab w:val="num" w:pos="840" w:leader="none"/>
        </w:tabs>
      </w:pPr>
      <w:rPr>
        <w:rFonts w:cs="Times New Roman"/>
      </w:rPr>
    </w:lvl>
    <w:lvl w:ilvl="2">
      <w:start w:val="10"/>
      <w:numFmt w:val="decimal"/>
      <w:isLgl w:val="false"/>
      <w:suff w:val="tab"/>
      <w:lvlText w:val="%3."/>
      <w:lvlJc w:val="left"/>
      <w:pPr>
        <w:pStyle w:val="777"/>
        <w:ind w:left="1200" w:hanging="360"/>
        <w:tabs>
          <w:tab w:val="num" w:pos="1200" w:leader="none"/>
        </w:tabs>
      </w:pPr>
      <w:rPr>
        <w:rFonts w:cs="Times New Roman"/>
      </w:rPr>
    </w:lvl>
    <w:lvl w:ilvl="3">
      <w:start w:val="1"/>
      <w:numFmt w:val="decimal"/>
      <w:isLgl w:val="false"/>
      <w:suff w:val="tab"/>
      <w:lvlText w:val="%4."/>
      <w:lvlJc w:val="left"/>
      <w:pPr>
        <w:pStyle w:val="777"/>
        <w:ind w:left="1680" w:hanging="420"/>
        <w:tabs>
          <w:tab w:val="num" w:pos="1680" w:leader="none"/>
        </w:tabs>
      </w:pPr>
      <w:rPr>
        <w:rFonts w:cs="Times New Roman"/>
      </w:rPr>
    </w:lvl>
    <w:lvl w:ilvl="4">
      <w:start w:val="1"/>
      <w:numFmt w:val="lowerLetter"/>
      <w:isLgl w:val="false"/>
      <w:suff w:val="tab"/>
      <w:lvlText w:val="%5)"/>
      <w:lvlJc w:val="left"/>
      <w:pPr>
        <w:pStyle w:val="777"/>
        <w:ind w:left="2100" w:hanging="420"/>
        <w:tabs>
          <w:tab w:val="num" w:pos="2100" w:leader="none"/>
        </w:tabs>
      </w:pPr>
      <w:rPr>
        <w:rFonts w:cs="Times New Roman"/>
      </w:rPr>
    </w:lvl>
    <w:lvl w:ilvl="5">
      <w:start w:val="1"/>
      <w:numFmt w:val="lowerRoman"/>
      <w:isLgl w:val="false"/>
      <w:suff w:val="tab"/>
      <w:lvlText w:val="%6."/>
      <w:lvlJc w:val="right"/>
      <w:pPr>
        <w:pStyle w:val="777"/>
        <w:ind w:left="2520" w:hanging="420"/>
        <w:tabs>
          <w:tab w:val="num" w:pos="2520" w:leader="none"/>
        </w:tabs>
      </w:pPr>
      <w:rPr>
        <w:rFonts w:cs="Times New Roman"/>
      </w:rPr>
    </w:lvl>
    <w:lvl w:ilvl="6">
      <w:start w:val="1"/>
      <w:numFmt w:val="decimal"/>
      <w:isLgl w:val="false"/>
      <w:suff w:val="tab"/>
      <w:lvlText w:val="%7."/>
      <w:lvlJc w:val="left"/>
      <w:pPr>
        <w:pStyle w:val="777"/>
        <w:ind w:left="2940" w:hanging="420"/>
        <w:tabs>
          <w:tab w:val="num" w:pos="2940" w:leader="none"/>
        </w:tabs>
      </w:pPr>
      <w:rPr>
        <w:rFonts w:cs="Times New Roman"/>
      </w:rPr>
    </w:lvl>
    <w:lvl w:ilvl="7">
      <w:start w:val="1"/>
      <w:numFmt w:val="lowerLetter"/>
      <w:isLgl w:val="false"/>
      <w:suff w:val="tab"/>
      <w:lvlText w:val="%8)"/>
      <w:lvlJc w:val="left"/>
      <w:pPr>
        <w:pStyle w:val="777"/>
        <w:ind w:left="3360" w:hanging="420"/>
        <w:tabs>
          <w:tab w:val="num" w:pos="3360" w:leader="none"/>
        </w:tabs>
      </w:pPr>
      <w:rPr>
        <w:rFonts w:cs="Times New Roman"/>
      </w:rPr>
    </w:lvl>
    <w:lvl w:ilvl="8">
      <w:start w:val="1"/>
      <w:numFmt w:val="lowerRoman"/>
      <w:isLgl w:val="false"/>
      <w:suff w:val="tab"/>
      <w:lvlText w:val="%9."/>
      <w:lvlJc w:val="right"/>
      <w:pPr>
        <w:pStyle w:val="777"/>
        <w:ind w:left="3780" w:hanging="420"/>
        <w:tabs>
          <w:tab w:val="num" w:pos="3780" w:leader="none"/>
        </w:tabs>
      </w:pPr>
      <w:rPr>
        <w:rFonts w:cs="Times New Roman"/>
      </w:rPr>
    </w:lvl>
  </w:abstractNum>
  <w:abstractNum w:abstractNumId="27">
    <w:multiLevelType w:val="hybridMultilevel"/>
    <w:lvl w:ilvl="0">
      <w:start w:val="1"/>
      <w:numFmt w:val="decimal"/>
      <w:isLgl w:val="false"/>
      <w:suff w:val="tab"/>
      <w:lvlText w:val="（%1）"/>
      <w:lvlJc w:val="left"/>
      <w:pPr>
        <w:pStyle w:val="777"/>
        <w:ind w:left="720" w:hanging="720"/>
        <w:tabs>
          <w:tab w:val="num" w:pos="720" w:leader="none"/>
        </w:tabs>
      </w:pPr>
      <w:rPr>
        <w:rFonts w:hint="eastAsia" w:cs="Times New Roman"/>
      </w:rPr>
    </w:lvl>
    <w:lvl w:ilvl="1">
      <w:start w:val="2"/>
      <w:numFmt w:val="decimal"/>
      <w:isLgl w:val="false"/>
      <w:suff w:val="tab"/>
      <w:lvlText w:val="%2."/>
      <w:lvlJc w:val="left"/>
      <w:pPr>
        <w:pStyle w:val="777"/>
        <w:ind w:left="1770" w:hanging="360"/>
        <w:tabs>
          <w:tab w:val="num" w:pos="1770" w:leader="none"/>
        </w:tabs>
      </w:pPr>
      <w:rPr>
        <w:rFonts w:cs="Times New Roman"/>
      </w:rPr>
    </w:lvl>
    <w:lvl w:ilvl="2">
      <w:start w:val="1"/>
      <w:numFmt w:val="lowerRoman"/>
      <w:isLgl w:val="false"/>
      <w:suff w:val="tab"/>
      <w:lvlText w:val="%3."/>
      <w:lvlJc w:val="right"/>
      <w:pPr>
        <w:pStyle w:val="777"/>
        <w:ind w:left="2250" w:hanging="420"/>
        <w:tabs>
          <w:tab w:val="num" w:pos="2250" w:leader="none"/>
        </w:tabs>
      </w:pPr>
      <w:rPr>
        <w:rFonts w:cs="Times New Roman"/>
      </w:rPr>
    </w:lvl>
    <w:lvl w:ilvl="3">
      <w:start w:val="1"/>
      <w:numFmt w:val="decimal"/>
      <w:isLgl w:val="false"/>
      <w:suff w:val="tab"/>
      <w:lvlText w:val="%4."/>
      <w:lvlJc w:val="left"/>
      <w:pPr>
        <w:pStyle w:val="777"/>
        <w:ind w:left="2670" w:hanging="420"/>
        <w:tabs>
          <w:tab w:val="num" w:pos="2670" w:leader="none"/>
        </w:tabs>
      </w:pPr>
      <w:rPr>
        <w:rFonts w:cs="Times New Roman"/>
      </w:rPr>
    </w:lvl>
    <w:lvl w:ilvl="4">
      <w:start w:val="1"/>
      <w:numFmt w:val="lowerLetter"/>
      <w:isLgl w:val="false"/>
      <w:suff w:val="tab"/>
      <w:lvlText w:val="%5)"/>
      <w:lvlJc w:val="left"/>
      <w:pPr>
        <w:pStyle w:val="777"/>
        <w:ind w:left="3090" w:hanging="420"/>
        <w:tabs>
          <w:tab w:val="num" w:pos="3090" w:leader="none"/>
        </w:tabs>
      </w:pPr>
      <w:rPr>
        <w:rFonts w:cs="Times New Roman"/>
      </w:rPr>
    </w:lvl>
    <w:lvl w:ilvl="5">
      <w:start w:val="1"/>
      <w:numFmt w:val="lowerRoman"/>
      <w:isLgl w:val="false"/>
      <w:suff w:val="tab"/>
      <w:lvlText w:val="%6."/>
      <w:lvlJc w:val="right"/>
      <w:pPr>
        <w:pStyle w:val="777"/>
        <w:ind w:left="3510" w:hanging="420"/>
        <w:tabs>
          <w:tab w:val="num" w:pos="3510" w:leader="none"/>
        </w:tabs>
      </w:pPr>
      <w:rPr>
        <w:rFonts w:cs="Times New Roman"/>
      </w:rPr>
    </w:lvl>
    <w:lvl w:ilvl="6">
      <w:start w:val="1"/>
      <w:numFmt w:val="decimal"/>
      <w:isLgl w:val="false"/>
      <w:suff w:val="tab"/>
      <w:lvlText w:val="%7."/>
      <w:lvlJc w:val="left"/>
      <w:pPr>
        <w:pStyle w:val="777"/>
        <w:ind w:left="3930" w:hanging="420"/>
        <w:tabs>
          <w:tab w:val="num" w:pos="3930" w:leader="none"/>
        </w:tabs>
      </w:pPr>
      <w:rPr>
        <w:rFonts w:cs="Times New Roman"/>
      </w:rPr>
    </w:lvl>
    <w:lvl w:ilvl="7">
      <w:start w:val="1"/>
      <w:numFmt w:val="lowerLetter"/>
      <w:isLgl w:val="false"/>
      <w:suff w:val="tab"/>
      <w:lvlText w:val="%8)"/>
      <w:lvlJc w:val="left"/>
      <w:pPr>
        <w:pStyle w:val="777"/>
        <w:ind w:left="4350" w:hanging="420"/>
        <w:tabs>
          <w:tab w:val="num" w:pos="4350" w:leader="none"/>
        </w:tabs>
      </w:pPr>
      <w:rPr>
        <w:rFonts w:cs="Times New Roman"/>
      </w:rPr>
    </w:lvl>
    <w:lvl w:ilvl="8">
      <w:start w:val="1"/>
      <w:numFmt w:val="lowerRoman"/>
      <w:isLgl w:val="false"/>
      <w:suff w:val="tab"/>
      <w:lvlText w:val="%9."/>
      <w:lvlJc w:val="right"/>
      <w:pPr>
        <w:pStyle w:val="777"/>
        <w:ind w:left="4770" w:hanging="420"/>
        <w:tabs>
          <w:tab w:val="num" w:pos="4770" w:leader="none"/>
        </w:tabs>
      </w:pPr>
      <w:rPr>
        <w:rFonts w:cs="Times New Roman"/>
      </w:rPr>
    </w:lvl>
  </w:abstractNum>
  <w:abstractNum w:abstractNumId="28">
    <w:multiLevelType w:val="hybridMultilevel"/>
    <w:lvl w:ilvl="0">
      <w:start w:val="1"/>
      <w:numFmt w:val="chineseCountingThousand"/>
      <w:isLgl w:val="false"/>
      <w:suff w:val="tab"/>
      <w:lvlText w:val="%1、"/>
      <w:lvlJc w:val="left"/>
      <w:pPr>
        <w:pStyle w:val="777"/>
        <w:ind w:left="420" w:hanging="420"/>
      </w:pPr>
    </w:lvl>
    <w:lvl w:ilvl="1">
      <w:start w:val="2"/>
      <w:numFmt w:val="decimal"/>
      <w:isLgl w:val="false"/>
      <w:suff w:val="tab"/>
      <w:lvlText w:val="%1.%2"/>
      <w:lvlJc w:val="left"/>
      <w:pPr>
        <w:pStyle w:val="777"/>
        <w:ind w:left="720" w:hanging="720"/>
      </w:pPr>
    </w:lvl>
    <w:lvl w:ilvl="2">
      <w:start w:val="5"/>
      <w:numFmt w:val="decimal"/>
      <w:isLgl w:val="false"/>
      <w:suff w:val="tab"/>
      <w:lvlText w:val="%1.%2.%3"/>
      <w:lvlJc w:val="left"/>
      <w:pPr>
        <w:pStyle w:val="777"/>
        <w:ind w:left="720" w:hanging="720"/>
      </w:pPr>
    </w:lvl>
    <w:lvl w:ilvl="3">
      <w:start w:val="1"/>
      <w:numFmt w:val="decimal"/>
      <w:isLgl w:val="false"/>
      <w:suff w:val="tab"/>
      <w:lvlText w:val="%1.%2.%3.%4"/>
      <w:lvlJc w:val="left"/>
      <w:pPr>
        <w:pStyle w:val="777"/>
        <w:ind w:left="720" w:hanging="720"/>
      </w:pPr>
    </w:lvl>
    <w:lvl w:ilvl="4">
      <w:start w:val="1"/>
      <w:numFmt w:val="decimal"/>
      <w:isLgl w:val="false"/>
      <w:suff w:val="tab"/>
      <w:lvlText w:val="%1.%2.%3.%4.%5"/>
      <w:lvlJc w:val="left"/>
      <w:pPr>
        <w:pStyle w:val="777"/>
        <w:ind w:left="1080" w:hanging="1080"/>
      </w:pPr>
    </w:lvl>
    <w:lvl w:ilvl="5">
      <w:start w:val="1"/>
      <w:numFmt w:val="decimal"/>
      <w:isLgl w:val="false"/>
      <w:suff w:val="tab"/>
      <w:lvlText w:val="%1.%2.%3.%4.%5.%6"/>
      <w:lvlJc w:val="left"/>
      <w:pPr>
        <w:pStyle w:val="777"/>
        <w:ind w:left="1080" w:hanging="1080"/>
      </w:pPr>
    </w:lvl>
    <w:lvl w:ilvl="6">
      <w:start w:val="1"/>
      <w:numFmt w:val="decimal"/>
      <w:isLgl w:val="false"/>
      <w:suff w:val="tab"/>
      <w:lvlText w:val="%1.%2.%3.%4.%5.%6.%7"/>
      <w:lvlJc w:val="left"/>
      <w:pPr>
        <w:pStyle w:val="777"/>
        <w:ind w:left="1080" w:hanging="1080"/>
      </w:pPr>
    </w:lvl>
    <w:lvl w:ilvl="7">
      <w:start w:val="1"/>
      <w:numFmt w:val="decimal"/>
      <w:isLgl w:val="false"/>
      <w:suff w:val="tab"/>
      <w:lvlText w:val="%1.%2.%3.%4.%5.%6.%7.%8"/>
      <w:lvlJc w:val="left"/>
      <w:pPr>
        <w:pStyle w:val="777"/>
        <w:ind w:left="1440" w:hanging="1440"/>
      </w:pPr>
    </w:lvl>
    <w:lvl w:ilvl="8">
      <w:start w:val="1"/>
      <w:numFmt w:val="decimal"/>
      <w:isLgl w:val="false"/>
      <w:suff w:val="tab"/>
      <w:lvlText w:val="%1.%2.%3.%4.%5.%6.%7.%8.%9"/>
      <w:lvlJc w:val="left"/>
      <w:pPr>
        <w:pStyle w:val="777"/>
        <w:ind w:left="1440" w:hanging="1440"/>
      </w:pPr>
    </w:lvl>
  </w:abstractNum>
  <w:abstractNum w:abstractNumId="29">
    <w:multiLevelType w:val="hybridMultilevel"/>
    <w:lvl w:ilvl="0">
      <w:start w:val="1"/>
      <w:numFmt w:val="bullet"/>
      <w:isLgl w:val="false"/>
      <w:suff w:val="tab"/>
      <w:lvlText w:val=""/>
      <w:lvlJc w:val="left"/>
      <w:pPr>
        <w:pStyle w:val="777"/>
        <w:ind w:left="900" w:hanging="420"/>
      </w:pPr>
      <w:rPr>
        <w:rFonts w:ascii="Wingdings" w:hAnsi="Wingdings"/>
      </w:rPr>
    </w:lvl>
    <w:lvl w:ilvl="1">
      <w:start w:val="1"/>
      <w:numFmt w:val="bullet"/>
      <w:isLgl w:val="false"/>
      <w:suff w:val="tab"/>
      <w:lvlText w:val=""/>
      <w:lvlJc w:val="left"/>
      <w:pPr>
        <w:pStyle w:val="777"/>
        <w:ind w:left="1320" w:hanging="420"/>
      </w:pPr>
      <w:rPr>
        <w:rFonts w:ascii="Wingdings" w:hAnsi="Wingdings"/>
      </w:rPr>
    </w:lvl>
    <w:lvl w:ilvl="2">
      <w:start w:val="1"/>
      <w:numFmt w:val="bullet"/>
      <w:isLgl w:val="false"/>
      <w:suff w:val="tab"/>
      <w:lvlText w:val=""/>
      <w:lvlJc w:val="left"/>
      <w:pPr>
        <w:pStyle w:val="777"/>
        <w:ind w:left="1740" w:hanging="420"/>
      </w:pPr>
      <w:rPr>
        <w:rFonts w:ascii="Wingdings" w:hAnsi="Wingdings"/>
      </w:rPr>
    </w:lvl>
    <w:lvl w:ilvl="3">
      <w:start w:val="1"/>
      <w:numFmt w:val="bullet"/>
      <w:isLgl w:val="false"/>
      <w:suff w:val="tab"/>
      <w:lvlText w:val=""/>
      <w:lvlJc w:val="left"/>
      <w:pPr>
        <w:pStyle w:val="777"/>
        <w:ind w:left="2160" w:hanging="420"/>
      </w:pPr>
      <w:rPr>
        <w:rFonts w:ascii="Wingdings" w:hAnsi="Wingdings"/>
      </w:rPr>
    </w:lvl>
    <w:lvl w:ilvl="4">
      <w:start w:val="1"/>
      <w:numFmt w:val="bullet"/>
      <w:isLgl w:val="false"/>
      <w:suff w:val="tab"/>
      <w:lvlText w:val=""/>
      <w:lvlJc w:val="left"/>
      <w:pPr>
        <w:pStyle w:val="777"/>
        <w:ind w:left="2580" w:hanging="420"/>
      </w:pPr>
      <w:rPr>
        <w:rFonts w:ascii="Wingdings" w:hAnsi="Wingdings"/>
      </w:rPr>
    </w:lvl>
    <w:lvl w:ilvl="5">
      <w:start w:val="1"/>
      <w:numFmt w:val="bullet"/>
      <w:isLgl w:val="false"/>
      <w:suff w:val="tab"/>
      <w:lvlText w:val=""/>
      <w:lvlJc w:val="left"/>
      <w:pPr>
        <w:pStyle w:val="777"/>
        <w:ind w:left="3000" w:hanging="420"/>
      </w:pPr>
      <w:rPr>
        <w:rFonts w:ascii="Wingdings" w:hAnsi="Wingdings"/>
      </w:rPr>
    </w:lvl>
    <w:lvl w:ilvl="6">
      <w:start w:val="1"/>
      <w:numFmt w:val="bullet"/>
      <w:isLgl w:val="false"/>
      <w:suff w:val="tab"/>
      <w:lvlText w:val=""/>
      <w:lvlJc w:val="left"/>
      <w:pPr>
        <w:pStyle w:val="777"/>
        <w:ind w:left="3420" w:hanging="420"/>
      </w:pPr>
      <w:rPr>
        <w:rFonts w:ascii="Wingdings" w:hAnsi="Wingdings"/>
      </w:rPr>
    </w:lvl>
    <w:lvl w:ilvl="7">
      <w:start w:val="1"/>
      <w:numFmt w:val="bullet"/>
      <w:isLgl w:val="false"/>
      <w:suff w:val="tab"/>
      <w:lvlText w:val=""/>
      <w:lvlJc w:val="left"/>
      <w:pPr>
        <w:pStyle w:val="777"/>
        <w:ind w:left="3840" w:hanging="420"/>
      </w:pPr>
      <w:rPr>
        <w:rFonts w:ascii="Wingdings" w:hAnsi="Wingdings"/>
      </w:rPr>
    </w:lvl>
    <w:lvl w:ilvl="8">
      <w:start w:val="1"/>
      <w:numFmt w:val="bullet"/>
      <w:isLgl w:val="false"/>
      <w:suff w:val="tab"/>
      <w:lvlText w:val=""/>
      <w:lvlJc w:val="left"/>
      <w:pPr>
        <w:pStyle w:val="777"/>
        <w:ind w:left="4260" w:hanging="420"/>
      </w:pPr>
      <w:rPr>
        <w:rFonts w:ascii="Wingdings" w:hAnsi="Wingdings"/>
      </w:rPr>
    </w:lvl>
  </w:abstractNum>
  <w:abstractNum w:abstractNumId="30">
    <w:multiLevelType w:val="hybridMultilevel"/>
    <w:lvl w:ilvl="0">
      <w:start w:val="1"/>
      <w:numFmt w:val="decimal"/>
      <w:isLgl w:val="false"/>
      <w:suff w:val="tab"/>
      <w:lvlText w:val="%1."/>
      <w:lvlJc w:val="left"/>
      <w:pPr>
        <w:pStyle w:val="777"/>
        <w:ind w:left="1060" w:hanging="420"/>
      </w:pPr>
    </w:lvl>
    <w:lvl w:ilvl="1">
      <w:start w:val="1"/>
      <w:numFmt w:val="lowerLetter"/>
      <w:isLgl w:val="false"/>
      <w:suff w:val="tab"/>
      <w:lvlText w:val="%2)"/>
      <w:lvlJc w:val="left"/>
      <w:pPr>
        <w:pStyle w:val="777"/>
        <w:ind w:left="1480" w:hanging="420"/>
      </w:pPr>
    </w:lvl>
    <w:lvl w:ilvl="2">
      <w:start w:val="1"/>
      <w:numFmt w:val="lowerRoman"/>
      <w:isLgl w:val="false"/>
      <w:suff w:val="tab"/>
      <w:lvlText w:val="%3."/>
      <w:lvlJc w:val="right"/>
      <w:pPr>
        <w:pStyle w:val="777"/>
        <w:ind w:left="1900" w:hanging="420"/>
      </w:pPr>
    </w:lvl>
    <w:lvl w:ilvl="3">
      <w:start w:val="1"/>
      <w:numFmt w:val="decimal"/>
      <w:isLgl w:val="false"/>
      <w:suff w:val="tab"/>
      <w:lvlText w:val="%4."/>
      <w:lvlJc w:val="left"/>
      <w:pPr>
        <w:pStyle w:val="777"/>
        <w:ind w:left="2320" w:hanging="420"/>
      </w:pPr>
    </w:lvl>
    <w:lvl w:ilvl="4">
      <w:start w:val="1"/>
      <w:numFmt w:val="lowerLetter"/>
      <w:isLgl w:val="false"/>
      <w:suff w:val="tab"/>
      <w:lvlText w:val="%5)"/>
      <w:lvlJc w:val="left"/>
      <w:pPr>
        <w:pStyle w:val="777"/>
        <w:ind w:left="2740" w:hanging="420"/>
      </w:pPr>
    </w:lvl>
    <w:lvl w:ilvl="5">
      <w:start w:val="1"/>
      <w:numFmt w:val="lowerRoman"/>
      <w:isLgl w:val="false"/>
      <w:suff w:val="tab"/>
      <w:lvlText w:val="%6."/>
      <w:lvlJc w:val="right"/>
      <w:pPr>
        <w:pStyle w:val="777"/>
        <w:ind w:left="3160" w:hanging="420"/>
      </w:pPr>
    </w:lvl>
    <w:lvl w:ilvl="6">
      <w:start w:val="1"/>
      <w:numFmt w:val="decimal"/>
      <w:isLgl w:val="false"/>
      <w:suff w:val="tab"/>
      <w:lvlText w:val="%7."/>
      <w:lvlJc w:val="left"/>
      <w:pPr>
        <w:pStyle w:val="777"/>
        <w:ind w:left="3580" w:hanging="420"/>
      </w:pPr>
    </w:lvl>
    <w:lvl w:ilvl="7">
      <w:start w:val="1"/>
      <w:numFmt w:val="lowerLetter"/>
      <w:isLgl w:val="false"/>
      <w:suff w:val="tab"/>
      <w:lvlText w:val="%8)"/>
      <w:lvlJc w:val="left"/>
      <w:pPr>
        <w:pStyle w:val="777"/>
        <w:ind w:left="4000" w:hanging="420"/>
      </w:pPr>
    </w:lvl>
    <w:lvl w:ilvl="8">
      <w:start w:val="1"/>
      <w:numFmt w:val="lowerRoman"/>
      <w:isLgl w:val="false"/>
      <w:suff w:val="tab"/>
      <w:lvlText w:val="%9."/>
      <w:lvlJc w:val="right"/>
      <w:pPr>
        <w:pStyle w:val="777"/>
        <w:ind w:left="4420" w:hanging="420"/>
      </w:pPr>
    </w:lvl>
  </w:abstractNum>
  <w:abstractNum w:abstractNumId="31">
    <w:multiLevelType w:val="hybridMultilevel"/>
    <w:lvl w:ilvl="0">
      <w:start w:val="1"/>
      <w:numFmt w:val="decimal"/>
      <w:isLgl w:val="false"/>
      <w:suff w:val="tab"/>
      <w:lvlText w:val="%1."/>
      <w:lvlJc w:val="left"/>
      <w:pPr>
        <w:pStyle w:val="777"/>
        <w:ind w:left="510" w:hanging="360"/>
        <w:tabs>
          <w:tab w:val="num" w:pos="510" w:leader="none"/>
        </w:tabs>
      </w:pPr>
      <w:rPr>
        <w:rFonts w:hint="eastAsia" w:cs="Times New Roman"/>
      </w:rPr>
    </w:lvl>
    <w:lvl w:ilvl="1">
      <w:start w:val="1"/>
      <w:numFmt w:val="decimal"/>
      <w:isLgl w:val="false"/>
      <w:suff w:val="tab"/>
      <w:lvlText w:val="%2．"/>
      <w:lvlJc w:val="left"/>
      <w:pPr>
        <w:pStyle w:val="777"/>
        <w:ind w:left="1290" w:hanging="720"/>
        <w:tabs>
          <w:tab w:val="num" w:pos="1290" w:leader="none"/>
        </w:tabs>
      </w:pPr>
      <w:rPr>
        <w:rFonts w:hint="eastAsia" w:cs="Times New Roman"/>
      </w:rPr>
    </w:lvl>
    <w:lvl w:ilvl="2">
      <w:start w:val="3"/>
      <w:numFmt w:val="decimal"/>
      <w:isLgl w:val="false"/>
      <w:suff w:val="tab"/>
      <w:lvlText w:val="（%3）"/>
      <w:lvlJc w:val="left"/>
      <w:pPr>
        <w:pStyle w:val="777"/>
        <w:ind w:left="1140" w:hanging="720"/>
        <w:tabs>
          <w:tab w:val="num" w:pos="1140" w:leader="none"/>
        </w:tabs>
      </w:pPr>
      <w:rPr>
        <w:rFonts w:hint="eastAsia" w:cs="Times New Roman"/>
      </w:rPr>
    </w:lvl>
    <w:lvl w:ilvl="3">
      <w:start w:val="1"/>
      <w:numFmt w:val="decimal"/>
      <w:isLgl w:val="false"/>
      <w:suff w:val="tab"/>
      <w:lvlText w:val="（%4）"/>
      <w:lvlJc w:val="left"/>
      <w:pPr>
        <w:pStyle w:val="77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7"/>
        <w:ind w:left="2250" w:hanging="420"/>
        <w:tabs>
          <w:tab w:val="num" w:pos="2250" w:leader="none"/>
        </w:tabs>
      </w:pPr>
      <w:rPr>
        <w:rFonts w:hint="eastAsia"/>
        <w:b/>
        <w:lang w:val="en-US"/>
      </w:rPr>
    </w:lvl>
    <w:lvl w:ilvl="5">
      <w:start w:val="10"/>
      <w:numFmt w:val="japaneseCounting"/>
      <w:isLgl w:val="false"/>
      <w:suff w:val="tab"/>
      <w:lvlText w:val="（%6）"/>
      <w:lvlJc w:val="left"/>
      <w:pPr>
        <w:pStyle w:val="777"/>
        <w:ind w:left="2970" w:hanging="720"/>
      </w:pPr>
      <w:rPr>
        <w:rFonts w:cs="Times New Roman"/>
      </w:rPr>
    </w:lvl>
    <w:lvl w:ilvl="6">
      <w:start w:val="1"/>
      <w:numFmt w:val="decimal"/>
      <w:isLgl w:val="false"/>
      <w:suff w:val="tab"/>
      <w:lvlText w:val="（%7）"/>
      <w:lvlJc w:val="left"/>
      <w:pPr>
        <w:pStyle w:val="77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77"/>
        <w:ind w:left="3510" w:hanging="420"/>
        <w:tabs>
          <w:tab w:val="num" w:pos="3510" w:leader="none"/>
        </w:tabs>
      </w:pPr>
      <w:rPr>
        <w:rFonts w:cs="Times New Roman"/>
      </w:rPr>
    </w:lvl>
    <w:lvl w:ilvl="8">
      <w:start w:val="1"/>
      <w:numFmt w:val="lowerRoman"/>
      <w:isLgl w:val="false"/>
      <w:suff w:val="tab"/>
      <w:lvlText w:val="%9."/>
      <w:lvlJc w:val="right"/>
      <w:pPr>
        <w:pStyle w:val="777"/>
        <w:ind w:left="3930" w:hanging="420"/>
        <w:tabs>
          <w:tab w:val="num" w:pos="3930" w:leader="none"/>
        </w:tabs>
      </w:pPr>
      <w:rPr>
        <w:rFonts w:cs="Times New Roman"/>
      </w:rPr>
    </w:lvl>
  </w:abstractNum>
  <w:abstractNum w:abstractNumId="32">
    <w:multiLevelType w:val="hybridMultilevel"/>
    <w:lvl w:ilvl="0">
      <w:start w:val="1"/>
      <w:numFmt w:val="decimal"/>
      <w:isLgl w:val="false"/>
      <w:suff w:val="nothing"/>
      <w:lvlText w:val="（%1）"/>
      <w:lvlJc w:val="left"/>
      <w:pPr>
        <w:pStyle w:val="7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japaneseCounting"/>
      <w:isLgl w:val="false"/>
      <w:suff w:val="tab"/>
      <w:lvlText w:val="第%1章"/>
      <w:lvlJc w:val="left"/>
      <w:pPr>
        <w:pStyle w:val="77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3"/>
  </w:num>
  <w:num w:numId="3">
    <w:abstractNumId w:val="16"/>
  </w:num>
  <w:num w:numId="4">
    <w:abstractNumId w:val="33"/>
  </w:num>
  <w:num w:numId="5">
    <w:abstractNumId w:val="27"/>
  </w:num>
  <w:num w:numId="6">
    <w:abstractNumId w:val="15"/>
  </w:num>
  <w:num w:numId="7">
    <w:abstractNumId w:val="6"/>
  </w:num>
  <w:num w:numId="8">
    <w:abstractNumId w:val="1"/>
  </w:num>
  <w:num w:numId="9">
    <w:abstractNumId w:val="25"/>
  </w:num>
  <w:num w:numId="10">
    <w:abstractNumId w:val="2"/>
  </w:num>
  <w:num w:numId="11">
    <w:abstractNumId w:val="32"/>
  </w:num>
  <w:num w:numId="12">
    <w:abstractNumId w:val="0"/>
  </w:num>
  <w:num w:numId="13">
    <w:abstractNumId w:val="26"/>
  </w:num>
  <w:num w:numId="14">
    <w:abstractNumId w:val="13"/>
  </w:num>
  <w:num w:numId="15">
    <w:abstractNumId w:val="19"/>
  </w:num>
  <w:num w:numId="16">
    <w:abstractNumId w:val="9"/>
  </w:num>
  <w:num w:numId="17">
    <w:abstractNumId w:val="12"/>
  </w:num>
  <w:num w:numId="18">
    <w:abstractNumId w:val="14"/>
  </w:num>
  <w:num w:numId="19">
    <w:abstractNumId w:val="31"/>
  </w:num>
  <w:num w:numId="20">
    <w:abstractNumId w:val="18"/>
  </w:num>
  <w:num w:numId="21">
    <w:abstractNumId w:val="7"/>
  </w:num>
  <w:num w:numId="22">
    <w:abstractNumId w:val="22"/>
  </w:num>
  <w:num w:numId="23">
    <w:abstractNumId w:val="11"/>
  </w:num>
  <w:num w:numId="24">
    <w:abstractNumId w:val="23"/>
  </w:num>
  <w:num w:numId="25">
    <w:abstractNumId w:val="21"/>
  </w:num>
  <w:num w:numId="26">
    <w:abstractNumId w:val="5"/>
  </w:num>
  <w:num w:numId="27">
    <w:abstractNumId w:val="4"/>
  </w:num>
  <w:num w:numId="28">
    <w:abstractNumId w:val="8"/>
  </w:num>
  <w:num w:numId="29">
    <w:abstractNumId w:val="29"/>
  </w:num>
  <w:num w:numId="30">
    <w:abstractNumId w:val="24"/>
  </w:num>
  <w:num w:numId="31">
    <w:abstractNumId w:val="30"/>
  </w:num>
  <w:num w:numId="32">
    <w:abstractNumId w:val="17"/>
  </w:num>
  <w:num w:numId="33">
    <w:abstractNumId w:val="2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List Paragraph"/>
    <w:basedOn w:val="777"/>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777"/>
    <w:next w:val="777"/>
    <w:link w:val="902"/>
    <w:uiPriority w:val="10"/>
    <w:qFormat/>
    <w:pPr>
      <w:contextualSpacing/>
      <w:spacing w:before="300" w:after="200"/>
    </w:pPr>
    <w:rPr>
      <w:sz w:val="48"/>
      <w:szCs w:val="48"/>
    </w:rPr>
  </w:style>
  <w:style w:type="paragraph" w:styleId="754">
    <w:name w:val="Subtitle"/>
    <w:basedOn w:val="777"/>
    <w:next w:val="777"/>
    <w:link w:val="903"/>
    <w:uiPriority w:val="11"/>
    <w:qFormat/>
    <w:pPr>
      <w:spacing w:before="200" w:after="200"/>
    </w:pPr>
    <w:rPr>
      <w:sz w:val="24"/>
      <w:szCs w:val="24"/>
    </w:rPr>
  </w:style>
  <w:style w:type="paragraph" w:styleId="755">
    <w:name w:val="Quote"/>
    <w:basedOn w:val="777"/>
    <w:next w:val="777"/>
    <w:link w:val="904"/>
    <w:uiPriority w:val="29"/>
    <w:qFormat/>
    <w:pPr>
      <w:ind w:left="720" w:right="720"/>
    </w:pPr>
    <w:rPr>
      <w:i/>
    </w:rPr>
  </w:style>
  <w:style w:type="paragraph" w:styleId="756">
    <w:name w:val="Intense Quote"/>
    <w:basedOn w:val="777"/>
    <w:next w:val="777"/>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7">
    <w:name w:val="Header"/>
    <w:basedOn w:val="777"/>
    <w:link w:val="935"/>
    <w:uiPriority w:val="99"/>
    <w:unhideWhenUsed/>
    <w:pPr>
      <w:spacing w:after="0" w:line="240" w:lineRule="auto"/>
      <w:tabs>
        <w:tab w:val="center" w:pos="7143" w:leader="none"/>
        <w:tab w:val="right" w:pos="14287" w:leader="none"/>
      </w:tabs>
    </w:pPr>
  </w:style>
  <w:style w:type="paragraph" w:styleId="758">
    <w:name w:val="Footer"/>
    <w:basedOn w:val="777"/>
    <w:link w:val="939"/>
    <w:uiPriority w:val="99"/>
    <w:unhideWhenUsed/>
    <w:pPr>
      <w:spacing w:after="0" w:line="240" w:lineRule="auto"/>
      <w:tabs>
        <w:tab w:val="center" w:pos="7143" w:leader="none"/>
        <w:tab w:val="right" w:pos="14287" w:leader="none"/>
      </w:tabs>
    </w:pPr>
  </w:style>
  <w:style w:type="paragraph" w:styleId="759">
    <w:name w:val="Caption"/>
    <w:basedOn w:val="777"/>
    <w:next w:val="777"/>
    <w:uiPriority w:val="35"/>
    <w:semiHidden/>
    <w:unhideWhenUsed/>
    <w:qFormat/>
    <w:pPr>
      <w:spacing w:line="276" w:lineRule="auto"/>
    </w:pPr>
    <w:rPr>
      <w:b/>
      <w:bCs/>
      <w:color w:val="4f81bd" w:themeColor="accent1"/>
      <w:sz w:val="18"/>
      <w:szCs w:val="18"/>
    </w:rPr>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Hyperlink"/>
    <w:uiPriority w:val="99"/>
    <w:unhideWhenUsed/>
    <w:rPr>
      <w:color w:val="0000ff" w:themeColor="hyperlink"/>
      <w:u w:val="single"/>
    </w:rPr>
  </w:style>
  <w:style w:type="paragraph" w:styleId="762">
    <w:name w:val="footnote text"/>
    <w:basedOn w:val="777"/>
    <w:link w:val="906"/>
    <w:uiPriority w:val="99"/>
    <w:semiHidden/>
    <w:unhideWhenUsed/>
    <w:pPr>
      <w:spacing w:after="40" w:line="240" w:lineRule="auto"/>
    </w:pPr>
    <w:rPr>
      <w:sz w:val="18"/>
    </w:rPr>
  </w:style>
  <w:style w:type="character" w:styleId="763">
    <w:name w:val="footnote reference"/>
    <w:uiPriority w:val="99"/>
    <w:unhideWhenUsed/>
    <w:rPr>
      <w:vertAlign w:val="superscript"/>
    </w:rPr>
  </w:style>
  <w:style w:type="paragraph" w:styleId="764">
    <w:name w:val="endnote text"/>
    <w:basedOn w:val="777"/>
    <w:link w:val="907"/>
    <w:uiPriority w:val="99"/>
    <w:semiHidden/>
    <w:unhideWhenUsed/>
    <w:pPr>
      <w:spacing w:after="0" w:line="240" w:lineRule="auto"/>
    </w:pPr>
    <w:rPr>
      <w:sz w:val="20"/>
    </w:rPr>
  </w:style>
  <w:style w:type="character" w:styleId="765">
    <w:name w:val="endnote reference"/>
    <w:uiPriority w:val="99"/>
    <w:semiHidden/>
    <w:unhideWhenUsed/>
    <w:rPr>
      <w:vertAlign w:val="superscript"/>
    </w:rPr>
  </w:style>
  <w:style w:type="paragraph" w:styleId="766">
    <w:name w:val="toc 1"/>
    <w:basedOn w:val="777"/>
    <w:next w:val="777"/>
    <w:uiPriority w:val="39"/>
    <w:unhideWhenUsed/>
    <w:pPr>
      <w:ind w:left="0" w:right="0" w:firstLine="0"/>
      <w:spacing w:after="57"/>
    </w:pPr>
  </w:style>
  <w:style w:type="paragraph" w:styleId="767">
    <w:name w:val="toc 2"/>
    <w:basedOn w:val="777"/>
    <w:next w:val="777"/>
    <w:uiPriority w:val="39"/>
    <w:unhideWhenUsed/>
    <w:pPr>
      <w:ind w:left="283" w:right="0" w:firstLine="0"/>
      <w:spacing w:after="57"/>
    </w:pPr>
  </w:style>
  <w:style w:type="paragraph" w:styleId="768">
    <w:name w:val="toc 3"/>
    <w:basedOn w:val="777"/>
    <w:next w:val="777"/>
    <w:uiPriority w:val="39"/>
    <w:unhideWhenUsed/>
    <w:pPr>
      <w:ind w:left="567" w:right="0" w:firstLine="0"/>
      <w:spacing w:after="57"/>
    </w:pPr>
  </w:style>
  <w:style w:type="paragraph" w:styleId="769">
    <w:name w:val="toc 4"/>
    <w:basedOn w:val="777"/>
    <w:next w:val="777"/>
    <w:uiPriority w:val="39"/>
    <w:unhideWhenUsed/>
    <w:pPr>
      <w:ind w:left="850" w:right="0" w:firstLine="0"/>
      <w:spacing w:after="57"/>
    </w:pPr>
  </w:style>
  <w:style w:type="paragraph" w:styleId="770">
    <w:name w:val="toc 5"/>
    <w:basedOn w:val="777"/>
    <w:next w:val="777"/>
    <w:uiPriority w:val="39"/>
    <w:unhideWhenUsed/>
    <w:pPr>
      <w:ind w:left="1134" w:right="0" w:firstLine="0"/>
      <w:spacing w:after="57"/>
    </w:pPr>
  </w:style>
  <w:style w:type="paragraph" w:styleId="771">
    <w:name w:val="toc 6"/>
    <w:basedOn w:val="777"/>
    <w:next w:val="777"/>
    <w:uiPriority w:val="39"/>
    <w:unhideWhenUsed/>
    <w:pPr>
      <w:ind w:left="1417" w:right="0" w:firstLine="0"/>
      <w:spacing w:after="57"/>
    </w:pPr>
  </w:style>
  <w:style w:type="paragraph" w:styleId="772">
    <w:name w:val="toc 7"/>
    <w:basedOn w:val="777"/>
    <w:next w:val="777"/>
    <w:uiPriority w:val="39"/>
    <w:unhideWhenUsed/>
    <w:pPr>
      <w:ind w:left="1701" w:right="0" w:firstLine="0"/>
      <w:spacing w:after="57"/>
    </w:pPr>
  </w:style>
  <w:style w:type="paragraph" w:styleId="773">
    <w:name w:val="toc 8"/>
    <w:basedOn w:val="777"/>
    <w:next w:val="777"/>
    <w:uiPriority w:val="39"/>
    <w:unhideWhenUsed/>
    <w:pPr>
      <w:ind w:left="1984" w:right="0" w:firstLine="0"/>
      <w:spacing w:after="57"/>
    </w:pPr>
  </w:style>
  <w:style w:type="paragraph" w:styleId="774">
    <w:name w:val="toc 9"/>
    <w:basedOn w:val="777"/>
    <w:next w:val="777"/>
    <w:uiPriority w:val="39"/>
    <w:unhideWhenUsed/>
    <w:pPr>
      <w:ind w:left="2268" w:right="0" w:firstLine="0"/>
      <w:spacing w:after="57"/>
    </w:pPr>
  </w:style>
  <w:style w:type="paragraph" w:styleId="775">
    <w:name w:val="TOC Heading"/>
    <w:uiPriority w:val="39"/>
    <w:unhideWhenUsed/>
  </w:style>
  <w:style w:type="paragraph" w:styleId="776">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rFonts w:ascii="Times New Roman" w:hAnsi="Times New Roman"/>
      <w:sz w:val="21"/>
      <w:szCs w:val="21"/>
      <w:lang w:val="en-US" w:eastAsia="zh-CN" w:bidi="ar-SA"/>
    </w:rPr>
  </w:style>
  <w:style w:type="paragraph" w:styleId="778">
    <w:name w:val="标题 1"/>
    <w:basedOn w:val="777"/>
    <w:next w:val="777"/>
    <w:link w:val="790"/>
    <w:qFormat/>
    <w:pPr>
      <w:jc w:val="center"/>
      <w:keepNext/>
      <w:outlineLvl w:val="0"/>
    </w:pPr>
    <w:rPr>
      <w:rFonts w:ascii="楷体_GB2312" w:eastAsia="楷体_GB2312"/>
      <w:sz w:val="28"/>
      <w:szCs w:val="28"/>
      <w:lang w:val="en-US" w:eastAsia="en-US"/>
    </w:rPr>
  </w:style>
  <w:style w:type="paragraph" w:styleId="779">
    <w:name w:val="标题 2"/>
    <w:basedOn w:val="777"/>
    <w:next w:val="792"/>
    <w:link w:val="79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80">
    <w:name w:val="标题 3"/>
    <w:basedOn w:val="777"/>
    <w:next w:val="792"/>
    <w:link w:val="794"/>
    <w:qFormat/>
    <w:pPr>
      <w:keepLines/>
      <w:keepNext/>
      <w:spacing w:before="260" w:after="260" w:line="416" w:lineRule="auto"/>
      <w:outlineLvl w:val="2"/>
    </w:pPr>
    <w:rPr>
      <w:b/>
      <w:bCs/>
      <w:sz w:val="32"/>
      <w:szCs w:val="32"/>
      <w:lang w:val="en-US" w:eastAsia="en-US"/>
    </w:rPr>
  </w:style>
  <w:style w:type="paragraph" w:styleId="781">
    <w:name w:val="标题 4"/>
    <w:basedOn w:val="777"/>
    <w:next w:val="792"/>
    <w:link w:val="795"/>
    <w:qFormat/>
    <w:pPr>
      <w:keepLines/>
      <w:keepNext/>
      <w:spacing w:before="280" w:after="290" w:line="376" w:lineRule="auto"/>
      <w:outlineLvl w:val="3"/>
    </w:pPr>
    <w:rPr>
      <w:rFonts w:ascii="Arial" w:hAnsi="Arial" w:eastAsia="黑体"/>
      <w:b/>
      <w:bCs/>
      <w:sz w:val="28"/>
      <w:szCs w:val="28"/>
      <w:lang w:val="en-US" w:eastAsia="en-US"/>
    </w:rPr>
  </w:style>
  <w:style w:type="paragraph" w:styleId="782">
    <w:name w:val="标题 5"/>
    <w:basedOn w:val="777"/>
    <w:next w:val="792"/>
    <w:link w:val="796"/>
    <w:qFormat/>
    <w:pPr>
      <w:keepNext/>
      <w:outlineLvl w:val="4"/>
    </w:pPr>
    <w:rPr>
      <w:rFonts w:ascii="宋体"/>
      <w:color w:val="000000"/>
      <w:sz w:val="28"/>
      <w:szCs w:val="28"/>
      <w:lang w:val="en-US" w:eastAsia="en-US"/>
    </w:rPr>
  </w:style>
  <w:style w:type="paragraph" w:styleId="783">
    <w:name w:val="标题 6"/>
    <w:basedOn w:val="777"/>
    <w:next w:val="777"/>
    <w:link w:val="79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84">
    <w:name w:val="标题 7"/>
    <w:basedOn w:val="777"/>
    <w:next w:val="777"/>
    <w:link w:val="798"/>
    <w:qFormat/>
    <w:pPr>
      <w:numPr>
        <w:ilvl w:val="6"/>
        <w:numId w:val="1"/>
      </w:numPr>
      <w:keepLines/>
      <w:keepNext/>
      <w:spacing w:before="240" w:after="64" w:line="320" w:lineRule="auto"/>
      <w:outlineLvl w:val="6"/>
    </w:pPr>
    <w:rPr>
      <w:b/>
      <w:bCs/>
      <w:sz w:val="24"/>
      <w:szCs w:val="24"/>
      <w:lang w:val="en-US" w:eastAsia="en-US"/>
    </w:rPr>
  </w:style>
  <w:style w:type="paragraph" w:styleId="785">
    <w:name w:val="标题 8"/>
    <w:basedOn w:val="777"/>
    <w:next w:val="777"/>
    <w:link w:val="79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86">
    <w:name w:val="标题 9"/>
    <w:basedOn w:val="777"/>
    <w:next w:val="777"/>
    <w:link w:val="80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87">
    <w:name w:val="默认段落字体"/>
    <w:next w:val="787"/>
    <w:link w:val="777"/>
    <w:uiPriority w:val="1"/>
    <w:unhideWhenUsed/>
  </w:style>
  <w:style w:type="table" w:styleId="788">
    <w:name w:val="普通表格"/>
    <w:next w:val="788"/>
    <w:link w:val="777"/>
    <w:uiPriority w:val="99"/>
    <w:unhideWhenUsed/>
    <w:tblPr/>
  </w:style>
  <w:style w:type="numbering" w:styleId="789">
    <w:name w:val="无列表"/>
    <w:next w:val="789"/>
    <w:link w:val="777"/>
    <w:uiPriority w:val="99"/>
    <w:semiHidden/>
    <w:unhideWhenUsed/>
  </w:style>
  <w:style w:type="character" w:styleId="790">
    <w:name w:val="标题 1 Char"/>
    <w:next w:val="790"/>
    <w:link w:val="778"/>
    <w:rPr>
      <w:rFonts w:ascii="楷体_GB2312" w:hAnsi="Times New Roman" w:eastAsia="楷体_GB2312" w:cs="Times New Roman"/>
      <w:sz w:val="28"/>
      <w:szCs w:val="28"/>
    </w:rPr>
  </w:style>
  <w:style w:type="character" w:styleId="791">
    <w:name w:val="标题 2 Char"/>
    <w:next w:val="791"/>
    <w:link w:val="779"/>
    <w:rPr>
      <w:rFonts w:ascii="Arial" w:hAnsi="Arial" w:eastAsia="幼圆" w:cs="Arial"/>
      <w:b/>
      <w:bCs/>
      <w:sz w:val="44"/>
      <w:szCs w:val="44"/>
    </w:rPr>
  </w:style>
  <w:style w:type="paragraph" w:styleId="792">
    <w:name w:val="正文缩进"/>
    <w:basedOn w:val="777"/>
    <w:next w:val="792"/>
    <w:link w:val="793"/>
    <w:pPr>
      <w:ind w:firstLine="420"/>
    </w:pPr>
    <w:rPr>
      <w:sz w:val="20"/>
      <w:lang w:val="en-US" w:eastAsia="en-US"/>
    </w:rPr>
  </w:style>
  <w:style w:type="character" w:styleId="793">
    <w:name w:val="正文缩进 Char"/>
    <w:next w:val="793"/>
    <w:link w:val="792"/>
    <w:rPr>
      <w:rFonts w:ascii="Times New Roman" w:hAnsi="Times New Roman" w:eastAsia="宋体" w:cs="Times New Roman"/>
      <w:szCs w:val="21"/>
    </w:rPr>
  </w:style>
  <w:style w:type="character" w:styleId="794">
    <w:name w:val="标题 3 Char"/>
    <w:next w:val="794"/>
    <w:link w:val="780"/>
    <w:rPr>
      <w:rFonts w:ascii="Times New Roman" w:hAnsi="Times New Roman" w:eastAsia="宋体" w:cs="Times New Roman"/>
      <w:b/>
      <w:bCs/>
      <w:sz w:val="32"/>
      <w:szCs w:val="32"/>
    </w:rPr>
  </w:style>
  <w:style w:type="character" w:styleId="795">
    <w:name w:val="标题 4 Char"/>
    <w:next w:val="795"/>
    <w:link w:val="781"/>
    <w:rPr>
      <w:rFonts w:ascii="Arial" w:hAnsi="Arial" w:eastAsia="黑体" w:cs="Arial"/>
      <w:b/>
      <w:bCs/>
      <w:sz w:val="28"/>
      <w:szCs w:val="28"/>
    </w:rPr>
  </w:style>
  <w:style w:type="character" w:styleId="796">
    <w:name w:val="标题 5 Char"/>
    <w:next w:val="796"/>
    <w:link w:val="782"/>
    <w:rPr>
      <w:rFonts w:ascii="宋体" w:hAnsi="Times New Roman" w:eastAsia="宋体" w:cs="Times New Roman"/>
      <w:color w:val="000000"/>
      <w:sz w:val="28"/>
      <w:szCs w:val="28"/>
    </w:rPr>
  </w:style>
  <w:style w:type="character" w:styleId="797">
    <w:name w:val="标题 6 Char"/>
    <w:next w:val="797"/>
    <w:link w:val="783"/>
    <w:rPr>
      <w:rFonts w:ascii="Arial" w:hAnsi="Arial" w:eastAsia="黑体" w:cs="Times New Roman"/>
      <w:b/>
      <w:bCs/>
      <w:sz w:val="24"/>
      <w:szCs w:val="24"/>
    </w:rPr>
  </w:style>
  <w:style w:type="character" w:styleId="798">
    <w:name w:val="标题 7 Char"/>
    <w:next w:val="798"/>
    <w:link w:val="784"/>
    <w:rPr>
      <w:rFonts w:ascii="Times New Roman" w:hAnsi="Times New Roman" w:eastAsia="宋体" w:cs="Times New Roman"/>
      <w:b/>
      <w:bCs/>
      <w:sz w:val="24"/>
      <w:szCs w:val="24"/>
    </w:rPr>
  </w:style>
  <w:style w:type="character" w:styleId="799">
    <w:name w:val="标题 8 Char"/>
    <w:next w:val="799"/>
    <w:link w:val="785"/>
    <w:rPr>
      <w:rFonts w:ascii="Arial" w:hAnsi="Arial" w:eastAsia="黑体" w:cs="Times New Roman"/>
      <w:sz w:val="24"/>
      <w:szCs w:val="24"/>
    </w:rPr>
  </w:style>
  <w:style w:type="character" w:styleId="800">
    <w:name w:val="标题 9 Char"/>
    <w:next w:val="800"/>
    <w:link w:val="786"/>
    <w:rPr>
      <w:rFonts w:ascii="Arial" w:hAnsi="Arial" w:eastAsia="黑体" w:cs="Times New Roman"/>
      <w:szCs w:val="21"/>
    </w:rPr>
  </w:style>
  <w:style w:type="paragraph" w:styleId="801">
    <w:name w:val="列表 3"/>
    <w:basedOn w:val="777"/>
    <w:next w:val="801"/>
    <w:link w:val="777"/>
    <w:pPr>
      <w:ind w:left="100" w:hanging="200"/>
    </w:pPr>
  </w:style>
  <w:style w:type="paragraph" w:styleId="802">
    <w:name w:val="目录 7"/>
    <w:basedOn w:val="777"/>
    <w:next w:val="777"/>
    <w:link w:val="777"/>
    <w:uiPriority w:val="39"/>
    <w:pPr>
      <w:ind w:left="1260"/>
      <w:jc w:val="left"/>
    </w:pPr>
  </w:style>
  <w:style w:type="paragraph" w:styleId="803">
    <w:name w:val="文档结构图"/>
    <w:basedOn w:val="777"/>
    <w:next w:val="803"/>
    <w:link w:val="804"/>
    <w:semiHidden/>
    <w:pPr>
      <w:shd w:val="clear" w:color="auto" w:fill="000080"/>
    </w:pPr>
    <w:rPr>
      <w:sz w:val="20"/>
      <w:lang w:val="en-US" w:eastAsia="en-US"/>
    </w:rPr>
  </w:style>
  <w:style w:type="character" w:styleId="804">
    <w:name w:val="文档结构图 Char"/>
    <w:next w:val="804"/>
    <w:link w:val="803"/>
    <w:semiHidden/>
    <w:rPr>
      <w:rFonts w:ascii="Times New Roman" w:hAnsi="Times New Roman" w:eastAsia="宋体" w:cs="Times New Roman"/>
      <w:szCs w:val="21"/>
      <w:shd w:val="clear" w:color="auto" w:fill="000080"/>
    </w:rPr>
  </w:style>
  <w:style w:type="paragraph" w:styleId="805">
    <w:name w:val="批注文字"/>
    <w:basedOn w:val="777"/>
    <w:next w:val="805"/>
    <w:link w:val="806"/>
    <w:uiPriority w:val="99"/>
    <w:semiHidden/>
    <w:pPr>
      <w:jc w:val="left"/>
    </w:pPr>
    <w:rPr>
      <w:sz w:val="20"/>
      <w:lang w:val="en-US" w:eastAsia="en-US"/>
    </w:rPr>
  </w:style>
  <w:style w:type="character" w:styleId="806">
    <w:name w:val="批注文字 Char"/>
    <w:next w:val="806"/>
    <w:link w:val="805"/>
    <w:uiPriority w:val="99"/>
    <w:semiHidden/>
    <w:rPr>
      <w:rFonts w:ascii="Times New Roman" w:hAnsi="Times New Roman" w:eastAsia="宋体" w:cs="Times New Roman"/>
      <w:szCs w:val="21"/>
    </w:rPr>
  </w:style>
  <w:style w:type="paragraph" w:styleId="807">
    <w:name w:val="正文文本 3"/>
    <w:basedOn w:val="777"/>
    <w:next w:val="807"/>
    <w:link w:val="808"/>
    <w:rPr>
      <w:rFonts w:ascii="仿宋_GB2312" w:hAnsi="Arial" w:eastAsia="仿宋_GB2312"/>
      <w:sz w:val="32"/>
      <w:szCs w:val="32"/>
      <w:lang w:val="en-US" w:eastAsia="en-US"/>
    </w:rPr>
  </w:style>
  <w:style w:type="character" w:styleId="808">
    <w:name w:val="正文文本 3 Char"/>
    <w:next w:val="808"/>
    <w:link w:val="807"/>
    <w:rPr>
      <w:rFonts w:ascii="仿宋_GB2312" w:hAnsi="Arial" w:eastAsia="仿宋_GB2312" w:cs="Times New Roman"/>
      <w:sz w:val="32"/>
      <w:szCs w:val="32"/>
    </w:rPr>
  </w:style>
  <w:style w:type="paragraph" w:styleId="809">
    <w:name w:val="正文文本"/>
    <w:basedOn w:val="777"/>
    <w:next w:val="809"/>
    <w:link w:val="810"/>
    <w:rPr>
      <w:rFonts w:ascii="楷体_GB2312" w:hAnsi="Arial" w:eastAsia="楷体_GB2312"/>
      <w:sz w:val="28"/>
      <w:szCs w:val="28"/>
      <w:lang w:val="en-US" w:eastAsia="en-US"/>
    </w:rPr>
  </w:style>
  <w:style w:type="character" w:styleId="810">
    <w:name w:val="正文文本 Char"/>
    <w:next w:val="810"/>
    <w:link w:val="809"/>
    <w:rPr>
      <w:rFonts w:ascii="楷体_GB2312" w:hAnsi="Arial" w:eastAsia="楷体_GB2312" w:cs="Times New Roman"/>
      <w:sz w:val="28"/>
      <w:szCs w:val="28"/>
    </w:rPr>
  </w:style>
  <w:style w:type="paragraph" w:styleId="811">
    <w:name w:val="正文文本缩进"/>
    <w:basedOn w:val="777"/>
    <w:next w:val="811"/>
    <w:link w:val="812"/>
    <w:pPr>
      <w:ind w:firstLine="645"/>
    </w:pPr>
    <w:rPr>
      <w:rFonts w:ascii="楷体_GB2312" w:eastAsia="楷体_GB2312"/>
      <w:sz w:val="32"/>
      <w:szCs w:val="32"/>
      <w:lang w:val="en-US" w:eastAsia="en-US"/>
    </w:rPr>
  </w:style>
  <w:style w:type="character" w:styleId="812">
    <w:name w:val="正文文本缩进 Char"/>
    <w:next w:val="812"/>
    <w:link w:val="811"/>
    <w:rPr>
      <w:rFonts w:ascii="楷体_GB2312" w:hAnsi="Times New Roman" w:eastAsia="楷体_GB2312" w:cs="Times New Roman"/>
      <w:sz w:val="32"/>
      <w:szCs w:val="32"/>
    </w:rPr>
  </w:style>
  <w:style w:type="paragraph" w:styleId="813">
    <w:name w:val="列表 2"/>
    <w:basedOn w:val="777"/>
    <w:next w:val="813"/>
    <w:link w:val="777"/>
    <w:pPr>
      <w:ind w:left="100" w:hanging="200"/>
    </w:pPr>
  </w:style>
  <w:style w:type="paragraph" w:styleId="814">
    <w:name w:val="目录 5"/>
    <w:basedOn w:val="777"/>
    <w:next w:val="777"/>
    <w:link w:val="777"/>
    <w:uiPriority w:val="39"/>
    <w:pPr>
      <w:ind w:left="840"/>
      <w:jc w:val="left"/>
    </w:pPr>
  </w:style>
  <w:style w:type="paragraph" w:styleId="815">
    <w:name w:val="目录 3"/>
    <w:basedOn w:val="777"/>
    <w:next w:val="777"/>
    <w:link w:val="777"/>
    <w:uiPriority w:val="39"/>
    <w:pPr>
      <w:ind w:left="420"/>
      <w:jc w:val="left"/>
    </w:pPr>
    <w:rPr>
      <w:i/>
      <w:iCs/>
      <w:szCs w:val="24"/>
    </w:rPr>
  </w:style>
  <w:style w:type="paragraph" w:styleId="816">
    <w:name w:val="纯文本"/>
    <w:basedOn w:val="777"/>
    <w:next w:val="816"/>
    <w:link w:val="817"/>
    <w:rPr>
      <w:rFonts w:ascii="宋体" w:hAnsi="Courier New"/>
      <w:sz w:val="20"/>
      <w:lang w:val="en-US" w:eastAsia="en-US"/>
    </w:rPr>
  </w:style>
  <w:style w:type="character" w:styleId="817">
    <w:name w:val="纯文本 Char"/>
    <w:next w:val="817"/>
    <w:link w:val="816"/>
    <w:rPr>
      <w:rFonts w:ascii="宋体" w:hAnsi="Courier New" w:eastAsia="宋体" w:cs="Courier New"/>
      <w:szCs w:val="21"/>
    </w:rPr>
  </w:style>
  <w:style w:type="paragraph" w:styleId="818">
    <w:name w:val="目录 8"/>
    <w:basedOn w:val="777"/>
    <w:next w:val="777"/>
    <w:link w:val="777"/>
    <w:uiPriority w:val="39"/>
    <w:pPr>
      <w:ind w:left="1470"/>
      <w:jc w:val="left"/>
    </w:pPr>
  </w:style>
  <w:style w:type="paragraph" w:styleId="819">
    <w:name w:val="日期"/>
    <w:basedOn w:val="777"/>
    <w:next w:val="777"/>
    <w:link w:val="820"/>
    <w:rPr>
      <w:sz w:val="24"/>
      <w:szCs w:val="24"/>
      <w:lang w:val="en-US" w:eastAsia="en-US"/>
    </w:rPr>
  </w:style>
  <w:style w:type="character" w:styleId="820">
    <w:name w:val="日期 Char"/>
    <w:next w:val="820"/>
    <w:link w:val="819"/>
    <w:rPr>
      <w:rFonts w:ascii="Times New Roman" w:hAnsi="Times New Roman" w:eastAsia="宋体" w:cs="Times New Roman"/>
      <w:sz w:val="24"/>
      <w:szCs w:val="24"/>
    </w:rPr>
  </w:style>
  <w:style w:type="paragraph" w:styleId="821">
    <w:name w:val="正文文本缩进 2"/>
    <w:basedOn w:val="777"/>
    <w:next w:val="821"/>
    <w:link w:val="822"/>
    <w:pPr>
      <w:ind w:left="630" w:firstLine="645"/>
    </w:pPr>
    <w:rPr>
      <w:rFonts w:ascii="Arial" w:hAnsi="Arial" w:eastAsia="仿宋_GB2312"/>
      <w:sz w:val="32"/>
      <w:szCs w:val="32"/>
      <w:lang w:val="en-US" w:eastAsia="en-US"/>
    </w:rPr>
  </w:style>
  <w:style w:type="character" w:styleId="822">
    <w:name w:val="正文文本缩进 2 Char"/>
    <w:next w:val="822"/>
    <w:link w:val="821"/>
    <w:rPr>
      <w:rFonts w:ascii="Arial" w:hAnsi="Arial" w:eastAsia="仿宋_GB2312" w:cs="Arial"/>
      <w:sz w:val="32"/>
      <w:szCs w:val="32"/>
    </w:rPr>
  </w:style>
  <w:style w:type="paragraph" w:styleId="823">
    <w:name w:val="批注框文本"/>
    <w:basedOn w:val="777"/>
    <w:next w:val="823"/>
    <w:link w:val="824"/>
    <w:uiPriority w:val="99"/>
    <w:semiHidden/>
    <w:rPr>
      <w:sz w:val="18"/>
      <w:szCs w:val="18"/>
      <w:lang w:val="en-US" w:eastAsia="en-US"/>
    </w:rPr>
  </w:style>
  <w:style w:type="character" w:styleId="824">
    <w:name w:val="批注框文本 Char"/>
    <w:next w:val="824"/>
    <w:link w:val="823"/>
    <w:uiPriority w:val="99"/>
    <w:semiHidden/>
    <w:rPr>
      <w:rFonts w:ascii="Times New Roman" w:hAnsi="Times New Roman" w:eastAsia="宋体" w:cs="Times New Roman"/>
      <w:sz w:val="18"/>
      <w:szCs w:val="18"/>
    </w:rPr>
  </w:style>
  <w:style w:type="paragraph" w:styleId="825">
    <w:name w:val="页脚"/>
    <w:basedOn w:val="777"/>
    <w:next w:val="825"/>
    <w:link w:val="826"/>
    <w:uiPriority w:val="99"/>
    <w:pPr>
      <w:jc w:val="left"/>
      <w:tabs>
        <w:tab w:val="center" w:pos="4153" w:leader="none"/>
        <w:tab w:val="right" w:pos="8306" w:leader="none"/>
      </w:tabs>
    </w:pPr>
    <w:rPr>
      <w:sz w:val="18"/>
      <w:szCs w:val="18"/>
      <w:lang w:val="en-US" w:eastAsia="en-US"/>
    </w:rPr>
  </w:style>
  <w:style w:type="character" w:styleId="826">
    <w:name w:val="页脚 Char"/>
    <w:next w:val="826"/>
    <w:link w:val="825"/>
    <w:uiPriority w:val="99"/>
    <w:rPr>
      <w:rFonts w:ascii="Times New Roman" w:hAnsi="Times New Roman" w:eastAsia="宋体" w:cs="Times New Roman"/>
      <w:sz w:val="18"/>
      <w:szCs w:val="18"/>
    </w:rPr>
  </w:style>
  <w:style w:type="paragraph" w:styleId="827">
    <w:name w:val="页眉"/>
    <w:basedOn w:val="777"/>
    <w:next w:val="827"/>
    <w:link w:val="82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28">
    <w:name w:val="页眉 Char"/>
    <w:next w:val="828"/>
    <w:link w:val="827"/>
    <w:uiPriority w:val="99"/>
    <w:qFormat/>
    <w:rPr>
      <w:rFonts w:ascii="Times New Roman" w:hAnsi="Times New Roman" w:eastAsia="宋体" w:cs="Times New Roman"/>
      <w:sz w:val="18"/>
      <w:szCs w:val="18"/>
    </w:rPr>
  </w:style>
  <w:style w:type="paragraph" w:styleId="829">
    <w:name w:val="目录 1"/>
    <w:basedOn w:val="777"/>
    <w:next w:val="777"/>
    <w:link w:val="777"/>
    <w:uiPriority w:val="39"/>
    <w:pPr>
      <w:jc w:val="left"/>
      <w:spacing w:before="120" w:after="120" w:line="400" w:lineRule="exact"/>
      <w:tabs>
        <w:tab w:val="right" w:pos="8720" w:leader="dot"/>
      </w:tabs>
    </w:pPr>
    <w:rPr>
      <w:rFonts w:ascii="宋体" w:hAnsi="宋体"/>
      <w:caps/>
      <w:sz w:val="24"/>
      <w:szCs w:val="24"/>
    </w:rPr>
  </w:style>
  <w:style w:type="paragraph" w:styleId="830">
    <w:name w:val="目录 4"/>
    <w:basedOn w:val="777"/>
    <w:next w:val="777"/>
    <w:link w:val="777"/>
    <w:uiPriority w:val="39"/>
    <w:pPr>
      <w:ind w:left="630"/>
      <w:jc w:val="left"/>
    </w:pPr>
  </w:style>
  <w:style w:type="paragraph" w:styleId="831">
    <w:name w:val="列表"/>
    <w:basedOn w:val="777"/>
    <w:next w:val="831"/>
    <w:link w:val="777"/>
    <w:pPr>
      <w:ind w:left="200" w:hanging="200"/>
    </w:pPr>
  </w:style>
  <w:style w:type="paragraph" w:styleId="832">
    <w:name w:val="目录 6"/>
    <w:basedOn w:val="777"/>
    <w:next w:val="777"/>
    <w:link w:val="777"/>
    <w:uiPriority w:val="39"/>
    <w:pPr>
      <w:ind w:left="1050"/>
      <w:jc w:val="left"/>
    </w:pPr>
  </w:style>
  <w:style w:type="paragraph" w:styleId="833">
    <w:name w:val="正文文本缩进 3"/>
    <w:basedOn w:val="777"/>
    <w:next w:val="833"/>
    <w:link w:val="834"/>
    <w:pPr>
      <w:ind w:left="645" w:firstLine="645"/>
    </w:pPr>
    <w:rPr>
      <w:rFonts w:ascii="Arial" w:hAnsi="Arial" w:eastAsia="仿宋_GB2312"/>
      <w:color w:val="ffff00"/>
      <w:sz w:val="32"/>
      <w:szCs w:val="32"/>
      <w:lang w:val="en-US" w:eastAsia="en-US"/>
    </w:rPr>
  </w:style>
  <w:style w:type="character" w:styleId="834">
    <w:name w:val="正文文本缩进 3 Char"/>
    <w:next w:val="834"/>
    <w:link w:val="833"/>
    <w:rPr>
      <w:rFonts w:ascii="Arial" w:hAnsi="Arial" w:eastAsia="仿宋_GB2312" w:cs="Arial"/>
      <w:color w:val="ffff00"/>
      <w:sz w:val="32"/>
      <w:szCs w:val="32"/>
    </w:rPr>
  </w:style>
  <w:style w:type="paragraph" w:styleId="835">
    <w:name w:val="图表目录"/>
    <w:basedOn w:val="777"/>
    <w:next w:val="777"/>
    <w:link w:val="777"/>
    <w:uiPriority w:val="99"/>
    <w:pPr>
      <w:ind w:left="840" w:hanging="420"/>
    </w:pPr>
  </w:style>
  <w:style w:type="paragraph" w:styleId="836">
    <w:name w:val="目录 2"/>
    <w:basedOn w:val="777"/>
    <w:next w:val="777"/>
    <w:link w:val="777"/>
    <w:uiPriority w:val="39"/>
    <w:pPr>
      <w:ind w:left="210"/>
      <w:jc w:val="left"/>
    </w:pPr>
    <w:rPr>
      <w:smallCaps/>
      <w:szCs w:val="24"/>
    </w:rPr>
  </w:style>
  <w:style w:type="paragraph" w:styleId="837">
    <w:name w:val="目录 9"/>
    <w:basedOn w:val="777"/>
    <w:next w:val="777"/>
    <w:link w:val="777"/>
    <w:uiPriority w:val="39"/>
    <w:pPr>
      <w:ind w:left="1680"/>
      <w:jc w:val="left"/>
    </w:pPr>
  </w:style>
  <w:style w:type="paragraph" w:styleId="838">
    <w:name w:val="正文文本 2"/>
    <w:basedOn w:val="777"/>
    <w:next w:val="838"/>
    <w:link w:val="839"/>
    <w:pPr>
      <w:jc w:val="center"/>
      <w:widowControl/>
    </w:pPr>
    <w:rPr>
      <w:rFonts w:ascii="楷体_GB2312" w:eastAsia="楷体_GB2312"/>
      <w:sz w:val="28"/>
      <w:szCs w:val="28"/>
      <w:lang w:val="en-US" w:eastAsia="en-US"/>
    </w:rPr>
  </w:style>
  <w:style w:type="character" w:styleId="839">
    <w:name w:val="正文文本 2 Char"/>
    <w:next w:val="839"/>
    <w:link w:val="838"/>
    <w:rPr>
      <w:rFonts w:ascii="楷体_GB2312" w:hAnsi="Times New Roman" w:eastAsia="楷体_GB2312" w:cs="Times New Roman"/>
      <w:sz w:val="28"/>
      <w:szCs w:val="28"/>
    </w:rPr>
  </w:style>
  <w:style w:type="paragraph" w:styleId="840">
    <w:name w:val="普通(网站)"/>
    <w:basedOn w:val="777"/>
    <w:next w:val="840"/>
    <w:link w:val="777"/>
    <w:uiPriority w:val="99"/>
    <w:qFormat/>
    <w:pPr>
      <w:jc w:val="left"/>
      <w:spacing w:before="100" w:beforeAutospacing="1" w:after="100" w:afterAutospacing="1"/>
      <w:widowControl/>
    </w:pPr>
    <w:rPr>
      <w:rFonts w:ascii="宋体" w:hAnsi="宋体" w:cs="宋体"/>
      <w:sz w:val="24"/>
      <w:szCs w:val="24"/>
    </w:rPr>
  </w:style>
  <w:style w:type="paragraph" w:styleId="841">
    <w:name w:val="索引 1"/>
    <w:basedOn w:val="777"/>
    <w:next w:val="777"/>
    <w:link w:val="777"/>
    <w:semiHidden/>
    <w:pPr>
      <w:spacing w:line="240" w:lineRule="atLeast"/>
    </w:pPr>
    <w:rPr>
      <w:b/>
      <w:bCs/>
    </w:rPr>
  </w:style>
  <w:style w:type="paragraph" w:styleId="842">
    <w:name w:val="批注主题"/>
    <w:basedOn w:val="805"/>
    <w:next w:val="805"/>
    <w:link w:val="843"/>
    <w:uiPriority w:val="99"/>
    <w:semiHidden/>
    <w:rPr>
      <w:b/>
      <w:bCs/>
    </w:rPr>
  </w:style>
  <w:style w:type="character" w:styleId="843">
    <w:name w:val="批注主题 Char"/>
    <w:next w:val="843"/>
    <w:link w:val="842"/>
    <w:uiPriority w:val="99"/>
    <w:semiHidden/>
    <w:rPr>
      <w:rFonts w:ascii="Times New Roman" w:hAnsi="Times New Roman" w:eastAsia="宋体" w:cs="Times New Roman"/>
      <w:b/>
      <w:bCs/>
      <w:szCs w:val="21"/>
    </w:rPr>
  </w:style>
  <w:style w:type="paragraph" w:styleId="844">
    <w:name w:val="正文首行缩进"/>
    <w:basedOn w:val="777"/>
    <w:next w:val="844"/>
    <w:link w:val="845"/>
    <w:uiPriority w:val="99"/>
    <w:pPr>
      <w:ind w:firstLine="200"/>
      <w:spacing w:line="360" w:lineRule="auto"/>
    </w:pPr>
    <w:rPr>
      <w:rFonts w:ascii="仿宋_GB2312" w:eastAsia="仿宋_GB2312"/>
      <w:sz w:val="30"/>
      <w:szCs w:val="30"/>
      <w:lang w:val="en-US" w:eastAsia="en-US"/>
    </w:rPr>
  </w:style>
  <w:style w:type="character" w:styleId="845">
    <w:name w:val="正文首行缩进 Char"/>
    <w:next w:val="845"/>
    <w:link w:val="844"/>
    <w:uiPriority w:val="99"/>
    <w:rPr>
      <w:rFonts w:ascii="仿宋_GB2312" w:hAnsi="Times New Roman" w:eastAsia="仿宋_GB2312" w:cs="Times New Roman"/>
      <w:sz w:val="30"/>
      <w:szCs w:val="30"/>
    </w:rPr>
  </w:style>
  <w:style w:type="paragraph" w:styleId="846">
    <w:name w:val="正文首行缩进 2"/>
    <w:basedOn w:val="811"/>
    <w:next w:val="846"/>
    <w:link w:val="847"/>
    <w:pPr>
      <w:ind w:firstLine="420"/>
      <w:spacing w:line="360" w:lineRule="auto"/>
    </w:pPr>
    <w:rPr>
      <w:rFonts w:ascii="宋体" w:hAnsi="宋体" w:eastAsia="宋体"/>
      <w:szCs w:val="20"/>
    </w:rPr>
  </w:style>
  <w:style w:type="character" w:styleId="847">
    <w:name w:val="正文首行缩进 2 Char"/>
    <w:next w:val="847"/>
    <w:link w:val="846"/>
    <w:rPr>
      <w:rFonts w:ascii="宋体" w:hAnsi="宋体" w:eastAsia="宋体" w:cs="Times New Roman"/>
      <w:sz w:val="32"/>
      <w:szCs w:val="20"/>
    </w:rPr>
  </w:style>
  <w:style w:type="table" w:styleId="848">
    <w:name w:val="网格型"/>
    <w:basedOn w:val="788"/>
    <w:next w:val="848"/>
    <w:link w:val="777"/>
    <w:pPr>
      <w:jc w:val="both"/>
      <w:widowControl w:val="off"/>
    </w:pPr>
    <w:rPr>
      <w:rFonts w:ascii="Times New Roman" w:hAnsi="Times New Roman" w:eastAsia="宋体" w:cs="Times New Roman"/>
      <w:sz w:val="20"/>
      <w:szCs w:val="20"/>
    </w:rPr>
    <w:tblPr/>
  </w:style>
  <w:style w:type="character" w:styleId="849">
    <w:name w:val="要点"/>
    <w:next w:val="849"/>
    <w:link w:val="777"/>
    <w:qFormat/>
    <w:rPr>
      <w:b/>
      <w:bCs/>
    </w:rPr>
  </w:style>
  <w:style w:type="character" w:styleId="850">
    <w:name w:val="页码"/>
    <w:next w:val="850"/>
    <w:link w:val="777"/>
  </w:style>
  <w:style w:type="character" w:styleId="851">
    <w:name w:val="已访问的超链接"/>
    <w:next w:val="851"/>
    <w:link w:val="777"/>
    <w:uiPriority w:val="99"/>
    <w:rPr>
      <w:color w:val="800080"/>
      <w:u w:val="single"/>
    </w:rPr>
  </w:style>
  <w:style w:type="character" w:styleId="852">
    <w:name w:val="HTML 打字机"/>
    <w:next w:val="852"/>
    <w:link w:val="777"/>
    <w:rPr>
      <w:rFonts w:ascii="宋体" w:hAnsi="宋体" w:eastAsia="宋体" w:cs="宋体"/>
      <w:sz w:val="24"/>
      <w:szCs w:val="24"/>
    </w:rPr>
  </w:style>
  <w:style w:type="character" w:styleId="853">
    <w:name w:val="超链接"/>
    <w:next w:val="853"/>
    <w:link w:val="777"/>
    <w:uiPriority w:val="99"/>
    <w:rPr>
      <w:color w:val="0000ff"/>
      <w:u w:val="single"/>
    </w:rPr>
  </w:style>
  <w:style w:type="character" w:styleId="854">
    <w:name w:val="批注引用"/>
    <w:next w:val="854"/>
    <w:link w:val="777"/>
    <w:semiHidden/>
    <w:rPr>
      <w:sz w:val="21"/>
      <w:szCs w:val="21"/>
    </w:rPr>
  </w:style>
  <w:style w:type="character" w:styleId="855">
    <w:name w:val="font5 Char"/>
    <w:next w:val="855"/>
    <w:link w:val="777"/>
    <w:rPr>
      <w:rFonts w:ascii="宋体" w:hAnsi="宋体" w:eastAsia="宋体"/>
      <w:sz w:val="28"/>
      <w:szCs w:val="28"/>
      <w:lang w:val="en-US" w:eastAsia="zh-CN" w:bidi="ar-SA"/>
    </w:rPr>
  </w:style>
  <w:style w:type="character" w:styleId="856">
    <w:name w:val="二级目录 Char"/>
    <w:next w:val="856"/>
    <w:link w:val="857"/>
    <w:rPr>
      <w:b/>
      <w:sz w:val="30"/>
      <w:szCs w:val="28"/>
      <w:lang w:val="en-US" w:eastAsia="zh-CN" w:bidi="ar-SA"/>
    </w:rPr>
  </w:style>
  <w:style w:type="paragraph" w:styleId="857">
    <w:name w:val="二级目录"/>
    <w:next w:val="777"/>
    <w:link w:val="856"/>
    <w:pPr>
      <w:numPr>
        <w:ilvl w:val="0"/>
        <w:numId w:val="2"/>
      </w:numPr>
      <w:tabs>
        <w:tab w:val="left" w:pos="907" w:leader="none"/>
        <w:tab w:val="left" w:pos="1145" w:leader="none"/>
      </w:tabs>
      <w:outlineLvl w:val="1"/>
    </w:pPr>
    <w:rPr>
      <w:b/>
      <w:sz w:val="30"/>
      <w:szCs w:val="28"/>
      <w:lang w:val="en-US" w:eastAsia="zh-CN" w:bidi="ar-SA"/>
    </w:rPr>
  </w:style>
  <w:style w:type="character" w:styleId="858">
    <w:name w:val="列出段落 Char,Bullet List Char,numbered Char,FooterText Char,List Paragraph1 Char,Paragraphe de liste1 Char"/>
    <w:next w:val="858"/>
    <w:link w:val="859"/>
    <w:uiPriority w:val="34"/>
    <w:qFormat/>
    <w:rPr>
      <w:rFonts w:ascii="Calibri" w:hAnsi="Calibri"/>
      <w:sz w:val="24"/>
      <w:szCs w:val="24"/>
      <w:lang w:eastAsia="en-US" w:bidi="en-US"/>
    </w:rPr>
  </w:style>
  <w:style w:type="paragraph" w:styleId="859">
    <w:name w:val="列出段落1"/>
    <w:basedOn w:val="777"/>
    <w:next w:val="859"/>
    <w:link w:val="858"/>
    <w:uiPriority w:val="34"/>
    <w:qFormat/>
    <w:pPr>
      <w:contextualSpacing/>
      <w:ind w:left="720"/>
      <w:jc w:val="left"/>
      <w:widowControl/>
    </w:pPr>
    <w:rPr>
      <w:rFonts w:ascii="Calibri" w:hAnsi="Calibri"/>
      <w:sz w:val="24"/>
      <w:szCs w:val="24"/>
      <w:lang w:val="en-US" w:eastAsia="en-US" w:bidi="en-US"/>
    </w:rPr>
  </w:style>
  <w:style w:type="paragraph" w:styleId="860">
    <w:name w:val="Body Text(ch)"/>
    <w:basedOn w:val="777"/>
    <w:next w:val="809"/>
    <w:link w:val="777"/>
    <w:pPr>
      <w:spacing w:after="120"/>
    </w:pPr>
    <w:rPr>
      <w:rFonts w:ascii="宋体" w:hAnsi="Arial"/>
      <w:bCs/>
      <w:iCs/>
      <w:szCs w:val="24"/>
    </w:rPr>
  </w:style>
  <w:style w:type="paragraph" w:styleId="861">
    <w:name w:val="xl27"/>
    <w:basedOn w:val="777"/>
    <w:next w:val="861"/>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2">
    <w:name w:val="xl26"/>
    <w:basedOn w:val="777"/>
    <w:next w:val="862"/>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3">
    <w:name w:val="Char"/>
    <w:basedOn w:val="777"/>
    <w:next w:val="863"/>
    <w:link w:val="777"/>
    <w:pPr>
      <w:ind w:firstLine="200"/>
      <w:tabs>
        <w:tab w:val="left" w:pos="360" w:leader="none"/>
      </w:tabs>
    </w:pPr>
    <w:rPr>
      <w:sz w:val="28"/>
      <w:szCs w:val="30"/>
    </w:rPr>
  </w:style>
  <w:style w:type="paragraph" w:styleId="864">
    <w:name w:val=" Char"/>
    <w:basedOn w:val="803"/>
    <w:next w:val="864"/>
    <w:link w:val="777"/>
    <w:rPr>
      <w:rFonts w:ascii="Tahoma" w:hAnsi="Tahoma"/>
      <w:sz w:val="24"/>
      <w:szCs w:val="24"/>
    </w:rPr>
  </w:style>
  <w:style w:type="paragraph" w:styleId="865">
    <w:name w:val="普通正文"/>
    <w:basedOn w:val="777"/>
    <w:next w:val="865"/>
    <w:link w:val="777"/>
    <w:pPr>
      <w:ind w:firstLine="480"/>
      <w:jc w:val="left"/>
      <w:spacing w:before="120" w:after="120" w:line="360" w:lineRule="auto"/>
    </w:pPr>
    <w:rPr>
      <w:rFonts w:ascii="Arial" w:hAnsi="Arial"/>
      <w:sz w:val="24"/>
      <w:szCs w:val="24"/>
    </w:rPr>
  </w:style>
  <w:style w:type="paragraph" w:styleId="866">
    <w:name w:val="table_lines"/>
    <w:basedOn w:val="777"/>
    <w:next w:val="866"/>
    <w:link w:val="777"/>
    <w:pPr>
      <w:jc w:val="left"/>
      <w:widowControl/>
    </w:pPr>
    <w:rPr>
      <w:sz w:val="20"/>
      <w:szCs w:val="20"/>
      <w:lang w:val="de-DE" w:eastAsia="de-DE"/>
    </w:rPr>
  </w:style>
  <w:style w:type="paragraph" w:styleId="867">
    <w:name w:val="附录1"/>
    <w:next w:val="867"/>
    <w:link w:val="7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8">
    <w:name w:val="font7"/>
    <w:basedOn w:val="777"/>
    <w:next w:val="868"/>
    <w:link w:val="777"/>
    <w:pPr>
      <w:jc w:val="left"/>
      <w:spacing w:before="100" w:beforeAutospacing="1" w:after="100" w:afterAutospacing="1"/>
      <w:widowControl/>
    </w:pPr>
    <w:rPr>
      <w:rFonts w:hint="eastAsia" w:ascii="宋体" w:hAnsi="宋体"/>
      <w:sz w:val="18"/>
      <w:szCs w:val="18"/>
    </w:rPr>
  </w:style>
  <w:style w:type="paragraph" w:styleId="869">
    <w:name w:val=" Char Char Char Char"/>
    <w:basedOn w:val="803"/>
    <w:next w:val="869"/>
    <w:link w:val="777"/>
    <w:pPr>
      <w:spacing w:line="360" w:lineRule="auto"/>
    </w:pPr>
    <w:rPr>
      <w:rFonts w:ascii="Tahoma" w:hAnsi="Tahoma"/>
      <w:sz w:val="24"/>
      <w:szCs w:val="24"/>
    </w:rPr>
  </w:style>
  <w:style w:type="paragraph" w:styleId="870">
    <w:name w:val="列出段落"/>
    <w:basedOn w:val="777"/>
    <w:next w:val="870"/>
    <w:link w:val="777"/>
    <w:uiPriority w:val="34"/>
    <w:qFormat/>
    <w:pPr>
      <w:contextualSpacing/>
      <w:ind w:left="720"/>
      <w:jc w:val="left"/>
      <w:widowControl/>
    </w:pPr>
    <w:rPr>
      <w:rFonts w:ascii="Calibri" w:hAnsi="Calibri"/>
      <w:sz w:val="24"/>
      <w:szCs w:val="24"/>
      <w:lang w:eastAsia="en-US" w:bidi="en-US"/>
    </w:rPr>
  </w:style>
  <w:style w:type="paragraph" w:styleId="871">
    <w:name w:val="4"/>
    <w:basedOn w:val="777"/>
    <w:next w:val="833"/>
    <w:link w:val="777"/>
    <w:pPr>
      <w:ind w:firstLine="420"/>
      <w:spacing w:line="360" w:lineRule="auto"/>
    </w:pPr>
    <w:rPr>
      <w:color w:val="ff0000"/>
      <w:sz w:val="24"/>
      <w:szCs w:val="24"/>
    </w:rPr>
  </w:style>
  <w:style w:type="paragraph" w:styleId="872">
    <w:name w:val="普通 (Web)"/>
    <w:basedOn w:val="777"/>
    <w:next w:val="872"/>
    <w:link w:val="777"/>
    <w:pPr>
      <w:jc w:val="left"/>
      <w:spacing w:before="100" w:beforeAutospacing="1" w:after="100" w:afterAutospacing="1"/>
      <w:widowControl/>
    </w:pPr>
    <w:rPr>
      <w:rFonts w:ascii="宋体" w:hAnsi="宋体"/>
      <w:sz w:val="24"/>
      <w:szCs w:val="24"/>
    </w:rPr>
  </w:style>
  <w:style w:type="paragraph" w:styleId="873">
    <w:name w:val=" Char Char Char Char Char Char Char Char Char Char"/>
    <w:basedOn w:val="777"/>
    <w:next w:val="873"/>
    <w:link w:val="777"/>
    <w:pPr>
      <w:spacing w:line="360" w:lineRule="auto"/>
    </w:pPr>
    <w:rPr>
      <w:sz w:val="24"/>
      <w:szCs w:val="20"/>
    </w:rPr>
  </w:style>
  <w:style w:type="paragraph" w:styleId="874">
    <w:name w:val="样式1"/>
    <w:basedOn w:val="777"/>
    <w:next w:val="874"/>
    <w:link w:val="777"/>
    <w:pPr>
      <w:numPr>
        <w:ilvl w:val="0"/>
        <w:numId w:val="3"/>
      </w:numPr>
      <w:tabs>
        <w:tab w:val="left" w:pos="709" w:leader="none"/>
      </w:tabs>
    </w:pPr>
    <w:rPr>
      <w:rFonts w:ascii="宋体" w:hAnsi="宋体"/>
    </w:rPr>
  </w:style>
  <w:style w:type="paragraph" w:styleId="875">
    <w:name w:val="font6"/>
    <w:basedOn w:val="777"/>
    <w:next w:val="875"/>
    <w:link w:val="777"/>
    <w:pPr>
      <w:jc w:val="left"/>
      <w:spacing w:before="100" w:beforeAutospacing="1" w:after="100" w:afterAutospacing="1"/>
      <w:widowControl/>
    </w:pPr>
    <w:rPr>
      <w:rFonts w:hint="eastAsia" w:ascii="宋体" w:hAnsi="宋体"/>
      <w:sz w:val="28"/>
      <w:szCs w:val="28"/>
      <w:u w:val="single"/>
    </w:rPr>
  </w:style>
  <w:style w:type="paragraph" w:styleId="876">
    <w:name w:val="xl25"/>
    <w:basedOn w:val="777"/>
    <w:next w:val="876"/>
    <w:link w:val="7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7">
    <w:name w:val="图标"/>
    <w:basedOn w:val="777"/>
    <w:next w:val="777"/>
    <w:link w:val="7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8">
    <w:name w:val="标题3"/>
    <w:basedOn w:val="777"/>
    <w:next w:val="777"/>
    <w:link w:val="777"/>
    <w:pPr>
      <w:ind w:firstLine="624"/>
      <w:spacing w:line="590" w:lineRule="atLeast"/>
    </w:pPr>
    <w:rPr>
      <w:rFonts w:ascii="方正黑体_GBK" w:eastAsia="方正黑体_GBK"/>
      <w:sz w:val="32"/>
      <w:szCs w:val="32"/>
    </w:rPr>
  </w:style>
  <w:style w:type="paragraph" w:styleId="879">
    <w:name w:val="xl24"/>
    <w:basedOn w:val="777"/>
    <w:next w:val="879"/>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0">
    <w:name w:val="xl29"/>
    <w:basedOn w:val="777"/>
    <w:next w:val="880"/>
    <w:link w:val="7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1">
    <w:name w:val="Char Char Char Char Char Char Char Char"/>
    <w:basedOn w:val="777"/>
    <w:next w:val="881"/>
    <w:link w:val="777"/>
    <w:pPr>
      <w:jc w:val="left"/>
      <w:spacing w:after="160" w:line="240" w:lineRule="exact"/>
      <w:widowControl/>
    </w:pPr>
    <w:rPr>
      <w:rFonts w:ascii="Verdana" w:hAnsi="Verdana"/>
      <w:sz w:val="20"/>
      <w:szCs w:val="20"/>
      <w:lang w:eastAsia="en-US"/>
    </w:rPr>
  </w:style>
  <w:style w:type="paragraph" w:styleId="882">
    <w:name w:val="xl28"/>
    <w:basedOn w:val="777"/>
    <w:next w:val="882"/>
    <w:link w:val="7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3">
    <w:name w:val=" Char Char Char Char Char Char Char Char"/>
    <w:basedOn w:val="777"/>
    <w:next w:val="883"/>
    <w:link w:val="777"/>
    <w:pPr>
      <w:jc w:val="left"/>
      <w:spacing w:after="160" w:line="240" w:lineRule="exact"/>
      <w:widowControl/>
    </w:pPr>
    <w:rPr>
      <w:rFonts w:ascii="Verdana" w:hAnsi="Verdana"/>
      <w:sz w:val="20"/>
      <w:szCs w:val="20"/>
      <w:lang w:eastAsia="en-US"/>
    </w:rPr>
  </w:style>
  <w:style w:type="paragraph" w:styleId="884">
    <w:name w:val="xl30"/>
    <w:basedOn w:val="777"/>
    <w:next w:val="884"/>
    <w:link w:val="777"/>
    <w:pPr>
      <w:jc w:val="center"/>
      <w:spacing w:before="100" w:beforeAutospacing="1" w:after="100" w:afterAutospacing="1"/>
      <w:widowControl/>
    </w:pPr>
    <w:rPr>
      <w:rFonts w:ascii="宋体" w:hAnsi="宋体"/>
      <w:b/>
      <w:bCs/>
      <w:sz w:val="36"/>
      <w:szCs w:val="36"/>
    </w:rPr>
  </w:style>
  <w:style w:type="paragraph" w:styleId="885">
    <w:name w:val="Char Char Char Char"/>
    <w:basedOn w:val="803"/>
    <w:next w:val="885"/>
    <w:link w:val="777"/>
    <w:pPr>
      <w:spacing w:line="360" w:lineRule="auto"/>
    </w:pPr>
    <w:rPr>
      <w:rFonts w:ascii="Tahoma" w:hAnsi="Tahoma"/>
      <w:sz w:val="24"/>
      <w:szCs w:val="24"/>
    </w:rPr>
  </w:style>
  <w:style w:type="paragraph" w:styleId="886">
    <w:name w:val="table_1stline"/>
    <w:basedOn w:val="777"/>
    <w:next w:val="886"/>
    <w:link w:val="777"/>
    <w:pPr>
      <w:jc w:val="left"/>
      <w:spacing w:before="120"/>
      <w:widowControl/>
    </w:pPr>
    <w:rPr>
      <w:bCs/>
      <w:sz w:val="20"/>
      <w:szCs w:val="20"/>
      <w:lang w:val="de-DE" w:eastAsia="de-DE"/>
    </w:rPr>
  </w:style>
  <w:style w:type="paragraph" w:styleId="887">
    <w:name w:val="font5"/>
    <w:basedOn w:val="777"/>
    <w:next w:val="887"/>
    <w:link w:val="777"/>
    <w:pPr>
      <w:jc w:val="left"/>
      <w:spacing w:before="100" w:beforeAutospacing="1" w:after="100" w:afterAutospacing="1"/>
      <w:widowControl/>
    </w:pPr>
    <w:rPr>
      <w:rFonts w:hint="eastAsia" w:ascii="宋体" w:hAnsi="宋体"/>
      <w:sz w:val="28"/>
      <w:szCs w:val="28"/>
    </w:rPr>
  </w:style>
  <w:style w:type="paragraph" w:styleId="888">
    <w:name w:val="标题1"/>
    <w:basedOn w:val="777"/>
    <w:next w:val="777"/>
    <w:link w:val="777"/>
    <w:pPr>
      <w:jc w:val="center"/>
      <w:spacing w:line="700" w:lineRule="atLeast"/>
      <w:tabs>
        <w:tab w:val="left" w:pos="9193" w:leader="none"/>
        <w:tab w:val="left" w:pos="9827" w:leader="none"/>
      </w:tabs>
    </w:pPr>
    <w:rPr>
      <w:rFonts w:ascii="方正小标宋_GBK" w:eastAsia="方正小标宋_GBK"/>
      <w:sz w:val="44"/>
      <w:szCs w:val="20"/>
    </w:rPr>
  </w:style>
  <w:style w:type="paragraph" w:styleId="889">
    <w:name w:val="修订"/>
    <w:next w:val="889"/>
    <w:link w:val="777"/>
    <w:uiPriority w:val="99"/>
    <w:semiHidden/>
    <w:rPr>
      <w:rFonts w:ascii="Times New Roman" w:hAnsi="Times New Roman"/>
      <w:sz w:val="21"/>
      <w:szCs w:val="21"/>
      <w:lang w:val="en-US" w:eastAsia="zh-CN" w:bidi="ar-SA"/>
    </w:rPr>
  </w:style>
  <w:style w:type="paragraph" w:styleId="890">
    <w:name w:val="无间隔"/>
    <w:next w:val="890"/>
    <w:link w:val="777"/>
    <w:uiPriority w:val="1"/>
    <w:qFormat/>
    <w:pPr>
      <w:jc w:val="both"/>
      <w:widowControl w:val="off"/>
    </w:pPr>
    <w:rPr>
      <w:rFonts w:ascii="Times New Roman" w:hAnsi="Times New Roman"/>
      <w:sz w:val="21"/>
      <w:szCs w:val="21"/>
      <w:lang w:val="en-US" w:eastAsia="zh-CN" w:bidi="ar-SA"/>
    </w:rPr>
  </w:style>
  <w:style w:type="paragraph" w:styleId="891">
    <w:name w:val="普通文字"/>
    <w:basedOn w:val="777"/>
    <w:next w:val="777"/>
    <w:link w:val="777"/>
    <w:rPr>
      <w:rFonts w:ascii="宋体" w:hAnsi="Times New Roman" w:eastAsia="宋体" w:cs="Times New Roman"/>
      <w:sz w:val="24"/>
      <w:szCs w:val="20"/>
      <w:u w:val="none"/>
    </w:rPr>
  </w:style>
  <w:style w:type="paragraph" w:styleId="892">
    <w:name w:val="目录 111"/>
    <w:basedOn w:val="777"/>
    <w:next w:val="777"/>
    <w:link w:val="777"/>
    <w:uiPriority w:val="39"/>
    <w:unhideWhenUsed/>
    <w:qFormat/>
    <w:pPr>
      <w:jc w:val="left"/>
      <w:spacing w:after="100" w:line="259" w:lineRule="auto"/>
      <w:widowControl/>
    </w:pPr>
    <w:rPr>
      <w:rFonts w:ascii="Calibri" w:hAnsi="Calibri" w:eastAsia="宋体"/>
      <w:sz w:val="22"/>
      <w:szCs w:val="22"/>
    </w:rPr>
  </w:style>
  <w:style w:type="character" w:styleId="893">
    <w:name w:val="Heading 1 Char"/>
    <w:basedOn w:val="787"/>
    <w:next w:val="893"/>
    <w:link w:val="777"/>
    <w:uiPriority w:val="9"/>
    <w:rPr>
      <w:rFonts w:ascii="Arial" w:hAnsi="Arial" w:eastAsia="Arial" w:cs="Arial"/>
      <w:sz w:val="40"/>
      <w:szCs w:val="40"/>
    </w:rPr>
  </w:style>
  <w:style w:type="character" w:styleId="894">
    <w:name w:val="Heading 2 Char"/>
    <w:basedOn w:val="787"/>
    <w:next w:val="894"/>
    <w:link w:val="777"/>
    <w:uiPriority w:val="9"/>
    <w:rPr>
      <w:rFonts w:ascii="Arial" w:hAnsi="Arial" w:eastAsia="Arial" w:cs="Arial"/>
      <w:sz w:val="34"/>
    </w:rPr>
  </w:style>
  <w:style w:type="character" w:styleId="895">
    <w:name w:val="Heading 3 Char"/>
    <w:basedOn w:val="787"/>
    <w:next w:val="895"/>
    <w:link w:val="777"/>
    <w:uiPriority w:val="9"/>
    <w:rPr>
      <w:rFonts w:ascii="Arial" w:hAnsi="Arial" w:eastAsia="Arial" w:cs="Arial"/>
      <w:sz w:val="30"/>
      <w:szCs w:val="30"/>
    </w:rPr>
  </w:style>
  <w:style w:type="character" w:styleId="896">
    <w:name w:val="Heading 4 Char"/>
    <w:basedOn w:val="787"/>
    <w:next w:val="896"/>
    <w:link w:val="777"/>
    <w:uiPriority w:val="9"/>
    <w:rPr>
      <w:rFonts w:ascii="Arial" w:hAnsi="Arial" w:eastAsia="Arial" w:cs="Arial"/>
      <w:b/>
      <w:bCs/>
      <w:sz w:val="26"/>
      <w:szCs w:val="26"/>
    </w:rPr>
  </w:style>
  <w:style w:type="character" w:styleId="897">
    <w:name w:val="Heading 5 Char"/>
    <w:basedOn w:val="787"/>
    <w:next w:val="897"/>
    <w:link w:val="777"/>
    <w:uiPriority w:val="9"/>
    <w:rPr>
      <w:rFonts w:ascii="Arial" w:hAnsi="Arial" w:eastAsia="Arial" w:cs="Arial"/>
      <w:b/>
      <w:bCs/>
      <w:sz w:val="24"/>
      <w:szCs w:val="24"/>
    </w:rPr>
  </w:style>
  <w:style w:type="character" w:styleId="898">
    <w:name w:val="Heading 6 Char"/>
    <w:basedOn w:val="787"/>
    <w:next w:val="898"/>
    <w:link w:val="777"/>
    <w:uiPriority w:val="9"/>
    <w:rPr>
      <w:rFonts w:ascii="Arial" w:hAnsi="Arial" w:eastAsia="Arial" w:cs="Arial"/>
      <w:b/>
      <w:bCs/>
      <w:sz w:val="22"/>
      <w:szCs w:val="22"/>
    </w:rPr>
  </w:style>
  <w:style w:type="character" w:styleId="899">
    <w:name w:val="Heading 7 Char"/>
    <w:basedOn w:val="787"/>
    <w:next w:val="899"/>
    <w:link w:val="777"/>
    <w:uiPriority w:val="9"/>
    <w:rPr>
      <w:rFonts w:ascii="Arial" w:hAnsi="Arial" w:eastAsia="Arial" w:cs="Arial"/>
      <w:b/>
      <w:bCs/>
      <w:i/>
      <w:iCs/>
      <w:sz w:val="22"/>
      <w:szCs w:val="22"/>
    </w:rPr>
  </w:style>
  <w:style w:type="character" w:styleId="900">
    <w:name w:val="Heading 8 Char"/>
    <w:basedOn w:val="787"/>
    <w:next w:val="900"/>
    <w:link w:val="777"/>
    <w:uiPriority w:val="9"/>
    <w:rPr>
      <w:rFonts w:ascii="Arial" w:hAnsi="Arial" w:eastAsia="Arial" w:cs="Arial"/>
      <w:i/>
      <w:iCs/>
      <w:sz w:val="22"/>
      <w:szCs w:val="22"/>
    </w:rPr>
  </w:style>
  <w:style w:type="character" w:styleId="901">
    <w:name w:val="Heading 9 Char"/>
    <w:basedOn w:val="787"/>
    <w:next w:val="901"/>
    <w:link w:val="777"/>
    <w:uiPriority w:val="9"/>
    <w:rPr>
      <w:rFonts w:ascii="Arial" w:hAnsi="Arial" w:eastAsia="Arial" w:cs="Arial"/>
      <w:i/>
      <w:iCs/>
      <w:sz w:val="21"/>
      <w:szCs w:val="21"/>
    </w:rPr>
  </w:style>
  <w:style w:type="character" w:styleId="902">
    <w:name w:val="Title Char"/>
    <w:basedOn w:val="787"/>
    <w:next w:val="902"/>
    <w:link w:val="777"/>
    <w:uiPriority w:val="10"/>
    <w:rPr>
      <w:sz w:val="48"/>
      <w:szCs w:val="48"/>
    </w:rPr>
  </w:style>
  <w:style w:type="character" w:styleId="903">
    <w:name w:val="Subtitle Char"/>
    <w:basedOn w:val="787"/>
    <w:next w:val="903"/>
    <w:link w:val="777"/>
    <w:uiPriority w:val="11"/>
    <w:rPr>
      <w:sz w:val="24"/>
      <w:szCs w:val="24"/>
    </w:rPr>
  </w:style>
  <w:style w:type="character" w:styleId="904">
    <w:name w:val="Quote Char"/>
    <w:next w:val="904"/>
    <w:link w:val="777"/>
    <w:uiPriority w:val="29"/>
    <w:rPr>
      <w:i/>
    </w:rPr>
  </w:style>
  <w:style w:type="character" w:styleId="905">
    <w:name w:val="Intense Quote Char"/>
    <w:next w:val="905"/>
    <w:link w:val="777"/>
    <w:uiPriority w:val="30"/>
    <w:rPr>
      <w:i/>
    </w:rPr>
  </w:style>
  <w:style w:type="character" w:styleId="906">
    <w:name w:val="Footnote Text Char"/>
    <w:next w:val="906"/>
    <w:link w:val="777"/>
    <w:uiPriority w:val="99"/>
    <w:rPr>
      <w:sz w:val="18"/>
    </w:rPr>
  </w:style>
  <w:style w:type="character" w:styleId="907">
    <w:name w:val="Endnote Text Char"/>
    <w:next w:val="907"/>
    <w:link w:val="777"/>
    <w:uiPriority w:val="99"/>
    <w:rPr>
      <w:sz w:val="20"/>
    </w:rPr>
  </w:style>
  <w:style w:type="paragraph" w:styleId="908">
    <w:name w:val="Heading 1"/>
    <w:basedOn w:val="777"/>
    <w:next w:val="777"/>
    <w:link w:val="917"/>
    <w:uiPriority w:val="9"/>
    <w:qFormat/>
    <w:pPr>
      <w:keepLines/>
      <w:keepNext/>
      <w:spacing w:before="340" w:after="330" w:line="576" w:lineRule="auto"/>
      <w:outlineLvl w:val="0"/>
    </w:pPr>
    <w:rPr>
      <w:rFonts w:ascii="Calibri" w:hAnsi="Calibri"/>
      <w:b/>
      <w:sz w:val="44"/>
      <w:szCs w:val="24"/>
      <w:lang w:val="en-US" w:eastAsia="en-US"/>
    </w:rPr>
  </w:style>
  <w:style w:type="paragraph" w:styleId="909">
    <w:name w:val="Heading 2"/>
    <w:basedOn w:val="777"/>
    <w:next w:val="777"/>
    <w:link w:val="918"/>
    <w:qFormat/>
    <w:pPr>
      <w:keepLines/>
      <w:keepNext/>
      <w:spacing w:before="260" w:after="260" w:line="413" w:lineRule="auto"/>
      <w:outlineLvl w:val="1"/>
    </w:pPr>
    <w:rPr>
      <w:rFonts w:ascii="Arial" w:hAnsi="Arial" w:eastAsia="黑体"/>
      <w:b/>
      <w:sz w:val="32"/>
      <w:szCs w:val="24"/>
      <w:lang w:val="en-US" w:eastAsia="en-US"/>
    </w:rPr>
  </w:style>
  <w:style w:type="paragraph" w:styleId="910">
    <w:name w:val="Heading 3"/>
    <w:basedOn w:val="777"/>
    <w:next w:val="777"/>
    <w:link w:val="919"/>
    <w:qFormat/>
    <w:pPr>
      <w:keepLines/>
      <w:keepNext/>
      <w:spacing w:before="260" w:after="260" w:line="413" w:lineRule="auto"/>
      <w:outlineLvl w:val="2"/>
    </w:pPr>
    <w:rPr>
      <w:rFonts w:ascii="Calibri" w:hAnsi="Calibri"/>
      <w:b/>
      <w:sz w:val="32"/>
      <w:szCs w:val="24"/>
      <w:lang w:val="en-US" w:eastAsia="en-US"/>
    </w:rPr>
  </w:style>
  <w:style w:type="paragraph" w:styleId="911">
    <w:name w:val="Heading 4"/>
    <w:basedOn w:val="777"/>
    <w:next w:val="777"/>
    <w:link w:val="920"/>
    <w:uiPriority w:val="9"/>
    <w:qFormat/>
    <w:pPr>
      <w:keepLines/>
      <w:keepNext/>
      <w:spacing w:before="280" w:after="290" w:line="372" w:lineRule="auto"/>
      <w:outlineLvl w:val="3"/>
    </w:pPr>
    <w:rPr>
      <w:rFonts w:ascii="Arial" w:hAnsi="Arial" w:eastAsia="黑体"/>
      <w:b/>
      <w:sz w:val="28"/>
      <w:szCs w:val="24"/>
      <w:lang w:val="en-US" w:eastAsia="en-US"/>
    </w:rPr>
  </w:style>
  <w:style w:type="paragraph" w:styleId="912">
    <w:name w:val="Heading 5"/>
    <w:basedOn w:val="777"/>
    <w:next w:val="777"/>
    <w:link w:val="921"/>
    <w:uiPriority w:val="9"/>
    <w:unhideWhenUsed/>
    <w:qFormat/>
    <w:pPr>
      <w:keepLines/>
      <w:keepNext/>
      <w:spacing w:before="320" w:after="200"/>
      <w:outlineLvl w:val="4"/>
    </w:pPr>
    <w:rPr>
      <w:rFonts w:ascii="Arial" w:hAnsi="Arial" w:eastAsia="Arial"/>
      <w:b/>
      <w:bCs/>
      <w:sz w:val="24"/>
      <w:szCs w:val="24"/>
      <w:lang w:val="en-US" w:eastAsia="en-US"/>
    </w:rPr>
  </w:style>
  <w:style w:type="paragraph" w:styleId="913">
    <w:name w:val="Heading 6"/>
    <w:basedOn w:val="777"/>
    <w:next w:val="777"/>
    <w:link w:val="922"/>
    <w:uiPriority w:val="9"/>
    <w:unhideWhenUsed/>
    <w:qFormat/>
    <w:pPr>
      <w:keepLines/>
      <w:keepNext/>
      <w:spacing w:before="320" w:after="200"/>
      <w:outlineLvl w:val="5"/>
    </w:pPr>
    <w:rPr>
      <w:rFonts w:ascii="Arial" w:hAnsi="Arial" w:eastAsia="Arial"/>
      <w:b/>
      <w:bCs/>
      <w:sz w:val="22"/>
      <w:szCs w:val="22"/>
      <w:lang w:val="en-US" w:eastAsia="en-US"/>
    </w:rPr>
  </w:style>
  <w:style w:type="paragraph" w:styleId="914">
    <w:name w:val="Heading 7"/>
    <w:basedOn w:val="777"/>
    <w:next w:val="777"/>
    <w:link w:val="923"/>
    <w:uiPriority w:val="9"/>
    <w:unhideWhenUsed/>
    <w:qFormat/>
    <w:pPr>
      <w:keepLines/>
      <w:keepNext/>
      <w:spacing w:before="320" w:after="200"/>
      <w:outlineLvl w:val="6"/>
    </w:pPr>
    <w:rPr>
      <w:rFonts w:ascii="Arial" w:hAnsi="Arial" w:eastAsia="Arial"/>
      <w:b/>
      <w:bCs/>
      <w:i/>
      <w:iCs/>
      <w:sz w:val="22"/>
      <w:szCs w:val="22"/>
      <w:lang w:val="en-US" w:eastAsia="en-US"/>
    </w:rPr>
  </w:style>
  <w:style w:type="paragraph" w:styleId="915">
    <w:name w:val="Heading 8"/>
    <w:basedOn w:val="777"/>
    <w:next w:val="777"/>
    <w:link w:val="924"/>
    <w:unhideWhenUsed/>
    <w:qFormat/>
    <w:pPr>
      <w:keepLines/>
      <w:keepNext/>
      <w:spacing w:before="320" w:after="200"/>
      <w:outlineLvl w:val="7"/>
    </w:pPr>
    <w:rPr>
      <w:rFonts w:ascii="Arial" w:hAnsi="Arial" w:eastAsia="Arial"/>
      <w:i/>
      <w:iCs/>
      <w:sz w:val="22"/>
      <w:szCs w:val="22"/>
      <w:lang w:val="en-US" w:eastAsia="en-US"/>
    </w:rPr>
  </w:style>
  <w:style w:type="paragraph" w:styleId="916">
    <w:name w:val="Heading 9"/>
    <w:basedOn w:val="777"/>
    <w:next w:val="777"/>
    <w:link w:val="925"/>
    <w:unhideWhenUsed/>
    <w:qFormat/>
    <w:pPr>
      <w:keepLines/>
      <w:keepNext/>
      <w:spacing w:before="320" w:after="200"/>
      <w:outlineLvl w:val="8"/>
    </w:pPr>
    <w:rPr>
      <w:rFonts w:ascii="Arial" w:hAnsi="Arial" w:eastAsia="Arial"/>
      <w:i/>
      <w:iCs/>
      <w:lang w:val="en-US" w:eastAsia="en-US"/>
    </w:rPr>
  </w:style>
  <w:style w:type="character" w:styleId="917">
    <w:name w:val="标题 1 字符1"/>
    <w:next w:val="917"/>
    <w:link w:val="908"/>
    <w:uiPriority w:val="9"/>
    <w:qFormat/>
    <w:rPr>
      <w:b/>
      <w:sz w:val="44"/>
      <w:szCs w:val="24"/>
    </w:rPr>
  </w:style>
  <w:style w:type="character" w:styleId="918">
    <w:name w:val="标题 2 字符1"/>
    <w:next w:val="918"/>
    <w:link w:val="909"/>
    <w:rPr>
      <w:rFonts w:ascii="Arial" w:hAnsi="Arial" w:eastAsia="黑体"/>
      <w:b/>
      <w:sz w:val="32"/>
      <w:szCs w:val="24"/>
    </w:rPr>
  </w:style>
  <w:style w:type="character" w:styleId="919">
    <w:name w:val="标题 3 字符1"/>
    <w:next w:val="919"/>
    <w:link w:val="910"/>
    <w:qFormat/>
    <w:rPr>
      <w:b/>
      <w:sz w:val="32"/>
      <w:szCs w:val="24"/>
    </w:rPr>
  </w:style>
  <w:style w:type="character" w:styleId="920">
    <w:name w:val="标题 4 字符1"/>
    <w:next w:val="920"/>
    <w:link w:val="911"/>
    <w:uiPriority w:val="9"/>
    <w:qFormat/>
    <w:rPr>
      <w:rFonts w:ascii="Arial" w:hAnsi="Arial" w:eastAsia="黑体"/>
      <w:b/>
      <w:sz w:val="28"/>
      <w:szCs w:val="24"/>
    </w:rPr>
  </w:style>
  <w:style w:type="character" w:styleId="921">
    <w:name w:val="标题 5 字符1"/>
    <w:next w:val="921"/>
    <w:link w:val="912"/>
    <w:uiPriority w:val="9"/>
    <w:rPr>
      <w:rFonts w:ascii="Arial" w:hAnsi="Arial" w:eastAsia="Arial" w:cs="Arial"/>
      <w:b/>
      <w:bCs/>
      <w:sz w:val="24"/>
      <w:szCs w:val="24"/>
    </w:rPr>
  </w:style>
  <w:style w:type="character" w:styleId="922">
    <w:name w:val="标题 6 字符1"/>
    <w:next w:val="922"/>
    <w:link w:val="913"/>
    <w:uiPriority w:val="9"/>
    <w:rPr>
      <w:rFonts w:ascii="Arial" w:hAnsi="Arial" w:eastAsia="Arial" w:cs="Arial"/>
      <w:b/>
      <w:bCs/>
      <w:sz w:val="22"/>
      <w:szCs w:val="22"/>
    </w:rPr>
  </w:style>
  <w:style w:type="character" w:styleId="923">
    <w:name w:val="标题 7 字符1"/>
    <w:next w:val="923"/>
    <w:link w:val="914"/>
    <w:uiPriority w:val="9"/>
    <w:rPr>
      <w:rFonts w:ascii="Arial" w:hAnsi="Arial" w:eastAsia="Arial" w:cs="Arial"/>
      <w:b/>
      <w:bCs/>
      <w:i/>
      <w:iCs/>
      <w:sz w:val="22"/>
      <w:szCs w:val="22"/>
    </w:rPr>
  </w:style>
  <w:style w:type="character" w:styleId="924">
    <w:name w:val="标题 8 字符1"/>
    <w:next w:val="924"/>
    <w:link w:val="915"/>
    <w:rPr>
      <w:rFonts w:ascii="Arial" w:hAnsi="Arial" w:eastAsia="Arial" w:cs="Arial"/>
      <w:i/>
      <w:iCs/>
      <w:sz w:val="22"/>
      <w:szCs w:val="22"/>
    </w:rPr>
  </w:style>
  <w:style w:type="character" w:styleId="925">
    <w:name w:val="标题 9 字符1"/>
    <w:next w:val="925"/>
    <w:link w:val="916"/>
    <w:rPr>
      <w:rFonts w:ascii="Arial" w:hAnsi="Arial" w:eastAsia="Arial" w:cs="Arial"/>
      <w:i/>
      <w:iCs/>
      <w:sz w:val="21"/>
      <w:szCs w:val="21"/>
    </w:rPr>
  </w:style>
  <w:style w:type="paragraph" w:styleId="926">
    <w:name w:val="标题"/>
    <w:basedOn w:val="777"/>
    <w:next w:val="777"/>
    <w:link w:val="927"/>
    <w:uiPriority w:val="10"/>
    <w:qFormat/>
    <w:pPr>
      <w:contextualSpacing/>
      <w:spacing w:before="300" w:after="200"/>
    </w:pPr>
    <w:rPr>
      <w:rFonts w:ascii="Calibri" w:hAnsi="Calibri"/>
      <w:sz w:val="48"/>
      <w:szCs w:val="48"/>
    </w:rPr>
  </w:style>
  <w:style w:type="character" w:styleId="927">
    <w:name w:val="标题 Char"/>
    <w:basedOn w:val="787"/>
    <w:next w:val="927"/>
    <w:link w:val="926"/>
    <w:uiPriority w:val="10"/>
    <w:rPr>
      <w:sz w:val="48"/>
      <w:szCs w:val="48"/>
    </w:rPr>
  </w:style>
  <w:style w:type="paragraph" w:styleId="928">
    <w:name w:val="副标题"/>
    <w:basedOn w:val="777"/>
    <w:next w:val="777"/>
    <w:link w:val="929"/>
    <w:uiPriority w:val="11"/>
    <w:qFormat/>
    <w:pPr>
      <w:spacing w:before="200" w:after="200"/>
    </w:pPr>
    <w:rPr>
      <w:rFonts w:ascii="Calibri" w:hAnsi="Calibri"/>
      <w:sz w:val="24"/>
      <w:szCs w:val="24"/>
    </w:rPr>
  </w:style>
  <w:style w:type="character" w:styleId="929">
    <w:name w:val="副标题 Char"/>
    <w:basedOn w:val="787"/>
    <w:next w:val="929"/>
    <w:link w:val="928"/>
    <w:uiPriority w:val="11"/>
    <w:rPr>
      <w:sz w:val="24"/>
      <w:szCs w:val="24"/>
    </w:rPr>
  </w:style>
  <w:style w:type="paragraph" w:styleId="930">
    <w:name w:val="引用"/>
    <w:basedOn w:val="777"/>
    <w:next w:val="777"/>
    <w:link w:val="931"/>
    <w:uiPriority w:val="29"/>
    <w:qFormat/>
    <w:pPr>
      <w:ind w:left="720" w:right="720"/>
    </w:pPr>
    <w:rPr>
      <w:rFonts w:ascii="Calibri" w:hAnsi="Calibri"/>
      <w:i/>
      <w:szCs w:val="24"/>
    </w:rPr>
  </w:style>
  <w:style w:type="character" w:styleId="931">
    <w:name w:val="引用 Char"/>
    <w:basedOn w:val="787"/>
    <w:next w:val="931"/>
    <w:link w:val="930"/>
    <w:uiPriority w:val="29"/>
    <w:rPr>
      <w:i/>
      <w:sz w:val="21"/>
      <w:szCs w:val="24"/>
    </w:rPr>
  </w:style>
  <w:style w:type="paragraph" w:styleId="932">
    <w:name w:val="明显引用"/>
    <w:basedOn w:val="777"/>
    <w:next w:val="777"/>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933">
    <w:name w:val="明显引用 Char"/>
    <w:basedOn w:val="787"/>
    <w:next w:val="933"/>
    <w:link w:val="932"/>
    <w:uiPriority w:val="30"/>
    <w:rPr>
      <w:i/>
      <w:sz w:val="21"/>
      <w:szCs w:val="24"/>
      <w:shd w:val="clear" w:color="auto" w:fill="f2f2f2"/>
    </w:rPr>
  </w:style>
  <w:style w:type="paragraph" w:styleId="934">
    <w:name w:val="Header1"/>
    <w:basedOn w:val="777"/>
    <w:next w:val="934"/>
    <w:link w:val="1073"/>
    <w:uiPriority w:val="99"/>
    <w:pPr>
      <w:jc w:val="center"/>
      <w:tabs>
        <w:tab w:val="center" w:pos="4153" w:leader="none"/>
        <w:tab w:val="right" w:pos="8306" w:leader="none"/>
      </w:tabs>
      <w:pBdr>
        <w:bottom w:val="single" w:color="000000" w:sz="6" w:space="1"/>
      </w:pBdr>
    </w:pPr>
    <w:rPr>
      <w:rFonts w:ascii="Calibri" w:hAnsi="Calibri"/>
      <w:sz w:val="18"/>
      <w:szCs w:val="18"/>
      <w:lang w:val="en-US" w:eastAsia="en-US"/>
    </w:rPr>
  </w:style>
  <w:style w:type="character" w:styleId="935">
    <w:name w:val="Header Char"/>
    <w:next w:val="935"/>
    <w:link w:val="777"/>
    <w:uiPriority w:val="99"/>
  </w:style>
  <w:style w:type="paragraph" w:styleId="936">
    <w:name w:val="Footer1"/>
    <w:basedOn w:val="777"/>
    <w:next w:val="936"/>
    <w:link w:val="1072"/>
    <w:uiPriority w:val="99"/>
    <w:pPr>
      <w:jc w:val="left"/>
      <w:tabs>
        <w:tab w:val="center" w:pos="4153" w:leader="none"/>
        <w:tab w:val="right" w:pos="8306" w:leader="none"/>
      </w:tabs>
    </w:pPr>
    <w:rPr>
      <w:rFonts w:ascii="Calibri" w:hAnsi="Calibri"/>
      <w:sz w:val="18"/>
      <w:szCs w:val="18"/>
      <w:lang w:val="en-US" w:eastAsia="en-US"/>
    </w:rPr>
  </w:style>
  <w:style w:type="character" w:styleId="937">
    <w:name w:val="Footer Char"/>
    <w:next w:val="937"/>
    <w:link w:val="777"/>
    <w:uiPriority w:val="99"/>
  </w:style>
  <w:style w:type="paragraph" w:styleId="938">
    <w:name w:val="Caption1"/>
    <w:basedOn w:val="777"/>
    <w:next w:val="777"/>
    <w:link w:val="777"/>
    <w:uiPriority w:val="35"/>
    <w:semiHidden/>
    <w:unhideWhenUsed/>
    <w:qFormat/>
    <w:pPr>
      <w:spacing w:line="276" w:lineRule="auto"/>
    </w:pPr>
    <w:rPr>
      <w:rFonts w:ascii="Calibri" w:hAnsi="Calibri"/>
      <w:b/>
      <w:bCs/>
      <w:color w:val="4f81bd"/>
      <w:sz w:val="18"/>
      <w:szCs w:val="18"/>
    </w:rPr>
  </w:style>
  <w:style w:type="character" w:styleId="939">
    <w:name w:val="Caption Char"/>
    <w:next w:val="939"/>
    <w:link w:val="777"/>
    <w:uiPriority w:val="99"/>
  </w:style>
  <w:style w:type="table" w:styleId="940">
    <w:name w:val="Table Grid Light"/>
    <w:next w:val="940"/>
    <w:link w:val="777"/>
    <w:uiPriority w:val="59"/>
    <w:rPr>
      <w:rFonts w:ascii="Times New Roman" w:hAnsi="Times New Roman"/>
      <w:lang w:val="en-US" w:eastAsia="zh-CN" w:bidi="ar-SA"/>
    </w:rPr>
    <w:tblPr/>
  </w:style>
  <w:style w:type="table" w:styleId="941">
    <w:name w:val="Plain Table 1"/>
    <w:next w:val="941"/>
    <w:link w:val="777"/>
    <w:uiPriority w:val="59"/>
    <w:rPr>
      <w:rFonts w:ascii="Times New Roman" w:hAnsi="Times New Roman"/>
      <w:lang w:val="en-US" w:eastAsia="zh-CN" w:bidi="ar-SA"/>
    </w:rPr>
    <w:tblPr/>
  </w:style>
  <w:style w:type="table" w:styleId="942">
    <w:name w:val="Plain Table 2"/>
    <w:next w:val="942"/>
    <w:link w:val="777"/>
    <w:uiPriority w:val="59"/>
    <w:rPr>
      <w:rFonts w:ascii="Times New Roman" w:hAnsi="Times New Roman"/>
      <w:lang w:val="en-US" w:eastAsia="zh-CN" w:bidi="ar-SA"/>
    </w:rPr>
    <w:tblPr/>
  </w:style>
  <w:style w:type="table" w:styleId="943">
    <w:name w:val="Plain Table 3"/>
    <w:next w:val="943"/>
    <w:link w:val="777"/>
    <w:uiPriority w:val="99"/>
    <w:rPr>
      <w:rFonts w:ascii="Times New Roman" w:hAnsi="Times New Roman"/>
      <w:lang w:val="en-US" w:eastAsia="zh-CN" w:bidi="ar-SA"/>
    </w:rPr>
    <w:tblPr/>
  </w:style>
  <w:style w:type="table" w:styleId="944">
    <w:name w:val="Plain Table 4"/>
    <w:next w:val="944"/>
    <w:link w:val="777"/>
    <w:uiPriority w:val="99"/>
    <w:rPr>
      <w:rFonts w:ascii="Times New Roman" w:hAnsi="Times New Roman"/>
      <w:lang w:val="en-US" w:eastAsia="zh-CN" w:bidi="ar-SA"/>
    </w:rPr>
    <w:tblPr/>
  </w:style>
  <w:style w:type="table" w:styleId="945">
    <w:name w:val="Plain Table 5"/>
    <w:next w:val="945"/>
    <w:link w:val="777"/>
    <w:uiPriority w:val="99"/>
    <w:rPr>
      <w:rFonts w:ascii="Times New Roman" w:hAnsi="Times New Roman"/>
      <w:lang w:val="en-US" w:eastAsia="zh-CN" w:bidi="ar-SA"/>
    </w:rPr>
    <w:tblPr/>
  </w:style>
  <w:style w:type="table" w:styleId="946">
    <w:name w:val="Grid Table 1 Light"/>
    <w:next w:val="946"/>
    <w:link w:val="777"/>
    <w:uiPriority w:val="99"/>
    <w:rPr>
      <w:rFonts w:ascii="Times New Roman" w:hAnsi="Times New Roman"/>
      <w:lang w:val="en-US" w:eastAsia="zh-CN" w:bidi="ar-SA"/>
    </w:rPr>
    <w:tblPr/>
  </w:style>
  <w:style w:type="table" w:styleId="947">
    <w:name w:val="Grid Table 1 Light - Accent 1"/>
    <w:next w:val="947"/>
    <w:link w:val="777"/>
    <w:uiPriority w:val="99"/>
    <w:rPr>
      <w:rFonts w:ascii="Times New Roman" w:hAnsi="Times New Roman"/>
      <w:lang w:val="en-US" w:eastAsia="zh-CN" w:bidi="ar-SA"/>
    </w:rPr>
    <w:tblPr/>
  </w:style>
  <w:style w:type="table" w:styleId="948">
    <w:name w:val="Grid Table 1 Light - Accent 2"/>
    <w:next w:val="948"/>
    <w:link w:val="777"/>
    <w:uiPriority w:val="99"/>
    <w:rPr>
      <w:rFonts w:ascii="Times New Roman" w:hAnsi="Times New Roman"/>
      <w:lang w:val="en-US" w:eastAsia="zh-CN" w:bidi="ar-SA"/>
    </w:rPr>
    <w:tblPr/>
  </w:style>
  <w:style w:type="table" w:styleId="949">
    <w:name w:val="Grid Table 1 Light - Accent 3"/>
    <w:next w:val="949"/>
    <w:link w:val="777"/>
    <w:uiPriority w:val="99"/>
    <w:rPr>
      <w:rFonts w:ascii="Times New Roman" w:hAnsi="Times New Roman"/>
      <w:lang w:val="en-US" w:eastAsia="zh-CN" w:bidi="ar-SA"/>
    </w:rPr>
    <w:tblPr/>
  </w:style>
  <w:style w:type="table" w:styleId="950">
    <w:name w:val="Grid Table 1 Light - Accent 4"/>
    <w:next w:val="950"/>
    <w:link w:val="777"/>
    <w:uiPriority w:val="99"/>
    <w:rPr>
      <w:rFonts w:ascii="Times New Roman" w:hAnsi="Times New Roman"/>
      <w:lang w:val="en-US" w:eastAsia="zh-CN" w:bidi="ar-SA"/>
    </w:rPr>
    <w:tblPr/>
  </w:style>
  <w:style w:type="table" w:styleId="951">
    <w:name w:val="Grid Table 1 Light - Accent 5"/>
    <w:next w:val="951"/>
    <w:link w:val="777"/>
    <w:uiPriority w:val="99"/>
    <w:rPr>
      <w:rFonts w:ascii="Times New Roman" w:hAnsi="Times New Roman"/>
      <w:lang w:val="en-US" w:eastAsia="zh-CN" w:bidi="ar-SA"/>
    </w:rPr>
    <w:tblPr/>
  </w:style>
  <w:style w:type="table" w:styleId="952">
    <w:name w:val="Grid Table 1 Light - Accent 6"/>
    <w:next w:val="952"/>
    <w:link w:val="777"/>
    <w:uiPriority w:val="99"/>
    <w:rPr>
      <w:rFonts w:ascii="Times New Roman" w:hAnsi="Times New Roman"/>
      <w:lang w:val="en-US" w:eastAsia="zh-CN" w:bidi="ar-SA"/>
    </w:rPr>
    <w:tblPr/>
  </w:style>
  <w:style w:type="table" w:styleId="953">
    <w:name w:val="Grid Table 2"/>
    <w:next w:val="953"/>
    <w:link w:val="777"/>
    <w:uiPriority w:val="99"/>
    <w:rPr>
      <w:rFonts w:ascii="Times New Roman" w:hAnsi="Times New Roman"/>
      <w:lang w:val="en-US" w:eastAsia="zh-CN" w:bidi="ar-SA"/>
    </w:rPr>
    <w:tblPr/>
  </w:style>
  <w:style w:type="table" w:styleId="954">
    <w:name w:val="Grid Table 2 - Accent 1"/>
    <w:next w:val="954"/>
    <w:link w:val="777"/>
    <w:uiPriority w:val="99"/>
    <w:rPr>
      <w:rFonts w:ascii="Times New Roman" w:hAnsi="Times New Roman"/>
      <w:lang w:val="en-US" w:eastAsia="zh-CN" w:bidi="ar-SA"/>
    </w:rPr>
    <w:tblPr/>
  </w:style>
  <w:style w:type="table" w:styleId="955">
    <w:name w:val="Grid Table 2 - Accent 2"/>
    <w:next w:val="955"/>
    <w:link w:val="777"/>
    <w:uiPriority w:val="99"/>
    <w:rPr>
      <w:rFonts w:ascii="Times New Roman" w:hAnsi="Times New Roman"/>
      <w:lang w:val="en-US" w:eastAsia="zh-CN" w:bidi="ar-SA"/>
    </w:rPr>
    <w:tblPr/>
  </w:style>
  <w:style w:type="table" w:styleId="956">
    <w:name w:val="Grid Table 2 - Accent 3"/>
    <w:next w:val="956"/>
    <w:link w:val="777"/>
    <w:uiPriority w:val="99"/>
    <w:rPr>
      <w:rFonts w:ascii="Times New Roman" w:hAnsi="Times New Roman"/>
      <w:lang w:val="en-US" w:eastAsia="zh-CN" w:bidi="ar-SA"/>
    </w:rPr>
    <w:tblPr/>
  </w:style>
  <w:style w:type="table" w:styleId="957">
    <w:name w:val="Grid Table 2 - Accent 4"/>
    <w:next w:val="957"/>
    <w:link w:val="777"/>
    <w:uiPriority w:val="99"/>
    <w:rPr>
      <w:rFonts w:ascii="Times New Roman" w:hAnsi="Times New Roman"/>
      <w:lang w:val="en-US" w:eastAsia="zh-CN" w:bidi="ar-SA"/>
    </w:rPr>
    <w:tblPr/>
  </w:style>
  <w:style w:type="table" w:styleId="958">
    <w:name w:val="Grid Table 2 - Accent 5"/>
    <w:next w:val="958"/>
    <w:link w:val="777"/>
    <w:uiPriority w:val="99"/>
    <w:rPr>
      <w:rFonts w:ascii="Times New Roman" w:hAnsi="Times New Roman"/>
      <w:lang w:val="en-US" w:eastAsia="zh-CN" w:bidi="ar-SA"/>
    </w:rPr>
    <w:tblPr/>
  </w:style>
  <w:style w:type="table" w:styleId="959">
    <w:name w:val="Grid Table 2 - Accent 6"/>
    <w:next w:val="959"/>
    <w:link w:val="777"/>
    <w:uiPriority w:val="99"/>
    <w:rPr>
      <w:rFonts w:ascii="Times New Roman" w:hAnsi="Times New Roman"/>
      <w:lang w:val="en-US" w:eastAsia="zh-CN" w:bidi="ar-SA"/>
    </w:rPr>
    <w:tblPr/>
  </w:style>
  <w:style w:type="table" w:styleId="960">
    <w:name w:val="Grid Table 3"/>
    <w:next w:val="960"/>
    <w:link w:val="777"/>
    <w:uiPriority w:val="99"/>
    <w:rPr>
      <w:rFonts w:ascii="Times New Roman" w:hAnsi="Times New Roman"/>
      <w:lang w:val="en-US" w:eastAsia="zh-CN" w:bidi="ar-SA"/>
    </w:rPr>
    <w:tblPr/>
  </w:style>
  <w:style w:type="table" w:styleId="961">
    <w:name w:val="Grid Table 3 - Accent 1"/>
    <w:next w:val="961"/>
    <w:link w:val="777"/>
    <w:uiPriority w:val="99"/>
    <w:rPr>
      <w:rFonts w:ascii="Times New Roman" w:hAnsi="Times New Roman"/>
      <w:lang w:val="en-US" w:eastAsia="zh-CN" w:bidi="ar-SA"/>
    </w:rPr>
    <w:tblPr/>
  </w:style>
  <w:style w:type="table" w:styleId="962">
    <w:name w:val="Grid Table 3 - Accent 2"/>
    <w:next w:val="962"/>
    <w:link w:val="777"/>
    <w:uiPriority w:val="99"/>
    <w:rPr>
      <w:rFonts w:ascii="Times New Roman" w:hAnsi="Times New Roman"/>
      <w:lang w:val="en-US" w:eastAsia="zh-CN" w:bidi="ar-SA"/>
    </w:rPr>
    <w:tblPr/>
  </w:style>
  <w:style w:type="table" w:styleId="963">
    <w:name w:val="Grid Table 3 - Accent 3"/>
    <w:next w:val="963"/>
    <w:link w:val="777"/>
    <w:uiPriority w:val="99"/>
    <w:rPr>
      <w:rFonts w:ascii="Times New Roman" w:hAnsi="Times New Roman"/>
      <w:lang w:val="en-US" w:eastAsia="zh-CN" w:bidi="ar-SA"/>
    </w:rPr>
    <w:tblPr/>
  </w:style>
  <w:style w:type="table" w:styleId="964">
    <w:name w:val="Grid Table 3 - Accent 4"/>
    <w:next w:val="964"/>
    <w:link w:val="777"/>
    <w:uiPriority w:val="99"/>
    <w:rPr>
      <w:rFonts w:ascii="Times New Roman" w:hAnsi="Times New Roman"/>
      <w:lang w:val="en-US" w:eastAsia="zh-CN" w:bidi="ar-SA"/>
    </w:rPr>
    <w:tblPr/>
  </w:style>
  <w:style w:type="table" w:styleId="965">
    <w:name w:val="Grid Table 3 - Accent 5"/>
    <w:next w:val="965"/>
    <w:link w:val="777"/>
    <w:uiPriority w:val="99"/>
    <w:rPr>
      <w:rFonts w:ascii="Times New Roman" w:hAnsi="Times New Roman"/>
      <w:lang w:val="en-US" w:eastAsia="zh-CN" w:bidi="ar-SA"/>
    </w:rPr>
    <w:tblPr/>
  </w:style>
  <w:style w:type="table" w:styleId="966">
    <w:name w:val="Grid Table 3 - Accent 6"/>
    <w:next w:val="966"/>
    <w:link w:val="777"/>
    <w:uiPriority w:val="99"/>
    <w:rPr>
      <w:rFonts w:ascii="Times New Roman" w:hAnsi="Times New Roman"/>
      <w:lang w:val="en-US" w:eastAsia="zh-CN" w:bidi="ar-SA"/>
    </w:rPr>
    <w:tblPr/>
  </w:style>
  <w:style w:type="table" w:styleId="967">
    <w:name w:val="Grid Table 4"/>
    <w:next w:val="967"/>
    <w:link w:val="777"/>
    <w:uiPriority w:val="59"/>
    <w:rPr>
      <w:rFonts w:ascii="Times New Roman" w:hAnsi="Times New Roman"/>
      <w:lang w:val="en-US" w:eastAsia="zh-CN" w:bidi="ar-SA"/>
    </w:rPr>
    <w:tblPr/>
  </w:style>
  <w:style w:type="table" w:styleId="968">
    <w:name w:val="Grid Table 4 - Accent 1"/>
    <w:next w:val="968"/>
    <w:link w:val="777"/>
    <w:uiPriority w:val="59"/>
    <w:rPr>
      <w:rFonts w:ascii="Times New Roman" w:hAnsi="Times New Roman"/>
      <w:lang w:val="en-US" w:eastAsia="zh-CN" w:bidi="ar-SA"/>
    </w:rPr>
    <w:tblPr/>
  </w:style>
  <w:style w:type="table" w:styleId="969">
    <w:name w:val="Grid Table 4 - Accent 2"/>
    <w:next w:val="969"/>
    <w:link w:val="777"/>
    <w:uiPriority w:val="59"/>
    <w:rPr>
      <w:rFonts w:ascii="Times New Roman" w:hAnsi="Times New Roman"/>
      <w:lang w:val="en-US" w:eastAsia="zh-CN" w:bidi="ar-SA"/>
    </w:rPr>
    <w:tblPr/>
  </w:style>
  <w:style w:type="table" w:styleId="970">
    <w:name w:val="Grid Table 4 - Accent 3"/>
    <w:next w:val="970"/>
    <w:link w:val="777"/>
    <w:uiPriority w:val="59"/>
    <w:rPr>
      <w:rFonts w:ascii="Times New Roman" w:hAnsi="Times New Roman"/>
      <w:lang w:val="en-US" w:eastAsia="zh-CN" w:bidi="ar-SA"/>
    </w:rPr>
    <w:tblPr/>
  </w:style>
  <w:style w:type="table" w:styleId="971">
    <w:name w:val="Grid Table 4 - Accent 4"/>
    <w:next w:val="971"/>
    <w:link w:val="777"/>
    <w:uiPriority w:val="59"/>
    <w:rPr>
      <w:rFonts w:ascii="Times New Roman" w:hAnsi="Times New Roman"/>
      <w:lang w:val="en-US" w:eastAsia="zh-CN" w:bidi="ar-SA"/>
    </w:rPr>
    <w:tblPr/>
  </w:style>
  <w:style w:type="table" w:styleId="972">
    <w:name w:val="Grid Table 4 - Accent 5"/>
    <w:next w:val="972"/>
    <w:link w:val="777"/>
    <w:uiPriority w:val="59"/>
    <w:rPr>
      <w:rFonts w:ascii="Times New Roman" w:hAnsi="Times New Roman"/>
      <w:lang w:val="en-US" w:eastAsia="zh-CN" w:bidi="ar-SA"/>
    </w:rPr>
    <w:tblPr/>
  </w:style>
  <w:style w:type="table" w:styleId="973">
    <w:name w:val="Grid Table 4 - Accent 6"/>
    <w:next w:val="973"/>
    <w:link w:val="777"/>
    <w:uiPriority w:val="59"/>
    <w:rPr>
      <w:rFonts w:ascii="Times New Roman" w:hAnsi="Times New Roman"/>
      <w:lang w:val="en-US" w:eastAsia="zh-CN" w:bidi="ar-SA"/>
    </w:rPr>
    <w:tblPr/>
  </w:style>
  <w:style w:type="table" w:styleId="974">
    <w:name w:val="Grid Table 5 Dark"/>
    <w:next w:val="974"/>
    <w:link w:val="777"/>
    <w:uiPriority w:val="99"/>
    <w:rPr>
      <w:rFonts w:ascii="Times New Roman" w:hAnsi="Times New Roman"/>
      <w:lang w:val="en-US" w:eastAsia="zh-CN" w:bidi="ar-SA"/>
    </w:rPr>
    <w:tblPr/>
  </w:style>
  <w:style w:type="table" w:styleId="975">
    <w:name w:val="Grid Table 5 Dark- Accent 1"/>
    <w:next w:val="975"/>
    <w:link w:val="777"/>
    <w:uiPriority w:val="99"/>
    <w:rPr>
      <w:rFonts w:ascii="Times New Roman" w:hAnsi="Times New Roman"/>
      <w:lang w:val="en-US" w:eastAsia="zh-CN" w:bidi="ar-SA"/>
    </w:rPr>
    <w:tblPr/>
  </w:style>
  <w:style w:type="table" w:styleId="976">
    <w:name w:val="Grid Table 5 Dark - Accent 2"/>
    <w:next w:val="976"/>
    <w:link w:val="777"/>
    <w:uiPriority w:val="99"/>
    <w:rPr>
      <w:rFonts w:ascii="Times New Roman" w:hAnsi="Times New Roman"/>
      <w:lang w:val="en-US" w:eastAsia="zh-CN" w:bidi="ar-SA"/>
    </w:rPr>
    <w:tblPr/>
  </w:style>
  <w:style w:type="table" w:styleId="977">
    <w:name w:val="Grid Table 5 Dark - Accent 3"/>
    <w:next w:val="977"/>
    <w:link w:val="777"/>
    <w:uiPriority w:val="99"/>
    <w:rPr>
      <w:rFonts w:ascii="Times New Roman" w:hAnsi="Times New Roman"/>
      <w:lang w:val="en-US" w:eastAsia="zh-CN" w:bidi="ar-SA"/>
    </w:rPr>
    <w:tblPr/>
  </w:style>
  <w:style w:type="table" w:styleId="978">
    <w:name w:val="Grid Table 5 Dark- Accent 4"/>
    <w:next w:val="978"/>
    <w:link w:val="777"/>
    <w:uiPriority w:val="99"/>
    <w:rPr>
      <w:rFonts w:ascii="Times New Roman" w:hAnsi="Times New Roman"/>
      <w:lang w:val="en-US" w:eastAsia="zh-CN" w:bidi="ar-SA"/>
    </w:rPr>
    <w:tblPr/>
  </w:style>
  <w:style w:type="table" w:styleId="979">
    <w:name w:val="Grid Table 5 Dark - Accent 5"/>
    <w:next w:val="979"/>
    <w:link w:val="777"/>
    <w:uiPriority w:val="99"/>
    <w:rPr>
      <w:rFonts w:ascii="Times New Roman" w:hAnsi="Times New Roman"/>
      <w:lang w:val="en-US" w:eastAsia="zh-CN" w:bidi="ar-SA"/>
    </w:rPr>
    <w:tblPr/>
  </w:style>
  <w:style w:type="table" w:styleId="980">
    <w:name w:val="Grid Table 5 Dark - Accent 6"/>
    <w:next w:val="980"/>
    <w:link w:val="777"/>
    <w:uiPriority w:val="99"/>
    <w:rPr>
      <w:rFonts w:ascii="Times New Roman" w:hAnsi="Times New Roman"/>
      <w:lang w:val="en-US" w:eastAsia="zh-CN" w:bidi="ar-SA"/>
    </w:rPr>
    <w:tblPr/>
  </w:style>
  <w:style w:type="table" w:styleId="981">
    <w:name w:val="Grid Table 6 Colorful"/>
    <w:next w:val="981"/>
    <w:link w:val="777"/>
    <w:uiPriority w:val="99"/>
    <w:rPr>
      <w:rFonts w:ascii="Times New Roman" w:hAnsi="Times New Roman"/>
      <w:lang w:val="en-US" w:eastAsia="zh-CN" w:bidi="ar-SA"/>
    </w:rPr>
    <w:tblPr/>
  </w:style>
  <w:style w:type="table" w:styleId="982">
    <w:name w:val="Grid Table 6 Colorful - Accent 1"/>
    <w:next w:val="982"/>
    <w:link w:val="777"/>
    <w:uiPriority w:val="99"/>
    <w:rPr>
      <w:rFonts w:ascii="Times New Roman" w:hAnsi="Times New Roman"/>
      <w:lang w:val="en-US" w:eastAsia="zh-CN" w:bidi="ar-SA"/>
    </w:rPr>
    <w:tblPr/>
  </w:style>
  <w:style w:type="table" w:styleId="983">
    <w:name w:val="Grid Table 6 Colorful - Accent 2"/>
    <w:next w:val="983"/>
    <w:link w:val="777"/>
    <w:uiPriority w:val="99"/>
    <w:rPr>
      <w:rFonts w:ascii="Times New Roman" w:hAnsi="Times New Roman"/>
      <w:lang w:val="en-US" w:eastAsia="zh-CN" w:bidi="ar-SA"/>
    </w:rPr>
    <w:tblPr/>
  </w:style>
  <w:style w:type="table" w:styleId="984">
    <w:name w:val="Grid Table 6 Colorful - Accent 3"/>
    <w:next w:val="984"/>
    <w:link w:val="777"/>
    <w:uiPriority w:val="99"/>
    <w:rPr>
      <w:rFonts w:ascii="Times New Roman" w:hAnsi="Times New Roman"/>
      <w:lang w:val="en-US" w:eastAsia="zh-CN" w:bidi="ar-SA"/>
    </w:rPr>
    <w:tblPr/>
  </w:style>
  <w:style w:type="table" w:styleId="985">
    <w:name w:val="Grid Table 6 Colorful - Accent 4"/>
    <w:next w:val="985"/>
    <w:link w:val="777"/>
    <w:uiPriority w:val="99"/>
    <w:rPr>
      <w:rFonts w:ascii="Times New Roman" w:hAnsi="Times New Roman"/>
      <w:lang w:val="en-US" w:eastAsia="zh-CN" w:bidi="ar-SA"/>
    </w:rPr>
    <w:tblPr/>
  </w:style>
  <w:style w:type="table" w:styleId="986">
    <w:name w:val="Grid Table 6 Colorful - Accent 5"/>
    <w:next w:val="986"/>
    <w:link w:val="777"/>
    <w:uiPriority w:val="99"/>
    <w:rPr>
      <w:rFonts w:ascii="Times New Roman" w:hAnsi="Times New Roman"/>
      <w:lang w:val="en-US" w:eastAsia="zh-CN" w:bidi="ar-SA"/>
    </w:rPr>
    <w:tblPr/>
  </w:style>
  <w:style w:type="table" w:styleId="987">
    <w:name w:val="Grid Table 6 Colorful - Accent 6"/>
    <w:next w:val="987"/>
    <w:link w:val="777"/>
    <w:uiPriority w:val="99"/>
    <w:rPr>
      <w:rFonts w:ascii="Times New Roman" w:hAnsi="Times New Roman"/>
      <w:lang w:val="en-US" w:eastAsia="zh-CN" w:bidi="ar-SA"/>
    </w:rPr>
    <w:tblPr/>
  </w:style>
  <w:style w:type="table" w:styleId="988">
    <w:name w:val="Grid Table 7 Colorful"/>
    <w:next w:val="988"/>
    <w:link w:val="777"/>
    <w:uiPriority w:val="99"/>
    <w:rPr>
      <w:rFonts w:ascii="Times New Roman" w:hAnsi="Times New Roman"/>
      <w:lang w:val="en-US" w:eastAsia="zh-CN" w:bidi="ar-SA"/>
    </w:rPr>
    <w:tblPr/>
  </w:style>
  <w:style w:type="table" w:styleId="989">
    <w:name w:val="Grid Table 7 Colorful - Accent 1"/>
    <w:next w:val="989"/>
    <w:link w:val="777"/>
    <w:uiPriority w:val="99"/>
    <w:rPr>
      <w:rFonts w:ascii="Times New Roman" w:hAnsi="Times New Roman"/>
      <w:lang w:val="en-US" w:eastAsia="zh-CN" w:bidi="ar-SA"/>
    </w:rPr>
    <w:tblPr/>
  </w:style>
  <w:style w:type="table" w:styleId="990">
    <w:name w:val="Grid Table 7 Colorful - Accent 2"/>
    <w:next w:val="990"/>
    <w:link w:val="777"/>
    <w:uiPriority w:val="99"/>
    <w:rPr>
      <w:rFonts w:ascii="Times New Roman" w:hAnsi="Times New Roman"/>
      <w:lang w:val="en-US" w:eastAsia="zh-CN" w:bidi="ar-SA"/>
    </w:rPr>
    <w:tblPr/>
  </w:style>
  <w:style w:type="table" w:styleId="991">
    <w:name w:val="Grid Table 7 Colorful - Accent 3"/>
    <w:next w:val="991"/>
    <w:link w:val="777"/>
    <w:uiPriority w:val="99"/>
    <w:rPr>
      <w:rFonts w:ascii="Times New Roman" w:hAnsi="Times New Roman"/>
      <w:lang w:val="en-US" w:eastAsia="zh-CN" w:bidi="ar-SA"/>
    </w:rPr>
    <w:tblPr/>
  </w:style>
  <w:style w:type="table" w:styleId="992">
    <w:name w:val="Grid Table 7 Colorful - Accent 4"/>
    <w:next w:val="992"/>
    <w:link w:val="777"/>
    <w:uiPriority w:val="99"/>
    <w:rPr>
      <w:rFonts w:ascii="Times New Roman" w:hAnsi="Times New Roman"/>
      <w:lang w:val="en-US" w:eastAsia="zh-CN" w:bidi="ar-SA"/>
    </w:rPr>
    <w:tblPr/>
  </w:style>
  <w:style w:type="table" w:styleId="993">
    <w:name w:val="Grid Table 7 Colorful - Accent 5"/>
    <w:next w:val="993"/>
    <w:link w:val="777"/>
    <w:uiPriority w:val="99"/>
    <w:rPr>
      <w:rFonts w:ascii="Times New Roman" w:hAnsi="Times New Roman"/>
      <w:lang w:val="en-US" w:eastAsia="zh-CN" w:bidi="ar-SA"/>
    </w:rPr>
    <w:tblPr/>
  </w:style>
  <w:style w:type="table" w:styleId="994">
    <w:name w:val="Grid Table 7 Colorful - Accent 6"/>
    <w:next w:val="994"/>
    <w:link w:val="777"/>
    <w:uiPriority w:val="99"/>
    <w:rPr>
      <w:rFonts w:ascii="Times New Roman" w:hAnsi="Times New Roman"/>
      <w:lang w:val="en-US" w:eastAsia="zh-CN" w:bidi="ar-SA"/>
    </w:rPr>
    <w:tblPr/>
  </w:style>
  <w:style w:type="table" w:styleId="995">
    <w:name w:val="List Table 1 Light"/>
    <w:next w:val="995"/>
    <w:link w:val="777"/>
    <w:uiPriority w:val="99"/>
    <w:rPr>
      <w:rFonts w:ascii="Times New Roman" w:hAnsi="Times New Roman"/>
      <w:lang w:val="en-US" w:eastAsia="zh-CN" w:bidi="ar-SA"/>
    </w:rPr>
    <w:tblPr/>
  </w:style>
  <w:style w:type="table" w:styleId="996">
    <w:name w:val="List Table 1 Light - Accent 1"/>
    <w:next w:val="996"/>
    <w:link w:val="777"/>
    <w:uiPriority w:val="99"/>
    <w:rPr>
      <w:rFonts w:ascii="Times New Roman" w:hAnsi="Times New Roman"/>
      <w:lang w:val="en-US" w:eastAsia="zh-CN" w:bidi="ar-SA"/>
    </w:rPr>
    <w:tblPr/>
  </w:style>
  <w:style w:type="table" w:styleId="997">
    <w:name w:val="List Table 1 Light - Accent 2"/>
    <w:next w:val="997"/>
    <w:link w:val="777"/>
    <w:uiPriority w:val="99"/>
    <w:rPr>
      <w:rFonts w:ascii="Times New Roman" w:hAnsi="Times New Roman"/>
      <w:lang w:val="en-US" w:eastAsia="zh-CN" w:bidi="ar-SA"/>
    </w:rPr>
    <w:tblPr/>
  </w:style>
  <w:style w:type="table" w:styleId="998">
    <w:name w:val="List Table 1 Light - Accent 3"/>
    <w:next w:val="998"/>
    <w:link w:val="777"/>
    <w:uiPriority w:val="99"/>
    <w:rPr>
      <w:rFonts w:ascii="Times New Roman" w:hAnsi="Times New Roman"/>
      <w:lang w:val="en-US" w:eastAsia="zh-CN" w:bidi="ar-SA"/>
    </w:rPr>
    <w:tblPr/>
  </w:style>
  <w:style w:type="table" w:styleId="999">
    <w:name w:val="List Table 1 Light - Accent 4"/>
    <w:next w:val="999"/>
    <w:link w:val="777"/>
    <w:uiPriority w:val="99"/>
    <w:rPr>
      <w:rFonts w:ascii="Times New Roman" w:hAnsi="Times New Roman"/>
      <w:lang w:val="en-US" w:eastAsia="zh-CN" w:bidi="ar-SA"/>
    </w:rPr>
    <w:tblPr/>
  </w:style>
  <w:style w:type="table" w:styleId="1000">
    <w:name w:val="List Table 1 Light - Accent 5"/>
    <w:next w:val="1000"/>
    <w:link w:val="777"/>
    <w:uiPriority w:val="99"/>
    <w:rPr>
      <w:rFonts w:ascii="Times New Roman" w:hAnsi="Times New Roman"/>
      <w:lang w:val="en-US" w:eastAsia="zh-CN" w:bidi="ar-SA"/>
    </w:rPr>
    <w:tblPr/>
  </w:style>
  <w:style w:type="table" w:styleId="1001">
    <w:name w:val="List Table 1 Light - Accent 6"/>
    <w:next w:val="1001"/>
    <w:link w:val="777"/>
    <w:uiPriority w:val="99"/>
    <w:rPr>
      <w:rFonts w:ascii="Times New Roman" w:hAnsi="Times New Roman"/>
      <w:lang w:val="en-US" w:eastAsia="zh-CN" w:bidi="ar-SA"/>
    </w:rPr>
    <w:tblPr/>
  </w:style>
  <w:style w:type="table" w:styleId="1002">
    <w:name w:val="List Table 2"/>
    <w:next w:val="1002"/>
    <w:link w:val="777"/>
    <w:uiPriority w:val="99"/>
    <w:rPr>
      <w:rFonts w:ascii="Times New Roman" w:hAnsi="Times New Roman"/>
      <w:lang w:val="en-US" w:eastAsia="zh-CN" w:bidi="ar-SA"/>
    </w:rPr>
    <w:tblPr/>
  </w:style>
  <w:style w:type="table" w:styleId="1003">
    <w:name w:val="List Table 2 - Accent 1"/>
    <w:next w:val="1003"/>
    <w:link w:val="777"/>
    <w:uiPriority w:val="99"/>
    <w:rPr>
      <w:rFonts w:ascii="Times New Roman" w:hAnsi="Times New Roman"/>
      <w:lang w:val="en-US" w:eastAsia="zh-CN" w:bidi="ar-SA"/>
    </w:rPr>
    <w:tblPr/>
  </w:style>
  <w:style w:type="table" w:styleId="1004">
    <w:name w:val="List Table 2 - Accent 2"/>
    <w:next w:val="1004"/>
    <w:link w:val="777"/>
    <w:uiPriority w:val="99"/>
    <w:rPr>
      <w:rFonts w:ascii="Times New Roman" w:hAnsi="Times New Roman"/>
      <w:lang w:val="en-US" w:eastAsia="zh-CN" w:bidi="ar-SA"/>
    </w:rPr>
    <w:tblPr/>
  </w:style>
  <w:style w:type="table" w:styleId="1005">
    <w:name w:val="List Table 2 - Accent 3"/>
    <w:next w:val="1005"/>
    <w:link w:val="777"/>
    <w:uiPriority w:val="99"/>
    <w:rPr>
      <w:rFonts w:ascii="Times New Roman" w:hAnsi="Times New Roman"/>
      <w:lang w:val="en-US" w:eastAsia="zh-CN" w:bidi="ar-SA"/>
    </w:rPr>
    <w:tblPr/>
  </w:style>
  <w:style w:type="table" w:styleId="1006">
    <w:name w:val="List Table 2 - Accent 4"/>
    <w:next w:val="1006"/>
    <w:link w:val="777"/>
    <w:uiPriority w:val="99"/>
    <w:rPr>
      <w:rFonts w:ascii="Times New Roman" w:hAnsi="Times New Roman"/>
      <w:lang w:val="en-US" w:eastAsia="zh-CN" w:bidi="ar-SA"/>
    </w:rPr>
    <w:tblPr/>
  </w:style>
  <w:style w:type="table" w:styleId="1007">
    <w:name w:val="List Table 2 - Accent 5"/>
    <w:next w:val="1007"/>
    <w:link w:val="777"/>
    <w:uiPriority w:val="99"/>
    <w:rPr>
      <w:rFonts w:ascii="Times New Roman" w:hAnsi="Times New Roman"/>
      <w:lang w:val="en-US" w:eastAsia="zh-CN" w:bidi="ar-SA"/>
    </w:rPr>
    <w:tblPr/>
  </w:style>
  <w:style w:type="table" w:styleId="1008">
    <w:name w:val="List Table 2 - Accent 6"/>
    <w:next w:val="1008"/>
    <w:link w:val="777"/>
    <w:uiPriority w:val="99"/>
    <w:rPr>
      <w:rFonts w:ascii="Times New Roman" w:hAnsi="Times New Roman"/>
      <w:lang w:val="en-US" w:eastAsia="zh-CN" w:bidi="ar-SA"/>
    </w:rPr>
    <w:tblPr/>
  </w:style>
  <w:style w:type="table" w:styleId="1009">
    <w:name w:val="List Table 3"/>
    <w:next w:val="1009"/>
    <w:link w:val="777"/>
    <w:uiPriority w:val="99"/>
    <w:rPr>
      <w:rFonts w:ascii="Times New Roman" w:hAnsi="Times New Roman"/>
      <w:lang w:val="en-US" w:eastAsia="zh-CN" w:bidi="ar-SA"/>
    </w:rPr>
    <w:tblPr/>
  </w:style>
  <w:style w:type="table" w:styleId="1010">
    <w:name w:val="List Table 3 - Accent 1"/>
    <w:next w:val="1010"/>
    <w:link w:val="777"/>
    <w:uiPriority w:val="99"/>
    <w:rPr>
      <w:rFonts w:ascii="Times New Roman" w:hAnsi="Times New Roman"/>
      <w:lang w:val="en-US" w:eastAsia="zh-CN" w:bidi="ar-SA"/>
    </w:rPr>
    <w:tblPr/>
  </w:style>
  <w:style w:type="table" w:styleId="1011">
    <w:name w:val="List Table 3 - Accent 2"/>
    <w:next w:val="1011"/>
    <w:link w:val="777"/>
    <w:uiPriority w:val="99"/>
    <w:rPr>
      <w:rFonts w:ascii="Times New Roman" w:hAnsi="Times New Roman"/>
      <w:lang w:val="en-US" w:eastAsia="zh-CN" w:bidi="ar-SA"/>
    </w:rPr>
    <w:tblPr/>
  </w:style>
  <w:style w:type="table" w:styleId="1012">
    <w:name w:val="List Table 3 - Accent 3"/>
    <w:next w:val="1012"/>
    <w:link w:val="777"/>
    <w:uiPriority w:val="99"/>
    <w:rPr>
      <w:rFonts w:ascii="Times New Roman" w:hAnsi="Times New Roman"/>
      <w:lang w:val="en-US" w:eastAsia="zh-CN" w:bidi="ar-SA"/>
    </w:rPr>
    <w:tblPr/>
  </w:style>
  <w:style w:type="table" w:styleId="1013">
    <w:name w:val="List Table 3 - Accent 4"/>
    <w:next w:val="1013"/>
    <w:link w:val="777"/>
    <w:uiPriority w:val="99"/>
    <w:rPr>
      <w:rFonts w:ascii="Times New Roman" w:hAnsi="Times New Roman"/>
      <w:lang w:val="en-US" w:eastAsia="zh-CN" w:bidi="ar-SA"/>
    </w:rPr>
    <w:tblPr/>
  </w:style>
  <w:style w:type="table" w:styleId="1014">
    <w:name w:val="List Table 3 - Accent 5"/>
    <w:next w:val="1014"/>
    <w:link w:val="777"/>
    <w:uiPriority w:val="99"/>
    <w:rPr>
      <w:rFonts w:ascii="Times New Roman" w:hAnsi="Times New Roman"/>
      <w:lang w:val="en-US" w:eastAsia="zh-CN" w:bidi="ar-SA"/>
    </w:rPr>
    <w:tblPr/>
  </w:style>
  <w:style w:type="table" w:styleId="1015">
    <w:name w:val="List Table 3 - Accent 6"/>
    <w:next w:val="1015"/>
    <w:link w:val="777"/>
    <w:uiPriority w:val="99"/>
    <w:rPr>
      <w:rFonts w:ascii="Times New Roman" w:hAnsi="Times New Roman"/>
      <w:lang w:val="en-US" w:eastAsia="zh-CN" w:bidi="ar-SA"/>
    </w:rPr>
    <w:tblPr/>
  </w:style>
  <w:style w:type="table" w:styleId="1016">
    <w:name w:val="List Table 4"/>
    <w:next w:val="1016"/>
    <w:link w:val="777"/>
    <w:uiPriority w:val="99"/>
    <w:rPr>
      <w:rFonts w:ascii="Times New Roman" w:hAnsi="Times New Roman"/>
      <w:lang w:val="en-US" w:eastAsia="zh-CN" w:bidi="ar-SA"/>
    </w:rPr>
    <w:tblPr/>
  </w:style>
  <w:style w:type="table" w:styleId="1017">
    <w:name w:val="List Table 4 - Accent 1"/>
    <w:next w:val="1017"/>
    <w:link w:val="777"/>
    <w:uiPriority w:val="99"/>
    <w:rPr>
      <w:rFonts w:ascii="Times New Roman" w:hAnsi="Times New Roman"/>
      <w:lang w:val="en-US" w:eastAsia="zh-CN" w:bidi="ar-SA"/>
    </w:rPr>
    <w:tblPr/>
  </w:style>
  <w:style w:type="table" w:styleId="1018">
    <w:name w:val="List Table 4 - Accent 2"/>
    <w:next w:val="1018"/>
    <w:link w:val="777"/>
    <w:uiPriority w:val="99"/>
    <w:rPr>
      <w:rFonts w:ascii="Times New Roman" w:hAnsi="Times New Roman"/>
      <w:lang w:val="en-US" w:eastAsia="zh-CN" w:bidi="ar-SA"/>
    </w:rPr>
    <w:tblPr/>
  </w:style>
  <w:style w:type="table" w:styleId="1019">
    <w:name w:val="List Table 4 - Accent 3"/>
    <w:next w:val="1019"/>
    <w:link w:val="777"/>
    <w:uiPriority w:val="99"/>
    <w:rPr>
      <w:rFonts w:ascii="Times New Roman" w:hAnsi="Times New Roman"/>
      <w:lang w:val="en-US" w:eastAsia="zh-CN" w:bidi="ar-SA"/>
    </w:rPr>
    <w:tblPr/>
  </w:style>
  <w:style w:type="table" w:styleId="1020">
    <w:name w:val="List Table 4 - Accent 4"/>
    <w:next w:val="1020"/>
    <w:link w:val="777"/>
    <w:uiPriority w:val="99"/>
    <w:rPr>
      <w:rFonts w:ascii="Times New Roman" w:hAnsi="Times New Roman"/>
      <w:lang w:val="en-US" w:eastAsia="zh-CN" w:bidi="ar-SA"/>
    </w:rPr>
    <w:tblPr/>
  </w:style>
  <w:style w:type="table" w:styleId="1021">
    <w:name w:val="List Table 4 - Accent 5"/>
    <w:next w:val="1021"/>
    <w:link w:val="777"/>
    <w:uiPriority w:val="99"/>
    <w:rPr>
      <w:rFonts w:ascii="Times New Roman" w:hAnsi="Times New Roman"/>
      <w:lang w:val="en-US" w:eastAsia="zh-CN" w:bidi="ar-SA"/>
    </w:rPr>
    <w:tblPr/>
  </w:style>
  <w:style w:type="table" w:styleId="1022">
    <w:name w:val="List Table 4 - Accent 6"/>
    <w:next w:val="1022"/>
    <w:link w:val="777"/>
    <w:uiPriority w:val="99"/>
    <w:rPr>
      <w:rFonts w:ascii="Times New Roman" w:hAnsi="Times New Roman"/>
      <w:lang w:val="en-US" w:eastAsia="zh-CN" w:bidi="ar-SA"/>
    </w:rPr>
    <w:tblPr/>
  </w:style>
  <w:style w:type="table" w:styleId="1023">
    <w:name w:val="List Table 5 Dark"/>
    <w:next w:val="1023"/>
    <w:link w:val="777"/>
    <w:uiPriority w:val="99"/>
    <w:rPr>
      <w:rFonts w:ascii="Times New Roman" w:hAnsi="Times New Roman"/>
      <w:lang w:val="en-US" w:eastAsia="zh-CN" w:bidi="ar-SA"/>
    </w:rPr>
    <w:tblPr/>
  </w:style>
  <w:style w:type="table" w:styleId="1024">
    <w:name w:val="List Table 5 Dark - Accent 1"/>
    <w:next w:val="1024"/>
    <w:link w:val="777"/>
    <w:uiPriority w:val="99"/>
    <w:rPr>
      <w:rFonts w:ascii="Times New Roman" w:hAnsi="Times New Roman"/>
      <w:lang w:val="en-US" w:eastAsia="zh-CN" w:bidi="ar-SA"/>
    </w:rPr>
    <w:tblPr/>
  </w:style>
  <w:style w:type="table" w:styleId="1025">
    <w:name w:val="List Table 5 Dark - Accent 2"/>
    <w:next w:val="1025"/>
    <w:link w:val="777"/>
    <w:uiPriority w:val="99"/>
    <w:rPr>
      <w:rFonts w:ascii="Times New Roman" w:hAnsi="Times New Roman"/>
      <w:lang w:val="en-US" w:eastAsia="zh-CN" w:bidi="ar-SA"/>
    </w:rPr>
    <w:tblPr/>
  </w:style>
  <w:style w:type="table" w:styleId="1026">
    <w:name w:val="List Table 5 Dark - Accent 3"/>
    <w:next w:val="1026"/>
    <w:link w:val="777"/>
    <w:uiPriority w:val="99"/>
    <w:rPr>
      <w:rFonts w:ascii="Times New Roman" w:hAnsi="Times New Roman"/>
      <w:lang w:val="en-US" w:eastAsia="zh-CN" w:bidi="ar-SA"/>
    </w:rPr>
    <w:tblPr/>
  </w:style>
  <w:style w:type="table" w:styleId="1027">
    <w:name w:val="List Table 5 Dark - Accent 4"/>
    <w:next w:val="1027"/>
    <w:link w:val="777"/>
    <w:uiPriority w:val="99"/>
    <w:rPr>
      <w:rFonts w:ascii="Times New Roman" w:hAnsi="Times New Roman"/>
      <w:lang w:val="en-US" w:eastAsia="zh-CN" w:bidi="ar-SA"/>
    </w:rPr>
    <w:tblPr/>
  </w:style>
  <w:style w:type="table" w:styleId="1028">
    <w:name w:val="List Table 5 Dark - Accent 5"/>
    <w:next w:val="1028"/>
    <w:link w:val="777"/>
    <w:uiPriority w:val="99"/>
    <w:rPr>
      <w:rFonts w:ascii="Times New Roman" w:hAnsi="Times New Roman"/>
      <w:lang w:val="en-US" w:eastAsia="zh-CN" w:bidi="ar-SA"/>
    </w:rPr>
    <w:tblPr/>
  </w:style>
  <w:style w:type="table" w:styleId="1029">
    <w:name w:val="List Table 5 Dark - Accent 6"/>
    <w:next w:val="1029"/>
    <w:link w:val="777"/>
    <w:uiPriority w:val="99"/>
    <w:rPr>
      <w:rFonts w:ascii="Times New Roman" w:hAnsi="Times New Roman"/>
      <w:lang w:val="en-US" w:eastAsia="zh-CN" w:bidi="ar-SA"/>
    </w:rPr>
    <w:tblPr/>
  </w:style>
  <w:style w:type="table" w:styleId="1030">
    <w:name w:val="List Table 6 Colorful"/>
    <w:next w:val="1030"/>
    <w:link w:val="777"/>
    <w:uiPriority w:val="99"/>
    <w:rPr>
      <w:rFonts w:ascii="Times New Roman" w:hAnsi="Times New Roman"/>
      <w:lang w:val="en-US" w:eastAsia="zh-CN" w:bidi="ar-SA"/>
    </w:rPr>
    <w:tblPr/>
  </w:style>
  <w:style w:type="table" w:styleId="1031">
    <w:name w:val="List Table 6 Colorful - Accent 1"/>
    <w:next w:val="1031"/>
    <w:link w:val="777"/>
    <w:uiPriority w:val="99"/>
    <w:rPr>
      <w:rFonts w:ascii="Times New Roman" w:hAnsi="Times New Roman"/>
      <w:lang w:val="en-US" w:eastAsia="zh-CN" w:bidi="ar-SA"/>
    </w:rPr>
    <w:tblPr/>
  </w:style>
  <w:style w:type="table" w:styleId="1032">
    <w:name w:val="List Table 6 Colorful - Accent 2"/>
    <w:next w:val="1032"/>
    <w:link w:val="777"/>
    <w:uiPriority w:val="99"/>
    <w:rPr>
      <w:rFonts w:ascii="Times New Roman" w:hAnsi="Times New Roman"/>
      <w:lang w:val="en-US" w:eastAsia="zh-CN" w:bidi="ar-SA"/>
    </w:rPr>
    <w:tblPr/>
  </w:style>
  <w:style w:type="table" w:styleId="1033">
    <w:name w:val="List Table 6 Colorful - Accent 3"/>
    <w:next w:val="1033"/>
    <w:link w:val="777"/>
    <w:uiPriority w:val="99"/>
    <w:rPr>
      <w:rFonts w:ascii="Times New Roman" w:hAnsi="Times New Roman"/>
      <w:lang w:val="en-US" w:eastAsia="zh-CN" w:bidi="ar-SA"/>
    </w:rPr>
    <w:tblPr/>
  </w:style>
  <w:style w:type="table" w:styleId="1034">
    <w:name w:val="List Table 6 Colorful - Accent 4"/>
    <w:next w:val="1034"/>
    <w:link w:val="777"/>
    <w:uiPriority w:val="99"/>
    <w:rPr>
      <w:rFonts w:ascii="Times New Roman" w:hAnsi="Times New Roman"/>
      <w:lang w:val="en-US" w:eastAsia="zh-CN" w:bidi="ar-SA"/>
    </w:rPr>
    <w:tblPr/>
  </w:style>
  <w:style w:type="table" w:styleId="1035">
    <w:name w:val="List Table 6 Colorful - Accent 5"/>
    <w:next w:val="1035"/>
    <w:link w:val="777"/>
    <w:uiPriority w:val="99"/>
    <w:rPr>
      <w:rFonts w:ascii="Times New Roman" w:hAnsi="Times New Roman"/>
      <w:lang w:val="en-US" w:eastAsia="zh-CN" w:bidi="ar-SA"/>
    </w:rPr>
    <w:tblPr/>
  </w:style>
  <w:style w:type="table" w:styleId="1036">
    <w:name w:val="List Table 6 Colorful - Accent 6"/>
    <w:next w:val="1036"/>
    <w:link w:val="777"/>
    <w:uiPriority w:val="99"/>
    <w:rPr>
      <w:rFonts w:ascii="Times New Roman" w:hAnsi="Times New Roman"/>
      <w:lang w:val="en-US" w:eastAsia="zh-CN" w:bidi="ar-SA"/>
    </w:rPr>
    <w:tblPr/>
  </w:style>
  <w:style w:type="table" w:styleId="1037">
    <w:name w:val="List Table 7 Colorful"/>
    <w:next w:val="1037"/>
    <w:link w:val="777"/>
    <w:uiPriority w:val="99"/>
    <w:rPr>
      <w:rFonts w:ascii="Times New Roman" w:hAnsi="Times New Roman"/>
      <w:lang w:val="en-US" w:eastAsia="zh-CN" w:bidi="ar-SA"/>
    </w:rPr>
    <w:tblPr/>
  </w:style>
  <w:style w:type="table" w:styleId="1038">
    <w:name w:val="List Table 7 Colorful - Accent 1"/>
    <w:next w:val="1038"/>
    <w:link w:val="777"/>
    <w:uiPriority w:val="99"/>
    <w:rPr>
      <w:rFonts w:ascii="Times New Roman" w:hAnsi="Times New Roman"/>
      <w:lang w:val="en-US" w:eastAsia="zh-CN" w:bidi="ar-SA"/>
    </w:rPr>
    <w:tblPr/>
  </w:style>
  <w:style w:type="table" w:styleId="1039">
    <w:name w:val="List Table 7 Colorful - Accent 2"/>
    <w:next w:val="1039"/>
    <w:link w:val="777"/>
    <w:uiPriority w:val="99"/>
    <w:rPr>
      <w:rFonts w:ascii="Times New Roman" w:hAnsi="Times New Roman"/>
      <w:lang w:val="en-US" w:eastAsia="zh-CN" w:bidi="ar-SA"/>
    </w:rPr>
    <w:tblPr/>
  </w:style>
  <w:style w:type="table" w:styleId="1040">
    <w:name w:val="List Table 7 Colorful - Accent 3"/>
    <w:next w:val="1040"/>
    <w:link w:val="777"/>
    <w:uiPriority w:val="99"/>
    <w:rPr>
      <w:rFonts w:ascii="Times New Roman" w:hAnsi="Times New Roman"/>
      <w:lang w:val="en-US" w:eastAsia="zh-CN" w:bidi="ar-SA"/>
    </w:rPr>
    <w:tblPr/>
  </w:style>
  <w:style w:type="table" w:styleId="1041">
    <w:name w:val="List Table 7 Colorful - Accent 4"/>
    <w:next w:val="1041"/>
    <w:link w:val="777"/>
    <w:uiPriority w:val="99"/>
    <w:rPr>
      <w:rFonts w:ascii="Times New Roman" w:hAnsi="Times New Roman"/>
      <w:lang w:val="en-US" w:eastAsia="zh-CN" w:bidi="ar-SA"/>
    </w:rPr>
    <w:tblPr/>
  </w:style>
  <w:style w:type="table" w:styleId="1042">
    <w:name w:val="List Table 7 Colorful - Accent 5"/>
    <w:next w:val="1042"/>
    <w:link w:val="777"/>
    <w:uiPriority w:val="99"/>
    <w:rPr>
      <w:rFonts w:ascii="Times New Roman" w:hAnsi="Times New Roman"/>
      <w:lang w:val="en-US" w:eastAsia="zh-CN" w:bidi="ar-SA"/>
    </w:rPr>
    <w:tblPr/>
  </w:style>
  <w:style w:type="table" w:styleId="1043">
    <w:name w:val="List Table 7 Colorful - Accent 6"/>
    <w:next w:val="1043"/>
    <w:link w:val="777"/>
    <w:uiPriority w:val="99"/>
    <w:rPr>
      <w:rFonts w:ascii="Times New Roman" w:hAnsi="Times New Roman"/>
      <w:lang w:val="en-US" w:eastAsia="zh-CN" w:bidi="ar-SA"/>
    </w:rPr>
    <w:tblPr/>
  </w:style>
  <w:style w:type="table" w:styleId="1044">
    <w:name w:val="Lined - Accent"/>
    <w:next w:val="1044"/>
    <w:link w:val="777"/>
    <w:uiPriority w:val="99"/>
    <w:rPr>
      <w:rFonts w:ascii="Times New Roman" w:hAnsi="Times New Roman"/>
      <w:color w:val="404040"/>
      <w:lang w:val="en-US" w:eastAsia="zh-CN" w:bidi="ar-SA"/>
    </w:rPr>
    <w:tblPr/>
  </w:style>
  <w:style w:type="table" w:styleId="1045">
    <w:name w:val="Lined - Accent 1"/>
    <w:next w:val="1045"/>
    <w:link w:val="777"/>
    <w:uiPriority w:val="99"/>
    <w:rPr>
      <w:rFonts w:ascii="Times New Roman" w:hAnsi="Times New Roman"/>
      <w:color w:val="404040"/>
      <w:lang w:val="en-US" w:eastAsia="zh-CN" w:bidi="ar-SA"/>
    </w:rPr>
    <w:tblPr/>
  </w:style>
  <w:style w:type="table" w:styleId="1046">
    <w:name w:val="Lined - Accent 2"/>
    <w:next w:val="1046"/>
    <w:link w:val="777"/>
    <w:uiPriority w:val="99"/>
    <w:rPr>
      <w:rFonts w:ascii="Times New Roman" w:hAnsi="Times New Roman"/>
      <w:color w:val="404040"/>
      <w:lang w:val="en-US" w:eastAsia="zh-CN" w:bidi="ar-SA"/>
    </w:rPr>
    <w:tblPr/>
  </w:style>
  <w:style w:type="table" w:styleId="1047">
    <w:name w:val="Lined - Accent 3"/>
    <w:next w:val="1047"/>
    <w:link w:val="777"/>
    <w:uiPriority w:val="99"/>
    <w:rPr>
      <w:rFonts w:ascii="Times New Roman" w:hAnsi="Times New Roman"/>
      <w:color w:val="404040"/>
      <w:lang w:val="en-US" w:eastAsia="zh-CN" w:bidi="ar-SA"/>
    </w:rPr>
    <w:tblPr/>
  </w:style>
  <w:style w:type="table" w:styleId="1048">
    <w:name w:val="Lined - Accent 4"/>
    <w:next w:val="1048"/>
    <w:link w:val="777"/>
    <w:uiPriority w:val="99"/>
    <w:rPr>
      <w:rFonts w:ascii="Times New Roman" w:hAnsi="Times New Roman"/>
      <w:color w:val="404040"/>
      <w:lang w:val="en-US" w:eastAsia="zh-CN" w:bidi="ar-SA"/>
    </w:rPr>
    <w:tblPr/>
  </w:style>
  <w:style w:type="table" w:styleId="1049">
    <w:name w:val="Lined - Accent 5"/>
    <w:next w:val="1049"/>
    <w:link w:val="777"/>
    <w:uiPriority w:val="99"/>
    <w:rPr>
      <w:rFonts w:ascii="Times New Roman" w:hAnsi="Times New Roman"/>
      <w:color w:val="404040"/>
      <w:lang w:val="en-US" w:eastAsia="zh-CN" w:bidi="ar-SA"/>
    </w:rPr>
    <w:tblPr/>
  </w:style>
  <w:style w:type="table" w:styleId="1050">
    <w:name w:val="Lined - Accent 6"/>
    <w:next w:val="1050"/>
    <w:link w:val="777"/>
    <w:uiPriority w:val="99"/>
    <w:rPr>
      <w:rFonts w:ascii="Times New Roman" w:hAnsi="Times New Roman"/>
      <w:color w:val="404040"/>
      <w:lang w:val="en-US" w:eastAsia="zh-CN" w:bidi="ar-SA"/>
    </w:rPr>
    <w:tblPr/>
  </w:style>
  <w:style w:type="table" w:styleId="1051">
    <w:name w:val="Bordered &amp; Lined - Accent"/>
    <w:next w:val="1051"/>
    <w:link w:val="777"/>
    <w:uiPriority w:val="99"/>
    <w:rPr>
      <w:rFonts w:ascii="Times New Roman" w:hAnsi="Times New Roman"/>
      <w:color w:val="404040"/>
      <w:lang w:val="en-US" w:eastAsia="zh-CN" w:bidi="ar-SA"/>
    </w:rPr>
    <w:tblPr/>
  </w:style>
  <w:style w:type="table" w:styleId="1052">
    <w:name w:val="Bordered &amp; Lined - Accent 1"/>
    <w:next w:val="1052"/>
    <w:link w:val="777"/>
    <w:uiPriority w:val="99"/>
    <w:rPr>
      <w:rFonts w:ascii="Times New Roman" w:hAnsi="Times New Roman"/>
      <w:color w:val="404040"/>
      <w:lang w:val="en-US" w:eastAsia="zh-CN" w:bidi="ar-SA"/>
    </w:rPr>
    <w:tblPr/>
  </w:style>
  <w:style w:type="table" w:styleId="1053">
    <w:name w:val="Bordered &amp; Lined - Accent 2"/>
    <w:next w:val="1053"/>
    <w:link w:val="777"/>
    <w:uiPriority w:val="99"/>
    <w:rPr>
      <w:rFonts w:ascii="Times New Roman" w:hAnsi="Times New Roman"/>
      <w:color w:val="404040"/>
      <w:lang w:val="en-US" w:eastAsia="zh-CN" w:bidi="ar-SA"/>
    </w:rPr>
    <w:tblPr/>
  </w:style>
  <w:style w:type="table" w:styleId="1054">
    <w:name w:val="Bordered &amp; Lined - Accent 3"/>
    <w:next w:val="1054"/>
    <w:link w:val="777"/>
    <w:uiPriority w:val="99"/>
    <w:rPr>
      <w:rFonts w:ascii="Times New Roman" w:hAnsi="Times New Roman"/>
      <w:color w:val="404040"/>
      <w:lang w:val="en-US" w:eastAsia="zh-CN" w:bidi="ar-SA"/>
    </w:rPr>
    <w:tblPr/>
  </w:style>
  <w:style w:type="table" w:styleId="1055">
    <w:name w:val="Bordered &amp; Lined - Accent 4"/>
    <w:next w:val="1055"/>
    <w:link w:val="777"/>
    <w:uiPriority w:val="99"/>
    <w:rPr>
      <w:rFonts w:ascii="Times New Roman" w:hAnsi="Times New Roman"/>
      <w:color w:val="404040"/>
      <w:lang w:val="en-US" w:eastAsia="zh-CN" w:bidi="ar-SA"/>
    </w:rPr>
    <w:tblPr/>
  </w:style>
  <w:style w:type="table" w:styleId="1056">
    <w:name w:val="Bordered &amp; Lined - Accent 5"/>
    <w:next w:val="1056"/>
    <w:link w:val="777"/>
    <w:uiPriority w:val="99"/>
    <w:rPr>
      <w:rFonts w:ascii="Times New Roman" w:hAnsi="Times New Roman"/>
      <w:color w:val="404040"/>
      <w:lang w:val="en-US" w:eastAsia="zh-CN" w:bidi="ar-SA"/>
    </w:rPr>
    <w:tblPr/>
  </w:style>
  <w:style w:type="table" w:styleId="1057">
    <w:name w:val="Bordered &amp; Lined - Accent 6"/>
    <w:next w:val="1057"/>
    <w:link w:val="777"/>
    <w:uiPriority w:val="99"/>
    <w:rPr>
      <w:rFonts w:ascii="Times New Roman" w:hAnsi="Times New Roman"/>
      <w:color w:val="404040"/>
      <w:lang w:val="en-US" w:eastAsia="zh-CN" w:bidi="ar-SA"/>
    </w:rPr>
    <w:tblPr/>
  </w:style>
  <w:style w:type="table" w:styleId="1058">
    <w:name w:val="Bordered"/>
    <w:next w:val="1058"/>
    <w:link w:val="777"/>
    <w:uiPriority w:val="99"/>
    <w:rPr>
      <w:rFonts w:ascii="Times New Roman" w:hAnsi="Times New Roman"/>
      <w:lang w:val="en-US" w:eastAsia="zh-CN" w:bidi="ar-SA"/>
    </w:rPr>
    <w:tblPr/>
  </w:style>
  <w:style w:type="table" w:styleId="1059">
    <w:name w:val="Bordered - Accent 1"/>
    <w:next w:val="1059"/>
    <w:link w:val="777"/>
    <w:uiPriority w:val="99"/>
    <w:rPr>
      <w:rFonts w:ascii="Times New Roman" w:hAnsi="Times New Roman"/>
      <w:lang w:val="en-US" w:eastAsia="zh-CN" w:bidi="ar-SA"/>
    </w:rPr>
    <w:tblPr/>
  </w:style>
  <w:style w:type="table" w:styleId="1060">
    <w:name w:val="Bordered - Accent 2"/>
    <w:next w:val="1060"/>
    <w:link w:val="777"/>
    <w:uiPriority w:val="99"/>
    <w:rPr>
      <w:rFonts w:ascii="Times New Roman" w:hAnsi="Times New Roman"/>
      <w:lang w:val="en-US" w:eastAsia="zh-CN" w:bidi="ar-SA"/>
    </w:rPr>
    <w:tblPr/>
  </w:style>
  <w:style w:type="table" w:styleId="1061">
    <w:name w:val="Bordered - Accent 3"/>
    <w:next w:val="1061"/>
    <w:link w:val="777"/>
    <w:uiPriority w:val="99"/>
    <w:rPr>
      <w:rFonts w:ascii="Times New Roman" w:hAnsi="Times New Roman"/>
      <w:lang w:val="en-US" w:eastAsia="zh-CN" w:bidi="ar-SA"/>
    </w:rPr>
    <w:tblPr/>
  </w:style>
  <w:style w:type="table" w:styleId="1062">
    <w:name w:val="Bordered - Accent 4"/>
    <w:next w:val="1062"/>
    <w:link w:val="777"/>
    <w:uiPriority w:val="99"/>
    <w:rPr>
      <w:rFonts w:ascii="Times New Roman" w:hAnsi="Times New Roman"/>
      <w:lang w:val="en-US" w:eastAsia="zh-CN" w:bidi="ar-SA"/>
    </w:rPr>
    <w:tblPr/>
  </w:style>
  <w:style w:type="table" w:styleId="1063">
    <w:name w:val="Bordered - Accent 5"/>
    <w:next w:val="1063"/>
    <w:link w:val="777"/>
    <w:uiPriority w:val="99"/>
    <w:rPr>
      <w:rFonts w:ascii="Times New Roman" w:hAnsi="Times New Roman"/>
      <w:lang w:val="en-US" w:eastAsia="zh-CN" w:bidi="ar-SA"/>
    </w:rPr>
    <w:tblPr/>
  </w:style>
  <w:style w:type="table" w:styleId="1064">
    <w:name w:val="Bordered - Accent 6"/>
    <w:next w:val="1064"/>
    <w:link w:val="777"/>
    <w:uiPriority w:val="99"/>
    <w:rPr>
      <w:rFonts w:ascii="Times New Roman" w:hAnsi="Times New Roman"/>
      <w:lang w:val="en-US" w:eastAsia="zh-CN" w:bidi="ar-SA"/>
    </w:rPr>
    <w:tblPr/>
  </w:style>
  <w:style w:type="paragraph" w:styleId="1065">
    <w:name w:val="脚注文本"/>
    <w:basedOn w:val="777"/>
    <w:next w:val="1065"/>
    <w:link w:val="1066"/>
    <w:uiPriority w:val="99"/>
    <w:semiHidden/>
    <w:unhideWhenUsed/>
    <w:pPr>
      <w:spacing w:after="40"/>
    </w:pPr>
    <w:rPr>
      <w:rFonts w:ascii="Calibri" w:hAnsi="Calibri"/>
      <w:sz w:val="18"/>
      <w:szCs w:val="24"/>
    </w:rPr>
  </w:style>
  <w:style w:type="character" w:styleId="1066">
    <w:name w:val="脚注文本 Char"/>
    <w:basedOn w:val="787"/>
    <w:next w:val="1066"/>
    <w:link w:val="1065"/>
    <w:uiPriority w:val="99"/>
    <w:semiHidden/>
    <w:rPr>
      <w:sz w:val="18"/>
      <w:szCs w:val="24"/>
    </w:rPr>
  </w:style>
  <w:style w:type="character" w:styleId="1067">
    <w:name w:val="脚注引用"/>
    <w:next w:val="1067"/>
    <w:link w:val="777"/>
    <w:uiPriority w:val="99"/>
    <w:unhideWhenUsed/>
    <w:rPr>
      <w:vertAlign w:val="superscript"/>
    </w:rPr>
  </w:style>
  <w:style w:type="paragraph" w:styleId="1068">
    <w:name w:val="尾注文本"/>
    <w:basedOn w:val="777"/>
    <w:next w:val="1068"/>
    <w:link w:val="1069"/>
    <w:uiPriority w:val="99"/>
    <w:semiHidden/>
    <w:unhideWhenUsed/>
    <w:rPr>
      <w:rFonts w:ascii="Calibri" w:hAnsi="Calibri"/>
      <w:sz w:val="20"/>
      <w:szCs w:val="24"/>
    </w:rPr>
  </w:style>
  <w:style w:type="character" w:styleId="1069">
    <w:name w:val="尾注文本 Char"/>
    <w:basedOn w:val="787"/>
    <w:next w:val="1069"/>
    <w:link w:val="1068"/>
    <w:uiPriority w:val="99"/>
    <w:semiHidden/>
    <w:rPr>
      <w:szCs w:val="24"/>
    </w:rPr>
  </w:style>
  <w:style w:type="character" w:styleId="1070">
    <w:name w:val="尾注引用"/>
    <w:next w:val="1070"/>
    <w:link w:val="777"/>
    <w:uiPriority w:val="99"/>
    <w:semiHidden/>
    <w:unhideWhenUsed/>
    <w:rPr>
      <w:vertAlign w:val="superscript"/>
    </w:rPr>
  </w:style>
  <w:style w:type="paragraph" w:styleId="1071">
    <w:name w:val="TOC 标题"/>
    <w:next w:val="1071"/>
    <w:link w:val="777"/>
    <w:uiPriority w:val="39"/>
    <w:unhideWhenUsed/>
    <w:qFormat/>
    <w:rPr>
      <w:rFonts w:ascii="Times New Roman" w:hAnsi="Times New Roman"/>
      <w:lang w:val="en-US" w:eastAsia="zh-CN" w:bidi="ar-SA"/>
    </w:rPr>
  </w:style>
  <w:style w:type="character" w:styleId="1072">
    <w:name w:val="页脚 字符"/>
    <w:next w:val="1072"/>
    <w:link w:val="936"/>
    <w:uiPriority w:val="99"/>
    <w:rPr>
      <w:sz w:val="18"/>
      <w:szCs w:val="18"/>
    </w:rPr>
  </w:style>
  <w:style w:type="character" w:styleId="1073">
    <w:name w:val="页眉 字符"/>
    <w:next w:val="1073"/>
    <w:link w:val="934"/>
    <w:uiPriority w:val="99"/>
    <w:rPr>
      <w:sz w:val="18"/>
      <w:szCs w:val="18"/>
    </w:rPr>
  </w:style>
  <w:style w:type="character" w:styleId="1074">
    <w:name w:val="页眉 Char1"/>
    <w:basedOn w:val="787"/>
    <w:next w:val="1074"/>
    <w:link w:val="777"/>
    <w:uiPriority w:val="99"/>
    <w:rPr>
      <w:sz w:val="18"/>
      <w:szCs w:val="18"/>
    </w:rPr>
  </w:style>
  <w:style w:type="character" w:styleId="1075">
    <w:name w:val="页脚 Char1"/>
    <w:basedOn w:val="787"/>
    <w:next w:val="1075"/>
    <w:link w:val="777"/>
    <w:uiPriority w:val="99"/>
    <w:rPr>
      <w:sz w:val="18"/>
      <w:szCs w:val="18"/>
    </w:rPr>
  </w:style>
  <w:style w:type="character" w:styleId="1076">
    <w:name w:val="标题 1 字符"/>
    <w:basedOn w:val="787"/>
    <w:next w:val="1076"/>
    <w:link w:val="777"/>
    <w:uiPriority w:val="9"/>
    <w:rPr>
      <w:rFonts w:ascii="Calibri" w:hAnsi="Calibri" w:eastAsia="宋体" w:cs="Times New Roman"/>
      <w:b/>
      <w:bCs/>
      <w:sz w:val="44"/>
      <w:szCs w:val="44"/>
    </w:rPr>
  </w:style>
  <w:style w:type="character" w:styleId="1077">
    <w:name w:val="标题 2 字符"/>
    <w:basedOn w:val="787"/>
    <w:next w:val="1077"/>
    <w:link w:val="777"/>
    <w:rPr>
      <w:rFonts w:ascii="Cambria" w:hAnsi="Cambria" w:eastAsia="宋体" w:cs="Times New Roman"/>
      <w:b/>
      <w:bCs/>
      <w:sz w:val="32"/>
      <w:szCs w:val="32"/>
    </w:rPr>
  </w:style>
  <w:style w:type="character" w:styleId="1078">
    <w:name w:val="标题 3 字符"/>
    <w:basedOn w:val="787"/>
    <w:next w:val="1078"/>
    <w:link w:val="777"/>
    <w:rPr>
      <w:rFonts w:ascii="Calibri" w:hAnsi="Calibri" w:eastAsia="宋体" w:cs="Times New Roman"/>
      <w:b/>
      <w:bCs/>
      <w:sz w:val="32"/>
      <w:szCs w:val="32"/>
    </w:rPr>
  </w:style>
  <w:style w:type="character" w:styleId="1079">
    <w:name w:val="标题 4 字符"/>
    <w:basedOn w:val="787"/>
    <w:next w:val="1079"/>
    <w:link w:val="777"/>
    <w:uiPriority w:val="9"/>
    <w:qFormat/>
    <w:rPr>
      <w:rFonts w:ascii="Cambria" w:hAnsi="Cambria" w:eastAsia="宋体" w:cs="Times New Roman"/>
      <w:b/>
      <w:bCs/>
      <w:sz w:val="28"/>
      <w:szCs w:val="28"/>
    </w:rPr>
  </w:style>
  <w:style w:type="character" w:styleId="1080">
    <w:name w:val="标题 5 字符"/>
    <w:basedOn w:val="787"/>
    <w:next w:val="1080"/>
    <w:link w:val="777"/>
    <w:uiPriority w:val="9"/>
    <w:rPr>
      <w:rFonts w:ascii="Calibri" w:hAnsi="Calibri" w:eastAsia="宋体" w:cs="Times New Roman"/>
      <w:b/>
      <w:bCs/>
      <w:sz w:val="28"/>
      <w:szCs w:val="28"/>
    </w:rPr>
  </w:style>
  <w:style w:type="character" w:styleId="1081">
    <w:name w:val="标题 6 字符"/>
    <w:basedOn w:val="787"/>
    <w:next w:val="1081"/>
    <w:link w:val="777"/>
    <w:uiPriority w:val="9"/>
    <w:rPr>
      <w:rFonts w:ascii="Cambria" w:hAnsi="Cambria" w:eastAsia="宋体" w:cs="Times New Roman"/>
      <w:b/>
      <w:bCs/>
      <w:sz w:val="24"/>
      <w:szCs w:val="24"/>
    </w:rPr>
  </w:style>
  <w:style w:type="character" w:styleId="1082">
    <w:name w:val="标题 7 字符"/>
    <w:basedOn w:val="787"/>
    <w:next w:val="1082"/>
    <w:link w:val="777"/>
    <w:uiPriority w:val="9"/>
    <w:rPr>
      <w:rFonts w:ascii="Calibri" w:hAnsi="Calibri" w:eastAsia="宋体" w:cs="Times New Roman"/>
      <w:b/>
      <w:bCs/>
      <w:sz w:val="24"/>
      <w:szCs w:val="24"/>
    </w:rPr>
  </w:style>
  <w:style w:type="character" w:styleId="1083">
    <w:name w:val="标题 8 字符"/>
    <w:basedOn w:val="787"/>
    <w:next w:val="1083"/>
    <w:link w:val="777"/>
    <w:uiPriority w:val="9"/>
    <w:semiHidden/>
    <w:rPr>
      <w:rFonts w:ascii="Cambria" w:hAnsi="Cambria" w:eastAsia="宋体" w:cs="Times New Roman"/>
      <w:sz w:val="24"/>
      <w:szCs w:val="24"/>
    </w:rPr>
  </w:style>
  <w:style w:type="character" w:styleId="1084">
    <w:name w:val="标题 9 字符"/>
    <w:basedOn w:val="787"/>
    <w:next w:val="1084"/>
    <w:link w:val="777"/>
    <w:uiPriority w:val="9"/>
    <w:semiHidden/>
    <w:rPr>
      <w:rFonts w:ascii="Cambria" w:hAnsi="Cambria" w:eastAsia="宋体" w:cs="Times New Roman"/>
      <w:szCs w:val="21"/>
    </w:rPr>
  </w:style>
  <w:style w:type="character" w:styleId="1085">
    <w:name w:val="日期 字符"/>
    <w:basedOn w:val="787"/>
    <w:next w:val="1085"/>
    <w:link w:val="777"/>
    <w:uiPriority w:val="99"/>
    <w:semiHidden/>
    <w:rPr>
      <w:rFonts w:ascii="Calibri" w:hAnsi="Calibri" w:eastAsia="宋体" w:cs="Times New Roman"/>
    </w:rPr>
  </w:style>
  <w:style w:type="character" w:styleId="1086">
    <w:name w:val="正文文本缩进 字符"/>
    <w:basedOn w:val="787"/>
    <w:next w:val="1086"/>
    <w:link w:val="777"/>
    <w:uiPriority w:val="99"/>
    <w:semiHidden/>
    <w:rPr>
      <w:rFonts w:ascii="Calibri" w:hAnsi="Calibri" w:eastAsia="宋体" w:cs="Times New Roman"/>
    </w:rPr>
  </w:style>
  <w:style w:type="character" w:styleId="1087">
    <w:name w:val="正文文本 字符"/>
    <w:basedOn w:val="787"/>
    <w:next w:val="1087"/>
    <w:link w:val="777"/>
    <w:uiPriority w:val="99"/>
    <w:semiHidden/>
    <w:rPr>
      <w:rFonts w:ascii="Calibri" w:hAnsi="Calibri" w:eastAsia="宋体" w:cs="Times New Roman"/>
    </w:rPr>
  </w:style>
  <w:style w:type="character" w:styleId="1088">
    <w:name w:val="正文文本缩进 2 字符"/>
    <w:basedOn w:val="787"/>
    <w:next w:val="1088"/>
    <w:link w:val="777"/>
    <w:uiPriority w:val="99"/>
    <w:semiHidden/>
    <w:rPr>
      <w:rFonts w:ascii="Calibri" w:hAnsi="Calibri" w:eastAsia="宋体" w:cs="Times New Roman"/>
    </w:rPr>
  </w:style>
  <w:style w:type="character" w:styleId="1089">
    <w:name w:val="正文文本缩进 3 字符"/>
    <w:basedOn w:val="787"/>
    <w:next w:val="1089"/>
    <w:link w:val="777"/>
    <w:uiPriority w:val="99"/>
    <w:semiHidden/>
    <w:rPr>
      <w:rFonts w:ascii="Calibri" w:hAnsi="Calibri" w:eastAsia="宋体" w:cs="Times New Roman"/>
      <w:sz w:val="16"/>
      <w:szCs w:val="16"/>
    </w:rPr>
  </w:style>
  <w:style w:type="paragraph" w:styleId="1090">
    <w:name w:val="font8"/>
    <w:basedOn w:val="777"/>
    <w:next w:val="1090"/>
    <w:link w:val="777"/>
    <w:pPr>
      <w:jc w:val="left"/>
      <w:spacing w:before="100" w:beforeAutospacing="1" w:after="100" w:afterAutospacing="1"/>
      <w:widowControl/>
    </w:pPr>
    <w:rPr>
      <w:rFonts w:hint="eastAsia" w:ascii="宋体" w:hAnsi="宋体"/>
      <w:b/>
      <w:bCs/>
      <w:i/>
      <w:iCs/>
      <w:sz w:val="20"/>
      <w:szCs w:val="20"/>
    </w:rPr>
  </w:style>
  <w:style w:type="paragraph" w:styleId="1091">
    <w:name w:val="font9"/>
    <w:basedOn w:val="777"/>
    <w:next w:val="1091"/>
    <w:link w:val="777"/>
    <w:pPr>
      <w:jc w:val="left"/>
      <w:spacing w:before="100" w:beforeAutospacing="1" w:after="100" w:afterAutospacing="1"/>
      <w:widowControl/>
    </w:pPr>
    <w:rPr>
      <w:b/>
      <w:bCs/>
      <w:sz w:val="20"/>
      <w:szCs w:val="20"/>
    </w:rPr>
  </w:style>
  <w:style w:type="paragraph" w:styleId="1092">
    <w:name w:val="xl31"/>
    <w:basedOn w:val="777"/>
    <w:next w:val="1092"/>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93">
    <w:name w:val="xl32"/>
    <w:basedOn w:val="777"/>
    <w:next w:val="1093"/>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94">
    <w:name w:val="xl33"/>
    <w:basedOn w:val="777"/>
    <w:next w:val="1094"/>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095">
    <w:name w:val="xl34"/>
    <w:basedOn w:val="777"/>
    <w:next w:val="1095"/>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96">
    <w:name w:val="xl35"/>
    <w:basedOn w:val="777"/>
    <w:next w:val="1096"/>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097">
    <w:name w:val="xl36"/>
    <w:basedOn w:val="777"/>
    <w:next w:val="1097"/>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098">
    <w:name w:val="xl37"/>
    <w:basedOn w:val="777"/>
    <w:next w:val="1098"/>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099">
    <w:name w:val="xl38"/>
    <w:basedOn w:val="777"/>
    <w:next w:val="1099"/>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00">
    <w:name w:val="xl39"/>
    <w:basedOn w:val="777"/>
    <w:next w:val="1100"/>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1">
    <w:name w:val="xl40"/>
    <w:basedOn w:val="777"/>
    <w:next w:val="1101"/>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02">
    <w:name w:val="xl41"/>
    <w:basedOn w:val="777"/>
    <w:next w:val="1102"/>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03">
    <w:name w:val="xl42"/>
    <w:basedOn w:val="777"/>
    <w:next w:val="1103"/>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04">
    <w:name w:val="xl43"/>
    <w:basedOn w:val="777"/>
    <w:next w:val="1104"/>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05">
    <w:name w:val="xl44"/>
    <w:basedOn w:val="777"/>
    <w:next w:val="1105"/>
    <w:link w:val="77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6">
    <w:name w:val="xl45"/>
    <w:basedOn w:val="777"/>
    <w:next w:val="1106"/>
    <w:link w:val="777"/>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1107">
    <w:name w:val="xl46"/>
    <w:basedOn w:val="777"/>
    <w:next w:val="1107"/>
    <w:link w:val="777"/>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08">
    <w:name w:val="xl47"/>
    <w:basedOn w:val="777"/>
    <w:next w:val="1108"/>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9">
    <w:name w:val="xl48"/>
    <w:basedOn w:val="777"/>
    <w:next w:val="1109"/>
    <w:link w:val="777"/>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10">
    <w:name w:val="xl49"/>
    <w:basedOn w:val="777"/>
    <w:next w:val="1110"/>
    <w:link w:val="777"/>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11">
    <w:name w:val="xl50"/>
    <w:basedOn w:val="777"/>
    <w:next w:val="1111"/>
    <w:link w:val="777"/>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12">
    <w:name w:val="xl51"/>
    <w:basedOn w:val="777"/>
    <w:next w:val="1112"/>
    <w:link w:val="77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13">
    <w:name w:val="xl52"/>
    <w:basedOn w:val="777"/>
    <w:next w:val="1113"/>
    <w:link w:val="77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14">
    <w:name w:val="xl53"/>
    <w:basedOn w:val="777"/>
    <w:next w:val="1114"/>
    <w:link w:val="77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15">
    <w:name w:val="xl54"/>
    <w:basedOn w:val="777"/>
    <w:next w:val="1115"/>
    <w:link w:val="77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16">
    <w:name w:val="xl55"/>
    <w:basedOn w:val="777"/>
    <w:next w:val="1116"/>
    <w:link w:val="777"/>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17">
    <w:name w:val="xl56"/>
    <w:basedOn w:val="777"/>
    <w:next w:val="1117"/>
    <w:link w:val="77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8">
    <w:name w:val="xl57"/>
    <w:basedOn w:val="777"/>
    <w:next w:val="1118"/>
    <w:link w:val="77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19">
    <w:name w:val="xl58"/>
    <w:basedOn w:val="777"/>
    <w:next w:val="1119"/>
    <w:link w:val="777"/>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20">
    <w:name w:val="xl59"/>
    <w:basedOn w:val="777"/>
    <w:next w:val="1120"/>
    <w:link w:val="77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21">
    <w:name w:val="xl60"/>
    <w:basedOn w:val="777"/>
    <w:next w:val="1121"/>
    <w:link w:val="77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22">
    <w:name w:val="xl61"/>
    <w:basedOn w:val="777"/>
    <w:next w:val="1122"/>
    <w:link w:val="77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3">
    <w:name w:val="xl62"/>
    <w:basedOn w:val="777"/>
    <w:next w:val="1123"/>
    <w:link w:val="77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24">
    <w:name w:val="xl63"/>
    <w:basedOn w:val="777"/>
    <w:next w:val="1124"/>
    <w:link w:val="777"/>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25">
    <w:name w:val="font10"/>
    <w:basedOn w:val="777"/>
    <w:next w:val="1125"/>
    <w:link w:val="777"/>
    <w:pPr>
      <w:jc w:val="left"/>
      <w:spacing w:before="100" w:beforeAutospacing="1" w:after="100" w:afterAutospacing="1"/>
      <w:widowControl/>
    </w:pPr>
    <w:rPr>
      <w:rFonts w:hint="eastAsia" w:ascii="楷体_GB2312" w:hAnsi="宋体" w:eastAsia="楷体_GB2312"/>
      <w:b/>
      <w:bCs/>
      <w:sz w:val="18"/>
      <w:szCs w:val="18"/>
    </w:rPr>
  </w:style>
  <w:style w:type="paragraph" w:styleId="1126">
    <w:name w:val="font11"/>
    <w:basedOn w:val="777"/>
    <w:next w:val="1126"/>
    <w:link w:val="777"/>
    <w:pPr>
      <w:jc w:val="left"/>
      <w:spacing w:before="100" w:beforeAutospacing="1" w:after="100" w:afterAutospacing="1"/>
      <w:widowControl/>
    </w:pPr>
    <w:rPr>
      <w:b/>
      <w:bCs/>
      <w:sz w:val="18"/>
      <w:szCs w:val="18"/>
    </w:rPr>
  </w:style>
  <w:style w:type="paragraph" w:styleId="1127">
    <w:name w:val="font12"/>
    <w:basedOn w:val="777"/>
    <w:next w:val="1127"/>
    <w:link w:val="777"/>
    <w:pPr>
      <w:jc w:val="left"/>
      <w:spacing w:before="100" w:beforeAutospacing="1" w:after="100" w:afterAutospacing="1"/>
      <w:widowControl/>
    </w:pPr>
    <w:rPr>
      <w:rFonts w:hint="eastAsia" w:ascii="宋体" w:hAnsi="宋体"/>
      <w:sz w:val="36"/>
      <w:szCs w:val="36"/>
    </w:rPr>
  </w:style>
  <w:style w:type="paragraph" w:styleId="1128">
    <w:name w:val="font13"/>
    <w:basedOn w:val="777"/>
    <w:next w:val="1128"/>
    <w:link w:val="777"/>
    <w:pPr>
      <w:jc w:val="left"/>
      <w:spacing w:before="100" w:beforeAutospacing="1" w:after="100" w:afterAutospacing="1"/>
      <w:widowControl/>
    </w:pPr>
    <w:rPr>
      <w:i/>
      <w:iCs/>
      <w:sz w:val="36"/>
      <w:szCs w:val="36"/>
    </w:rPr>
  </w:style>
  <w:style w:type="paragraph" w:styleId="1129">
    <w:name w:val="font14"/>
    <w:basedOn w:val="777"/>
    <w:next w:val="1129"/>
    <w:link w:val="777"/>
    <w:pPr>
      <w:jc w:val="left"/>
      <w:spacing w:before="100" w:beforeAutospacing="1" w:after="100" w:afterAutospacing="1"/>
      <w:widowControl/>
    </w:pPr>
    <w:rPr>
      <w:sz w:val="36"/>
      <w:szCs w:val="36"/>
    </w:rPr>
  </w:style>
  <w:style w:type="character" w:styleId="1130">
    <w:name w:val="case31"/>
    <w:next w:val="1130"/>
    <w:link w:val="777"/>
    <w:rPr>
      <w:sz w:val="21"/>
      <w:szCs w:val="21"/>
    </w:rPr>
  </w:style>
  <w:style w:type="paragraph" w:styleId="1131">
    <w:name w:val="默认段落字体 Para Char"/>
    <w:basedOn w:val="777"/>
    <w:next w:val="1131"/>
    <w:link w:val="777"/>
    <w:pPr>
      <w:ind w:left="552" w:hanging="420"/>
      <w:tabs>
        <w:tab w:val="num" w:pos="552" w:leader="none"/>
      </w:tabs>
    </w:pPr>
    <w:rPr>
      <w:sz w:val="24"/>
      <w:szCs w:val="24"/>
    </w:rPr>
  </w:style>
  <w:style w:type="character" w:styleId="1132">
    <w:name w:val="文档结构图 字符"/>
    <w:basedOn w:val="787"/>
    <w:next w:val="1132"/>
    <w:link w:val="777"/>
    <w:uiPriority w:val="99"/>
    <w:semiHidden/>
    <w:rPr>
      <w:rFonts w:ascii="Microsoft YaHei UI" w:hAnsi="Calibri" w:eastAsia="Microsoft YaHei UI" w:cs="Times New Roman"/>
      <w:sz w:val="18"/>
      <w:szCs w:val="18"/>
    </w:rPr>
  </w:style>
  <w:style w:type="character" w:styleId="1133">
    <w:name w:val="正文文本 2 字符"/>
    <w:basedOn w:val="787"/>
    <w:next w:val="1133"/>
    <w:link w:val="777"/>
    <w:uiPriority w:val="99"/>
    <w:semiHidden/>
    <w:rPr>
      <w:rFonts w:ascii="Calibri" w:hAnsi="Calibri" w:eastAsia="宋体" w:cs="Times New Roman"/>
    </w:rPr>
  </w:style>
  <w:style w:type="paragraph" w:styleId="1134">
    <w:name w:val="Char Char1 Char Char Char Char"/>
    <w:basedOn w:val="803"/>
    <w:next w:val="1134"/>
    <w:link w:val="777"/>
    <w:pPr>
      <w:ind w:left="357"/>
      <w:jc w:val="left"/>
      <w:spacing w:line="436" w:lineRule="exact"/>
      <w:outlineLvl w:val="3"/>
    </w:pPr>
    <w:rPr>
      <w:rFonts w:ascii="Tahoma" w:hAnsi="Tahoma"/>
      <w:b/>
      <w:sz w:val="24"/>
      <w:szCs w:val="24"/>
      <w:lang w:val="en-US" w:eastAsia="zh-CN"/>
    </w:rPr>
  </w:style>
  <w:style w:type="paragraph" w:styleId="1135">
    <w:name w:val="标准文本"/>
    <w:basedOn w:val="777"/>
    <w:next w:val="1135"/>
    <w:link w:val="1136"/>
    <w:uiPriority w:val="99"/>
    <w:qFormat/>
    <w:pPr>
      <w:ind w:firstLine="480"/>
      <w:spacing w:line="360" w:lineRule="auto"/>
    </w:pPr>
    <w:rPr>
      <w:sz w:val="24"/>
      <w:szCs w:val="20"/>
    </w:rPr>
  </w:style>
  <w:style w:type="character" w:styleId="1136">
    <w:name w:val="标准文本 Char"/>
    <w:basedOn w:val="787"/>
    <w:next w:val="1136"/>
    <w:link w:val="1135"/>
    <w:uiPriority w:val="99"/>
    <w:qFormat/>
    <w:rPr>
      <w:rFonts w:ascii="Times New Roman" w:hAnsi="Times New Roman"/>
      <w:sz w:val="24"/>
    </w:rPr>
  </w:style>
  <w:style w:type="paragraph" w:styleId="1137">
    <w:name w:val="È±Ê¡ÎÄ±¾"/>
    <w:basedOn w:val="777"/>
    <w:next w:val="1137"/>
    <w:link w:val="777"/>
    <w:pPr>
      <w:jc w:val="left"/>
      <w:widowControl/>
    </w:pPr>
    <w:rPr>
      <w:sz w:val="24"/>
      <w:szCs w:val="20"/>
    </w:rPr>
  </w:style>
  <w:style w:type="paragraph" w:styleId="1138">
    <w:name w:val="±íÏî"/>
    <w:basedOn w:val="777"/>
    <w:next w:val="1138"/>
    <w:link w:val="777"/>
    <w:pPr>
      <w:jc w:val="center"/>
      <w:spacing w:line="300" w:lineRule="auto"/>
      <w:widowControl/>
    </w:pPr>
    <w:rPr>
      <w:sz w:val="18"/>
      <w:szCs w:val="20"/>
    </w:rPr>
  </w:style>
  <w:style w:type="paragraph" w:styleId="1139">
    <w:name w:val="±íÉí"/>
    <w:basedOn w:val="777"/>
    <w:next w:val="1139"/>
    <w:link w:val="777"/>
    <w:pPr>
      <w:jc w:val="left"/>
      <w:spacing w:line="300" w:lineRule="auto"/>
      <w:widowControl/>
    </w:pPr>
    <w:rPr>
      <w:sz w:val="18"/>
      <w:szCs w:val="20"/>
    </w:rPr>
  </w:style>
  <w:style w:type="paragraph" w:styleId="1140">
    <w:name w:val="表格标题"/>
    <w:basedOn w:val="777"/>
    <w:next w:val="1140"/>
    <w:link w:val="777"/>
    <w:pPr>
      <w:jc w:val="center"/>
      <w:spacing w:line="360" w:lineRule="auto"/>
    </w:pPr>
    <w:rPr>
      <w:rFonts w:ascii="宋体" w:hAnsi="宋体"/>
      <w:b/>
      <w:bCs/>
      <w:color w:val="000000"/>
      <w:sz w:val="22"/>
      <w:szCs w:val="20"/>
    </w:rPr>
  </w:style>
  <w:style w:type="paragraph" w:styleId="1141">
    <w:name w:val="指标项"/>
    <w:basedOn w:val="777"/>
    <w:next w:val="1141"/>
    <w:link w:val="777"/>
    <w:pPr>
      <w:jc w:val="center"/>
      <w:spacing w:line="360" w:lineRule="auto"/>
    </w:pPr>
    <w:rPr>
      <w:rFonts w:ascii="宋体" w:hAnsi="宋体"/>
      <w:color w:val="000000"/>
      <w:sz w:val="24"/>
      <w:szCs w:val="20"/>
    </w:rPr>
  </w:style>
  <w:style w:type="paragraph" w:styleId="1142">
    <w:name w:val="指标要求"/>
    <w:basedOn w:val="777"/>
    <w:next w:val="1142"/>
    <w:link w:val="777"/>
    <w:pPr>
      <w:jc w:val="left"/>
      <w:spacing w:line="360" w:lineRule="auto"/>
    </w:pPr>
    <w:rPr>
      <w:rFonts w:ascii="宋体" w:hAnsi="宋体"/>
      <w:color w:val="000000"/>
      <w:sz w:val="24"/>
      <w:szCs w:val="20"/>
    </w:rPr>
  </w:style>
  <w:style w:type="paragraph" w:styleId="1143">
    <w:name w:val="Default"/>
    <w:next w:val="1143"/>
    <w:link w:val="777"/>
    <w:pPr>
      <w:widowControl w:val="off"/>
    </w:pPr>
    <w:rPr>
      <w:rFonts w:ascii="楷体à.ā" w:hAnsi="Times New Roman" w:eastAsia="楷体à.ā" w:cs="楷体à.ā"/>
      <w:color w:val="000000"/>
      <w:sz w:val="24"/>
      <w:szCs w:val="24"/>
      <w:lang w:val="en-US" w:eastAsia="zh-CN" w:bidi="ar-SA"/>
    </w:rPr>
  </w:style>
  <w:style w:type="paragraph" w:styleId="1144">
    <w:name w:val="列表内容"/>
    <w:basedOn w:val="777"/>
    <w:next w:val="777"/>
    <w:link w:val="777"/>
    <w:pPr>
      <w:numPr>
        <w:ilvl w:val="0"/>
        <w:numId w:val="27"/>
      </w:numPr>
      <w:jc w:val="left"/>
      <w:widowControl/>
    </w:pPr>
    <w:rPr>
      <w:sz w:val="18"/>
      <w:szCs w:val="24"/>
    </w:rPr>
  </w:style>
  <w:style w:type="paragraph" w:styleId="1145">
    <w:name w:val="文档正文"/>
    <w:basedOn w:val="777"/>
    <w:next w:val="1145"/>
    <w:link w:val="777"/>
    <w:pPr>
      <w:ind w:firstLine="567"/>
      <w:spacing w:line="312" w:lineRule="atLeast"/>
    </w:pPr>
    <w:rPr>
      <w:rFonts w:ascii="长城仿宋" w:eastAsia="长城仿宋"/>
      <w:sz w:val="28"/>
      <w:szCs w:val="20"/>
    </w:rPr>
  </w:style>
  <w:style w:type="paragraph" w:styleId="1146">
    <w:name w:val="样式 标题 4 + 行距: 单倍行距"/>
    <w:basedOn w:val="911"/>
    <w:next w:val="1146"/>
    <w:link w:val="777"/>
    <w:pPr>
      <w:ind w:left="720" w:hanging="720"/>
      <w:spacing w:before="120" w:after="0" w:line="360" w:lineRule="auto"/>
    </w:pPr>
    <w:rPr>
      <w:rFonts w:ascii="宋体" w:hAnsi="宋体" w:eastAsia="宋体" w:cs="Arial"/>
      <w:bCs/>
      <w:color w:val="000000"/>
      <w:sz w:val="24"/>
    </w:rPr>
  </w:style>
  <w:style w:type="paragraph" w:styleId="1147">
    <w:name w:val="正文（nari）"/>
    <w:basedOn w:val="777"/>
    <w:next w:val="1147"/>
    <w:link w:val="1148"/>
    <w:pPr>
      <w:ind w:firstLine="200"/>
      <w:jc w:val="left"/>
      <w:spacing w:line="500" w:lineRule="exact"/>
    </w:pPr>
    <w:rPr>
      <w:rFonts w:ascii="宋体" w:hAnsi="宋体"/>
      <w:sz w:val="24"/>
      <w:szCs w:val="22"/>
      <w:lang w:val="en-US" w:eastAsia="en-US"/>
    </w:rPr>
  </w:style>
  <w:style w:type="character" w:styleId="1148">
    <w:name w:val="正文（nari） Char"/>
    <w:next w:val="1148"/>
    <w:link w:val="1147"/>
    <w:rPr>
      <w:rFonts w:ascii="宋体" w:hAnsi="宋体"/>
      <w:sz w:val="24"/>
      <w:szCs w:val="22"/>
    </w:rPr>
  </w:style>
  <w:style w:type="character" w:styleId="1149">
    <w:name w:val="批注文字 字符"/>
    <w:basedOn w:val="787"/>
    <w:next w:val="1149"/>
    <w:link w:val="777"/>
    <w:uiPriority w:val="99"/>
    <w:semiHidden/>
    <w:rPr>
      <w:rFonts w:ascii="Calibri" w:hAnsi="Calibri" w:eastAsia="宋体" w:cs="Times New Roman"/>
    </w:rPr>
  </w:style>
  <w:style w:type="character" w:styleId="1150">
    <w:name w:val="批注框文本 字符"/>
    <w:basedOn w:val="787"/>
    <w:next w:val="1150"/>
    <w:link w:val="777"/>
    <w:uiPriority w:val="99"/>
    <w:semiHidden/>
    <w:rPr>
      <w:rFonts w:ascii="Calibri" w:hAnsi="Calibri" w:eastAsia="宋体" w:cs="Times New Roman"/>
      <w:sz w:val="18"/>
      <w:szCs w:val="18"/>
    </w:rPr>
  </w:style>
  <w:style w:type="paragraph" w:styleId="1151">
    <w:name w:val="7"/>
    <w:basedOn w:val="777"/>
    <w:next w:val="777"/>
    <w:link w:val="777"/>
    <w:uiPriority w:val="99"/>
    <w:pPr>
      <w:ind w:left="840"/>
      <w:spacing w:line="360" w:lineRule="auto"/>
    </w:pPr>
    <w:rPr>
      <w:rFonts w:ascii="华文中宋" w:hAnsi="Calibri" w:eastAsia="华文中宋" w:cs="Times New Roman"/>
      <w:szCs w:val="22"/>
    </w:rPr>
  </w:style>
  <w:style w:type="character" w:styleId="1152">
    <w:name w:val="批注主题 字符"/>
    <w:basedOn w:val="1149"/>
    <w:next w:val="1152"/>
    <w:link w:val="777"/>
    <w:uiPriority w:val="99"/>
    <w:semiHidden/>
    <w:rPr>
      <w:b/>
      <w:bCs/>
    </w:rPr>
  </w:style>
  <w:style w:type="character" w:styleId="1153">
    <w:name w:val="apple-converted-space"/>
    <w:next w:val="1153"/>
    <w:link w:val="777"/>
  </w:style>
  <w:style w:type="character" w:styleId="1154">
    <w:name w:val="param-name"/>
    <w:next w:val="1154"/>
    <w:link w:val="777"/>
  </w:style>
  <w:style w:type="character" w:styleId="1155">
    <w:name w:val="强调"/>
    <w:next w:val="1155"/>
    <w:link w:val="777"/>
    <w:uiPriority w:val="20"/>
    <w:qFormat/>
    <w:rPr>
      <w:i/>
      <w:iCs/>
    </w:rPr>
  </w:style>
  <w:style w:type="paragraph" w:styleId="1156">
    <w:name w:val="列表段落1"/>
    <w:basedOn w:val="777"/>
    <w:next w:val="1156"/>
    <w:link w:val="777"/>
    <w:pPr>
      <w:ind w:firstLine="420"/>
    </w:pPr>
    <w:rPr>
      <w:rFonts w:ascii="Calibri" w:hAnsi="Calibri" w:cs="Calibri"/>
    </w:rPr>
  </w:style>
  <w:style w:type="character" w:styleId="1157">
    <w:name w:val="表格内容"/>
    <w:next w:val="1157"/>
    <w:link w:val="777"/>
    <w:rPr>
      <w:sz w:val="24"/>
    </w:rPr>
  </w:style>
  <w:style w:type="paragraph" w:styleId="1158">
    <w:name w:val="a2"/>
    <w:basedOn w:val="777"/>
    <w:next w:val="1158"/>
    <w:link w:val="777"/>
    <w:pPr>
      <w:jc w:val="left"/>
      <w:spacing w:before="100" w:beforeAutospacing="1" w:after="100" w:afterAutospacing="1"/>
      <w:widowControl/>
    </w:pPr>
    <w:rPr>
      <w:rFonts w:ascii="宋体" w:hAnsi="宋体" w:cs="宋体"/>
      <w:sz w:val="24"/>
      <w:szCs w:val="24"/>
    </w:rPr>
  </w:style>
  <w:style w:type="character" w:styleId="1159">
    <w:name w:val="表格 Char Char"/>
    <w:next w:val="1159"/>
    <w:link w:val="1160"/>
    <w:rPr>
      <w:rFonts w:ascii="宋体" w:hAnsi="宋体"/>
    </w:rPr>
  </w:style>
  <w:style w:type="paragraph" w:styleId="1160">
    <w:name w:val="表格"/>
    <w:basedOn w:val="777"/>
    <w:next w:val="1160"/>
    <w:link w:val="1159"/>
    <w:pPr>
      <w:ind w:firstLine="42"/>
    </w:pPr>
    <w:rPr>
      <w:rFonts w:ascii="宋体" w:hAnsi="宋体"/>
      <w:sz w:val="20"/>
      <w:szCs w:val="20"/>
      <w:lang w:val="en-US" w:eastAsia="en-US"/>
    </w:rPr>
  </w:style>
  <w:style w:type="paragraph" w:styleId="1161">
    <w:name w:val="HTML 预设格式"/>
    <w:basedOn w:val="777"/>
    <w:next w:val="1161"/>
    <w:link w:val="11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olor w:val="000000"/>
      <w:sz w:val="20"/>
      <w:szCs w:val="20"/>
    </w:rPr>
  </w:style>
  <w:style w:type="character" w:styleId="1162">
    <w:name w:val="HTML 预设格式 Char"/>
    <w:basedOn w:val="787"/>
    <w:next w:val="1162"/>
    <w:link w:val="1161"/>
    <w:rPr>
      <w:rFonts w:ascii="黑体" w:hAnsi="Courier New" w:eastAsia="黑体"/>
      <w:color w:val="000000"/>
    </w:rPr>
  </w:style>
  <w:style w:type="character" w:styleId="1163">
    <w:name w:val="HTML 预设格式 字符"/>
    <w:basedOn w:val="787"/>
    <w:next w:val="1163"/>
    <w:link w:val="777"/>
    <w:uiPriority w:val="99"/>
    <w:semiHidden/>
    <w:rPr>
      <w:rFonts w:ascii="Courier New" w:hAnsi="Courier New" w:eastAsia="宋体" w:cs="Courier New"/>
      <w:sz w:val="20"/>
      <w:szCs w:val="20"/>
    </w:rPr>
  </w:style>
  <w:style w:type="character" w:styleId="1164">
    <w:name w:val="HTML 代码"/>
    <w:next w:val="1164"/>
    <w:link w:val="777"/>
    <w:rPr>
      <w:rFonts w:ascii="宋体" w:hAnsi="宋体" w:eastAsia="宋体" w:cs="宋体"/>
      <w:sz w:val="24"/>
      <w:szCs w:val="24"/>
    </w:rPr>
  </w:style>
  <w:style w:type="paragraph" w:styleId="1165">
    <w:name w:val="正文_2"/>
    <w:basedOn w:val="777"/>
    <w:next w:val="1165"/>
    <w:link w:val="777"/>
    <w:pPr>
      <w:ind w:firstLine="600"/>
      <w:spacing w:line="360" w:lineRule="auto"/>
    </w:pPr>
    <w:rPr>
      <w:rFonts w:ascii="Arial" w:hAnsi="Arial" w:cs="Arial"/>
      <w:color w:val="333333"/>
      <w:sz w:val="24"/>
      <w:szCs w:val="28"/>
    </w:rPr>
  </w:style>
  <w:style w:type="character" w:styleId="1166">
    <w:name w:val="正文首行缩进 Char1"/>
    <w:basedOn w:val="810"/>
    <w:next w:val="1166"/>
    <w:link w:val="777"/>
    <w:uiPriority w:val="99"/>
    <w:semiHidden/>
    <w:rPr>
      <w:rFonts w:ascii="Calibri" w:hAnsi="Calibri" w:eastAsia="华文中宋"/>
      <w:sz w:val="21"/>
      <w:szCs w:val="22"/>
    </w:rPr>
  </w:style>
  <w:style w:type="paragraph" w:styleId="1167">
    <w:name w:val="msonormal"/>
    <w:basedOn w:val="777"/>
    <w:next w:val="1167"/>
    <w:link w:val="777"/>
    <w:pPr>
      <w:jc w:val="left"/>
      <w:spacing w:before="100" w:beforeAutospacing="1" w:after="100" w:afterAutospacing="1"/>
      <w:widowControl/>
    </w:pPr>
    <w:rPr>
      <w:rFonts w:ascii="宋体" w:hAnsi="宋体" w:cs="宋体"/>
      <w:sz w:val="24"/>
      <w:szCs w:val="24"/>
    </w:rPr>
  </w:style>
  <w:style w:type="paragraph" w:styleId="1168">
    <w:name w:val="xl65"/>
    <w:basedOn w:val="777"/>
    <w:next w:val="1168"/>
    <w:link w:val="777"/>
    <w:pPr>
      <w:jc w:val="left"/>
      <w:spacing w:before="100" w:beforeAutospacing="1" w:after="100" w:afterAutospacing="1"/>
      <w:widowControl/>
    </w:pPr>
    <w:rPr>
      <w:rFonts w:ascii="宋体" w:hAnsi="宋体" w:cs="宋体"/>
      <w:sz w:val="24"/>
      <w:szCs w:val="24"/>
    </w:rPr>
  </w:style>
  <w:style w:type="paragraph" w:styleId="1169">
    <w:name w:val="xl66"/>
    <w:basedOn w:val="777"/>
    <w:next w:val="1169"/>
    <w:link w:val="77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0">
    <w:name w:val="xl67"/>
    <w:basedOn w:val="777"/>
    <w:next w:val="1170"/>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1">
    <w:name w:val="xl68"/>
    <w:basedOn w:val="777"/>
    <w:next w:val="1171"/>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2">
    <w:name w:val="xl69"/>
    <w:basedOn w:val="777"/>
    <w:next w:val="1172"/>
    <w:link w:val="7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3">
    <w:name w:val="xl70"/>
    <w:basedOn w:val="777"/>
    <w:next w:val="1173"/>
    <w:link w:val="777"/>
    <w:pPr>
      <w:jc w:val="left"/>
      <w:spacing w:before="100" w:beforeAutospacing="1" w:after="100" w:afterAutospacing="1"/>
      <w:widowControl/>
    </w:pPr>
    <w:rPr>
      <w:rFonts w:ascii="宋体" w:hAnsi="宋体" w:cs="宋体"/>
      <w:sz w:val="24"/>
      <w:szCs w:val="24"/>
    </w:rPr>
  </w:style>
  <w:style w:type="paragraph" w:styleId="1174">
    <w:name w:val="xl71"/>
    <w:basedOn w:val="777"/>
    <w:next w:val="1174"/>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5">
    <w:name w:val="xl72"/>
    <w:basedOn w:val="777"/>
    <w:next w:val="1175"/>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6">
    <w:name w:val="xl73"/>
    <w:basedOn w:val="777"/>
    <w:next w:val="1176"/>
    <w:link w:val="777"/>
    <w:pPr>
      <w:jc w:val="left"/>
      <w:spacing w:before="100" w:beforeAutospacing="1" w:after="100" w:afterAutospacing="1"/>
      <w:widowControl/>
    </w:pPr>
    <w:rPr>
      <w:rFonts w:ascii="宋体" w:hAnsi="宋体" w:cs="宋体"/>
      <w:sz w:val="24"/>
      <w:szCs w:val="24"/>
    </w:rPr>
  </w:style>
  <w:style w:type="paragraph" w:styleId="1177">
    <w:name w:val="xl74"/>
    <w:basedOn w:val="777"/>
    <w:next w:val="1177"/>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8">
    <w:name w:val="xl75"/>
    <w:basedOn w:val="777"/>
    <w:next w:val="1178"/>
    <w:link w:val="7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9">
    <w:name w:val="xl76"/>
    <w:basedOn w:val="777"/>
    <w:next w:val="1179"/>
    <w:link w:val="777"/>
    <w:pPr>
      <w:jc w:val="left"/>
      <w:spacing w:before="100" w:beforeAutospacing="1" w:after="100" w:afterAutospacing="1"/>
      <w:widowControl/>
    </w:pPr>
    <w:rPr>
      <w:rFonts w:ascii="宋体" w:hAnsi="宋体" w:cs="宋体"/>
      <w:sz w:val="24"/>
      <w:szCs w:val="24"/>
    </w:rPr>
  </w:style>
  <w:style w:type="paragraph" w:styleId="1180">
    <w:name w:val="xl77"/>
    <w:basedOn w:val="777"/>
    <w:next w:val="1180"/>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1">
    <w:name w:val="xl78"/>
    <w:basedOn w:val="777"/>
    <w:next w:val="1181"/>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2">
    <w:name w:val="xl79"/>
    <w:basedOn w:val="777"/>
    <w:next w:val="1182"/>
    <w:link w:val="7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3">
    <w:name w:val="xl80"/>
    <w:basedOn w:val="777"/>
    <w:next w:val="1183"/>
    <w:link w:val="7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4">
    <w:name w:val="xl81"/>
    <w:basedOn w:val="777"/>
    <w:next w:val="1184"/>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5">
    <w:name w:val="xl82"/>
    <w:basedOn w:val="777"/>
    <w:next w:val="1185"/>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6">
    <w:name w:val="xl83"/>
    <w:basedOn w:val="777"/>
    <w:next w:val="1186"/>
    <w:link w:val="7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7">
    <w:name w:val="xl84"/>
    <w:basedOn w:val="777"/>
    <w:next w:val="1187"/>
    <w:link w:val="777"/>
    <w:pPr>
      <w:jc w:val="center"/>
      <w:spacing w:before="100" w:beforeAutospacing="1" w:after="100" w:afterAutospacing="1"/>
      <w:widowControl/>
    </w:pPr>
    <w:rPr>
      <w:rFonts w:ascii="宋体" w:hAnsi="宋体" w:cs="宋体"/>
      <w:b/>
      <w:bCs/>
      <w:sz w:val="24"/>
      <w:szCs w:val="24"/>
    </w:rPr>
  </w:style>
  <w:style w:type="paragraph" w:styleId="1188">
    <w:name w:val="正文1"/>
    <w:next w:val="1188"/>
    <w:link w:val="777"/>
    <w:pPr>
      <w:ind w:left="556"/>
      <w:jc w:val="both"/>
      <w:spacing w:after="160" w:line="440" w:lineRule="exact"/>
      <w:widowControl w:val="off"/>
      <w:pBdr>
        <w:top w:val="none" w:color="000000" w:sz="4" w:space="0"/>
        <w:left w:val="none" w:color="000000" w:sz="4" w:space="0"/>
        <w:bottom w:val="none" w:color="000000" w:sz="4" w:space="0"/>
        <w:right w:val="none" w:color="000000" w:sz="4" w:space="0"/>
        <w:between w:val="none" w:color="000000" w:sz="4" w:space="0"/>
      </w:pBdr>
    </w:pPr>
    <w:rPr>
      <w:rFonts w:ascii="Times New Roman" w:hAnsi="Times New Roman" w:eastAsia="Arial Unicode MS" w:cs="Arial Unicode MS"/>
      <w:color w:val="000000"/>
      <w:sz w:val="28"/>
      <w:szCs w:val="28"/>
      <w:lang w:val="en-US" w:eastAsia="zh-CN" w:bidi="ar-SA"/>
    </w:rPr>
  </w:style>
  <w:style w:type="paragraph" w:styleId="1189">
    <w:name w:val="xl85"/>
    <w:basedOn w:val="777"/>
    <w:next w:val="1189"/>
    <w:link w:val="7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0">
    <w:name w:val="xl86"/>
    <w:basedOn w:val="777"/>
    <w:next w:val="1190"/>
    <w:link w:val="7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1">
    <w:name w:val="xl87"/>
    <w:basedOn w:val="777"/>
    <w:next w:val="1191"/>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2">
    <w:name w:val="xl88"/>
    <w:basedOn w:val="777"/>
    <w:next w:val="1192"/>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3">
    <w:name w:val="xl89"/>
    <w:basedOn w:val="777"/>
    <w:next w:val="1193"/>
    <w:link w:val="7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4">
    <w:name w:val="xl90"/>
    <w:basedOn w:val="777"/>
    <w:next w:val="1194"/>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5">
    <w:name w:val="xl91"/>
    <w:basedOn w:val="777"/>
    <w:next w:val="1195"/>
    <w:link w:val="7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6">
    <w:name w:val="xl92"/>
    <w:basedOn w:val="777"/>
    <w:next w:val="1196"/>
    <w:link w:val="777"/>
    <w:pPr>
      <w:jc w:val="center"/>
      <w:spacing w:before="100" w:beforeAutospacing="1" w:after="100" w:afterAutospacing="1"/>
      <w:widowControl/>
    </w:pPr>
    <w:rPr>
      <w:rFonts w:ascii="宋体" w:hAnsi="宋体" w:cs="宋体"/>
      <w:b/>
      <w:bCs/>
      <w:sz w:val="24"/>
      <w:szCs w:val="24"/>
    </w:rPr>
  </w:style>
  <w:style w:type="paragraph" w:styleId="1197">
    <w:name w:val="xl93"/>
    <w:basedOn w:val="777"/>
    <w:next w:val="1197"/>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98">
    <w:name w:val="xl94"/>
    <w:basedOn w:val="777"/>
    <w:next w:val="1198"/>
    <w:link w:val="7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99">
    <w:name w:val="xl95"/>
    <w:basedOn w:val="777"/>
    <w:next w:val="1199"/>
    <w:link w:val="777"/>
    <w:pPr>
      <w:jc w:val="center"/>
      <w:spacing w:before="100" w:beforeAutospacing="1" w:after="100" w:afterAutospacing="1"/>
      <w:widowControl/>
    </w:pPr>
    <w:rPr>
      <w:rFonts w:ascii="宋体" w:hAnsi="宋体" w:cs="宋体"/>
      <w:b/>
      <w:bCs/>
      <w:sz w:val="36"/>
      <w:szCs w:val="36"/>
    </w:rPr>
  </w:style>
  <w:style w:type="paragraph" w:styleId="1200">
    <w:name w:val="xl64"/>
    <w:basedOn w:val="777"/>
    <w:next w:val="1200"/>
    <w:link w:val="777"/>
    <w:pPr>
      <w:jc w:val="center"/>
      <w:spacing w:before="100" w:beforeAutospacing="1" w:after="100" w:afterAutospacing="1"/>
      <w:shd w:val="clear" w:color="000000" w:fill="ffffff"/>
      <w:widowControl/>
    </w:pPr>
    <w:rPr>
      <w:rFonts w:ascii="宋体" w:hAnsi="宋体" w:cs="宋体"/>
      <w:sz w:val="24"/>
      <w:szCs w:val="24"/>
    </w:rPr>
  </w:style>
  <w:style w:type="paragraph" w:styleId="1201">
    <w:name w:val="Table Paragraph"/>
    <w:basedOn w:val="777"/>
    <w:next w:val="1201"/>
    <w:link w:val="777"/>
    <w:uiPriority w:val="1"/>
    <w:qFormat/>
    <w:pPr>
      <w:jc w:val="left"/>
    </w:pPr>
    <w:rPr>
      <w:rFonts w:ascii="宋体" w:hAnsi="宋体" w:cs="宋体"/>
      <w:sz w:val="22"/>
      <w:szCs w:val="22"/>
      <w:lang w:val="zh-CN" w:bidi="zh-CN"/>
    </w:rPr>
  </w:style>
  <w:style w:type="paragraph" w:styleId="1202">
    <w:name w:val="正文（1）"/>
    <w:next w:val="1202"/>
    <w:link w:val="1203"/>
    <w:qFormat/>
    <w:pPr>
      <w:spacing w:line="300" w:lineRule="auto"/>
    </w:pPr>
    <w:rPr>
      <w:rFonts w:ascii="Arial" w:hAnsi="Arial"/>
      <w:sz w:val="21"/>
      <w:szCs w:val="21"/>
      <w:lang w:bidi="ar-SA"/>
    </w:rPr>
  </w:style>
  <w:style w:type="character" w:styleId="1203">
    <w:name w:val="正文（1） 字符"/>
    <w:next w:val="1203"/>
    <w:link w:val="1202"/>
    <w:rPr>
      <w:rFonts w:ascii="Arial" w:hAnsi="Arial"/>
      <w:sz w:val="21"/>
      <w:szCs w:val="21"/>
      <w:lang w:bidi="ar-SA"/>
    </w:rPr>
  </w:style>
  <w:style w:type="character" w:styleId="1204" w:default="1">
    <w:name w:val="Default Paragraph Font"/>
    <w:uiPriority w:val="1"/>
    <w:semiHidden/>
    <w:unhideWhenUsed/>
  </w:style>
  <w:style w:type="numbering" w:styleId="1205" w:default="1">
    <w:name w:val="No List"/>
    <w:uiPriority w:val="99"/>
    <w:semiHidden/>
    <w:unhideWhenUsed/>
  </w:style>
  <w:style w:type="table" w:styleId="12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645</cp:revision>
  <dcterms:created xsi:type="dcterms:W3CDTF">2023-03-16T02:16:00Z</dcterms:created>
  <dcterms:modified xsi:type="dcterms:W3CDTF">2024-10-31T05:52:17Z</dcterms:modified>
  <cp:version>786432</cp:version>
</cp:coreProperties>
</file>